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56"/>
        <w:spacing w:after="0"/>
        <w:rPr>
          <w:sz w:val="20"/>
          <w:szCs w:val="20"/>
          <w:color w:val="auto"/>
        </w:rPr>
      </w:pPr>
      <w:r>
        <w:rPr>
          <w:rFonts w:ascii="Courier New" w:cs="Courier New" w:eastAsia="Courier New" w:hAnsi="Courier New"/>
          <w:sz w:val="16"/>
          <w:szCs w:val="16"/>
          <w:color w:val="auto"/>
        </w:rPr>
        <w:t>UNITED STATES</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4"/>
          <w:szCs w:val="24"/>
          <w:color w:val="auto"/>
        </w:rPr>
      </w:pPr>
    </w:p>
    <w:p>
      <w:pPr>
        <w:ind w:left="3303"/>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(Mark One)</w:t>
      </w:r>
    </w:p>
    <w:p>
      <w:pPr>
        <w:spacing w:after="0" w:line="186" w:lineRule="exact"/>
        <w:rPr>
          <w:sz w:val="24"/>
          <w:szCs w:val="24"/>
          <w:color w:val="auto"/>
        </w:rPr>
      </w:pPr>
    </w:p>
    <w:p>
      <w:pPr>
        <w:ind w:left="563" w:right="2839" w:hanging="563"/>
        <w:spacing w:after="0" w:line="237" w:lineRule="auto"/>
        <w:tabs>
          <w:tab w:leader="none" w:pos="18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 ANNUAL REPORT PURSUANT TO SECTION 13 or 15(d) OF THE SECURITIES EXCHANGE ACT OF 1934</w:t>
      </w:r>
    </w:p>
    <w:p>
      <w:pPr>
        <w:spacing w:after="0" w:line="184" w:lineRule="exact"/>
        <w:rPr>
          <w:sz w:val="24"/>
          <w:szCs w:val="24"/>
          <w:color w:val="auto"/>
        </w:rPr>
      </w:pPr>
    </w:p>
    <w:p>
      <w:pPr>
        <w:ind w:left="563"/>
        <w:spacing w:after="0"/>
        <w:rPr>
          <w:sz w:val="20"/>
          <w:szCs w:val="20"/>
          <w:color w:val="auto"/>
        </w:rPr>
      </w:pPr>
      <w:r>
        <w:rPr>
          <w:rFonts w:ascii="Courier New" w:cs="Courier New" w:eastAsia="Courier New" w:hAnsi="Courier New"/>
          <w:sz w:val="16"/>
          <w:szCs w:val="16"/>
          <w:color w:val="auto"/>
        </w:rPr>
        <w:t>For the fiscal year ended September 30, 2003</w:t>
      </w:r>
    </w:p>
    <w:p>
      <w:pPr>
        <w:spacing w:after="0" w:line="183" w:lineRule="exact"/>
        <w:rPr>
          <w:sz w:val="24"/>
          <w:szCs w:val="24"/>
          <w:color w:val="auto"/>
        </w:rPr>
      </w:pPr>
    </w:p>
    <w:p>
      <w:pPr>
        <w:ind w:left="3683"/>
        <w:spacing w:after="0"/>
        <w:rPr>
          <w:sz w:val="20"/>
          <w:szCs w:val="20"/>
          <w:color w:val="auto"/>
        </w:rPr>
      </w:pPr>
      <w:r>
        <w:rPr>
          <w:rFonts w:ascii="Courier New" w:cs="Courier New" w:eastAsia="Courier New" w:hAnsi="Courier New"/>
          <w:sz w:val="16"/>
          <w:szCs w:val="16"/>
          <w:color w:val="auto"/>
        </w:rPr>
        <w:t>OR</w:t>
      </w:r>
    </w:p>
    <w:p>
      <w:pPr>
        <w:spacing w:after="0" w:line="186" w:lineRule="exact"/>
        <w:rPr>
          <w:sz w:val="24"/>
          <w:szCs w:val="24"/>
          <w:color w:val="auto"/>
        </w:rPr>
      </w:pPr>
    </w:p>
    <w:p>
      <w:pPr>
        <w:ind w:left="563" w:right="3319" w:hanging="563"/>
        <w:spacing w:after="0" w:line="237" w:lineRule="auto"/>
        <w:tabs>
          <w:tab w:leader="none" w:pos="37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84" w:lineRule="exact"/>
        <w:rPr>
          <w:sz w:val="24"/>
          <w:szCs w:val="24"/>
          <w:color w:val="auto"/>
        </w:rPr>
      </w:pPr>
    </w:p>
    <w:p>
      <w:pPr>
        <w:ind w:left="563"/>
        <w:spacing w:after="0"/>
        <w:rPr>
          <w:sz w:val="20"/>
          <w:szCs w:val="20"/>
          <w:color w:val="auto"/>
        </w:rPr>
      </w:pPr>
      <w:r>
        <w:rPr>
          <w:rFonts w:ascii="Courier New" w:cs="Courier New" w:eastAsia="Courier New" w:hAnsi="Courier New"/>
          <w:sz w:val="16"/>
          <w:szCs w:val="16"/>
          <w:color w:val="auto"/>
        </w:rPr>
        <w:t>For the transition period from ------------ to ------------</w:t>
      </w:r>
    </w:p>
    <w:p>
      <w:pPr>
        <w:spacing w:after="0" w:line="183" w:lineRule="exact"/>
        <w:rPr>
          <w:sz w:val="24"/>
          <w:szCs w:val="24"/>
          <w:color w:val="auto"/>
        </w:rPr>
      </w:pPr>
    </w:p>
    <w:p>
      <w:pPr>
        <w:ind w:left="563"/>
        <w:spacing w:after="0"/>
        <w:rPr>
          <w:sz w:val="20"/>
          <w:szCs w:val="20"/>
          <w:color w:val="auto"/>
        </w:rPr>
      </w:pPr>
      <w:r>
        <w:rPr>
          <w:rFonts w:ascii="Courier New" w:cs="Courier New" w:eastAsia="Courier New" w:hAnsi="Courier New"/>
          <w:sz w:val="16"/>
          <w:szCs w:val="16"/>
          <w:color w:val="auto"/>
        </w:rPr>
        <w:t>Commission file number 1-13292</w:t>
      </w:r>
    </w:p>
    <w:p>
      <w:pPr>
        <w:spacing w:after="0" w:line="183" w:lineRule="exact"/>
        <w:rPr>
          <w:sz w:val="24"/>
          <w:szCs w:val="24"/>
          <w:color w:val="auto"/>
        </w:rPr>
      </w:pPr>
    </w:p>
    <w:p>
      <w:pPr>
        <w:ind w:left="2923"/>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4"/>
          <w:szCs w:val="24"/>
          <w:color w:val="auto"/>
        </w:rPr>
      </w:pPr>
    </w:p>
    <w:p>
      <w:pPr>
        <w:ind w:left="183" w:hanging="183"/>
        <w:spacing w:after="0"/>
        <w:tabs>
          <w:tab w:leader="none" w:pos="1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2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46" w:lineRule="exact"/>
        <w:rPr>
          <w:sz w:val="24"/>
          <w:szCs w:val="24"/>
          <w:color w:val="auto"/>
        </w:rPr>
      </w:pPr>
    </w:p>
    <w:tbl>
      <w:tblPr>
        <w:tblLayout w:type="fixed"/>
        <w:tblInd w:w="2643" w:type="dxa"/>
        <w:tblCellMar>
          <w:top w:w="0" w:type="dxa"/>
          <w:left w:w="0" w:type="dxa"/>
          <w:bottom w:w="0" w:type="dxa"/>
          <w:right w:w="0" w:type="dxa"/>
        </w:tblCellMar>
      </w:tblPr>
      <w:tr>
        <w:trPr>
          <w:trHeight w:val="181"/>
        </w:trPr>
        <w:tc>
          <w:tcPr>
            <w:tcW w:w="2280" w:type="dxa"/>
            <w:vAlign w:val="bottom"/>
          </w:tcPr>
          <w:p>
            <w:pPr>
              <w:spacing w:after="0"/>
              <w:rPr>
                <w:sz w:val="20"/>
                <w:szCs w:val="20"/>
                <w:color w:val="auto"/>
              </w:rPr>
            </w:pPr>
            <w:r>
              <w:rPr>
                <w:rFonts w:ascii="Courier New" w:cs="Courier New" w:eastAsia="Courier New" w:hAnsi="Courier New"/>
                <w:sz w:val="16"/>
                <w:szCs w:val="16"/>
                <w:color w:val="auto"/>
              </w:rPr>
              <w:t>OHIO</w:t>
            </w:r>
          </w:p>
        </w:tc>
        <w:tc>
          <w:tcPr>
            <w:tcW w:w="2840" w:type="dxa"/>
            <w:vAlign w:val="bottom"/>
          </w:tcPr>
          <w:p>
            <w:pPr>
              <w:jc w:val="right"/>
              <w:spacing w:after="0"/>
              <w:rPr>
                <w:sz w:val="20"/>
                <w:szCs w:val="20"/>
                <w:color w:val="auto"/>
              </w:rPr>
            </w:pPr>
            <w:r>
              <w:rPr>
                <w:rFonts w:ascii="Courier New" w:cs="Courier New" w:eastAsia="Courier New" w:hAnsi="Courier New"/>
                <w:sz w:val="16"/>
                <w:szCs w:val="16"/>
                <w:color w:val="auto"/>
              </w:rPr>
              <w:t>31-1414921</w:t>
            </w:r>
          </w:p>
        </w:tc>
      </w:tr>
    </w:tbl>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ind w:left="563"/>
        <w:spacing w:after="0"/>
        <w:tabs>
          <w:tab w:leader="none" w:pos="5843" w:val="left"/>
        </w:tabs>
        <w:rPr>
          <w:sz w:val="20"/>
          <w:szCs w:val="20"/>
          <w:color w:val="auto"/>
        </w:rPr>
      </w:pPr>
      <w:r>
        <w:rPr>
          <w:rFonts w:ascii="Courier New" w:cs="Courier New" w:eastAsia="Courier New" w:hAnsi="Courier New"/>
          <w:sz w:val="16"/>
          <w:szCs w:val="16"/>
          <w:color w:val="auto"/>
        </w:rPr>
        <w:t>(State or Other Jurisdiction of Incorporation or</w:t>
      </w:r>
      <w:r>
        <w:rPr>
          <w:sz w:val="20"/>
          <w:szCs w:val="20"/>
          <w:color w:val="auto"/>
        </w:rPr>
        <w:tab/>
      </w:r>
      <w:r>
        <w:rPr>
          <w:rFonts w:ascii="Courier New" w:cs="Courier New" w:eastAsia="Courier New" w:hAnsi="Courier New"/>
          <w:sz w:val="15"/>
          <w:szCs w:val="15"/>
          <w:color w:val="auto"/>
        </w:rPr>
        <w:t>(I.R.S. Employer Identification</w:t>
      </w:r>
    </w:p>
    <w:p>
      <w:pPr>
        <w:spacing w:after="0" w:line="1" w:lineRule="exact"/>
        <w:rPr>
          <w:sz w:val="24"/>
          <w:szCs w:val="24"/>
          <w:color w:val="auto"/>
        </w:rPr>
      </w:pPr>
    </w:p>
    <w:p>
      <w:pPr>
        <w:ind w:left="2263"/>
        <w:spacing w:after="0"/>
        <w:tabs>
          <w:tab w:leader="none" w:pos="7083" w:val="left"/>
        </w:tabs>
        <w:rPr>
          <w:sz w:val="20"/>
          <w:szCs w:val="20"/>
          <w:color w:val="auto"/>
        </w:rPr>
      </w:pPr>
      <w:r>
        <w:rPr>
          <w:rFonts w:ascii="Courier New" w:cs="Courier New" w:eastAsia="Courier New" w:hAnsi="Courier New"/>
          <w:sz w:val="16"/>
          <w:szCs w:val="16"/>
          <w:color w:val="auto"/>
        </w:rPr>
        <w:t>Organization)</w:t>
      </w:r>
      <w:r>
        <w:rPr>
          <w:sz w:val="20"/>
          <w:szCs w:val="20"/>
          <w:color w:val="auto"/>
        </w:rPr>
        <w:tab/>
      </w:r>
      <w:r>
        <w:rPr>
          <w:rFonts w:ascii="Courier New" w:cs="Courier New" w:eastAsia="Courier New" w:hAnsi="Courier New"/>
          <w:sz w:val="16"/>
          <w:szCs w:val="16"/>
          <w:color w:val="auto"/>
        </w:rPr>
        <w:t>No.)</w:t>
      </w:r>
    </w:p>
    <w:p>
      <w:pPr>
        <w:spacing w:after="0" w:line="183" w:lineRule="exact"/>
        <w:rPr>
          <w:sz w:val="24"/>
          <w:szCs w:val="24"/>
          <w:color w:val="auto"/>
        </w:rPr>
      </w:pPr>
    </w:p>
    <w:p>
      <w:pPr>
        <w:ind w:left="943"/>
        <w:spacing w:after="0"/>
        <w:tabs>
          <w:tab w:leader="none" w:pos="7083" w:val="left"/>
        </w:tabs>
        <w:rPr>
          <w:sz w:val="20"/>
          <w:szCs w:val="20"/>
          <w:color w:val="auto"/>
        </w:rPr>
      </w:pPr>
      <w:r>
        <w:rPr>
          <w:rFonts w:ascii="Courier New" w:cs="Courier New" w:eastAsia="Courier New" w:hAnsi="Courier New"/>
          <w:sz w:val="16"/>
          <w:szCs w:val="16"/>
          <w:color w:val="auto"/>
        </w:rPr>
        <w:t>14111 SCOTTSLAWN ROAD, MARYSVILLE, OHIO</w:t>
      </w:r>
      <w:r>
        <w:rPr>
          <w:sz w:val="20"/>
          <w:szCs w:val="20"/>
          <w:color w:val="auto"/>
        </w:rPr>
        <w:tab/>
      </w:r>
      <w:r>
        <w:rPr>
          <w:rFonts w:ascii="Courier New" w:cs="Courier New" w:eastAsia="Courier New" w:hAnsi="Courier New"/>
          <w:sz w:val="15"/>
          <w:szCs w:val="15"/>
          <w:color w:val="auto"/>
        </w:rPr>
        <w:t>43041</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348" w:lineRule="exact"/>
        <w:rPr>
          <w:sz w:val="24"/>
          <w:szCs w:val="24"/>
          <w:color w:val="auto"/>
        </w:rPr>
      </w:pPr>
    </w:p>
    <w:p>
      <w:pPr>
        <w:ind w:left="943"/>
        <w:spacing w:after="0"/>
        <w:tabs>
          <w:tab w:leader="none" w:pos="6783"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ectPr>
          <w:pgSz w:w="11900" w:h="16838" w:orient="portrait"/>
          <w:cols w:equalWidth="0" w:num="1">
            <w:col w:w="10222"/>
          </w:cols>
          <w:pgMar w:left="237" w:top="598" w:right="1440" w:bottom="0" w:gutter="0" w:footer="0" w:header="0"/>
        </w:sectPr>
      </w:pPr>
    </w:p>
    <w:p>
      <w:pPr>
        <w:spacing w:after="0" w:line="368"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937-644-0011</w:t>
      </w:r>
    </w:p>
    <w:p>
      <w:pPr>
        <w:spacing w:after="0" w:line="190" w:lineRule="exact"/>
        <w:rPr>
          <w:sz w:val="24"/>
          <w:szCs w:val="24"/>
          <w:color w:val="auto"/>
        </w:rPr>
      </w:pPr>
    </w:p>
    <w:p>
      <w:pPr>
        <w:sectPr>
          <w:pgSz w:w="11900" w:h="16838" w:orient="portrait"/>
          <w:cols w:equalWidth="0" w:num="2">
            <w:col w:w="4823" w:space="480"/>
            <w:col w:w="4919"/>
          </w:cols>
          <w:pgMar w:left="237" w:top="598" w:right="1440" w:bottom="0" w:gutter="0" w:footer="0" w:header="0"/>
          <w:type w:val="continuous"/>
        </w:sectPr>
      </w:pPr>
    </w:p>
    <w:p>
      <w:pPr>
        <w:ind w:left="3"/>
        <w:spacing w:after="0"/>
        <w:rPr>
          <w:sz w:val="20"/>
          <w:szCs w:val="20"/>
          <w:color w:val="auto"/>
        </w:rPr>
      </w:pPr>
      <w:r>
        <w:rPr>
          <w:rFonts w:ascii="Courier New" w:cs="Courier New" w:eastAsia="Courier New" w:hAnsi="Courier New"/>
          <w:sz w:val="16"/>
          <w:szCs w:val="16"/>
          <w:color w:val="auto"/>
        </w:rPr>
        <w:t>Securities registered pursuant to Section 12(b) of the Act:</w:t>
      </w:r>
    </w:p>
    <w:p>
      <w:pPr>
        <w:spacing w:after="0" w:line="183" w:lineRule="exact"/>
        <w:rPr>
          <w:sz w:val="24"/>
          <w:szCs w:val="24"/>
          <w:color w:val="auto"/>
        </w:rPr>
      </w:pPr>
    </w:p>
    <w:p>
      <w:pPr>
        <w:jc w:val="center"/>
        <w:ind w:right="9276"/>
        <w:spacing w:after="0"/>
        <w:rPr>
          <w:sz w:val="20"/>
          <w:szCs w:val="20"/>
          <w:color w:val="auto"/>
        </w:rPr>
      </w:pPr>
      <w:r>
        <w:rPr>
          <w:rFonts w:ascii="Courier New" w:cs="Courier New" w:eastAsia="Courier New" w:hAnsi="Courier New"/>
          <w:sz w:val="16"/>
          <w:szCs w:val="16"/>
          <w:color w:val="auto"/>
        </w:rPr>
        <w:t>TITLE OF</w:t>
      </w:r>
    </w:p>
    <w:p>
      <w:pPr>
        <w:spacing w:after="0" w:line="5" w:lineRule="exact"/>
        <w:rPr>
          <w:sz w:val="24"/>
          <w:szCs w:val="24"/>
          <w:color w:val="auto"/>
        </w:rPr>
      </w:pPr>
    </w:p>
    <w:p>
      <w:pPr>
        <w:jc w:val="center"/>
        <w:ind w:right="9276"/>
        <w:spacing w:after="0"/>
        <w:rPr>
          <w:sz w:val="20"/>
          <w:szCs w:val="20"/>
          <w:color w:val="auto"/>
        </w:rPr>
      </w:pPr>
      <w:r>
        <w:rPr>
          <w:rFonts w:ascii="Courier New" w:cs="Courier New" w:eastAsia="Courier New" w:hAnsi="Courier New"/>
          <w:sz w:val="15"/>
          <w:szCs w:val="15"/>
          <w:color w:val="auto"/>
        </w:rPr>
        <w:t>EACH CLASS</w:t>
      </w:r>
    </w:p>
    <w:p>
      <w:pPr>
        <w:spacing w:after="0" w:line="8" w:lineRule="exact"/>
        <w:rPr>
          <w:sz w:val="24"/>
          <w:szCs w:val="24"/>
          <w:color w:val="auto"/>
        </w:rPr>
      </w:pPr>
    </w:p>
    <w:p>
      <w:pPr>
        <w:jc w:val="center"/>
        <w:ind w:right="9276"/>
        <w:spacing w:after="0"/>
        <w:rPr>
          <w:sz w:val="20"/>
          <w:szCs w:val="20"/>
          <w:color w:val="auto"/>
        </w:rPr>
      </w:pPr>
      <w:r>
        <w:rPr>
          <w:rFonts w:ascii="Courier New" w:cs="Courier New" w:eastAsia="Courier New" w:hAnsi="Courier New"/>
          <w:sz w:val="16"/>
          <w:szCs w:val="16"/>
          <w:color w:val="auto"/>
        </w:rPr>
        <w:t>NAME OF</w:t>
      </w:r>
    </w:p>
    <w:p>
      <w:pPr>
        <w:spacing w:after="0" w:line="1" w:lineRule="exact"/>
        <w:rPr>
          <w:sz w:val="24"/>
          <w:szCs w:val="24"/>
          <w:color w:val="auto"/>
        </w:rPr>
      </w:pPr>
    </w:p>
    <w:p>
      <w:pPr>
        <w:jc w:val="center"/>
        <w:ind w:right="9276"/>
        <w:spacing w:after="0"/>
        <w:rPr>
          <w:sz w:val="20"/>
          <w:szCs w:val="20"/>
          <w:color w:val="auto"/>
        </w:rPr>
      </w:pPr>
      <w:r>
        <w:rPr>
          <w:rFonts w:ascii="Courier New" w:cs="Courier New" w:eastAsia="Courier New" w:hAnsi="Courier New"/>
          <w:sz w:val="16"/>
          <w:szCs w:val="16"/>
          <w:color w:val="auto"/>
        </w:rPr>
        <w:t>EACH</w:t>
      </w:r>
    </w:p>
    <w:p>
      <w:pPr>
        <w:spacing w:after="0" w:line="1" w:lineRule="exact"/>
        <w:rPr>
          <w:sz w:val="24"/>
          <w:szCs w:val="24"/>
          <w:color w:val="auto"/>
        </w:rPr>
      </w:pPr>
    </w:p>
    <w:p>
      <w:pPr>
        <w:jc w:val="center"/>
        <w:ind w:right="9276"/>
        <w:spacing w:after="0"/>
        <w:rPr>
          <w:sz w:val="20"/>
          <w:szCs w:val="20"/>
          <w:color w:val="auto"/>
        </w:rPr>
      </w:pPr>
      <w:r>
        <w:rPr>
          <w:rFonts w:ascii="Courier New" w:cs="Courier New" w:eastAsia="Courier New" w:hAnsi="Courier New"/>
          <w:sz w:val="16"/>
          <w:szCs w:val="16"/>
          <w:color w:val="auto"/>
        </w:rPr>
        <w:t>EXCHANGE</w:t>
      </w:r>
    </w:p>
    <w:p>
      <w:pPr>
        <w:spacing w:after="0" w:line="1" w:lineRule="exact"/>
        <w:rPr>
          <w:sz w:val="24"/>
          <w:szCs w:val="24"/>
          <w:color w:val="auto"/>
        </w:rPr>
      </w:pPr>
    </w:p>
    <w:p>
      <w:pPr>
        <w:jc w:val="center"/>
        <w:ind w:right="9276"/>
        <w:spacing w:after="0"/>
        <w:rPr>
          <w:sz w:val="20"/>
          <w:szCs w:val="20"/>
          <w:color w:val="auto"/>
        </w:rPr>
      </w:pPr>
      <w:r>
        <w:rPr>
          <w:rFonts w:ascii="Courier New" w:cs="Courier New" w:eastAsia="Courier New" w:hAnsi="Courier New"/>
          <w:sz w:val="16"/>
          <w:szCs w:val="16"/>
          <w:color w:val="auto"/>
        </w:rPr>
        <w:t>ON WHICH</w:t>
      </w:r>
    </w:p>
    <w:p>
      <w:pPr>
        <w:spacing w:after="0" w:line="5" w:lineRule="exact"/>
        <w:rPr>
          <w:sz w:val="24"/>
          <w:szCs w:val="24"/>
          <w:color w:val="auto"/>
        </w:rPr>
      </w:pPr>
    </w:p>
    <w:p>
      <w:pPr>
        <w:jc w:val="center"/>
        <w:ind w:right="9276"/>
        <w:spacing w:after="0"/>
        <w:rPr>
          <w:sz w:val="20"/>
          <w:szCs w:val="20"/>
          <w:color w:val="auto"/>
        </w:rPr>
      </w:pPr>
      <w:r>
        <w:rPr>
          <w:rFonts w:ascii="Courier New" w:cs="Courier New" w:eastAsia="Courier New" w:hAnsi="Courier New"/>
          <w:sz w:val="15"/>
          <w:szCs w:val="15"/>
          <w:color w:val="auto"/>
        </w:rPr>
        <w:t>REGISTERED</w:t>
      </w:r>
    </w:p>
    <w:p>
      <w:pPr>
        <w:spacing w:after="0" w:line="8"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jc w:val="both"/>
        <w:ind w:left="143" w:right="9379" w:hanging="48"/>
        <w:spacing w:after="0" w:line="256" w:lineRule="auto"/>
        <w:tabs>
          <w:tab w:leader="none" w:pos="28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 without</w:t>
      </w:r>
    </w:p>
    <w:p>
      <w:pPr>
        <w:jc w:val="center"/>
        <w:ind w:right="9276"/>
        <w:spacing w:after="0" w:line="237" w:lineRule="auto"/>
        <w:rPr>
          <w:sz w:val="20"/>
          <w:szCs w:val="20"/>
          <w:color w:val="auto"/>
        </w:rPr>
      </w:pPr>
      <w:r>
        <w:rPr>
          <w:rFonts w:ascii="Courier New" w:cs="Courier New" w:eastAsia="Courier New" w:hAnsi="Courier New"/>
          <w:sz w:val="16"/>
          <w:szCs w:val="16"/>
          <w:color w:val="auto"/>
        </w:rPr>
        <w:t>par value</w:t>
      </w:r>
    </w:p>
    <w:p>
      <w:pPr>
        <w:spacing w:after="0" w:line="1" w:lineRule="exact"/>
        <w:rPr>
          <w:sz w:val="24"/>
          <w:szCs w:val="24"/>
          <w:color w:val="auto"/>
        </w:rPr>
      </w:pPr>
    </w:p>
    <w:p>
      <w:pPr>
        <w:jc w:val="center"/>
        <w:ind w:right="9276"/>
        <w:spacing w:after="0"/>
        <w:rPr>
          <w:sz w:val="20"/>
          <w:szCs w:val="20"/>
          <w:color w:val="auto"/>
        </w:rPr>
      </w:pPr>
      <w:r>
        <w:rPr>
          <w:rFonts w:ascii="Courier New" w:cs="Courier New" w:eastAsia="Courier New" w:hAnsi="Courier New"/>
          <w:sz w:val="16"/>
          <w:szCs w:val="16"/>
          <w:color w:val="auto"/>
        </w:rPr>
        <w:t>New York</w:t>
      </w:r>
    </w:p>
    <w:p>
      <w:pPr>
        <w:spacing w:after="0" w:line="1" w:lineRule="exact"/>
        <w:rPr>
          <w:sz w:val="24"/>
          <w:szCs w:val="24"/>
          <w:color w:val="auto"/>
        </w:rPr>
      </w:pPr>
    </w:p>
    <w:p>
      <w:pPr>
        <w:jc w:val="center"/>
        <w:ind w:right="9276"/>
        <w:spacing w:after="0"/>
        <w:rPr>
          <w:sz w:val="20"/>
          <w:szCs w:val="20"/>
          <w:color w:val="auto"/>
        </w:rPr>
      </w:pPr>
      <w:r>
        <w:rPr>
          <w:rFonts w:ascii="Courier New" w:cs="Courier New" w:eastAsia="Courier New" w:hAnsi="Courier New"/>
          <w:sz w:val="16"/>
          <w:szCs w:val="16"/>
          <w:color w:val="auto"/>
        </w:rPr>
        <w:t>Stock</w:t>
      </w:r>
    </w:p>
    <w:p>
      <w:pPr>
        <w:spacing w:after="0" w:line="1" w:lineRule="exact"/>
        <w:rPr>
          <w:sz w:val="24"/>
          <w:szCs w:val="24"/>
          <w:color w:val="auto"/>
        </w:rPr>
      </w:pPr>
    </w:p>
    <w:p>
      <w:pPr>
        <w:jc w:val="center"/>
        <w:ind w:right="9276"/>
        <w:spacing w:after="0"/>
        <w:rPr>
          <w:sz w:val="20"/>
          <w:szCs w:val="20"/>
          <w:color w:val="auto"/>
        </w:rPr>
      </w:pPr>
      <w:r>
        <w:rPr>
          <w:rFonts w:ascii="Courier New" w:cs="Courier New" w:eastAsia="Courier New" w:hAnsi="Courier New"/>
          <w:sz w:val="16"/>
          <w:szCs w:val="16"/>
          <w:color w:val="auto"/>
        </w:rPr>
        <w:t>Exchange</w:t>
      </w:r>
    </w:p>
    <w:p>
      <w:pPr>
        <w:spacing w:after="0" w:line="364"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Securities registered pursuant to Section 12(g) of the Act: NONE</w:t>
      </w:r>
    </w:p>
    <w:p>
      <w:pPr>
        <w:spacing w:after="0" w:line="183" w:lineRule="exact"/>
        <w:rPr>
          <w:sz w:val="24"/>
          <w:szCs w:val="24"/>
          <w:color w:val="auto"/>
        </w:rPr>
      </w:pPr>
    </w:p>
    <w:tbl>
      <w:tblPr>
        <w:tblLayout w:type="fixed"/>
        <w:tblInd w:w="3" w:type="dxa"/>
        <w:tblCellMar>
          <w:top w:w="0" w:type="dxa"/>
          <w:left w:w="0" w:type="dxa"/>
          <w:bottom w:w="0" w:type="dxa"/>
          <w:right w:w="0" w:type="dxa"/>
        </w:tblCellMar>
      </w:tblPr>
      <w:tr>
        <w:trPr>
          <w:trHeight w:val="181"/>
        </w:trPr>
        <w:tc>
          <w:tcPr>
            <w:tcW w:w="800" w:type="dxa"/>
            <w:vAlign w:val="bottom"/>
          </w:tcPr>
          <w:p>
            <w:pPr>
              <w:spacing w:after="0"/>
              <w:rPr>
                <w:sz w:val="20"/>
                <w:szCs w:val="20"/>
                <w:color w:val="auto"/>
              </w:rPr>
            </w:pPr>
            <w:r>
              <w:rPr>
                <w:rFonts w:ascii="Courier New" w:cs="Courier New" w:eastAsia="Courier New" w:hAnsi="Courier New"/>
                <w:sz w:val="16"/>
                <w:szCs w:val="16"/>
                <w:color w:val="auto"/>
              </w:rPr>
              <w:t>Indicate</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by</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check mark</w:t>
            </w:r>
          </w:p>
        </w:tc>
        <w:tc>
          <w:tcPr>
            <w:tcW w:w="114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whether the</w:t>
            </w:r>
          </w:p>
        </w:tc>
        <w:tc>
          <w:tcPr>
            <w:tcW w:w="23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registrant (1) has filed</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all reports</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required</w:t>
            </w:r>
          </w:p>
        </w:tc>
      </w:tr>
      <w:tr>
        <w:trPr>
          <w:trHeight w:val="182"/>
        </w:trPr>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to be filed</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by Section</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13</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5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15(d)</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of the</w:t>
            </w:r>
          </w:p>
        </w:tc>
        <w:tc>
          <w:tcPr>
            <w:tcW w:w="364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Securities Exchange Act of 1934 during</w:t>
            </w:r>
          </w:p>
        </w:tc>
      </w:tr>
      <w:tr>
        <w:trPr>
          <w:trHeight w:val="182"/>
        </w:trPr>
        <w:tc>
          <w:tcPr>
            <w:tcW w:w="1560" w:type="dxa"/>
            <w:vAlign w:val="bottom"/>
            <w:gridSpan w:val="3"/>
          </w:tcPr>
          <w:p>
            <w:pPr>
              <w:spacing w:after="0"/>
              <w:rPr>
                <w:sz w:val="20"/>
                <w:szCs w:val="20"/>
                <w:color w:val="auto"/>
              </w:rPr>
            </w:pPr>
            <w:r>
              <w:rPr>
                <w:rFonts w:ascii="Courier New" w:cs="Courier New" w:eastAsia="Courier New" w:hAnsi="Courier New"/>
                <w:sz w:val="16"/>
                <w:szCs w:val="16"/>
                <w:color w:val="auto"/>
              </w:rPr>
              <w:t>the preceding 12</w:t>
            </w:r>
          </w:p>
        </w:tc>
        <w:tc>
          <w:tcPr>
            <w:tcW w:w="142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months (or for</w:t>
            </w:r>
          </w:p>
        </w:tc>
        <w:tc>
          <w:tcPr>
            <w:tcW w:w="236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9"/>
              </w:rPr>
              <w:t>such shorter period that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registrant</w:t>
            </w:r>
          </w:p>
        </w:tc>
        <w:tc>
          <w:tcPr>
            <w:tcW w:w="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was</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required</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file</w:t>
            </w:r>
          </w:p>
        </w:tc>
        <w:tc>
          <w:tcPr>
            <w:tcW w:w="142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such reports),</w:t>
            </w:r>
          </w:p>
        </w:tc>
        <w:tc>
          <w:tcPr>
            <w:tcW w:w="7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and (2)</w:t>
            </w:r>
          </w:p>
        </w:tc>
        <w:tc>
          <w:tcPr>
            <w:tcW w:w="1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has been subject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to</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such filing</w:t>
            </w:r>
          </w:p>
        </w:tc>
        <w:tc>
          <w:tcPr>
            <w:tcW w:w="800" w:type="dxa"/>
            <w:vAlign w:val="bottom"/>
          </w:tcPr>
          <w:p>
            <w:pPr>
              <w:spacing w:after="0"/>
              <w:rPr>
                <w:sz w:val="15"/>
                <w:szCs w:val="15"/>
                <w:color w:val="auto"/>
              </w:rPr>
            </w:pPr>
          </w:p>
        </w:tc>
      </w:tr>
      <w:tr>
        <w:trPr>
          <w:trHeight w:val="182"/>
        </w:trPr>
        <w:tc>
          <w:tcPr>
            <w:tcW w:w="1560" w:type="dxa"/>
            <w:vAlign w:val="bottom"/>
            <w:gridSpan w:val="3"/>
          </w:tcPr>
          <w:p>
            <w:pPr>
              <w:spacing w:after="0"/>
              <w:rPr>
                <w:sz w:val="20"/>
                <w:szCs w:val="20"/>
                <w:color w:val="auto"/>
              </w:rPr>
            </w:pPr>
            <w:r>
              <w:rPr>
                <w:rFonts w:ascii="Courier New" w:cs="Courier New" w:eastAsia="Courier New" w:hAnsi="Courier New"/>
                <w:sz w:val="16"/>
                <w:szCs w:val="16"/>
                <w:color w:val="auto"/>
              </w:rPr>
              <w:t>requirements for</w:t>
            </w:r>
          </w:p>
        </w:tc>
        <w:tc>
          <w:tcPr>
            <w:tcW w:w="8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past</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90</w:t>
            </w:r>
          </w:p>
        </w:tc>
        <w:tc>
          <w:tcPr>
            <w:tcW w:w="10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days. Yes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X</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No  _ .</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pacing w:after="0" w:line="186" w:lineRule="exact"/>
        <w:rPr>
          <w:sz w:val="24"/>
          <w:szCs w:val="24"/>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89" w:lineRule="exact"/>
        <w:rPr>
          <w:sz w:val="24"/>
          <w:szCs w:val="24"/>
          <w:color w:val="auto"/>
        </w:rPr>
      </w:pPr>
    </w:p>
    <w:p>
      <w:pPr>
        <w:ind w:left="3" w:right="2659"/>
        <w:spacing w:after="0" w:line="237" w:lineRule="auto"/>
        <w:rPr>
          <w:sz w:val="20"/>
          <w:szCs w:val="20"/>
          <w:color w:val="auto"/>
        </w:rPr>
      </w:pPr>
      <w:r>
        <w:rPr>
          <w:rFonts w:ascii="Courier New" w:cs="Courier New" w:eastAsia="Courier New" w:hAnsi="Courier New"/>
          <w:sz w:val="16"/>
          <w:szCs w:val="16"/>
          <w:color w:val="auto"/>
        </w:rPr>
        <w:t>The number of Common Shares of the registrant outstanding as of December 5, 2003 was 32,246,606.</w:t>
      </w:r>
    </w:p>
    <w:p>
      <w:pPr>
        <w:spacing w:after="0" w:line="188" w:lineRule="exact"/>
        <w:rPr>
          <w:sz w:val="24"/>
          <w:szCs w:val="24"/>
          <w:color w:val="auto"/>
        </w:rPr>
      </w:pPr>
    </w:p>
    <w:p>
      <w:pPr>
        <w:ind w:left="3" w:right="3219"/>
        <w:spacing w:after="0" w:line="237" w:lineRule="auto"/>
        <w:rPr>
          <w:sz w:val="20"/>
          <w:szCs w:val="20"/>
          <w:color w:val="auto"/>
        </w:rPr>
      </w:pPr>
      <w:r>
        <w:rPr>
          <w:rFonts w:ascii="Courier New" w:cs="Courier New" w:eastAsia="Courier New" w:hAnsi="Courier New"/>
          <w:sz w:val="16"/>
          <w:szCs w:val="16"/>
          <w:color w:val="auto"/>
        </w:rPr>
        <w:t>Indicated by check mark whether the registrant is an accelerated filer (as defined in Rule 12b-2 of the Act). Yes X No _ .</w:t>
      </w:r>
    </w:p>
    <w:p>
      <w:pPr>
        <w:spacing w:after="0" w:line="188" w:lineRule="exact"/>
        <w:rPr>
          <w:sz w:val="24"/>
          <w:szCs w:val="24"/>
          <w:color w:val="auto"/>
        </w:rPr>
      </w:pPr>
    </w:p>
    <w:p>
      <w:pPr>
        <w:ind w:left="3" w:right="2759"/>
        <w:spacing w:after="0" w:line="239" w:lineRule="auto"/>
        <w:rPr>
          <w:sz w:val="20"/>
          <w:szCs w:val="20"/>
          <w:color w:val="auto"/>
        </w:rPr>
      </w:pPr>
      <w:r>
        <w:rPr>
          <w:rFonts w:ascii="Courier New" w:cs="Courier New" w:eastAsia="Courier New" w:hAnsi="Courier New"/>
          <w:sz w:val="16"/>
          <w:szCs w:val="16"/>
          <w:color w:val="auto"/>
        </w:rPr>
        <w:t>The aggregate market value of Common Shares (the only common equity of the registrant) held by non-affiliates of the registrant computed by reference to the price at which Common Shares were last sold as of the last business day of the registrant's most recently completed second fiscal quarter (March 28, 2003) was $1,084,902,162.60.</w:t>
      </w:r>
    </w:p>
    <w:p>
      <w:pPr>
        <w:sectPr>
          <w:pgSz w:w="11900" w:h="16838" w:orient="portrait"/>
          <w:cols w:equalWidth="0" w:num="1">
            <w:col w:w="10222"/>
          </w:cols>
          <w:pgMar w:left="237" w:top="598" w:right="1440" w:bottom="0" w:gutter="0" w:footer="0" w:header="0"/>
          <w:type w:val="continuous"/>
        </w:sectPr>
      </w:pPr>
    </w:p>
    <w:bookmarkStart w:id="1" w:name="page2"/>
    <w:bookmarkEnd w:id="1"/>
    <w:p>
      <w:pPr>
        <w:ind w:left="2080"/>
        <w:spacing w:after="0"/>
        <w:rPr>
          <w:sz w:val="20"/>
          <w:szCs w:val="20"/>
          <w:color w:val="auto"/>
        </w:rPr>
      </w:pPr>
      <w:r>
        <w:rPr>
          <w:rFonts w:ascii="Courier New" w:cs="Courier New" w:eastAsia="Courier New" w:hAnsi="Courier New"/>
          <w:sz w:val="16"/>
          <w:szCs w:val="16"/>
          <w:color w:val="auto"/>
        </w:rPr>
        <w:t>DOCUMENT INCORPORATED BY REFERENCE:</w:t>
      </w:r>
    </w:p>
    <w:p>
      <w:pPr>
        <w:spacing w:after="0" w:line="186"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6"/>
          <w:szCs w:val="16"/>
          <w:color w:val="auto"/>
        </w:rPr>
        <w:t>PORTIONS OF THE PROXY STATEMENT FOR REGISTRANT'S 2004 ANNUAL MEETING OF SHAREHOLDERS TO BE HELD JANUARY 29, 2004, ARE INCORPORATED BY REFERENCE INTO PART III HEREOF.</w:t>
      </w:r>
    </w:p>
    <w:p>
      <w:pPr>
        <w:sectPr>
          <w:pgSz w:w="11900" w:h="16838" w:orient="portrait"/>
          <w:cols w:equalWidth="0" w:num="1">
            <w:col w:w="10219"/>
          </w:cols>
          <w:pgMar w:left="240" w:top="320" w:right="1440" w:bottom="1440" w:gutter="0" w:footer="0" w:header="0"/>
        </w:sectPr>
      </w:pPr>
    </w:p>
    <w:bookmarkStart w:id="2" w:name="page3"/>
    <w:bookmarkEnd w:id="2"/>
    <w:p>
      <w:pPr>
        <w:spacing w:after="0" w:line="26"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PART I</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BUSINESS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Scotts Company, an Ohio corporation, is the combination of two of the most innovative companies in the consumer lawn and garden market: O.M. Scott &amp; Sons, which traces its heritage back to a company founded by O.M. Scott in Marysville, Ohio in 1868, and Stern's Miracle-Gro Products, Inc., which traces its heritage back to a company formed on Long Island by Horace Hagedorn and his partner in 1951. In the mid 1900's, Scotts had become widely known for innovation in the development of quality lawn fertilizers and grass seeds that led to the creation of a new industry -- consumer lawn care. Today, we believe the Scotts(R), Turf Builder(R), Miracle-Gro(R) and Ortho(R) brands are among the most widely recognized brands in the U.S. consumer lawn and garden care industry. We are also Monsanto's exclusive agent for the marketing and distribution of consumer Roundup(R)* non-selective herbicide within the United States and other contractually specified countries.</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fiscal 1995, through a stock for stock acquisition, Scotts and Miracle-Gro joined forces in what became the start of several acquisitions of other leading brands in the lawn and garden industry in North America and Europe. In fiscal 1999, we acquired the Ortho(R) brand and exclusive rights to market the consumer Roundup(R) brand, thereby adding industry-leading pesticides and herbicides to our controls portfolio. In the late 1990's, we completed several acquisitions in Europe which gave us well-known brands in France, Germany and the United Kingdom. We have also rapidly expanded into the lawn care service industry through our Scotts LawnService(R) business.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We believe that our market leadership in the lawn and garden category is driven by our widely-recognized brands, consumer-focused marketing, superior product performance, supply chain competency, highly knowledgeable field sales and merchandising organization, and the strength of our relationships with major retailers in our product categories.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We maintain an Internet website at http://www.scotts.com. (this uniform resource locator, or URL, is an inactive textual reference only and is not intended to incorporate our website into this Form 10-K). We file our reports with the Securities and Exchange Commission (the "SEC") and make available, free of charge, on or through this website, our annual reports on Form 10-K, quarterly reports on Form 10-Q, current reports on Form 8-K, proxy and information statements and amendments to these reports filed or furnished pursuant to Section 13(a) or 15(d) of the Securities Exchange Act of 1934, as amended, as soon as reasonably practicable after we electronically file such material with, or furnish it to, the SEC.</w:t>
      </w:r>
    </w:p>
    <w:p>
      <w:pPr>
        <w:spacing w:after="0" w:line="188"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Any of the materials we file with the SEC may also be read and copied at the SEC's Public Reference Room at 450 Fifth Street, NW, Washington, DC 20549. Information on the operation of the SEC's Public Reference Room may be obtained by calling the SEC at 1-800-SEC-0330. The SEC maintains an Internet website that contains reports, proxy and information statements, and other information regarding issuers that file electronically with the SEC at http://www.sec.gov.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COMPETITIVE STRENGTHS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We believe we are the world's largest marketer of branded consumer lawn and garden fertilizers, control products and value-added growing media products. We have been able to achieve our market leading position through a combination of internal growth, driven by product line extensions and award-winning advertising campaigns, and acquisitions. Our portfolio of consumer brands includes the following:</w:t>
      </w:r>
    </w:p>
    <w:p>
      <w:pPr>
        <w:spacing w:after="0" w:line="186"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Category</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Brands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Lawns</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Scotts(R);</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Turf</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Builder(R)</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Gardens</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Miracle-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Gro(R);</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Osmocote(R)</w:t>
      </w:r>
    </w:p>
    <w:p>
      <w:pPr>
        <w:spacing w:after="0" w:line="8"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Growing</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Media</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Miracle-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Gro(R);</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Scotts(R);</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Hyponex(R)</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Grass Seed</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Scotts(R);</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Turf</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Builder(R)</w:t>
      </w:r>
    </w:p>
    <w:p>
      <w:pPr>
        <w:sectPr>
          <w:pgSz w:w="11900" w:h="16864" w:orient="portrait"/>
          <w:cols w:equalWidth="0" w:num="1">
            <w:col w:w="10219"/>
          </w:cols>
          <w:pgMar w:left="240" w:top="659" w:right="1440" w:bottom="0" w:gutter="0" w:footer="0" w:header="0"/>
        </w:sectPr>
      </w:pPr>
    </w:p>
    <w:bookmarkStart w:id="3" w:name="page4"/>
    <w:bookmarkEnd w:id="3"/>
    <w:p>
      <w:pPr>
        <w:ind w:left="143"/>
        <w:spacing w:after="0"/>
        <w:rPr>
          <w:sz w:val="20"/>
          <w:szCs w:val="20"/>
          <w:color w:val="auto"/>
        </w:rPr>
      </w:pPr>
      <w:r>
        <w:rPr>
          <w:rFonts w:ascii="Courier New" w:cs="Courier New" w:eastAsia="Courier New" w:hAnsi="Courier New"/>
          <w:sz w:val="16"/>
          <w:szCs w:val="16"/>
          <w:color w:val="auto"/>
        </w:rPr>
        <w:t>Controls</w:t>
      </w:r>
    </w:p>
    <w:p>
      <w:pPr>
        <w:spacing w:after="0" w:line="1" w:lineRule="exact"/>
        <w:rPr>
          <w:sz w:val="20"/>
          <w:szCs w:val="20"/>
          <w:color w:val="auto"/>
        </w:rPr>
      </w:pPr>
    </w:p>
    <w:p>
      <w:pPr>
        <w:ind w:left="83"/>
        <w:spacing w:after="0"/>
        <w:rPr>
          <w:sz w:val="20"/>
          <w:szCs w:val="20"/>
          <w:color w:val="auto"/>
        </w:rPr>
      </w:pPr>
      <w:r>
        <w:rPr>
          <w:rFonts w:ascii="Courier New" w:cs="Courier New" w:eastAsia="Courier New" w:hAnsi="Courier New"/>
          <w:sz w:val="16"/>
          <w:szCs w:val="16"/>
          <w:color w:val="auto"/>
        </w:rPr>
        <w:t>Ortho(R);</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Roundup(R)</w:t>
      </w:r>
    </w:p>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183" w:right="3039" w:hanging="183"/>
        <w:spacing w:after="0" w:line="237" w:lineRule="auto"/>
        <w:tabs>
          <w:tab w:leader="none" w:pos="18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Roundup(R) is a registered trademark of Monsanto Technology LLC, a company affiliated with Monsanto Company.</w:t>
      </w:r>
    </w:p>
    <w:p>
      <w:pPr>
        <w:spacing w:after="0" w:line="184"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2"/>
          </w:cols>
          <w:pgMar w:left="237" w:top="138" w:right="1440" w:bottom="1440" w:gutter="0" w:footer="0" w:header="0"/>
        </w:sectPr>
      </w:pPr>
    </w:p>
    <w:bookmarkStart w:id="4" w:name="page5"/>
    <w:bookmarkEnd w:id="4"/>
    <w:p>
      <w:pPr>
        <w:ind w:right="2939" w:firstLine="473"/>
        <w:spacing w:after="0" w:line="239" w:lineRule="auto"/>
        <w:rPr>
          <w:sz w:val="20"/>
          <w:szCs w:val="20"/>
          <w:color w:val="auto"/>
        </w:rPr>
      </w:pPr>
      <w:r>
        <w:rPr>
          <w:rFonts w:ascii="Courier New" w:cs="Courier New" w:eastAsia="Courier New" w:hAnsi="Courier New"/>
          <w:sz w:val="16"/>
          <w:szCs w:val="16"/>
          <w:color w:val="auto"/>
        </w:rPr>
        <w:t>In addition, we have the following significant brands in Europe: Miracle-Gro(R) plant fertilizers, Weedol(R) and Pathclear(R) herbicides, EverGreen(R) lawn fertilizers and Levington(R) growing media in the United Kingdom, KB(R) and Fertiligene(R) in France, Celaflor(R), Nexa-Lotte(R) and Substral(R) in Germany and Austria, and ASEF(R), KB(R) and Substral(R) in the Benelux countries. Scotts' market leadership is evidenced by the brand recognition across all product categories.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SEGMENTS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fiscal 2003, we divided our business into four reporting segments:</w:t>
      </w:r>
    </w:p>
    <w:p>
      <w:pPr>
        <w:spacing w:after="0" w:line="183" w:lineRule="exact"/>
        <w:rPr>
          <w:sz w:val="20"/>
          <w:szCs w:val="20"/>
          <w:color w:val="auto"/>
        </w:rPr>
      </w:pPr>
    </w:p>
    <w:p>
      <w:pPr>
        <w:ind w:left="660" w:hanging="190"/>
        <w:spacing w:after="0"/>
        <w:tabs>
          <w:tab w:leader="none" w:pos="6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North American Consumer;</w:t>
      </w:r>
    </w:p>
    <w:p>
      <w:pPr>
        <w:ind w:left="660" w:hanging="190"/>
        <w:spacing w:after="0"/>
        <w:tabs>
          <w:tab w:leader="none" w:pos="6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LawnService(R);</w:t>
      </w:r>
    </w:p>
    <w:p>
      <w:pPr>
        <w:ind w:left="660" w:hanging="190"/>
        <w:spacing w:after="0"/>
        <w:tabs>
          <w:tab w:leader="none" w:pos="6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Global Professional; and</w:t>
      </w:r>
    </w:p>
    <w:p>
      <w:pPr>
        <w:ind w:left="660" w:hanging="190"/>
        <w:spacing w:after="0"/>
        <w:tabs>
          <w:tab w:leader="none" w:pos="6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International Consumer.</w:t>
      </w:r>
    </w:p>
    <w:p>
      <w:pPr>
        <w:spacing w:after="0" w:line="186" w:lineRule="exact"/>
        <w:rPr>
          <w:sz w:val="20"/>
          <w:szCs w:val="20"/>
          <w:color w:val="auto"/>
        </w:rPr>
      </w:pPr>
    </w:p>
    <w:p>
      <w:pPr>
        <w:ind w:right="3319" w:firstLine="473"/>
        <w:spacing w:after="0" w:line="238" w:lineRule="auto"/>
        <w:rPr>
          <w:sz w:val="20"/>
          <w:szCs w:val="20"/>
          <w:color w:val="auto"/>
        </w:rPr>
      </w:pPr>
      <w:r>
        <w:rPr>
          <w:rFonts w:ascii="Courier New" w:cs="Courier New" w:eastAsia="Courier New" w:hAnsi="Courier New"/>
          <w:sz w:val="16"/>
          <w:szCs w:val="16"/>
          <w:color w:val="auto"/>
        </w:rPr>
        <w:t>Financial information about these segments for the three years ended September 30, 2003 is presented in Note 21 to the Consolidated Financial Statements.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NORTH AMERICAN CONSUMER</w:t>
      </w:r>
    </w:p>
    <w:p>
      <w:pPr>
        <w:spacing w:after="0" w:line="186"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5"/>
          <w:szCs w:val="15"/>
          <w:color w:val="auto"/>
        </w:rPr>
        <w:t>In our North American Consumer segment, we manufacture and market products that provide fast, easy and effective assistance to homeowners who seek to nurture beautiful, weed and pest-free lawns, gardens and indoor plants. These products are sold under brand names that people know and trust, and that incorporate many of the best technologies available. These products include:</w:t>
      </w:r>
    </w:p>
    <w:p>
      <w:pPr>
        <w:spacing w:after="0" w:line="174" w:lineRule="exact"/>
        <w:rPr>
          <w:sz w:val="20"/>
          <w:szCs w:val="20"/>
          <w:color w:val="auto"/>
        </w:rPr>
      </w:pPr>
    </w:p>
    <w:p>
      <w:pPr>
        <w:ind w:right="2659" w:firstLine="378"/>
        <w:spacing w:after="0" w:line="239" w:lineRule="auto"/>
        <w:rPr>
          <w:sz w:val="20"/>
          <w:szCs w:val="20"/>
          <w:color w:val="auto"/>
        </w:rPr>
      </w:pPr>
      <w:r>
        <w:rPr>
          <w:rFonts w:ascii="Courier New" w:cs="Courier New" w:eastAsia="Courier New" w:hAnsi="Courier New"/>
          <w:sz w:val="16"/>
          <w:szCs w:val="16"/>
          <w:color w:val="auto"/>
        </w:rPr>
        <w:t>TURF BUILDER(R). We sell a complete line of granular lawn fertilizer and combination products which include fertilizer and crabgrass control, weed control or pest control under the Scotts(R) Turf Builder(R) brand name. The Turf Builder(R) line of products is designed to make it easy for do-it-yourself consumers to select and properly apply the right product in the right quantity for their lawns.</w:t>
      </w:r>
    </w:p>
    <w:p>
      <w:pPr>
        <w:spacing w:after="0" w:line="190" w:lineRule="exact"/>
        <w:rPr>
          <w:sz w:val="20"/>
          <w:szCs w:val="20"/>
          <w:color w:val="auto"/>
        </w:rPr>
      </w:pPr>
    </w:p>
    <w:p>
      <w:pPr>
        <w:ind w:right="2659" w:firstLine="378"/>
        <w:spacing w:after="0"/>
        <w:rPr>
          <w:sz w:val="20"/>
          <w:szCs w:val="20"/>
          <w:color w:val="auto"/>
        </w:rPr>
      </w:pPr>
      <w:r>
        <w:rPr>
          <w:rFonts w:ascii="Courier New" w:cs="Courier New" w:eastAsia="Courier New" w:hAnsi="Courier New"/>
          <w:sz w:val="16"/>
          <w:szCs w:val="16"/>
          <w:color w:val="auto"/>
        </w:rPr>
        <w:t>MIRACLE-GRO(R). We sell a complete line of plant foods under the Miracle-Gro(R) brand name. The leading product is a water-soluble plant food that, when dissolved in water, creates a diluted nutrient solution which is poured over plants or sprayed through an applicator and rapidly absorbed by a plant's roots and leaves. Miracle-Gro(R) products are specially formulated to give different kinds of plants the right kind of nutrition. While Miracle-Gro(R) All-Purpose Water-Soluble Plant Food is the leading product in the Miracle-Gro(R) line by market share, the Miracle-Gro(R) line includes other products such as Miracle-Gro(R) Rose Plant Food, Miracle-Gro(R) Tomato Plant Food, Miracle-Gro(R) Lawn Food and Miracle-Gro(R) Bloom Booster(R). Miracle-Gro continues to develop ways to improve the convenience of its products for the consumer. The Miracle-Gro(R) Garden Feeder provides consumers with an easy, fast and effective way to feed all the plants in their garden. We also introduced a high quality, slow release line of Miracle-Gro(R) plant foods for extended feeding convenience sold as Miracle-Gro(R) Shake 'N Feed(R).</w:t>
      </w:r>
    </w:p>
    <w:p>
      <w:pPr>
        <w:spacing w:after="0" w:line="191" w:lineRule="exact"/>
        <w:rPr>
          <w:sz w:val="20"/>
          <w:szCs w:val="20"/>
          <w:color w:val="auto"/>
        </w:rPr>
      </w:pPr>
    </w:p>
    <w:p>
      <w:pPr>
        <w:ind w:right="2839" w:firstLine="378"/>
        <w:spacing w:after="0" w:line="258" w:lineRule="auto"/>
        <w:rPr>
          <w:sz w:val="20"/>
          <w:szCs w:val="20"/>
          <w:color w:val="auto"/>
        </w:rPr>
      </w:pPr>
      <w:r>
        <w:rPr>
          <w:rFonts w:ascii="Courier New" w:cs="Courier New" w:eastAsia="Courier New" w:hAnsi="Courier New"/>
          <w:sz w:val="15"/>
          <w:szCs w:val="15"/>
          <w:color w:val="auto"/>
        </w:rPr>
        <w:t>ORTHO(R). We sell a broad line of weed control, indoor and outdoor pest control and plant disease control products under the Ortho(R) brand name. Ortho(R) products are available in aerosol, liquid ready-to-use, concentrated, granular and dust forms. Ortho(R) control products include Weed-B-Gon(R), Brush-B-Gon(R), Bug-B-Gon(R), RosePride(R), Ortho-Klor(R), Ant-Stop(R), Orthene(R) Fire Ant Killer, Ortho(R) Home Defense(R) and Flea-B-Gon(R).</w:t>
      </w:r>
    </w:p>
    <w:p>
      <w:pPr>
        <w:spacing w:after="0" w:line="177" w:lineRule="exact"/>
        <w:rPr>
          <w:sz w:val="20"/>
          <w:szCs w:val="20"/>
          <w:color w:val="auto"/>
        </w:rPr>
      </w:pPr>
    </w:p>
    <w:p>
      <w:pPr>
        <w:ind w:right="2759" w:firstLine="378"/>
        <w:spacing w:after="0" w:line="239" w:lineRule="auto"/>
        <w:rPr>
          <w:sz w:val="20"/>
          <w:szCs w:val="20"/>
          <w:color w:val="auto"/>
        </w:rPr>
      </w:pPr>
      <w:r>
        <w:rPr>
          <w:rFonts w:ascii="Courier New" w:cs="Courier New" w:eastAsia="Courier New" w:hAnsi="Courier New"/>
          <w:sz w:val="16"/>
          <w:szCs w:val="16"/>
          <w:color w:val="auto"/>
        </w:rPr>
        <w:t>GROWING MEDIA. We sell a complete line of growing media products for indoor and outdoor uses under the Miracle-Gro(R), Scotts(R), Hyponex(R), Earthgro(R) and Nature Scapes(R) brand names, as well as other labels. These products include potting mix, garden soils, topsoil, manures, sphagnum peat and decorative barks and mulches. The addition of the Miracle-Gro(R) brand name and fertilizer to potting mix and garden soils has turned previously low-margin commodity products into value-added category leaders.</w:t>
      </w:r>
    </w:p>
    <w:p>
      <w:pPr>
        <w:spacing w:after="0" w:line="192" w:lineRule="exact"/>
        <w:rPr>
          <w:sz w:val="20"/>
          <w:szCs w:val="20"/>
          <w:color w:val="auto"/>
        </w:rPr>
      </w:pPr>
    </w:p>
    <w:p>
      <w:pPr>
        <w:ind w:right="2759" w:firstLine="378"/>
        <w:spacing w:after="0" w:line="239" w:lineRule="auto"/>
        <w:rPr>
          <w:sz w:val="20"/>
          <w:szCs w:val="20"/>
          <w:color w:val="auto"/>
        </w:rPr>
      </w:pPr>
      <w:r>
        <w:rPr>
          <w:rFonts w:ascii="Courier New" w:cs="Courier New" w:eastAsia="Courier New" w:hAnsi="Courier New"/>
          <w:sz w:val="16"/>
          <w:szCs w:val="16"/>
          <w:color w:val="auto"/>
        </w:rPr>
        <w:t>ROUNDUP(R). In 1998, we entered into a long-term marketing agreement with Monsanto and became Monsanto's exclusive agent for the marketing and distribution of consumer Roundup(R) non-selective herbicide products in the consumer lawn and garden market within the United States and other specified countries, including Australia, Austria, Canada, France, Germany and the United Kingdom.</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63" w:right="1440" w:bottom="1440" w:gutter="0" w:footer="0" w:header="0"/>
        </w:sectPr>
      </w:pPr>
    </w:p>
    <w:bookmarkStart w:id="5" w:name="page6"/>
    <w:bookmarkEnd w:id="5"/>
    <w:p>
      <w:pPr>
        <w:ind w:right="2659" w:firstLine="378"/>
        <w:spacing w:after="0"/>
        <w:rPr>
          <w:sz w:val="20"/>
          <w:szCs w:val="20"/>
          <w:color w:val="auto"/>
        </w:rPr>
      </w:pPr>
      <w:r>
        <w:rPr>
          <w:rFonts w:ascii="Courier New" w:cs="Courier New" w:eastAsia="Courier New" w:hAnsi="Courier New"/>
          <w:sz w:val="16"/>
          <w:szCs w:val="16"/>
          <w:color w:val="auto"/>
        </w:rPr>
        <w:t>OTHER PRODUCTS. We manufacture and market several lines of high quality lawn spreaders under the Scotts(R) brand name, including Scotts EdgeGuard(R) Total Performance spreaders, SpeedyGreen(R) rotary spreaders, AccuGreen(R) drop spreaders and Handy Green(R) II handheld lawn spreaders. We sell a line of hose-end applicators for water-soluble plant foods such as Miracle-Gro(R) products, a line of pottery products, and lines of applicators under the Ortho(R), Dial 'N Spray(R), and Pull 'N Spray(R) trademarks for the application of certain insect control products. We also sell numerous varieties and blends of high quality grass seed, many of them proprietary, designed for different conditions and geographies. These consumer grass seed products are sold under the Scotts(R) Pure Premium(R), Scotts(R) Turf Builder(R), Scotts(R) and PatchMaster(R) brands.</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SCOTTS LAWNSERVICE(R)</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addition to our products, we provide residential lawn care, lawn aeration, tree and shrub care and external pest control services through our Scotts LawnService(R) business in the United States. These services consist primarily of fertilizer, weed control, pest control and disease control applications. Scotts LawnService(R) had 68 company operated locations serving 44 metropolitan markets, and 70 independent franchise locations as of September 30, 2003.</w:t>
      </w:r>
    </w:p>
    <w:p>
      <w:pPr>
        <w:spacing w:after="0" w:line="18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GLOBAL PROFESSIONAL</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Through our Global Professional segment, we sell professional products to commercial nurseries, greenhouses and specialty crop growers in North America and internationally in many locations including Africa, Australia, the Caribbean, the European Union, Japan, Latin America, the Middle East, New Zealand and Southeast Asia.</w:t>
      </w:r>
    </w:p>
    <w:p>
      <w:pPr>
        <w:spacing w:after="0" w:line="189"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5"/>
          <w:szCs w:val="15"/>
          <w:color w:val="auto"/>
        </w:rPr>
        <w:t>Our professional products include a broad line of sophisticated controlled-release fertilizers, water-soluble fertilizers, pesticide products, wetting agents and growing media products which are sold under brand names that include Banrot(R), Metro-Mix(R), Miracle-Gro(R), Osmocote(R), Peters(R), Poly-S(R), Rout(R), ScottKote(R), Sierrablen(R), Shamrock(R) and Sierra(R).</w:t>
      </w:r>
    </w:p>
    <w:p>
      <w:pPr>
        <w:spacing w:after="0" w:line="174" w:lineRule="exact"/>
        <w:rPr>
          <w:sz w:val="20"/>
          <w:szCs w:val="20"/>
          <w:color w:val="auto"/>
        </w:rPr>
      </w:pPr>
    </w:p>
    <w:p>
      <w:pPr>
        <w:ind w:right="2939" w:firstLine="473"/>
        <w:spacing w:after="0" w:line="259" w:lineRule="auto"/>
        <w:rPr>
          <w:sz w:val="20"/>
          <w:szCs w:val="20"/>
          <w:color w:val="auto"/>
        </w:rPr>
      </w:pPr>
      <w:r>
        <w:rPr>
          <w:rFonts w:ascii="Courier New" w:cs="Courier New" w:eastAsia="Courier New" w:hAnsi="Courier New"/>
          <w:sz w:val="15"/>
          <w:szCs w:val="15"/>
          <w:color w:val="auto"/>
        </w:rPr>
        <w:t>Our branded plants business is also a part of the Global Professional segment. This business arranges for the sale of high-quality annual plants to retailers. The annuals are produced by independent growers according to a defined protocol and branded with the Miracle-Gro(R) trademark, in accordance with a licensing agreement. We receive a fee for each branded plant sold.</w:t>
      </w:r>
    </w:p>
    <w:p>
      <w:pPr>
        <w:spacing w:after="0" w:line="174"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Our biotechnology activities are conducted within our Global Professional segment. For more information, please see "Biotechnology".</w:t>
      </w:r>
    </w:p>
    <w:p>
      <w:pPr>
        <w:spacing w:after="0" w:line="188"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For information concerning risks attendant to our foreign operations, please see "ITEM 7. MANAGEMENT'S DISCUSSION AND ANALYSIS OF FINANCIAL CONDITION AND RESULTS OF OPERATIONS -- Forward-Looking Statements."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INTERNATIONAL CONSUMER</w:t>
      </w:r>
    </w:p>
    <w:p>
      <w:pPr>
        <w:spacing w:after="0" w:line="186"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In our International Consumer segment, we sell consumer lawn and garden products in over 25 countries outside of North America. Our International Consumer segment also manages and markets the consumer Roundup(R) business on behalf of Monsanto outside of North America under a long-term marketing agreement.</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Our International Consumer products and brand names vary from country to country depending upon the market conditions, brand name strength and the nature of our strategic relationships in a given country. For example, in the United Kingdom, we sell Miracle-Gro(R) plant fertilizers, Weedol(R) and Pathclear(R) herbicides, EverGreen(R) lawn fertilizers and Levington(R) growing media. Our other international brands include KB(R) and Fertiligene(R) in France, Celaflor(R), Nexa-Lotte(R) and Substral(R) in Germany and Austria, and ASEF(R), KB(R) and Substral(R) in the Benelux countries.</w:t>
      </w:r>
    </w:p>
    <w:p>
      <w:pPr>
        <w:spacing w:after="0" w:line="187"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For information concerning risks attendant to our foreign operations, please see "ITEM 7. MANAGEMENT'S DISCUSSION AND ANALYSIS OF FINANCIAL CONDITION AND RESULTS OF OPERATIONS -- Forward-Looking Statements."</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63"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RESEARCH AND DEVELOPMENT</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We believe strongly in the benefits of research and development, and we continually invest in research and development to improve existing or develop new products, manufacturing processes and packaging and delivery systems. In fiscal 2003, 2002 and 2001, we spent approximately 1.5% of our net sales, or $30.4 million, $26.2 million and $24.7 million, respectively, on research and development, of which $6.3 million, $5.3 million and $4.1 million, respectively, was related to environmental and regulatory expenses. We believe that our long-standing commitment to innovation has benefited us, as evidenced by a portfolio of patents worldwide that support many of our fertilizers, grass seeds and application devices. In addition to the benefits of our own research and development, we benefit from the research and development activities of our suppliers.</w:t>
      </w:r>
    </w:p>
    <w:p>
      <w:pPr>
        <w:spacing w:after="0" w:line="189"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Our research and development worldwide headquarters is located at the Dwight G. Scott Research Center in Marysville, Ohio. We also have research and development facilities in Levington, the United Kingdom; Chazay, France; Ingelheim, Germany; Heerlen, the Netherlands and Sydney, Australia, as well as several research field stations located throughout the United States.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BIOTECHNOLOGY</w:t>
      </w:r>
    </w:p>
    <w:p>
      <w:pPr>
        <w:spacing w:after="0" w:line="186" w:lineRule="exact"/>
        <w:rPr>
          <w:sz w:val="20"/>
          <w:szCs w:val="20"/>
          <w:color w:val="auto"/>
        </w:rPr>
      </w:pPr>
    </w:p>
    <w:p>
      <w:pPr>
        <w:ind w:right="3419" w:firstLine="473"/>
        <w:spacing w:after="0" w:line="237" w:lineRule="auto"/>
        <w:rPr>
          <w:sz w:val="20"/>
          <w:szCs w:val="20"/>
          <w:color w:val="auto"/>
        </w:rPr>
      </w:pPr>
      <w:r>
        <w:rPr>
          <w:rFonts w:ascii="Courier New" w:cs="Courier New" w:eastAsia="Courier New" w:hAnsi="Courier New"/>
          <w:sz w:val="16"/>
          <w:szCs w:val="16"/>
          <w:color w:val="auto"/>
        </w:rPr>
        <w:t>We believe that the development and commercialization of innovative products is an important key to our continued success.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We have a long history of dedication to responsible research in search of better, more effective and easier to use products. In particular, we have worked for over 75 years to create better products for the establishment and maintenance of turfgrass. Biology and breeding have been a part of that research and development for the past 40 years. We remain dedicated to being the technology leader in turfgrass products. Today, that dedication results in research into products that can be enhanced with biotechnology, as well as products that can be improved through biology and breeding.</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Before a product enhanced with biotechnology may be sold in the United States, it must be "deregulated" by appropriate governmental agencies. Deregulation involves compliance with the rules and regulations of, and cooperation with, the United States Department of Agriculture, Animal and Plant Health Inspection Service (the "USDA"), the United States Environmental Protection Agency (the "U.S. EPA") and/or the Food and Drug Administration (the "FDA"). Therefore, any product enhanced with biotechnology for which we seek commercialization to the point of submitting a petition for deregulation will be subjected to rigorous and thorough governmental regulatory review.</w:t>
      </w:r>
    </w:p>
    <w:p>
      <w:pPr>
        <w:spacing w:after="0" w:line="188"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More specifically, as part of the deregulation process for any product enhanced with biotechnology, we are required to present evidence to the USDA in the form of scientifically rigorous studies showing that the product is not substantially different from products of the same species that have not been enhanced with biotechnology. We are also required to satisfy other agencies, such as the U.S. EPA and the FDA, as to their appropriate areas of regulatory authority. This process typically takes years to complete and also includes at least two opportunities for public comment.</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We submitted a petition for deregulation of a non-residential turfgrass product enhanced with biotechnology to the USDA on April 30, 2002. This turfgrass has been shown, through our research trials, to provide simple, more flexible and better weed control for golf courses in a manner that we believe is more environmentally friendly. The USDA requested additional information and data. We determined that it was more expedient to withdraw the petition and submit a revised petition that addressed the USDA's requests than to amend the current petition. On October 3, 2002, we withdrew our petition. We prepared a revised petition that addresses the USDA's requests and submitted it on April 14, 2003. That petition is still under review.</w:t>
      </w:r>
    </w:p>
    <w:p>
      <w:pPr>
        <w:spacing w:after="0" w:line="188" w:lineRule="exact"/>
        <w:rPr>
          <w:sz w:val="20"/>
          <w:szCs w:val="20"/>
          <w:color w:val="auto"/>
        </w:rPr>
      </w:pPr>
    </w:p>
    <w:p>
      <w:pPr>
        <w:ind w:right="3219" w:firstLine="473"/>
        <w:spacing w:after="0" w:line="239" w:lineRule="auto"/>
        <w:rPr>
          <w:sz w:val="20"/>
          <w:szCs w:val="20"/>
          <w:color w:val="auto"/>
        </w:rPr>
      </w:pPr>
      <w:r>
        <w:rPr>
          <w:rFonts w:ascii="Courier New" w:cs="Courier New" w:eastAsia="Courier New" w:hAnsi="Courier New"/>
          <w:sz w:val="16"/>
          <w:szCs w:val="16"/>
          <w:color w:val="auto"/>
        </w:rPr>
        <w:t>There can be no assurance that our petition for deregulation of this turfgrass product enhanced with biotechnology will be approved, or that if approved and commercially introduced, it will generate any revenues or contribute to our earnings.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TRADEMARKS, PATENTS AND LICENSES</w:t>
      </w:r>
    </w:p>
    <w:p>
      <w:pPr>
        <w:spacing w:after="0" w:line="186" w:lineRule="exact"/>
        <w:rPr>
          <w:sz w:val="20"/>
          <w:szCs w:val="20"/>
          <w:color w:val="auto"/>
        </w:rPr>
      </w:pPr>
    </w:p>
    <w:p>
      <w:pPr>
        <w:ind w:right="3039" w:firstLine="473"/>
        <w:spacing w:after="0" w:line="262" w:lineRule="auto"/>
        <w:rPr>
          <w:sz w:val="20"/>
          <w:szCs w:val="20"/>
          <w:color w:val="auto"/>
        </w:rPr>
      </w:pPr>
      <w:r>
        <w:rPr>
          <w:rFonts w:ascii="Courier New" w:cs="Courier New" w:eastAsia="Courier New" w:hAnsi="Courier New"/>
          <w:sz w:val="15"/>
          <w:szCs w:val="15"/>
          <w:color w:val="auto"/>
        </w:rPr>
        <w:t>The Scotts(R), Miracle-Gro(R), Hyponex(R) and Ortho(R) brand names and logos, as well as a number of product trademarks, including Turf Builder(R), Osmocote(R) and Peters(R), are federally and/or internationally</w:t>
      </w:r>
    </w:p>
    <w:p>
      <w:pPr>
        <w:spacing w:after="0" w:line="16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9" w:right="1440" w:bottom="1440" w:gutter="0" w:footer="0" w:header="0"/>
        </w:sectPr>
      </w:pPr>
    </w:p>
    <w:bookmarkStart w:id="7" w:name="page8"/>
    <w:bookmarkEnd w:id="7"/>
    <w:p>
      <w:pPr>
        <w:jc w:val="both"/>
        <w:ind w:right="2659"/>
        <w:spacing w:after="0" w:line="238" w:lineRule="auto"/>
        <w:rPr>
          <w:sz w:val="20"/>
          <w:szCs w:val="20"/>
          <w:color w:val="auto"/>
        </w:rPr>
      </w:pPr>
      <w:r>
        <w:rPr>
          <w:rFonts w:ascii="Courier New" w:cs="Courier New" w:eastAsia="Courier New" w:hAnsi="Courier New"/>
          <w:sz w:val="16"/>
          <w:szCs w:val="16"/>
          <w:color w:val="auto"/>
        </w:rPr>
        <w:t>registered and are considered material to our business. We regularly monitor our trademark registrations, which are generally effective for ten years, so that we can renew those nearing expiration.</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As of September 30, 2003, we held 98 issued patents in the United States covering fertilizer, chemical and growing media compositions and processes, grasses and application devices. Many of these patents have also been issued in numerous countries around the world, bringing our total worldwide patents to more than 434. International patents are subject to annual renewal, with patent protection generally extending to 20 years from the date of filing. Many of our patents extend well into the next decade. In addition, we continue to file new patent applications each year. Currently, we have 181 pending patent applications worldwide. We also hold exclusive and non-exclusive patent licenses from various raw material suppliers, permitting the use and sale of additional patented fertilizers and pesticides.</w:t>
      </w:r>
    </w:p>
    <w:p>
      <w:pPr>
        <w:spacing w:after="0" w:line="189"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During fiscal 2003, we were granted a number of U.S. and international patents. Some of the more significant new patents include the new EdgeGuard(R) Spreader and "Autodose" liquid metering technology. Internationally, we continue to extend patent coverage of our core fertilizer technologies (controlled-release and water-soluble) and applicator technologies to additional countries within our European and Asia/ Pacific markets. Some of the more significant examples are: the extension of Osmocote(R) patents to Australia/New Zealand; the extension of Poly-S(R) patents to Canada and Australia; and the extension of Ortho(R) sprayer patents to Mexico and Finland.</w:t>
      </w:r>
    </w:p>
    <w:p>
      <w:pPr>
        <w:spacing w:after="0" w:line="175"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Three patents are scheduled to expire in fiscal 2004. The loss of these patents is not expected to materially affect the business. We have one patent currently being opposed by a third party in Europe. An unfavorable ruling by the European Patent Office could materially affect our indoor pest control market share in Germany. A ruling is expected early in calendar year 2004.</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ROUNDUP(R) MARKETING AGREEMENT</w:t>
      </w:r>
    </w:p>
    <w:p>
      <w:pPr>
        <w:spacing w:after="0" w:line="186"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On September 30, 1998, we entered into a marketing agreement with Monsanto and became Monsanto's exclusive agent for the marketing and distribution of consumer Roundup(R) products (with additional rights to new products containing glyphosate or other similar non-selective herbicides) in the consumer lawn and garden market within the United States and other specified countries, including Australia, Austria, Canada, France, Germany and the United Kingdom.</w:t>
      </w:r>
    </w:p>
    <w:p>
      <w:pPr>
        <w:spacing w:after="0" w:line="177"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Under the marketing agreement, we and Monsanto are jointly responsible for developing global consumer and trade marketing programs for Roundup(R). We have assumed responsibility for sales support, merchandising, distribution and logistics for Roundup(R). Monsanto continues to own the consumer Roundup(R) business and provides significant oversight of its brand. In addition, Monsanto continues to own and operate the agricultural Roundup(R) business.</w:t>
      </w:r>
    </w:p>
    <w:p>
      <w:pPr>
        <w:spacing w:after="0" w:line="177"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We are compensated under the marketing agreement based on the success of the consumer Roundup(R) business in the markets covered by the agreement. We receive a graduated commission to the extent that the earnings before interest and taxes of the consumer Roundup(R) business in the included markets exceed specified thresholds. Regardless of these earnings, we are required to make an annual contribution payment against the overall expenses of the Roundup(R) business. For fiscal 2003, and until 2018 or the earlier termination of the agreement, the minimum annual contribution payment is $25 million and may be higher if certain significant earnings targets are achieved.</w:t>
      </w:r>
    </w:p>
    <w:p>
      <w:pPr>
        <w:spacing w:after="0" w:line="175"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Our net commission under the marketing agreement is equal to the graduated commission amount described above, less the applicable contribution payment and amortization of the marketing rights advance payment. For fiscal 2003, the net commission was $17.6 million. See Note 3 to the Consolidated Financial Statements.</w:t>
      </w:r>
    </w:p>
    <w:p>
      <w:pPr>
        <w:spacing w:after="0" w:line="189"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marketing agreement has no definite term, except as it relates to the European Union countries. With respect to the European Union countries, the initial term of the marketing agreement extends through September 30, 2005. After September 30, 2005, the parties may agree to renew the agreement with respect to the European Union countries for three successive terms ending on September 30, 2008, 2015 and 2018, with a separate determination being made by the parties at the expiration of each such renewal term as to whether to commence a subsequent renewal term. However, if Monsanto does not agree to any of the renewal terms with respect to the European Union countries, the commission structure will be recalculated in a manner likely to be favorable to us.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3" w:right="1440" w:bottom="1440" w:gutter="0" w:footer="0" w:header="0"/>
        </w:sectPr>
      </w:pPr>
    </w:p>
    <w:bookmarkStart w:id="8" w:name="page9"/>
    <w:bookmarkEnd w:id="8"/>
    <w:p>
      <w:pPr>
        <w:ind w:right="2659" w:firstLine="473"/>
        <w:spacing w:after="0" w:line="258" w:lineRule="auto"/>
        <w:rPr>
          <w:sz w:val="20"/>
          <w:szCs w:val="20"/>
          <w:color w:val="auto"/>
        </w:rPr>
      </w:pPr>
      <w:r>
        <w:rPr>
          <w:rFonts w:ascii="Courier New" w:cs="Courier New" w:eastAsia="Courier New" w:hAnsi="Courier New"/>
          <w:sz w:val="15"/>
          <w:szCs w:val="15"/>
          <w:color w:val="auto"/>
        </w:rPr>
        <w:t>Monsanto has the right to terminate the marketing agreement upon certain specified events of default by Scotts, including an uncured material breach, material fraud, material misconduct or egregious injury to the Roundup(R) brand. Monsanto also has the right to terminate the agreement upon a change of control of Monsanto or the sale of the consumer Roundup(R) business. In addition, Monsanto may terminate the agreement within specified regions, including North America, for specified declines in the consumer Roundup(R) business.</w:t>
      </w:r>
    </w:p>
    <w:p>
      <w:pPr>
        <w:spacing w:after="0" w:line="176"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We have rights similar to Monsanto's to terminate the marketing agreement upon an uncured material breach, material fraud or material willful misconduct by Monsanto. In addition, we may terminate the agreement upon Monsanto's sale of the consumer Roundup(R) business or in certain other circumstances, in which case we would not be able to collect the termination fee described below.</w:t>
      </w:r>
    </w:p>
    <w:p>
      <w:pPr>
        <w:spacing w:after="0" w:line="174"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If Monsanto terminates the marketing agreement upon a change of control of Monsanto or the sale of the consumer Roundup(R) business prior to September 30, 2008, we will be entitled to a termination fee in excess of $100 million. If we terminate the agreement upon an uncured material breach, material fraud or material willful misconduct by Monsanto, we will be entitled to receive a termination fee in excess of $100 million if the termination occurs prior to September 30, 2008. The termination fee declines over time from $100 million to a minimum of $16 million for terminations after September 30, 2008.</w:t>
      </w:r>
    </w:p>
    <w:p>
      <w:pPr>
        <w:spacing w:after="0" w:line="17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Monsanto has agreed to provide us with notice of any proposed sale of the consumer Roundup(R) business, allow us to participate in the sale process and negotiate in good faith with us with respect to a sale. In the event that we acquire the consumer Roundup(R) business in such a sale, we would receive credit against the purchase price in the amount of the termination fee that would otherwise have been paid to us upon termination by Monsanto of the marketing agreement upon the sale. If Monsanto decides to sell the consumer Roundup(R) business to another party, we must let Monsanto know whether we intend to terminate the marketing agreement and forfeit any right to a termination fee or whether we will agree to continue to perform under the agreement on behalf of the purchaser, unless and until the purchaser terminates our services and pays any applicable termination fee.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6" w:lineRule="exact"/>
        <w:rPr>
          <w:sz w:val="20"/>
          <w:szCs w:val="20"/>
          <w:color w:val="auto"/>
        </w:rPr>
      </w:pPr>
    </w:p>
    <w:p>
      <w:pPr>
        <w:ind w:right="2839" w:firstLine="473"/>
        <w:spacing w:after="0" w:line="260" w:lineRule="auto"/>
        <w:rPr>
          <w:sz w:val="20"/>
          <w:szCs w:val="20"/>
          <w:color w:val="auto"/>
        </w:rPr>
      </w:pPr>
      <w:r>
        <w:rPr>
          <w:rFonts w:ascii="Courier New" w:cs="Courier New" w:eastAsia="Courier New" w:hAnsi="Courier New"/>
          <w:sz w:val="15"/>
          <w:szCs w:val="15"/>
          <w:color w:val="auto"/>
        </w:rPr>
        <w:t>Each of our segments participates in markets that are highly competitive. Many of our competitors sell their products at prices lower than ours, and we compete primarily on the basis of product quality, product performance, supply chain efficiencies, value, brand strength and advertising.</w:t>
      </w:r>
    </w:p>
    <w:p>
      <w:pPr>
        <w:spacing w:after="0" w:line="173"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the North American consumer do-it-yourself lawn and garden markets and pest control markets, we compete against "control label" products as well as branded products. "Control label" products are those sold under a retailer-owned label or a supplier-owned label, which are sold exclusively at a specific retail chain. The control label products that we compete with include Vigoro(R) products sold at Home Depot, Sta-Green(R) products sold at Lowe's, and KGro(R) products sold at Kmart. Our competitors in branded lawn and garden products and the consumer pest control markets include United Industries Corporation, Bayer AG, Central Garden &amp; Pet Company, Garden Tech, Enforcer Products, Inc., Green Light Company and Lebanon Chemical Corp.</w:t>
      </w:r>
    </w:p>
    <w:p>
      <w:pPr>
        <w:spacing w:after="0" w:line="188"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TruGreen-ChemLawn(R), a division of ServiceMaster, has the leading market share in the U.S. lawn care service market and has a substantially larger share of this market than our Scotts LawnService(R).</w:t>
      </w:r>
    </w:p>
    <w:p>
      <w:pPr>
        <w:spacing w:after="0" w:line="188"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With respect to growing media products, in addition to nationally distributed, branded competitive products, we face competition from regional competitors who compete primarily on the basis of price for commodity growing media business.</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the North American professional horticulture markets, we face a broad range of competition from numerous companies ranging in size from multi-national chemical and fertilizer companies such as Dow AgroSciences Company, Uniroyal Chemical Corporation and Chisso-Asahi Fertilizer Co. Ltd., to smaller, specialized companies such as Pursell Technologies, Inc., Sun Gro-U.S. (a division of Hines Horticulture, Inc.) and Fafard, Inc. Some of these competitors have significant financial resources and research departments.</w:t>
      </w:r>
    </w:p>
    <w:p>
      <w:pPr>
        <w:spacing w:after="0" w:line="192"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international professional horticulture markets in which we compete are also very competitive, particularly the markets for controlled-release and water-soluble fertilizer products. We have numerous U.S. and European competitors in these international markets, including Pursell Industries, Inc., Compo GmbH,</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63" w:right="1440" w:bottom="1440" w:gutter="0" w:footer="0" w:header="0"/>
        </w:sectPr>
      </w:pPr>
    </w:p>
    <w:bookmarkStart w:id="9" w:name="page10"/>
    <w:bookmarkEnd w:id="9"/>
    <w:p>
      <w:pPr>
        <w:ind w:right="2839"/>
        <w:spacing w:after="0" w:line="237" w:lineRule="auto"/>
        <w:rPr>
          <w:sz w:val="20"/>
          <w:szCs w:val="20"/>
          <w:color w:val="auto"/>
        </w:rPr>
      </w:pPr>
      <w:r>
        <w:rPr>
          <w:rFonts w:ascii="Courier New" w:cs="Courier New" w:eastAsia="Courier New" w:hAnsi="Courier New"/>
          <w:sz w:val="16"/>
          <w:szCs w:val="16"/>
          <w:color w:val="auto"/>
        </w:rPr>
        <w:t>Norsk Hydro ASA, Haifa Chemicals Ltd. and Kemira Oyj. We also face competition from control label products.</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Internationally, we face strong competition in the consumer do-it-yourself lawn and garden market, particularly in Europe. Our competitors in the European Union include Bayer AG, Kali &amp; Salz (Compo, Algoflash brands) and a variety of local companies.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SIGNIFICANT CUSTOMERS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Approximately 69% of our worldwide sales in fiscal 2003 were made by our North American Consumer segment. Within the North American Consumer segment, approximately 38% of our sales in fiscal 2003 were made to Home Depot, 19% to Wal*Mart, 14% to Lowe's and 5% to Kmart. We face strong competition for the business of these significant customers. The loss of any of these customers or a substantial decrease in the volume or profitability of our business with any of these customers could have a material adverse effect on our earnings and profits.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STRATEGIC INITIATIVES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INTERNATIONAL PROFIT IMPROVEMENT PLAN</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August 2002, we announced an initiative to reduce costs and improve the profitability of our European consumer and professional businesses. The original plan called for an investment of between $50 million and $60 million in these businesses by the end of 2005. We now expect to invest between $45 million and $55 million over this time frame by leveraging high-value, lower risk initiatives to drive significant improvement in the profitability of these businesses. Approximately 25% of the expected investment is for capital expenditures, primarily for the installation of SAP, an Enterprise Resource Planning (ERP) system, in our largest European operations (France, Germany and the United Kingdom). The project also involves reorganization and rationalization of our European supply chain, increased sales force productivity and a shift to pan-European category management of our product portfolio that will constitute approximately 75% of the expected investment. As part of this initiative, restructuring and other charges will be incurred at various times. For further information concerning the restructuring charges incurred in fiscal years 2003, 2002 and 2001, see Note 4 to the Consolidated Financial Statements.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DEVELOPING STRONG RELATIONSHIPS WITH KEY RETAILERS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We believe that our leading brands and our industry-leading media advertising make our products "traffic builders" at retail locations. In addition, our leading full line of branded consumer lawn and garden products gives us an advantage in selling to retailers who value the efficiency of dealing with a limited number of suppliers. We have made significant investments in the past few years to establish business development teams at Home Depot, Wal*Mart, Lowe's and Kmart to work with their buyers and supply chain management to maximize mutual sales opportunities and improve the efficient distribution of products. In addition, we serve as the lawn and garden category advisor for Wal*Mart and Kmart. We are also the largest supplier of consumer lawn and garden products to the hardware co-op channel and made significant efforts in 2003 to build our presence with the independent trade. In 2003, we were named supplier of the year by four of our major retail partners: Home Depot and Wal*Mart, our two largest customers in the United States, B&amp;Q, our largest account in the United Kingdom, and OBI, our largest do-it-yourself customer in Germany. We also received preferred vendor status at Carrefour, our largest account in France.</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ENHANCING MARKET LEADERSHIP THROUGH CONSUMER-FOCUSED BRAND MANAGEMENT</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We intend to continue to execute our successful marketing strategies used to strengthen our leading market positions. In fiscal 2003, we invested over $95 million on advertising better targeted to our key consumer audience and focused on Scotts' product superiority. We believe that our approach to marketing, which balances consumer-directed advertising (e.g. prime time television spots) with retailer-oriented promotions, builds brand awareness and drives product sales growth. We have grown sales, increased market share and expanded the lawn and garden category over the past five years through successful execution of this strategy for our four principal brands -- Scotts(R), Miracle-Gro(R), Ortho(R) and Roundup(R). We market and distribute Roundup(R) brand products exclusively to the consumer lawn and garden market in</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63" w:right="1440" w:bottom="1440" w:gutter="0" w:footer="0" w:header="0"/>
        </w:sectPr>
      </w:pPr>
    </w:p>
    <w:bookmarkStart w:id="10" w:name="page11"/>
    <w:bookmarkEnd w:id="10"/>
    <w:p>
      <w:pPr>
        <w:ind w:right="2659"/>
        <w:spacing w:after="0" w:line="238" w:lineRule="auto"/>
        <w:rPr>
          <w:sz w:val="20"/>
          <w:szCs w:val="20"/>
          <w:color w:val="auto"/>
        </w:rPr>
      </w:pPr>
      <w:r>
        <w:rPr>
          <w:rFonts w:ascii="Courier New" w:cs="Courier New" w:eastAsia="Courier New" w:hAnsi="Courier New"/>
          <w:sz w:val="16"/>
          <w:szCs w:val="16"/>
          <w:color w:val="auto"/>
        </w:rPr>
        <w:t>the United States and certain other countries on behalf of Monsanto. Our strategy is to grow the overall consumer lawn and garden category and to capture substantially all of this growth.</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PURSUING ATTRACTIVE GROWTH INITIATIVES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We believe that the power of our brands provides us with significant opportunities to extend our business to new products and channels. To pursue these opportunities, at the end of fiscal 2002, we created a New Business Development Group within North America. This group has and will continue to focus on extending Scotts' brands into adjacent consumer lawn and garden categories that are currently not characterized by branded, value-added products. The group will also focus on exploiting underdeveloped sales channels, such as grocery and drug stores, and improving our business with independent retailers through a combination of tailored programs and unique products or packaging. In fiscal 2003, we acquired two pottery distribution companies and are finalizing plans to introduce branded, value-added products to the $1.2 billion United States pottery category in fiscal 2004.</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EXPANDING SCOTTS LAWNSERVICE(R)</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number of lawn owners who want lawn and garden care but do not want to do it themselves represents a significant portion of the total market. We recognize that our portfolio of well-known brands provides us with a unique ability to extend our brands into the lawn and garden service business. We believe that the strength of our brands provides us with a significant competitive advantage in acquiring new customers and we have spent the past several years developing our Scotts LawnService(R) business model. The business has grown significantly from revenues of approximately $42 million in fiscal 2001 to approximately $110 million in fiscal 2003. A significant portion of this growth has been fueled by geographic expansion and acquisitions. We completed approximately $30 million of lawn service acquisitions in fiscal 2003 and anticipate continuing to make selective acquisitions in fiscal 2004 and beyond, although at a slower pace than in recent years. Significant investments will continue to be made in our Scotts LawnService(R) business infrastructure with the focus being to continually improve our customer service throughout the organization.</w:t>
      </w:r>
    </w:p>
    <w:p>
      <w:pPr>
        <w:spacing w:after="0" w:line="18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SUPPLY CHAIN EXCELLENCE</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Over the past several years, we have focused on building world-class manufacturing and distribution capabilities. We have successfully developed this expertise through both significant investments and incorporation of supply chain related metrics into our key business and incentive measures. We have invested, and continue to invest, in systems to allow us to better capture and analyze supply chain information. For instance, in fiscal 2001, we completed implementation of the ERP software system for our North American businesses at a cost of approximately $55 million. This level of investment and focus has allowed us to develop what we believe is a significant competitive advantage in serving our retail customers. We have significantly improved customer service rates which, coupled with more closely tying shipments to when the consumer purchases Scotts' products from the retail shelf, has allowed our customers to improve inventory turns and reduce average inventory levels. The investments we have made in our production facilities have improved manufacturing flexibility, allowing us to improve our inventory turns and reduce our average inventory levels as well.</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SEASONALITY AND BACKLOG</w:t>
      </w:r>
    </w:p>
    <w:p>
      <w:pPr>
        <w:spacing w:after="0" w:line="186"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Our business is highly seasonal with approximately 73% and 74% of our net sales occurring in our combined second and third quarters of fiscal 2003 and fiscal 2002, respectively.</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Consistent with prior years, we anticipate that significant orders for the upcoming spring season will start to be received late in the winter and continue through the spring season. Historically, substantially all orders are received and shipped within the same fiscal year with minimal carryover of open orders at the end of the fiscal year.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RAW MATERIALS</w:t>
      </w:r>
    </w:p>
    <w:p>
      <w:pPr>
        <w:spacing w:after="0" w:line="186"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We purchase raw materials for our products from various sources that we presently consider to be adequate, and no one source is considered essential to any of our segments or to our business as a</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63" w:right="1440" w:bottom="1440" w:gutter="0" w:footer="0" w:header="0"/>
        </w:sectPr>
      </w:pPr>
    </w:p>
    <w:bookmarkStart w:id="11" w:name="page12"/>
    <w:bookmarkEnd w:id="11"/>
    <w:p>
      <w:pPr>
        <w:ind w:right="2659"/>
        <w:spacing w:after="0"/>
        <w:rPr>
          <w:sz w:val="20"/>
          <w:szCs w:val="20"/>
          <w:color w:val="auto"/>
        </w:rPr>
      </w:pPr>
      <w:r>
        <w:rPr>
          <w:rFonts w:ascii="Courier New" w:cs="Courier New" w:eastAsia="Courier New" w:hAnsi="Courier New"/>
          <w:sz w:val="16"/>
          <w:szCs w:val="16"/>
          <w:color w:val="auto"/>
        </w:rPr>
        <w:t>whole. We are subject to market risk from fluctuating market prices of certain raw materials, including urea and other chemicals as well as paper and plastic products. Our objectives surrounding the procurement of these materials are to ensure continuous supply and to minimize costs. We seek to achieve these objectives through negotiation of contracts with favorable terms directly with vendors. We do not enter into forward contracts or other market instruments as a means of minimizing our risk exposures on these materials but, when appropriate, we will procure a certain percentage of our needs in advance of the season to secure pre-determined prices.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DISTRIBUTION</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We manufacture products for our North American Consumer segment at our facilities in Marysville, Ohio; Ft. Madison, Iowa and Temecula, California, as well as use a number of third party contract packers. The primary distribution centers for our North American Consumer segments are strategically placed mixing warehouses across the United States, that are co-managed by Scotts and a third party logistics provider.</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Our Global Professional segment produces horticultural products at company-owned fertilizer manufacturing facilities located in the United States, and in Heerlen, the Netherlands. Certain products are also produced for the Global Professional segment from other company-owned facilities and subcontractors in the United States and Europe. The majority of shipments to customers are made via common carriers through distributors in the United States and a network of public warehouses and distributors in Europe.</w:t>
      </w:r>
    </w:p>
    <w:p>
      <w:pPr>
        <w:spacing w:after="0" w:line="192"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5"/>
          <w:szCs w:val="15"/>
          <w:color w:val="auto"/>
        </w:rPr>
        <w:t>We manufacture the non-growing media products for our International Consumer business at our facilities in Howden, the United Kingdom and Bourth, France, as well as use a number of third party contract packers. The primary distribution centers for our International Consumer businesses are located in the United Kingdom, France and Germany and are managed by a logistics provider.</w:t>
      </w:r>
    </w:p>
    <w:p>
      <w:pPr>
        <w:spacing w:after="0" w:line="17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growing media products for our International Consumer segment unit are produced at our facilities in Hatfield, the United Kingdom and Hautmont, France and at a number of third party contract packers. Growing media products are generally shipped direct without passing through either a distribution center or mixing warehouse.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As of September 30, 2003, we employed 2,962 full-time employees in the United States and an additional 1,043 full-time employees located outside the United States. During peak sales and production periods, we utilize seasonal and temporary labor.</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None of our U.S. employees are members of a union. Approximately 110 of our full-time U.K. employees are members of the Transport and General Workers Union and have full collective bargaining rights. An undisclosed number of our full-time employees at our office in Ecully, France are members of the Confederation Francaise Democratique du Travail and Confederation Generale du Travail, participation in which is confidential under French law. In addition, a number of union and non-union full-time employees are members of works councils at three sites in Bourth, Hautmont and Ecully, France, and a number of non-union employees are members of works councils in Ingelheim, Germany. In the Waardenburg office in the Netherlands, a small number of the approximately 130 employees are members of a workers union, but we are not responsible for collective bargaining negotiations with this union. In the Netherlands, we are governed by the Works Councils Act with respect to the union. Works councils represent employees on labor, employment matters and manage social benefits.</w:t>
      </w:r>
    </w:p>
    <w:p>
      <w:pPr>
        <w:spacing w:after="0" w:line="191" w:lineRule="exact"/>
        <w:rPr>
          <w:sz w:val="20"/>
          <w:szCs w:val="20"/>
          <w:color w:val="auto"/>
        </w:rPr>
      </w:pPr>
    </w:p>
    <w:p>
      <w:pPr>
        <w:ind w:right="2659" w:firstLine="473"/>
        <w:spacing w:after="0" w:line="267" w:lineRule="auto"/>
        <w:rPr>
          <w:sz w:val="20"/>
          <w:szCs w:val="20"/>
          <w:color w:val="auto"/>
        </w:rPr>
      </w:pPr>
      <w:r>
        <w:rPr>
          <w:rFonts w:ascii="Courier New" w:cs="Courier New" w:eastAsia="Courier New" w:hAnsi="Courier New"/>
          <w:sz w:val="15"/>
          <w:szCs w:val="15"/>
          <w:color w:val="auto"/>
        </w:rPr>
        <w:t>We consider our current relationships with our employees, both unionized and non-unionized, in the United States and internationally, to be satisfactory.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AND REGULATORY CONSIDERATIONS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Local, state, federal and foreign laws and regulations relating to environmental matters affect us in several ways. In the United States, all products containing pesticides must be registered with the U.S. EPA (and similar state agencies) before they can be sold. The inability to obtain or the cancellation of any such registration could have an adverse effect on our business, the severity of which would depend on the products involved, whether another product could be substituted and whether our competitors were similarly affected. We attempt to anticipate regulatory developments and maintain registrations of, and</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63" w:right="1440" w:bottom="1440" w:gutter="0" w:footer="0" w:header="0"/>
        </w:sectPr>
      </w:pPr>
    </w:p>
    <w:bookmarkStart w:id="12" w:name="page13"/>
    <w:bookmarkEnd w:id="12"/>
    <w:p>
      <w:pPr>
        <w:ind w:right="2759"/>
        <w:spacing w:after="0" w:line="239" w:lineRule="auto"/>
        <w:rPr>
          <w:sz w:val="20"/>
          <w:szCs w:val="20"/>
          <w:color w:val="auto"/>
        </w:rPr>
      </w:pPr>
      <w:r>
        <w:rPr>
          <w:rFonts w:ascii="Courier New" w:cs="Courier New" w:eastAsia="Courier New" w:hAnsi="Courier New"/>
          <w:sz w:val="16"/>
          <w:szCs w:val="16"/>
          <w:color w:val="auto"/>
        </w:rPr>
        <w:t>access to, substitute active ingredients, but there can be no assurance that we will continue to be able to avoid or minimize these risks. Fertilizer and growing media products are also subject to state and foreign labeling regulations. Our manufacturing operations are subject to waste, water and air quality permitting and other regulatory requirements of federal and state agencies.</w:t>
      </w:r>
    </w:p>
    <w:p>
      <w:pPr>
        <w:spacing w:after="0" w:line="19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Food Quality Protection Act, enacted by the United States Congress in August 1996, establishes a standard for food-use pesticides, which standard is the reasonable certainty that no harm will result from the cumulative effects of pesticide exposures. Under this Act, the U.S. EPA is evaluating the cumulative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 party registrant may decide that a pesticide we use in our products will be limited or made unavailable to us. This occurred in recent years with regard to diazinon and chlorpyrifos. We cannot predict the outcome or the severity of the effect of these continuing evaluations.</w:t>
      </w:r>
    </w:p>
    <w:p>
      <w:pPr>
        <w:spacing w:after="0" w:line="181"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to individuals in the vicinity that products will be applied in the future or may ban the use of certain ingredients. We believe that we are operating in substantial compliance with, or taking action aimed at ensuring compliance with, these laws and regulations.</w:t>
      </w:r>
    </w:p>
    <w:p>
      <w:pPr>
        <w:spacing w:after="0" w:line="174"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State and federal authorities generally require growing media facilities to obtain permits (sometimes on an annual basis) in order to harvest peat and to discharge storm water run-off or water pumped from peat deposits. The state permits typically specify the condition in which the property must be left 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Regulations and environmental concerns also exist surrounding peat extraction in the United Kingdom and the European Union. In August 2000, English Nature, the nature conservation advisory body to the United Kingdom government, notified us that three of our peat harvesting sites in the United Kingdom were under consideration as possible "Special Areas of Conservation" under European Union law. In April 2002, working in conjunction with Friends of the Earth (United Kingdom), we reached agreement with English Nature to transfer our interests in the properties and for the immediate cessation of all but a limited amount of peat extraction on one of the three sites. As a result of this agreement, we have withdrawn our objection to the proposed European designations as Special Areas of Conservation and will undertake restoration work on the sites, for which we will receive additional consideration from English Nature. We believe that we have sufficient raw material supplies available to replace the peat extracted from such sites.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REGULATORY ACTIONS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June 1997, the Ohio Environmental Protection Agency (the "Ohio EPA") initiated an enforcement action against us with respect to alleged surface water violations and inadequate treatment capabilities at our Marysville, Ohio facility and seeking corrective action under the federal Resource Conservation and Recovery Act. The action relates to several discontinued on-site disposal areas which date back to the early operations of the Marysville facility that we had already been assessing and, in some cases, remediating, on a voluntary basis. On December 3, 2001, an agreed judicial Consent Order was submitted to the Union County Common Pleas Court and was entered by the court on January 25, 2002.</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Now that the Consent Order has been entered, we have paid a $275,000 fine and must satisfactorily remediate the Marysville site. We have continued our remediation activities with the knowledge and oversight of the Ohio EPA. We completed an updated evaluation of our expected liability related to this matter based on the fine paid and remediation actions that we have taken and expect to take in the</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3" w:right="1440" w:bottom="1440" w:gutter="0" w:footer="0" w:header="0"/>
        </w:sectPr>
      </w:pPr>
    </w:p>
    <w:bookmarkStart w:id="13" w:name="page14"/>
    <w:bookmarkEnd w:id="13"/>
    <w:p>
      <w:pPr>
        <w:ind w:right="2759"/>
        <w:spacing w:after="0" w:line="237" w:lineRule="auto"/>
        <w:rPr>
          <w:sz w:val="20"/>
          <w:szCs w:val="20"/>
          <w:color w:val="auto"/>
        </w:rPr>
      </w:pPr>
      <w:r>
        <w:rPr>
          <w:rFonts w:ascii="Courier New" w:cs="Courier New" w:eastAsia="Courier New" w:hAnsi="Courier New"/>
          <w:sz w:val="16"/>
          <w:szCs w:val="16"/>
          <w:color w:val="auto"/>
        </w:rPr>
        <w:t>future. As a result, we accrued an additional $3.0 million in the third quarter of fiscal 2002 to increase our reserve based on the latest estimates.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addition to the dispute with the Ohio EPA, we are negotiating with the Philadelphia District of the U.S. Army Corps of Engineers regarding the terms of site remediation and the resolution of the Corps' civil penalty demand in connection with our prior peat harvesting operations at our Lafayette, New Jersey facility. We are also addressing remediation concerns raised by the Environment Agency of the United Kingdom with respect to emissions to air and groundwater at our Bramford (Suffolk), the United Kingdom facility. We have reserved for our estimates of probable costs to be incurred in connection with each of these matters.</w:t>
      </w:r>
    </w:p>
    <w:p>
      <w:pPr>
        <w:spacing w:after="0" w:line="188"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5"/>
          <w:szCs w:val="15"/>
          <w:color w:val="auto"/>
        </w:rPr>
        <w:t>At September 30, 2003, $6.8 million was accrued for the environmental and regulatory matters described herein. The most significant component of this accrual is the estimated cost for site remediation of $4.5 million. Most of the costs accrued as of September 30, 2003 are expected to be paid in fiscal 2004 and 2005; however, payments could be made for a period thereafter.</w:t>
      </w:r>
    </w:p>
    <w:p>
      <w:pPr>
        <w:spacing w:after="0" w:line="174"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We believe that the amounts accrued as of September 30, 2003 are adequate to cover our known environmental exposures based on current facts and estimates of likely outcome. However, the adequacy of these accruals is based on several significant assumptions, including the following:</w:t>
      </w:r>
    </w:p>
    <w:p>
      <w:pPr>
        <w:spacing w:after="0" w:line="187" w:lineRule="exact"/>
        <w:rPr>
          <w:sz w:val="20"/>
          <w:szCs w:val="20"/>
          <w:color w:val="auto"/>
        </w:rPr>
      </w:pPr>
    </w:p>
    <w:p>
      <w:pPr>
        <w:ind w:left="660" w:right="3419" w:hanging="190"/>
        <w:spacing w:after="0" w:line="237" w:lineRule="auto"/>
        <w:tabs>
          <w:tab w:leader="none" w:pos="6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we have identified all of the significant sites that must be remediated;</w:t>
      </w:r>
    </w:p>
    <w:p>
      <w:pPr>
        <w:spacing w:after="0" w:line="5" w:lineRule="exact"/>
        <w:rPr>
          <w:rFonts w:ascii="Courier New" w:cs="Courier New" w:eastAsia="Courier New" w:hAnsi="Courier New"/>
          <w:sz w:val="16"/>
          <w:szCs w:val="16"/>
          <w:color w:val="auto"/>
        </w:rPr>
      </w:pPr>
    </w:p>
    <w:p>
      <w:pPr>
        <w:ind w:left="660" w:right="2759" w:hanging="190"/>
        <w:spacing w:after="0" w:line="237" w:lineRule="auto"/>
        <w:tabs>
          <w:tab w:leader="none" w:pos="6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there are no significant conditions of potential contamination that are unknown to us; and</w:t>
      </w:r>
    </w:p>
    <w:p>
      <w:pPr>
        <w:spacing w:after="0" w:line="5" w:lineRule="exact"/>
        <w:rPr>
          <w:rFonts w:ascii="Courier New" w:cs="Courier New" w:eastAsia="Courier New" w:hAnsi="Courier New"/>
          <w:sz w:val="16"/>
          <w:szCs w:val="16"/>
          <w:color w:val="auto"/>
        </w:rPr>
      </w:pPr>
    </w:p>
    <w:p>
      <w:pPr>
        <w:ind w:left="660" w:right="3119" w:hanging="190"/>
        <w:spacing w:after="0" w:line="239" w:lineRule="auto"/>
        <w:tabs>
          <w:tab w:leader="none" w:pos="6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87" w:lineRule="exact"/>
        <w:rPr>
          <w:sz w:val="20"/>
          <w:szCs w:val="20"/>
          <w:color w:val="auto"/>
        </w:rPr>
      </w:pPr>
    </w:p>
    <w:p>
      <w:pPr>
        <w:ind w:right="2659" w:firstLine="473"/>
        <w:spacing w:after="0" w:line="262"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17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During fiscal 2003, we made approximately $1.5 million in environmental expenditures, compared with approximately $0.3 million in environmental capital expenditures and $5.4 million in environmental expenditures for fiscal 2002. Included in the $5.4 million is the $3.0 million increase in the accrual for future costs related to site remediation as described above.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INFORMATION ABOUT GEOGRAPHIC AREAS</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For certain information concerning our international revenues and long-lived assets, see "ITEM 7. MANAGEMENT'S DISCUSSION AND ANALYSIS OF FINANCIAL CONDITION AND RESULTS OF OPERATIONS" and Note 21 to the Consolidated Financial Statements.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PROPERTIES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have fee or leasehold interests in approximately 140 properties.</w:t>
      </w:r>
    </w:p>
    <w:p>
      <w:pPr>
        <w:spacing w:after="0" w:line="186"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We lease land from the Union County Community Improvement Corporation in Marysville, Ohio for our headquarters and for our research and development functions. We own property in Marysville, Ohio for our manufacturing and distribution facilities. Combined, these facilities are situated on approximately 875 acres of land.</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North American Consumer segment uses three additional research facilities. We own one in Apopka, Florida, another in Gervais, Oregon, and a third in Valley Center, California. We also own a production facility, which encompasses 27 acres, in Fort Madison, Iowa and lease a spreader and other durable components manufacturing facility in Temecula, California. We operate 24 growing media facilities in 18 states -- 18 of which are owned by us and six of which are leased. Most of our growing media facilities include production lines, warehouses, offices and field processing areas. We lease one compost facility, located at a bagging facility in Lebanon, Connecticut. We also lease sales offices in Atlanta, Georgia; Troy, Michigan; Wilkesboro, North Carolina; Rolling Meadows, Illinois; and Bentonville, Arkansas.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3" w:right="1440" w:bottom="1440" w:gutter="0" w:footer="0" w:header="0"/>
        </w:sectPr>
      </w:pPr>
    </w:p>
    <w:bookmarkStart w:id="14" w:name="page15"/>
    <w:bookmarkEnd w:id="14"/>
    <w:p>
      <w:pPr>
        <w:ind w:right="3319" w:firstLine="473"/>
        <w:spacing w:after="0" w:line="239" w:lineRule="auto"/>
        <w:rPr>
          <w:sz w:val="20"/>
          <w:szCs w:val="20"/>
          <w:color w:val="auto"/>
        </w:rPr>
      </w:pPr>
      <w:r>
        <w:rPr>
          <w:rFonts w:ascii="Courier New" w:cs="Courier New" w:eastAsia="Courier New" w:hAnsi="Courier New"/>
          <w:sz w:val="16"/>
          <w:szCs w:val="16"/>
          <w:color w:val="auto"/>
        </w:rPr>
        <w:t>Scotts LawnService(R) conducts its company-owned operations from approximately 68 leased facilities, primarily office/warehouse units in industrial/office parks, across the United States serving 44 metropolitan markets.</w:t>
      </w:r>
    </w:p>
    <w:p>
      <w:pPr>
        <w:spacing w:after="0" w:line="187"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Global Professional segment has offices in Marysville, Ohio and leases an office in Waardenburg, the Netherlands and a manufacturing facility used to produce and pack coated fertilizers in Heerlen, the Netherlands. We also lease two manufacturing facilities for Global Professional horticultural products in North Charleston, South Carolina and Travelers Rest, South Carolina and lease a research facility in Waterloo, New York.</w:t>
      </w:r>
    </w:p>
    <w:p>
      <w:pPr>
        <w:spacing w:after="0" w:line="19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International Consumer segment leases its U.K. office, located in Godalming (Surrey); its French headquarters and local operations office, located in Ecully; a German office, located in Ingelheim; an Australian office, located in Baulkan Hills (New South Wales); and a Canadian office located in Toronto. We own manufacturing facilities in Howden and Hatfield (East Yorkshire) in the United Kingdom. We also own a blending and bagging facility for growing media in Hautmont, France; and a plant in Bourth, France, that we use for formulating, blending and packaging control products for the consumer market. We lease a research and development facility in Chazay, France. Our site in Heerlen, the Netherlands is both a research and development and a manufacturing site for coated fertilizers for the consumer and professional markets. We maintain a sales and research and development facility at our Ingelheim, Germany site and own a research and development facility in Levington, the United Kingdom. We lease a sales office in Sint Niklaas, Belgium.</w:t>
      </w:r>
    </w:p>
    <w:p>
      <w:pPr>
        <w:spacing w:after="0" w:line="181" w:lineRule="exact"/>
        <w:rPr>
          <w:sz w:val="20"/>
          <w:szCs w:val="20"/>
          <w:color w:val="auto"/>
        </w:rPr>
      </w:pPr>
    </w:p>
    <w:p>
      <w:pPr>
        <w:ind w:right="3219" w:firstLine="473"/>
        <w:spacing w:after="0" w:line="237" w:lineRule="auto"/>
        <w:rPr>
          <w:sz w:val="20"/>
          <w:szCs w:val="20"/>
          <w:color w:val="auto"/>
        </w:rPr>
      </w:pPr>
      <w:r>
        <w:rPr>
          <w:rFonts w:ascii="Courier New" w:cs="Courier New" w:eastAsia="Courier New" w:hAnsi="Courier New"/>
          <w:sz w:val="16"/>
          <w:szCs w:val="16"/>
          <w:color w:val="auto"/>
        </w:rPr>
        <w:t>We lease warehouse space throughout the United States and continental Europe as needed.</w:t>
      </w:r>
    </w:p>
    <w:p>
      <w:pPr>
        <w:spacing w:after="0" w:line="188" w:lineRule="exact"/>
        <w:rPr>
          <w:sz w:val="20"/>
          <w:szCs w:val="20"/>
          <w:color w:val="auto"/>
        </w:rPr>
      </w:pPr>
    </w:p>
    <w:p>
      <w:pPr>
        <w:ind w:right="3419" w:firstLine="473"/>
        <w:spacing w:after="0" w:line="238" w:lineRule="auto"/>
        <w:rPr>
          <w:sz w:val="20"/>
          <w:szCs w:val="20"/>
          <w:color w:val="auto"/>
        </w:rPr>
      </w:pPr>
      <w:r>
        <w:rPr>
          <w:rFonts w:ascii="Courier New" w:cs="Courier New" w:eastAsia="Courier New" w:hAnsi="Courier New"/>
          <w:sz w:val="16"/>
          <w:szCs w:val="16"/>
          <w:color w:val="auto"/>
        </w:rPr>
        <w:t>We believe that our facilities are adequate to serve their intended purposes at this time and that our property leasing arrangements are satisfactory.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LEGAL PROCEEDINGS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As noted in the discussion in "ITEM 1. BUSINESS -- Environmental and Regulatory Considerations" and "ITEM 1. BUSINESS -- Regulatory Actions," we are involved in several pending environmental matters. We believe that our assessment of contingencies is reasonable and that related reserves, in the aggregate, are adequate; however, there can be no assurance that the final resolution of these matters will not have a material adverse affect on our results of operations, financial position and cash flows.</w:t>
      </w:r>
    </w:p>
    <w:p>
      <w:pPr>
        <w:spacing w:after="0" w:line="18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Pending material legal proceedings are as follows: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AGREVO ENVIRONMENTAL HEALTH, INC.</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On June 3, 1999, AgrEvo Environmental Health, Inc. ("AgrEvo") (which subsequently changed its name to Aventis Environmental Health Science USA LP) filed a complaint in the U.S. District Court for the Southern District of New York (the "New York Action"), against Scotts, a subsidiary of Scotts, and Monsanto seeking damages and injunctive relief for alleged antitrust violations and breach of contract by Scotts and its subsidiary and antitrust violations and tortious interference with contract by Monsanto. Scotts purchased a consumer herbicide business from AgrEvo in May 1998. AgrEvo claims in the suit that Scotts' subsequent agreement to become Monsanto's exclusive sales and marketing agent for Monsanto's consumer Roundup(R) business violated the federal antitrust laws. AgrEvo contends that Monsanto attempted to or did monopolize the market for non-selective herbicides and conspired with Scotts to eliminate the herbicide Scotts previously purchased from AgrEvo, which competed with Monsanto's Roundup(R). AgrEvo also contends that Scotts' execution of various agreements with Monsanto, including the Roundup(R) marketing agreement, as well as Scotts' subsequent actions, violated agreements between AgrEvo and Scotts.</w:t>
      </w:r>
    </w:p>
    <w:p>
      <w:pPr>
        <w:spacing w:after="0" w:line="181"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AgrEvo is requesting unspecified damages as well as affirmative injunctive relief, and seeking to have the court invalidate the Roundup(R) marketing agreement as violative of the federal antitrust laws. Under the indemnification provisions of the Roundup(R) marketing agreement, Monsanto and Scotts each have requested that the other indemnify against any losses arising from this lawsuit.</w:t>
      </w:r>
    </w:p>
    <w:p>
      <w:pPr>
        <w:spacing w:after="0" w:line="17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On June 29, 1999, AgrEvo also filed a complaint in the Superior Court of the State of Delaware against two of Scotts' subsidiaries seeking damages for alleged breach of contract. AgrEvo alleges that, under the contracts by which a subsidiary of Scotts purchased a herbicide business from AgrEvo in May 1998, two of</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63" w:right="1440" w:bottom="1440" w:gutter="0" w:footer="0" w:header="0"/>
        </w:sectPr>
      </w:pPr>
    </w:p>
    <w:bookmarkStart w:id="15" w:name="page16"/>
    <w:bookmarkEnd w:id="15"/>
    <w:p>
      <w:pPr>
        <w:ind w:right="2659"/>
        <w:spacing w:after="0" w:line="239" w:lineRule="auto"/>
        <w:rPr>
          <w:sz w:val="20"/>
          <w:szCs w:val="20"/>
          <w:color w:val="auto"/>
        </w:rPr>
      </w:pPr>
      <w:r>
        <w:rPr>
          <w:rFonts w:ascii="Courier New" w:cs="Courier New" w:eastAsia="Courier New" w:hAnsi="Courier New"/>
          <w:sz w:val="16"/>
          <w:szCs w:val="16"/>
          <w:color w:val="auto"/>
        </w:rPr>
        <w:t>Scotts' subsidiaries have failed to pay AgrEvo approximately $0.6 million. AgrEvo is requesting damages in this amount, as well as pre- and post-judgment interest and attorneys' fees and costs. Scotts' subsidiaries have moved to dismiss or stay this action. On January 31, 2000, the Delaware court stayed AgrEvo's action pending the resolution of a motion to amend the New York Action, and the resolution of the New York Action.</w:t>
      </w:r>
    </w:p>
    <w:p>
      <w:pPr>
        <w:spacing w:after="0" w:line="190"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On May 15, 2002, AgrEvo filed an additional, duplicative complaint that makes the same claims that are made in the amended complaint in the New York Action, described above. On June 6, 2002, Scotts moved to dismiss this duplicative complaint as procedurally improper. There has been no ruling by the court on Scotts' motion.</w:t>
      </w:r>
    </w:p>
    <w:p>
      <w:pPr>
        <w:spacing w:after="0" w:line="189"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On January 10, 2003, Scotts filed a supplemental counterclaim against AgrEvo for breach of contract. Scotts alleges that AgrEvo owes Scotts for amounts that Scotts overpaid to AgrEvo. Scotts' counterclaim is now part of the underlying litigation.</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Scotts believes that AgrEvo's claims in these matters are without merit and intends to vigorously defend against them. If the above actions are determined adversely to Scotts, the result could have a material adverse effect on Scotts' results of operations, financial position and cash flows. Any potential exposure that Scotts may face cannot be reasonably estimated. Therefore, no accrual has been established related to these matters.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CENTRAL GARDEN &amp; PET COMPANY</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SCOTTS V. CENTRAL GARDEN, SOUTHERN DISTRICT OF OHIO</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On June 30, 2000, Scotts filed suit against Central Garden &amp; Pet Company ("Central Garden") in the U.S. District Court for the Southern District of Ohio (the "Ohio Action") to recover approximately $24 million in accounts receivable and additional damages for other breaches of duty.</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Central Garden filed counterclaims including allegations that Scotts and Central Garden had entered into an oral agreement in April 1998 whereby Scotts would allegedly share with Central Garden the benefits and liabilities of any future business integration between Scotts and Monsanto. The court has dismissed a number of Central Garden's counterclaims as well as Scotts' claims that Central Garden breached other duties owed to Scotts. On April 22, 2002, a jury returned a verdict in favor of Scotts of $22.5 million and for Central Garden on its remaining counterclaims in an amount of approximately $12.1 million. Various post-trial motions were filed. As a result of those motions, the trial court has reduced Central Garden's verdict by $750,000, denied Central Garden's motion for a new trial on two of its counterclaims and granted the parties pre-judgment interest on their respective verdicts. On September 22, 2003, the court entered a final judgment, which provided for a net award to Scotts of approximately $14 million, together with interest at 2.31% through the date of payment. Central Garden has appealed and Scotts has cross-appealed from that final judgment.</w:t>
      </w:r>
    </w:p>
    <w:p>
      <w:pPr>
        <w:spacing w:after="0" w:line="181"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Two counterclaims that the court permitted Central Garden to add on the eve of trial were subsequently settled.</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CENTRAL GARDEN V. SCOTTS &amp; PHARMACIA, NORTHERN DISTRICT OF CALIFORNIA</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On July 7, 2000, Central Garden filed suit against Scotts and Pharmacia in the U.S. District Court for the Northern District of California (San Francisco Division) alleging various claims, including breach of contract and violations of federal antitrust laws, and seeking an unspecified amount of damages and injunctive relief. On April 15, 2002, Scotts and Central Garden each filed summary judgment motions in this action. On June 26, 2002, the court granted summary judgment in favor of Scotts and dismissed all of Central Garden's then remaining claims. The case is now pending on appeal in the United States Court of Appeals.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CENTRAL GARDEN V. SCOTTS &amp; PHARMACIA, CONTRA COSTA SUPERIOR COURT</w:t>
      </w:r>
    </w:p>
    <w:p>
      <w:pPr>
        <w:spacing w:after="0" w:line="186"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On October 31, 2000, Central Garden filed a complaint against Scotts and Pharmacia in the California Superior Court for Contra Costa County. That complaint seeks to assert breach of contract claims and claims under Section 17200 of the California Business and Professions Code. On December 4, 2000, Scotts and Pharmacia jointly filed a motion to stay this action based on the pendency of prior lawsuits that</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63" w:right="1440" w:bottom="1440" w:gutter="0" w:footer="0" w:header="0"/>
        </w:sectPr>
      </w:pPr>
    </w:p>
    <w:bookmarkStart w:id="16" w:name="page17"/>
    <w:bookmarkEnd w:id="16"/>
    <w:p>
      <w:pPr>
        <w:ind w:left="3" w:right="2759"/>
        <w:spacing w:after="0" w:line="260" w:lineRule="auto"/>
        <w:rPr>
          <w:sz w:val="20"/>
          <w:szCs w:val="20"/>
          <w:color w:val="auto"/>
        </w:rPr>
      </w:pPr>
      <w:r>
        <w:rPr>
          <w:rFonts w:ascii="Courier New" w:cs="Courier New" w:eastAsia="Courier New" w:hAnsi="Courier New"/>
          <w:sz w:val="15"/>
          <w:szCs w:val="15"/>
          <w:color w:val="auto"/>
        </w:rPr>
        <w:t>involve the same subject matter. By order dated February 23, 2001, the Superior Court stayed the action pending before it. The Court recently granted Scotts' motion to lift the stay and is considering a motion to dismiss filed by Scotts. Central Garden and Pharmacia have settled their claims relating to this action.</w:t>
      </w:r>
    </w:p>
    <w:p>
      <w:pPr>
        <w:spacing w:after="0" w:line="173"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Although Scotts has prevailed consistently and extensively in the litigation with Central Garden, the decisions in Scotts' favor are subject to appeal. If, upon appeal or otherwise, the above actions are determined adversely to Scotts, the result could have a material adverse affect on Scotts' results of operations, financial position and cash flows. Scotts believes that it will continue to prevail in the Central Garden matters and that any potential exposure that Scotts may face cannot be reasonably estimated. Therefore, no accrual has been established related to the claims brought against Scotts by Central Garden, except for amounts ordered paid to Central Garden in the Ohio Action. Scotts believes it has adequate reserves recorded for the amounts it may ultimately be required to pay.</w:t>
      </w:r>
    </w:p>
    <w:p>
      <w:pPr>
        <w:spacing w:after="0" w:line="189" w:lineRule="exact"/>
        <w:rPr>
          <w:sz w:val="20"/>
          <w:szCs w:val="20"/>
          <w:color w:val="auto"/>
        </w:rPr>
      </w:pPr>
    </w:p>
    <w:p>
      <w:pPr>
        <w:ind w:left="3" w:right="3039"/>
        <w:spacing w:after="0" w:line="237" w:lineRule="auto"/>
        <w:rPr>
          <w:sz w:val="20"/>
          <w:szCs w:val="20"/>
          <w:color w:val="auto"/>
        </w:rPr>
      </w:pPr>
      <w:r>
        <w:rPr>
          <w:rFonts w:ascii="Courier New" w:cs="Courier New" w:eastAsia="Courier New" w:hAnsi="Courier New"/>
          <w:sz w:val="16"/>
          <w:szCs w:val="16"/>
          <w:color w:val="auto"/>
        </w:rPr>
        <w:t>U.S. HORTICULTURAL SUPPLY, INC. (F/K/A E.C. GEIGER, INC.) V. SCOTTS, EASTERN DISTRICT OF PENNSYLVANIA</w:t>
      </w:r>
    </w:p>
    <w:p>
      <w:pPr>
        <w:spacing w:after="0" w:line="188"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On February 7, 2003, U.S. Horticultural Supply filed suit against Scotts in the U.S. District Court for the Eastern District of Pennsylvania. U.S. Horticultural Supply alleges claims of breach of contract, promissory estoppel, and a violation of federal antitrust laws, and seeks an unspecified amount of damages.</w:t>
      </w:r>
    </w:p>
    <w:p>
      <w:pPr>
        <w:spacing w:after="0" w:line="189" w:lineRule="exact"/>
        <w:rPr>
          <w:sz w:val="20"/>
          <w:szCs w:val="20"/>
          <w:color w:val="auto"/>
        </w:rPr>
      </w:pPr>
    </w:p>
    <w:p>
      <w:pPr>
        <w:ind w:left="3" w:right="2839" w:firstLine="473"/>
        <w:spacing w:after="0" w:line="239" w:lineRule="auto"/>
        <w:rPr>
          <w:sz w:val="20"/>
          <w:szCs w:val="20"/>
          <w:color w:val="auto"/>
        </w:rPr>
      </w:pPr>
      <w:r>
        <w:rPr>
          <w:rFonts w:ascii="Courier New" w:cs="Courier New" w:eastAsia="Courier New" w:hAnsi="Courier New"/>
          <w:sz w:val="16"/>
          <w:szCs w:val="16"/>
          <w:color w:val="auto"/>
        </w:rPr>
        <w:t>On March 14, 2003, Scotts filed a motion to dismiss the antitrust claim, and a motion to dismiss, or in the alternative stay, the promissory estoppel claims pending arbitration. The motion is pending. Discovery has commenced. No trial date has been set.</w:t>
      </w:r>
    </w:p>
    <w:p>
      <w:pPr>
        <w:spacing w:after="0" w:line="187"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Scotts believes that U.S. Horticultural Supply's claims are without merit and intends to vigorously defend against them. If the above action is determined adversely to Scotts, the result could have a material adverse effect on Scotts' results of operations, financial position and cash flows. Any potential exposure that Scotts may face cannot be reasonably estimated. Therefore, no accrual has been established related to this matter.</w:t>
      </w:r>
    </w:p>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SCOTTS V. AVENTIS S.A. AND STARLINK LOGISTICS, INC.</w:t>
      </w:r>
    </w:p>
    <w:p>
      <w:pPr>
        <w:spacing w:after="0" w:line="186" w:lineRule="exact"/>
        <w:rPr>
          <w:sz w:val="20"/>
          <w:szCs w:val="20"/>
          <w:color w:val="auto"/>
        </w:rPr>
      </w:pPr>
    </w:p>
    <w:p>
      <w:pPr>
        <w:ind w:left="3" w:right="2759" w:firstLine="473"/>
        <w:spacing w:after="0" w:line="257" w:lineRule="auto"/>
        <w:rPr>
          <w:sz w:val="20"/>
          <w:szCs w:val="20"/>
          <w:color w:val="auto"/>
        </w:rPr>
      </w:pPr>
      <w:r>
        <w:rPr>
          <w:rFonts w:ascii="Courier New" w:cs="Courier New" w:eastAsia="Courier New" w:hAnsi="Courier New"/>
          <w:sz w:val="15"/>
          <w:szCs w:val="15"/>
          <w:color w:val="auto"/>
        </w:rPr>
        <w:t>On August 9, 2002, Scotts filed suit against Aventis S.A. and its wholly-owned subsidiary Starlink Logistics, Inc. in the U.S. District Court for the Southern District of Ohio. In the complaint, Scotts alleges it is entitled to injunctive and monetary relief arising from Aventis' and Starlink's interference with Scotts' contractual right to purchase a company called TechPac, L.L.C. from one of Aventis' former subsidiaries, Aventis CropScience. The complaint alleges that pursuant to a contract between Scotts and a predecessor-in-interest to Aventis CropScience, Aventis CropScience was obligated to make a bona fide offer to sell its interest in TechPac to Scotts. The complaint further alleges that Aventis directed Aventis CropScience to make a belated sham offer to Scotts and that later, upon the sale of Aventis CropScience to Bayer AG, Aventis transferred ownership of TechPac to Starlink, an act which has made it impossible for Aventis CropScience's successor-in-interest to make a bona fide offer to sell TechPac to Scotts.</w:t>
      </w:r>
    </w:p>
    <w:p>
      <w:pPr>
        <w:spacing w:after="0" w:line="181"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In this suit, Scotts seeks to ensure that it is able to exercise its right to receive a bona fide offer to acquire TechPac, and Scotts seeks to recover compensatory and punitive damages in an amount as yet undetermined for Aventis' and Starlink's interference with Scotts' right to receive such an offer. On October 4, 2002, Starlink filed a motion to dismiss the complaint on jurisdictional grounds. On December 17, 2002, Aventis filed a similar motion. A referee has recommended that those motions be granted, and the question of whether the referee's recommendation will be followed is currently pending before the United States District Judge to whom the action is assigned. Scotts intends to vigorously prosecute its claims against Aventis and Starlink. A trial date has not been set.</w:t>
      </w:r>
    </w:p>
    <w:p>
      <w:pPr>
        <w:spacing w:after="0" w:line="18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SCOTTS V. UNITED INDUSTRIES, SOUTHERN DISTRICT OF FLORIDA</w:t>
      </w:r>
    </w:p>
    <w:p>
      <w:pPr>
        <w:spacing w:after="0" w:line="186"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On April 15, 2002, Scotts and OMS Investments, Inc., a subsidiary of Scotts that holds various Scotts intellectual property assets ("OMS Investments"), filed a six count complaint against United Industries Corp. and Pursell Industries, Inc. -- now known as U.S. Fertilizer Corporation -- for acts of (1) federal trademark and trade dress infringement; (2) federal unfair competition;</w:t>
      </w:r>
    </w:p>
    <w:p>
      <w:pPr>
        <w:spacing w:after="0" w:line="3" w:lineRule="exact"/>
        <w:rPr>
          <w:sz w:val="20"/>
          <w:szCs w:val="20"/>
          <w:color w:val="auto"/>
        </w:rPr>
      </w:pPr>
    </w:p>
    <w:p>
      <w:pPr>
        <w:ind w:left="3" w:right="2839" w:hanging="3"/>
        <w:spacing w:after="0" w:line="239" w:lineRule="auto"/>
        <w:tabs>
          <w:tab w:leader="none" w:pos="3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federal dilution; (4) common law trademark and trade dress infringement in violation of Florida law and other applicable law; (5) common law unfair competition in violation of Florida law and other applicable law; and (6) dilution in</w:t>
      </w:r>
    </w:p>
    <w:p>
      <w:pPr>
        <w:spacing w:after="0" w:line="2"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2"/>
          </w:cols>
          <w:pgMar w:left="237" w:top="663" w:right="1440" w:bottom="1065" w:gutter="0" w:footer="0" w:header="0"/>
        </w:sectPr>
      </w:pPr>
    </w:p>
    <w:bookmarkStart w:id="17" w:name="page18"/>
    <w:bookmarkEnd w:id="17"/>
    <w:p>
      <w:pPr>
        <w:ind w:right="2659"/>
        <w:spacing w:after="0"/>
        <w:rPr>
          <w:sz w:val="20"/>
          <w:szCs w:val="20"/>
          <w:color w:val="auto"/>
        </w:rPr>
      </w:pPr>
      <w:r>
        <w:rPr>
          <w:rFonts w:ascii="Courier New" w:cs="Courier New" w:eastAsia="Courier New" w:hAnsi="Courier New"/>
          <w:sz w:val="16"/>
          <w:szCs w:val="16"/>
          <w:color w:val="auto"/>
        </w:rPr>
        <w:t>violation of Florida law and other applicable law. The claims against U.S. Fertilizer were subsequently resolved by a Settlement Agreement and Release dated February 6, 2003. In this Settlement Agreement and Release, U.S. Fertilizer acknowledged and agreed "that Scotts' trade dress as well the overall color designs and design layout that are utilized on the packaging of Scotts' Turf Builder(R) line as identified in the Civil Action (the "Turf Builder Trade Dress") are valid, protectable, and non-functional trade dress." U.S. Fertilizer is no longer a party to this action.</w:t>
      </w:r>
    </w:p>
    <w:p>
      <w:pPr>
        <w:spacing w:after="0" w:line="187"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Shortly after filing the original complaint in this matter, Scotts filed its motion for preliminary injunction, which motion sought an injunction enjoining United Industries, pending trial, from manufacturing, producing, shipping, distributing, advertising, promoting, displaying, selling or offering for sale products in the then current packaging for its Spectracide(R) No Odor Fire Ant Killer Ready-to-Use Dust product and from otherwise using any trademarks, trade dress, packaging, promotional materials or other items which incorporated or were confusingly similar to the trademarks and trade dress featured in Scotts' Ortho(R) Orthene(R) Fire Ant Killer product packaging. Despite finding that United Industries had intentionally copied Scotts' trade dress, the trial court denied the motion for preliminary injunction. Scotts appealed, but the United States Court of Appeals for the Eleventh Circuit affirmed.</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On December 13, 2002, Scotts filed an amended complaint. The amended complaint contains the same causes of action as the original complaint, but asserts additional grounds in support of plaintiffs' claim that United Industries has infringed and diluted plaintiffs' Miracle-Gro(R) trade dress. The amended complaint also revises certain of the allegations in the original complaint to conform to facts recently learned.</w:t>
      </w:r>
    </w:p>
    <w:p>
      <w:pPr>
        <w:spacing w:after="0" w:line="190"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United Industries subsequently filed its answer and counterclaim to the amended complaint. This answer and counterclaim is virtually identical to its original answer and counterclaim in that it seeks to cancel a specific Scotts' Miracle-Gro(R) and Design trademark registration (Reg. No. 2,139,929) and Scotts' pending Ortho(R) Orthene(R) Fire Ant Killer and Design trademark application (Serial No. 76/126,545). We believe that this counterclaim is without merit.</w:t>
      </w:r>
    </w:p>
    <w:p>
      <w:pPr>
        <w:spacing w:after="0" w:line="192"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On April 21, 2003, the parties mediated the matters. While several points of tentative agreement were reached, no settlement agreement has been reached or entered into. Since then, the parties have exchanged drafts of a proposed settlement agreement.</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do not anticipate incurring any damages relating to this action.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V. BAYER CROPSCIENCE, LP, SOUTHERN DISTRICT OF OHIO</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On May 29, 2003, Scotts and OMS Investments, filed a four count complaint against Bayer CropScience, LP ("Bayer") for acts of (1) federal unfair competition; (2) federal dilution; (3) common law trade dress infringement and unfair competition; and (4) copyright infringement. The complaint alleges that Bayer's line of lawn fertilizer products infringes and dilutes Scotts' proprietary rights in the packaging of its Turf Builder(R) and LawnPro(R) Super Turf Builder(R) line of products. The complaint seeks both injunctive and monetary relief.</w:t>
      </w:r>
    </w:p>
    <w:p>
      <w:pPr>
        <w:spacing w:after="0" w:line="187"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Bayer filed its answer and affirmative defenses on June 19, 2003. Bayer asserted no counterclaims. No discovery has commenced as the Court has yet to issue a scheduling order or set a trial date.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Company recently has been named a defendant in a number of cases alleging injuries that the lawsuits claim resulted from exposure to asbestos-containing products. The complaints in these cases, which are in their preliminary stages, are not specific about the plaintiffs' contacts with the Company or its products. Scotts in each case is one of numerous defendants and none of the claims seek damages from the Company alone. The Company intends to vigorously defend the cases and does not believe they are material to the Company's financial position or results of operations.</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It is not currently possible to reasonably estimate a probable loss, if any, associated with the cases and, accordingly, no accrual or reserves have been recorded in the Company's consolidated financial statements as of September 30, 2003. There can be no assurance that these cases, whether as a result of adverse outcomes or as a result of significant defense costs, will not have a material adverse effect on the</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63" w:right="1440" w:bottom="1065" w:gutter="0" w:footer="0" w:header="0"/>
        </w:sectPr>
      </w:pPr>
    </w:p>
    <w:bookmarkStart w:id="18" w:name="page19"/>
    <w:bookmarkEnd w:id="18"/>
    <w:p>
      <w:pPr>
        <w:ind w:right="2939"/>
        <w:spacing w:after="0" w:line="238" w:lineRule="auto"/>
        <w:rPr>
          <w:sz w:val="20"/>
          <w:szCs w:val="20"/>
          <w:color w:val="auto"/>
        </w:rPr>
      </w:pPr>
      <w:r>
        <w:rPr>
          <w:rFonts w:ascii="Courier New" w:cs="Courier New" w:eastAsia="Courier New" w:hAnsi="Courier New"/>
          <w:sz w:val="16"/>
          <w:szCs w:val="16"/>
          <w:color w:val="auto"/>
        </w:rPr>
        <w:t>Company, its financial condition or its results of operations. The Company is reviewing agreements and policies that may provide insurance coverage or indemnity as to these claims.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We are involved in other lawsuits and claims which arise in the normal course of our business. In our opinion, these claims individually and in the aggregate are not expected to result in a material adverse effect on our results of operations, financial position or cash flows.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SUBMISSION OF MATTERS TO A VOTE OF SECURITY HOLDERS</w:t>
      </w:r>
    </w:p>
    <w:p>
      <w:pPr>
        <w:spacing w:after="0" w:line="186" w:lineRule="exact"/>
        <w:rPr>
          <w:sz w:val="20"/>
          <w:szCs w:val="20"/>
          <w:color w:val="auto"/>
        </w:rPr>
      </w:pPr>
    </w:p>
    <w:p>
      <w:pPr>
        <w:ind w:right="2939" w:firstLine="473"/>
        <w:spacing w:after="0" w:line="237" w:lineRule="auto"/>
        <w:rPr>
          <w:sz w:val="20"/>
          <w:szCs w:val="20"/>
          <w:color w:val="auto"/>
        </w:rPr>
      </w:pPr>
      <w:r>
        <w:rPr>
          <w:rFonts w:ascii="Courier New" w:cs="Courier New" w:eastAsia="Courier New" w:hAnsi="Courier New"/>
          <w:sz w:val="16"/>
          <w:szCs w:val="16"/>
          <w:color w:val="auto"/>
        </w:rPr>
        <w:t>There were no matters submitted to a vote of the security holders of The Scotts Company during the fourth quarter of fiscal 2003.</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SUPPLEMENTAL ITEM. EXECUTIVE OFFICERS OF THE REGISTRANT</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executive officers of The Scotts Company, their positions and, as of December 5, 2003, their ages and years with The Scotts Company (and its predecessors) (referred to in this Supplemental Item as "Scotts") are set forth below.</w:t>
      </w:r>
    </w:p>
    <w:p>
      <w:pPr>
        <w:spacing w:after="0" w:line="18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Years with</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Name Age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Position(s)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Held Scotts</w:t>
      </w:r>
    </w:p>
    <w:p>
      <w:pPr>
        <w:spacing w:after="0" w:line="1" w:lineRule="exact"/>
        <w:rPr>
          <w:sz w:val="20"/>
          <w:szCs w:val="20"/>
          <w:color w:val="auto"/>
        </w:rPr>
      </w:pPr>
    </w:p>
    <w:p>
      <w:pPr>
        <w:ind w:left="240" w:hanging="198"/>
        <w:spacing w:after="0"/>
        <w:tabs>
          <w:tab w:leader="none" w:pos="2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both"/>
        <w:ind w:left="80" w:right="9099" w:firstLine="56"/>
        <w:spacing w:after="0" w:line="256" w:lineRule="auto"/>
        <w:tabs>
          <w:tab w:leader="none" w:pos="600" w:val="left"/>
        </w:tabs>
        <w:numPr>
          <w:ilvl w:val="2"/>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James Hagedorn 48 President,</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Chief</w:t>
      </w: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Executive</w:t>
      </w:r>
    </w:p>
    <w:p>
      <w:pPr>
        <w:spacing w:after="0" w:line="4" w:lineRule="exact"/>
        <w:rPr>
          <w:rFonts w:ascii="Courier New" w:cs="Courier New" w:eastAsia="Courier New" w:hAnsi="Courier New"/>
          <w:sz w:val="15"/>
          <w:szCs w:val="15"/>
          <w:color w:val="auto"/>
        </w:rPr>
      </w:pPr>
    </w:p>
    <w:p>
      <w:pPr>
        <w:jc w:val="center"/>
        <w:ind w:left="40" w:right="9039" w:firstLine="47"/>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Officer and Chairman of the 16 Board Michael P.</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Kelty, Ph.D.</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53 Vice</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Chairman and</w:t>
      </w: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Executive</w:t>
      </w:r>
    </w:p>
    <w:p>
      <w:pPr>
        <w:ind w:left="4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Vice</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President 24</w:t>
      </w:r>
    </w:p>
    <w:p>
      <w:pPr>
        <w:ind w:left="2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David M.</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Aronowitz 47</w:t>
      </w: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Executive</w:t>
      </w:r>
    </w:p>
    <w:p>
      <w:pPr>
        <w:ind w:left="4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Vice</w:t>
      </w:r>
    </w:p>
    <w:p>
      <w:pPr>
        <w:ind w:left="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President,</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General</w:t>
      </w:r>
    </w:p>
    <w:p>
      <w:pPr>
        <w:spacing w:after="0" w:line="4" w:lineRule="exact"/>
        <w:rPr>
          <w:rFonts w:ascii="Courier New" w:cs="Courier New" w:eastAsia="Courier New" w:hAnsi="Courier New"/>
          <w:sz w:val="15"/>
          <w:szCs w:val="15"/>
          <w:color w:val="auto"/>
        </w:rPr>
      </w:pPr>
    </w:p>
    <w:p>
      <w:pPr>
        <w:jc w:val="center"/>
        <w:ind w:right="8999" w:firstLine="92"/>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Counsel and 5 Secretary Michel J. Farkouh 46 Executive Vice President, International 5 Christopher L. Nagel 41 Executive Vice President and Chief Financial Officer 5 Denise S. Stump 49 Executive</w:t>
      </w:r>
    </w:p>
    <w:p>
      <w:pPr>
        <w:spacing w:after="0" w:line="17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Vice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President,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Global Human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Resources 3</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Robert 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Bernstock 53</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Executive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Vice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President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President,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North</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America &lt;1</w:t>
      </w:r>
    </w:p>
    <w:p>
      <w:pPr>
        <w:sectPr>
          <w:pgSz w:w="11900" w:h="16838" w:orient="portrait"/>
          <w:cols w:equalWidth="0" w:num="1">
            <w:col w:w="10219"/>
          </w:cols>
          <w:pgMar w:left="240" w:top="663" w:right="1440" w:bottom="0" w:gutter="0" w:footer="0" w:header="0"/>
        </w:sectPr>
      </w:pPr>
    </w:p>
    <w:bookmarkStart w:id="19" w:name="page20"/>
    <w:bookmarkEnd w:id="19"/>
    <w:p>
      <w:pPr>
        <w:ind w:right="3319" w:firstLine="473"/>
        <w:spacing w:after="0" w:line="237" w:lineRule="auto"/>
        <w:rPr>
          <w:sz w:val="20"/>
          <w:szCs w:val="20"/>
          <w:color w:val="auto"/>
        </w:rPr>
      </w:pPr>
      <w:r>
        <w:rPr>
          <w:rFonts w:ascii="Courier New" w:cs="Courier New" w:eastAsia="Courier New" w:hAnsi="Courier New"/>
          <w:sz w:val="16"/>
          <w:szCs w:val="16"/>
          <w:color w:val="auto"/>
        </w:rPr>
        <w:t>Executive officers serve at the discretion of the Board of Directors pursuant to employment agreements or other arrangements.</w:t>
      </w:r>
    </w:p>
    <w:p>
      <w:pPr>
        <w:spacing w:after="0" w:line="188"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The business experience of each of the individuals listed above during at least the past five years is as follows:</w:t>
      </w:r>
    </w:p>
    <w:p>
      <w:pPr>
        <w:spacing w:after="0" w:line="188"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Mr. Hagedorn was named Chairman of the Board in January 2003. He was named President and Chief Executive Officer of Scotts in May 2001. He served as President and Chief Operating Officer of Scotts from April 2000 to May 2001. From December 1998 to April 2000, he served as President, Scotts North America. He was previously Executive Vice President, U.S. Business Groups, of Scotts, from October 1996 to December 1998. Mr. Hagedorn also serves as a director of Scotts. Mr. Hagedorn is the son of Horace Hagedorn, Director Emeritus of Scotts, and is the brother of Katherine Hagedorn Littlefield, a director of Scotts.</w:t>
      </w:r>
    </w:p>
    <w:p>
      <w:pPr>
        <w:spacing w:after="0" w:line="17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Dr. Kelty was named Vice Chairman and Executive Vice President of Scotts in May 2001. He served as Group Executive Vice President, Technology and Operations, of Scotts, from February 2000 to May 2001. He was previously Executive Vice President, Technology and Operations, of Scotts, from February 1999 to February 2000. From July 1995 to February 1999, he was Senior Vice President, Professional Business Group, of Scotts.</w:t>
      </w:r>
    </w:p>
    <w:p>
      <w:pPr>
        <w:spacing w:after="0" w:line="190"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Mr. Aronowitz was named Executive Vice President, General Counsel and Secretary of Scotts in October 2001. He was previously Senior Vice President, Assistant General Counsel and Assistant Secretary of Scotts, from February 2000 to October 2001. From October 1998 until February 2000, Mr. Aronowitz was Vice President and Assistant General Counsel of Scotts.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Mr. Farkouh was named Executive Vice President, International of Scotts in October 2003. From October 2001 to October 2003, he served as Executive Vice President, International Consumer Business Group of Scotts. From May 2001 to October 2001, he served as Senior Vice President, International Consumer Business Group, of Scotts, having served as interim Senior Vice President, International Consumer Business Group from October 2000 to May 2001. From May 1999 to October 2000, he served as Senior Vice President, Zone 3, International, having joined Scotts France SAS in January 1999. From January</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505" w:right="1440" w:bottom="1440" w:gutter="0" w:footer="0" w:header="0"/>
        </w:sectPr>
      </w:pPr>
    </w:p>
    <w:bookmarkStart w:id="20" w:name="page21"/>
    <w:bookmarkEnd w:id="20"/>
    <w:p>
      <w:pPr>
        <w:ind w:right="3039"/>
        <w:spacing w:after="0" w:line="237" w:lineRule="auto"/>
        <w:rPr>
          <w:sz w:val="20"/>
          <w:szCs w:val="20"/>
          <w:color w:val="auto"/>
        </w:rPr>
      </w:pPr>
      <w:r>
        <w:rPr>
          <w:rFonts w:ascii="Courier New" w:cs="Courier New" w:eastAsia="Courier New" w:hAnsi="Courier New"/>
          <w:sz w:val="16"/>
          <w:szCs w:val="16"/>
          <w:color w:val="auto"/>
        </w:rPr>
        <w:t>1997 to the time he joined Scotts, he was Vice President, Worldwide Lawn and Garden Category Manager, of Monsanto Company.</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Mr. Nagel was named Executive Vice President of Scotts in February 2003 and Chief Financial Officer of Scotts in January 2003. From August 2001 to January 2003, he served as Senior Vice President, North American and Corporate Finance of Scotts. From September 1998 to August 2001, Mr. Nagel served as Vice President and Corporate Controller of Scotts. He was also interim Chief Financial Officer from May 1999 to August 1999. He joined Scotts in September 1998.</w:t>
      </w:r>
    </w:p>
    <w:p>
      <w:pPr>
        <w:spacing w:after="0" w:line="192" w:lineRule="exact"/>
        <w:rPr>
          <w:sz w:val="20"/>
          <w:szCs w:val="20"/>
          <w:color w:val="auto"/>
        </w:rPr>
      </w:pPr>
    </w:p>
    <w:p>
      <w:pPr>
        <w:ind w:right="2839" w:firstLine="473"/>
        <w:spacing w:after="0"/>
        <w:rPr>
          <w:sz w:val="20"/>
          <w:szCs w:val="20"/>
          <w:color w:val="auto"/>
        </w:rPr>
      </w:pPr>
      <w:r>
        <w:rPr>
          <w:rFonts w:ascii="Courier New" w:cs="Courier New" w:eastAsia="Courier New" w:hAnsi="Courier New"/>
          <w:sz w:val="16"/>
          <w:szCs w:val="16"/>
          <w:color w:val="auto"/>
        </w:rPr>
        <w:t>Ms. Stump was named Executive Vice President, Global Human Resources, of Scotts in February 2003. She was named Senior Vice President, Global Human Resources of Scotts in October 2002. From July 2001 until October 2002, Ms. Stump served as Vice President, Human Resources North America, of Scotts. From September 2000 until July 2001, Ms. Stump served as Vice President, Human Resources Technology and Operations, of Scotts. From April 1998 to September 2000, Ms. Stump served as Director, Human Resources, for the Ross Products Division of Abbott Laboratories, a manufacturer and marketer of pediatric and adult nutritional products.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Mr. Bernstock was named Executive Vice President and President, North America of Scotts in June 2003. Mr. Bernstock served as Senior Vice President &amp; General Manager -- Air Fresheners, Food Products &amp; Branded Commercial Markets of Dial Corporation, a manufacturer and marketer of soap products, laundry detergents, air fresheners and canned meats, from October 2002 to May 2003. From January 2002 to September 2002, he served as Special Advisor to the Chairman and Chief Executive Officer of Verticalnet, Inc., a provider of collaborative supply chain solutions software, and as a consultant to Dial. From January 2001 to January 2002, Mr. Bernstock served as Acting Chairman, President and Chief Executive Officer of Atlas Commerce, Inc. ("Atlas"), a provider of collaborative supply chain solutions software, prior to the acquisition of Atlas by Verticalnet, Inc., in January 2002. From March 1998 to January 2001, he served as President, Chief Executive Officer and a Director of Vlasic Foods International Inc. ("Vlasic"), a producer, marketer and distributor of branded convenience food products. On January 29, 2001, Vlasic and its United States operating subsidiaries filed voluntary petitions for reorganization relief pursuant to Chapter 11 of the United States Bankruptcy Code. From July 1997 to March 1998, Mr. Bernstock served as Executive Vice President of Campbell Soup Company, a manufacturer and marketer of prepared food products, and President of its U.S. Grocery Division. Mr. Bernstock serves as a director of Verticalnet, Inc.</w:t>
      </w:r>
    </w:p>
    <w:p>
      <w:pPr>
        <w:spacing w:after="0" w:line="19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63" w:right="1440" w:bottom="1440" w:gutter="0" w:footer="0" w:header="0"/>
        </w:sectPr>
      </w:pPr>
    </w:p>
    <w:bookmarkStart w:id="21" w:name="page22"/>
    <w:bookmarkEnd w:id="21"/>
    <w:p>
      <w:pPr>
        <w:jc w:val="center"/>
        <w:ind w:right="2759"/>
        <w:spacing w:after="0"/>
        <w:rPr>
          <w:sz w:val="20"/>
          <w:szCs w:val="20"/>
          <w:color w:val="auto"/>
        </w:rPr>
      </w:pPr>
      <w:r>
        <w:rPr>
          <w:rFonts w:ascii="Courier New" w:cs="Courier New" w:eastAsia="Courier New" w:hAnsi="Courier New"/>
          <w:sz w:val="16"/>
          <w:szCs w:val="16"/>
          <w:color w:val="auto"/>
        </w:rPr>
        <w:t>PART II</w:t>
      </w:r>
    </w:p>
    <w:p>
      <w:pPr>
        <w:spacing w:after="0" w:line="18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ITEM 5. MARKET FOR REGISTRANT'S COMMON EQUITY AND RELATED STOCKHOLDER MATTERS</w:t>
      </w:r>
    </w:p>
    <w:p>
      <w:pPr>
        <w:spacing w:after="0" w:line="194" w:lineRule="exact"/>
        <w:rPr>
          <w:sz w:val="20"/>
          <w:szCs w:val="20"/>
          <w:color w:val="auto"/>
        </w:rPr>
      </w:pPr>
    </w:p>
    <w:p>
      <w:pPr>
        <w:ind w:right="3419" w:firstLine="473"/>
        <w:spacing w:after="0" w:line="237" w:lineRule="auto"/>
        <w:rPr>
          <w:sz w:val="20"/>
          <w:szCs w:val="20"/>
          <w:color w:val="auto"/>
        </w:rPr>
      </w:pPr>
      <w:r>
        <w:rPr>
          <w:rFonts w:ascii="Courier New" w:cs="Courier New" w:eastAsia="Courier New" w:hAnsi="Courier New"/>
          <w:sz w:val="16"/>
          <w:szCs w:val="16"/>
          <w:color w:val="auto"/>
        </w:rPr>
        <w:t>The common shares of The Scotts Company trade on the New York Stock Exchange under the symbol "SMG".</w:t>
      </w:r>
    </w:p>
    <w:p>
      <w:pPr>
        <w:spacing w:after="0" w:line="184"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Sale</w:t>
      </w:r>
    </w:p>
    <w:p>
      <w:pPr>
        <w:spacing w:after="0" w:line="1"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Prices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High</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Low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FISCAL</w:t>
      </w:r>
    </w:p>
    <w:p>
      <w:pPr>
        <w:spacing w:after="0" w:line="1"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2003</w:t>
      </w:r>
    </w:p>
    <w:p>
      <w:pPr>
        <w:spacing w:after="0" w:line="1"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1st</w:t>
      </w:r>
    </w:p>
    <w:p>
      <w:pPr>
        <w:spacing w:after="0" w:line="5"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5"/>
          <w:szCs w:val="15"/>
          <w:color w:val="auto"/>
        </w:rPr>
        <w:t>quarter</w:t>
      </w:r>
    </w:p>
    <w:p>
      <w:pPr>
        <w:spacing w:after="0" w:line="8"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$49.97</w:t>
      </w:r>
    </w:p>
    <w:p>
      <w:pPr>
        <w:spacing w:after="0" w:line="1"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$43.54</w:t>
      </w:r>
    </w:p>
    <w:p>
      <w:pPr>
        <w:spacing w:after="0" w:line="1"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2nd</w:t>
      </w:r>
    </w:p>
    <w:p>
      <w:pPr>
        <w:spacing w:after="0" w:line="5"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5"/>
          <w:szCs w:val="15"/>
          <w:color w:val="auto"/>
        </w:rPr>
        <w:t>quarter</w:t>
      </w:r>
    </w:p>
    <w:p>
      <w:pPr>
        <w:spacing w:after="0" w:line="8"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55.19</w:t>
      </w:r>
    </w:p>
    <w:p>
      <w:pPr>
        <w:spacing w:after="0" w:line="1"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47.49</w:t>
      </w:r>
    </w:p>
    <w:p>
      <w:pPr>
        <w:spacing w:after="0" w:line="1"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3rd</w:t>
      </w:r>
    </w:p>
    <w:p>
      <w:pPr>
        <w:spacing w:after="0" w:line="5"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5"/>
          <w:szCs w:val="15"/>
          <w:color w:val="auto"/>
        </w:rPr>
        <w:t>quarter</w:t>
      </w:r>
    </w:p>
    <w:p>
      <w:pPr>
        <w:spacing w:after="0" w:line="8"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57.70</w:t>
      </w:r>
    </w:p>
    <w:p>
      <w:pPr>
        <w:spacing w:after="0" w:line="1"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46.65</w:t>
      </w:r>
    </w:p>
    <w:p>
      <w:pPr>
        <w:spacing w:after="0" w:line="1"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4th</w:t>
      </w:r>
    </w:p>
    <w:p>
      <w:pPr>
        <w:spacing w:after="0" w:line="5"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5"/>
          <w:szCs w:val="15"/>
          <w:color w:val="auto"/>
        </w:rPr>
        <w:t>quarter</w:t>
      </w:r>
    </w:p>
    <w:p>
      <w:pPr>
        <w:spacing w:after="0" w:line="8"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57.15</w:t>
      </w:r>
    </w:p>
    <w:p>
      <w:pPr>
        <w:spacing w:after="0" w:line="1"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49.48</w:t>
      </w:r>
    </w:p>
    <w:p>
      <w:pPr>
        <w:spacing w:after="0" w:line="1"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FISCAL</w:t>
      </w:r>
    </w:p>
    <w:p>
      <w:pPr>
        <w:spacing w:after="0" w:line="1"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2002</w:t>
      </w:r>
    </w:p>
    <w:p>
      <w:pPr>
        <w:spacing w:after="0" w:line="1"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1st</w:t>
      </w:r>
    </w:p>
    <w:p>
      <w:pPr>
        <w:spacing w:after="0" w:line="5"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5"/>
          <w:szCs w:val="15"/>
          <w:color w:val="auto"/>
        </w:rPr>
        <w:t>quarter</w:t>
      </w:r>
    </w:p>
    <w:p>
      <w:pPr>
        <w:spacing w:after="0" w:line="8"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$47.30</w:t>
      </w:r>
    </w:p>
    <w:p>
      <w:pPr>
        <w:spacing w:after="0" w:line="1"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$34.45</w:t>
      </w:r>
    </w:p>
    <w:p>
      <w:pPr>
        <w:spacing w:after="0" w:line="1"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2nd</w:t>
      </w:r>
    </w:p>
    <w:p>
      <w:pPr>
        <w:spacing w:after="0" w:line="5"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5"/>
          <w:szCs w:val="15"/>
          <w:color w:val="auto"/>
        </w:rPr>
        <w:t>quarter</w:t>
      </w:r>
    </w:p>
    <w:p>
      <w:pPr>
        <w:spacing w:after="0" w:line="8"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48.99</w:t>
      </w:r>
    </w:p>
    <w:p>
      <w:pPr>
        <w:spacing w:after="0" w:line="1"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43.47</w:t>
      </w:r>
    </w:p>
    <w:p>
      <w:pPr>
        <w:spacing w:after="0" w:line="1"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3rd</w:t>
      </w:r>
    </w:p>
    <w:p>
      <w:pPr>
        <w:spacing w:after="0" w:line="5"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5"/>
          <w:szCs w:val="15"/>
          <w:color w:val="auto"/>
        </w:rPr>
        <w:t>quarter</w:t>
      </w:r>
    </w:p>
    <w:p>
      <w:pPr>
        <w:spacing w:after="0" w:line="8"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50.35</w:t>
      </w:r>
    </w:p>
    <w:p>
      <w:pPr>
        <w:spacing w:after="0" w:line="1"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42.39</w:t>
      </w:r>
    </w:p>
    <w:p>
      <w:pPr>
        <w:spacing w:after="0" w:line="1"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4th</w:t>
      </w:r>
    </w:p>
    <w:p>
      <w:pPr>
        <w:spacing w:after="0" w:line="5"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5"/>
          <w:szCs w:val="15"/>
          <w:color w:val="auto"/>
        </w:rPr>
        <w:t>quarter</w:t>
      </w:r>
    </w:p>
    <w:p>
      <w:pPr>
        <w:spacing w:after="0" w:line="8" w:lineRule="exact"/>
        <w:rPr>
          <w:sz w:val="20"/>
          <w:szCs w:val="20"/>
          <w:color w:val="auto"/>
        </w:rPr>
      </w:pPr>
    </w:p>
    <w:p>
      <w:pPr>
        <w:jc w:val="center"/>
        <w:ind w:right="9559"/>
        <w:spacing w:after="0"/>
        <w:rPr>
          <w:sz w:val="20"/>
          <w:szCs w:val="20"/>
          <w:color w:val="auto"/>
        </w:rPr>
      </w:pPr>
      <w:r>
        <w:rPr>
          <w:rFonts w:ascii="Courier New" w:cs="Courier New" w:eastAsia="Courier New" w:hAnsi="Courier New"/>
          <w:sz w:val="16"/>
          <w:szCs w:val="16"/>
          <w:color w:val="auto"/>
        </w:rPr>
        <w:t>49.39</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35.43</w:t>
      </w:r>
    </w:p>
    <w:p>
      <w:pPr>
        <w:spacing w:after="0" w:line="368"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We have not paid dividends on the common shares in the past and do not presently plan to pay dividends on the common shares. It is presently anticipated that earnings will be retained and reinvested to support the growth of our business. The payment of future dividends, if any, on common shares will be determined by the Board of Directors of The Scotts Company in light of conditions then existing, including our earnings, financial condition and capital requirements, restrictions in financing agreements, business conditions and other factors.</w:t>
      </w:r>
    </w:p>
    <w:p>
      <w:pPr>
        <w:spacing w:after="0" w:line="187" w:lineRule="exact"/>
        <w:rPr>
          <w:sz w:val="20"/>
          <w:szCs w:val="20"/>
          <w:color w:val="auto"/>
        </w:rPr>
      </w:pPr>
    </w:p>
    <w:p>
      <w:pPr>
        <w:ind w:right="3319" w:firstLine="473"/>
        <w:spacing w:after="0" w:line="267" w:lineRule="auto"/>
        <w:rPr>
          <w:sz w:val="20"/>
          <w:szCs w:val="20"/>
          <w:color w:val="auto"/>
        </w:rPr>
      </w:pPr>
      <w:r>
        <w:rPr>
          <w:rFonts w:ascii="Courier New" w:cs="Courier New" w:eastAsia="Courier New" w:hAnsi="Courier New"/>
          <w:sz w:val="15"/>
          <w:szCs w:val="15"/>
          <w:color w:val="auto"/>
        </w:rPr>
        <w:t>As of December 5, 2003, there were approximately 12,528 shareholders including holders of record and our estimate of beneficial holders.</w:t>
      </w:r>
    </w:p>
    <w:p>
      <w:pPr>
        <w:spacing w:after="0" w:line="168" w:lineRule="exact"/>
        <w:rPr>
          <w:sz w:val="20"/>
          <w:szCs w:val="20"/>
          <w:color w:val="auto"/>
        </w:rPr>
      </w:pPr>
    </w:p>
    <w:p>
      <w:pPr>
        <w:ind w:right="2659" w:firstLine="473"/>
        <w:spacing w:after="0" w:line="262" w:lineRule="auto"/>
        <w:rPr>
          <w:sz w:val="20"/>
          <w:szCs w:val="20"/>
          <w:color w:val="auto"/>
        </w:rPr>
      </w:pPr>
      <w:r>
        <w:rPr>
          <w:rFonts w:ascii="Courier New" w:cs="Courier New" w:eastAsia="Courier New" w:hAnsi="Courier New"/>
          <w:sz w:val="15"/>
          <w:szCs w:val="15"/>
          <w:color w:val="auto"/>
        </w:rPr>
        <w:t>As part of the consideration for the Miracle-Gro merger in 1995, The Scotts Company issued Series A Warrants, Series B Warrants and Series C Warrants to purchase an aggregate of three million common shares of The Scotts Company.</w:t>
      </w:r>
    </w:p>
    <w:p>
      <w:pPr>
        <w:spacing w:after="0" w:line="171"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Hagedorn Partnership, L.P. exercised the balance of its Series A Warrants during the fourth quarter of fiscal 2003, all of which were exercised on a cashless basis in accordance with the terms of the Series A Warrants, as follows:</w:t>
      </w:r>
    </w:p>
    <w:p>
      <w:pPr>
        <w:sectPr>
          <w:pgSz w:w="11900" w:h="16838" w:orient="portrait"/>
          <w:cols w:equalWidth="0" w:num="1">
            <w:col w:w="10219"/>
          </w:cols>
          <w:pgMar w:left="240" w:top="659" w:right="1440" w:bottom="0" w:gutter="0" w:footer="0" w:header="0"/>
        </w:sectPr>
      </w:pPr>
    </w:p>
    <w:bookmarkStart w:id="22" w:name="page23"/>
    <w:bookmarkEnd w:id="22"/>
    <w:p>
      <w:pPr>
        <w:jc w:val="center"/>
        <w:ind w:right="9379"/>
        <w:spacing w:after="0"/>
        <w:rPr>
          <w:sz w:val="20"/>
          <w:szCs w:val="20"/>
          <w:color w:val="auto"/>
        </w:rPr>
      </w:pPr>
      <w:r>
        <w:rPr>
          <w:rFonts w:ascii="Courier New" w:cs="Courier New" w:eastAsia="Courier New" w:hAnsi="Courier New"/>
          <w:sz w:val="16"/>
          <w:szCs w:val="16"/>
          <w:color w:val="auto"/>
        </w:rPr>
        <w:t>SERIES A</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WARRANTS</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COMMON</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SHARES</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DATE</w:t>
      </w:r>
    </w:p>
    <w:p>
      <w:pPr>
        <w:spacing w:after="0" w:line="5"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5"/>
          <w:szCs w:val="15"/>
          <w:color w:val="auto"/>
        </w:rPr>
        <w:t>EXERCISED</w:t>
      </w:r>
    </w:p>
    <w:p>
      <w:pPr>
        <w:spacing w:after="0" w:line="8"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EXERCISE</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PRICE</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RECEIVED</w:t>
      </w:r>
    </w:p>
    <w:p>
      <w:pPr>
        <w:spacing w:after="0" w:line="1" w:lineRule="exact"/>
        <w:rPr>
          <w:sz w:val="20"/>
          <w:szCs w:val="20"/>
          <w:color w:val="auto"/>
        </w:rPr>
      </w:pPr>
    </w:p>
    <w:p>
      <w:pPr>
        <w:ind w:left="240" w:hanging="197"/>
        <w:spacing w:after="0"/>
        <w:tabs>
          <w:tab w:leader="none" w:pos="2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40" w:hanging="197"/>
        <w:spacing w:after="0"/>
        <w:tabs>
          <w:tab w:leader="none" w:pos="2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7/8/03</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60,000</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$21</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36,667</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7/15/03</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70,000</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$21</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42,853</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7/28/03</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69,260</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$21</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42,099</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8/5/03</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81,482</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$21</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49,486</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8/19/03</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113,649</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$21</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69,696</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8/26/03</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106,574</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$21</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65,919</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8/27/03</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60,000</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$21</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36,923</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9/2/03</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41,629</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$21</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26,178</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9/3/03</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8,519</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$21</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5,389</w:t>
      </w:r>
    </w:p>
    <w:p>
      <w:pPr>
        <w:spacing w:after="0" w:line="368"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138" w:right="1440" w:bottom="1440" w:gutter="0" w:footer="0" w:header="0"/>
        </w:sectPr>
      </w:pPr>
    </w:p>
    <w:bookmarkStart w:id="23" w:name="page24"/>
    <w:bookmarkEnd w:id="23"/>
    <w:p>
      <w:pPr>
        <w:ind w:right="2659" w:firstLine="473"/>
        <w:spacing w:after="0" w:line="237" w:lineRule="auto"/>
        <w:rPr>
          <w:sz w:val="20"/>
          <w:szCs w:val="20"/>
          <w:color w:val="auto"/>
        </w:rPr>
      </w:pPr>
      <w:r>
        <w:rPr>
          <w:rFonts w:ascii="Courier New" w:cs="Courier New" w:eastAsia="Courier New" w:hAnsi="Courier New"/>
          <w:sz w:val="16"/>
          <w:szCs w:val="16"/>
          <w:color w:val="auto"/>
        </w:rPr>
        <w:t>All Series B Warrants and Series C Warrants had been exercised prior to the commencement of the fourth quarter of fiscal 2003.</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Series A Warrants as well as the common shares issuable upon exercise of the Series A Warrants were registered pursuant to a Registration Statement on Form S-4 (Registration No. 33-57595) declared effective on March 15, 1995. If and to the extent that the Securities and Exchange Commission were to determine that such registration did not extend to the issuance of common shares of The Scotts Company upon exercise of the Series A Warrants, The Scotts Company may also be deemed to have issued the common shares in reliance upon the exemptions from registration provided in Section 4(2) and other related provisions of the Securities Act of 1933.</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63" w:right="1440" w:bottom="1440" w:gutter="0" w:footer="0" w:header="0"/>
        </w:sectPr>
      </w:pPr>
    </w:p>
    <w:bookmarkStart w:id="24" w:name="page25"/>
    <w:bookmarkEnd w:id="24"/>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SELECTED FINANCIAL DATA</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FIVE YEAR SUMMARY</w:t>
      </w:r>
    </w:p>
    <w:p>
      <w:pPr>
        <w:spacing w:after="0" w:line="1" w:lineRule="exact"/>
        <w:rPr>
          <w:sz w:val="20"/>
          <w:szCs w:val="20"/>
          <w:color w:val="auto"/>
        </w:rPr>
      </w:pPr>
    </w:p>
    <w:p>
      <w:pPr>
        <w:jc w:val="right"/>
        <w:ind w:right="4639"/>
        <w:spacing w:after="0"/>
        <w:rPr>
          <w:sz w:val="20"/>
          <w:szCs w:val="20"/>
          <w:color w:val="auto"/>
        </w:rPr>
      </w:pPr>
      <w:r>
        <w:rPr>
          <w:rFonts w:ascii="Courier New" w:cs="Courier New" w:eastAsia="Courier New" w:hAnsi="Courier New"/>
          <w:sz w:val="16"/>
          <w:szCs w:val="16"/>
          <w:color w:val="auto"/>
        </w:rPr>
        <w:t>FOR THE FISCAL YEAR ENDED SEPTEMBER 30,</w:t>
      </w:r>
    </w:p>
    <w:p>
      <w:pPr>
        <w:spacing w:after="0" w:line="1" w:lineRule="exact"/>
        <w:rPr>
          <w:sz w:val="20"/>
          <w:szCs w:val="20"/>
          <w:color w:val="auto"/>
        </w:rPr>
      </w:pPr>
    </w:p>
    <w:p>
      <w:pPr>
        <w:jc w:val="right"/>
        <w:ind w:right="4639"/>
        <w:spacing w:after="0"/>
        <w:rPr>
          <w:sz w:val="20"/>
          <w:szCs w:val="20"/>
          <w:color w:val="auto"/>
        </w:rPr>
      </w:pPr>
      <w:r>
        <w:rPr>
          <w:rFonts w:ascii="Courier New" w:cs="Courier New" w:eastAsia="Courier New" w:hAnsi="Courier New"/>
          <w:sz w:val="16"/>
          <w:szCs w:val="16"/>
          <w:color w:val="auto"/>
        </w:rPr>
        <w:t>(IN MILLIONS EXCEPT PER SHARE AMOUNTS)</w:t>
      </w:r>
    </w:p>
    <w:p>
      <w:pPr>
        <w:spacing w:after="0" w:line="18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2003(1) 2002(1)</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2001(1)(2)</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2000(1) 1999(3)</w:t>
      </w:r>
    </w:p>
    <w:p>
      <w:pPr>
        <w:spacing w:after="0" w:line="1" w:lineRule="exact"/>
        <w:rPr>
          <w:sz w:val="20"/>
          <w:szCs w:val="20"/>
          <w:color w:val="auto"/>
        </w:rPr>
      </w:pPr>
    </w:p>
    <w:p>
      <w:pPr>
        <w:ind w:left="220" w:hanging="181"/>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RESULTS: Net</w:t>
      </w:r>
    </w:p>
    <w:p>
      <w:pPr>
        <w:spacing w:after="0" w:line="4" w:lineRule="exact"/>
        <w:rPr>
          <w:rFonts w:ascii="Courier New" w:cs="Courier New" w:eastAsia="Courier New" w:hAnsi="Courier New"/>
          <w:sz w:val="16"/>
          <w:szCs w:val="16"/>
          <w:color w:val="auto"/>
        </w:rPr>
      </w:pPr>
    </w:p>
    <w:p>
      <w:pPr>
        <w:jc w:val="both"/>
        <w:ind w:left="380" w:right="909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sales(6) $1,910.1 $1,748.7 $1,670.4 $1,656.2</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$1,550.6 Gross</w:t>
      </w:r>
    </w:p>
    <w:p>
      <w:pPr>
        <w:spacing w:after="0" w:line="4" w:lineRule="exact"/>
        <w:rPr>
          <w:rFonts w:ascii="Courier New" w:cs="Courier New" w:eastAsia="Courier New" w:hAnsi="Courier New"/>
          <w:sz w:val="16"/>
          <w:szCs w:val="16"/>
          <w:color w:val="auto"/>
        </w:rPr>
      </w:pPr>
    </w:p>
    <w:p>
      <w:pPr>
        <w:jc w:val="both"/>
        <w:ind w:left="220" w:right="8899" w:hanging="47"/>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profit(6)(4) 690.8 634.9</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596.4 603.8</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563.3 Income</w:t>
      </w:r>
    </w:p>
    <w:p>
      <w:pPr>
        <w:ind w:left="5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from</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operations(4)</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232.5 239.2</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116.4 210.2</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196.1 Income</w:t>
      </w:r>
    </w:p>
    <w:p>
      <w:pPr>
        <w:ind w:left="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before</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extraordinary</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items and</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cumulative</w:t>
      </w:r>
    </w:p>
    <w:p>
      <w:pPr>
        <w:spacing w:after="0" w:line="4" w:lineRule="exact"/>
        <w:rPr>
          <w:rFonts w:ascii="Courier New" w:cs="Courier New" w:eastAsia="Courier New" w:hAnsi="Courier New"/>
          <w:sz w:val="16"/>
          <w:szCs w:val="16"/>
          <w:color w:val="auto"/>
        </w:rPr>
      </w:pPr>
    </w:p>
    <w:p>
      <w:pPr>
        <w:jc w:val="center"/>
        <w:ind w:left="40" w:right="8759" w:firstLine="284"/>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effect of change in accounting 103.8 101.0 15.5 73.1 69.1 Income applicable to common shareholders 103.8 82.5 15.5 66.7 53.5 Depreciation and amortization 52.2 43.5 63.6 61.0 56.2 FINANCIAL POSITION: Working capital 364.4 278.3</w:t>
      </w:r>
    </w:p>
    <w:p>
      <w:pPr>
        <w:spacing w:after="0" w:line="8"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249.1 234.1</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274.8 Property,</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plant and</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equipment, net</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338.2 329.2</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310.7 290.5</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259.4 Total</w:t>
      </w:r>
    </w:p>
    <w:p>
      <w:pPr>
        <w:spacing w:after="0" w:line="4" w:lineRule="exact"/>
        <w:rPr>
          <w:rFonts w:ascii="Courier New" w:cs="Courier New" w:eastAsia="Courier New" w:hAnsi="Courier New"/>
          <w:sz w:val="16"/>
          <w:szCs w:val="16"/>
          <w:color w:val="auto"/>
        </w:rPr>
      </w:pPr>
    </w:p>
    <w:p>
      <w:pPr>
        <w:jc w:val="both"/>
        <w:ind w:left="40" w:right="8759" w:firstLine="47"/>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assets 2,027.9 1,901.4 1,843.0</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1,761.4 1,769.6</w:t>
      </w:r>
    </w:p>
    <w:p>
      <w:pPr>
        <w:spacing w:after="0" w:line="4" w:lineRule="exact"/>
        <w:rPr>
          <w:rFonts w:ascii="Courier New" w:cs="Courier New" w:eastAsia="Courier New" w:hAnsi="Courier New"/>
          <w:sz w:val="16"/>
          <w:szCs w:val="16"/>
          <w:color w:val="auto"/>
        </w:rPr>
      </w:pPr>
    </w:p>
    <w:p>
      <w:pPr>
        <w:jc w:val="both"/>
        <w:ind w:left="220" w:right="8959" w:firstLine="47"/>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Total debt 757.6 829.4</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887.8 862.8</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950.0 Total</w:t>
      </w:r>
    </w:p>
    <w:p>
      <w:pPr>
        <w:spacing w:after="0" w:line="4" w:lineRule="exact"/>
        <w:rPr>
          <w:rFonts w:ascii="Courier New" w:cs="Courier New" w:eastAsia="Courier New" w:hAnsi="Courier New"/>
          <w:sz w:val="16"/>
          <w:szCs w:val="16"/>
          <w:color w:val="auto"/>
        </w:rPr>
      </w:pPr>
    </w:p>
    <w:p>
      <w:pPr>
        <w:jc w:val="both"/>
        <w:ind w:left="180" w:right="8859" w:hanging="47"/>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shareholders' equity 728.2 593.9 506.2</w:t>
      </w:r>
    </w:p>
    <w:p>
      <w:pPr>
        <w:spacing w:after="0" w:line="1" w:lineRule="exact"/>
        <w:rPr>
          <w:rFonts w:ascii="Courier New" w:cs="Courier New" w:eastAsia="Courier New" w:hAnsi="Courier New"/>
          <w:sz w:val="16"/>
          <w:szCs w:val="16"/>
          <w:color w:val="auto"/>
        </w:rPr>
      </w:pPr>
    </w:p>
    <w:p>
      <w:pPr>
        <w:jc w:val="both"/>
        <w:ind w:left="220" w:right="895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477.9 443.3 CASH FLOWS:</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 from</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w:t>
      </w:r>
    </w:p>
    <w:p>
      <w:pPr>
        <w:spacing w:after="0" w:line="4" w:lineRule="exact"/>
        <w:rPr>
          <w:rFonts w:ascii="Courier New" w:cs="Courier New" w:eastAsia="Courier New" w:hAnsi="Courier New"/>
          <w:sz w:val="16"/>
          <w:szCs w:val="16"/>
          <w:color w:val="auto"/>
        </w:rPr>
      </w:pPr>
    </w:p>
    <w:p>
      <w:pPr>
        <w:jc w:val="center"/>
        <w:ind w:left="40" w:right="8759" w:firstLine="237"/>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activities 218.0 233.6 65.7 171.5 78.2 Investments in property, plant and equipment 51.8 57.0 63.4</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72.5 66.7 Cash</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invested in</w:t>
      </w:r>
    </w:p>
    <w:p>
      <w:pPr>
        <w:sectPr>
          <w:pgSz w:w="11900" w:h="16864" w:orient="portrait"/>
          <w:cols w:equalWidth="0" w:num="1">
            <w:col w:w="10219"/>
          </w:cols>
          <w:pgMar w:left="240" w:top="659" w:right="1440" w:bottom="0" w:gutter="0" w:footer="0" w:header="0"/>
        </w:sectPr>
      </w:pPr>
    </w:p>
    <w:bookmarkStart w:id="25" w:name="page26"/>
    <w:bookmarkEnd w:id="25"/>
    <w:p>
      <w:pPr>
        <w:spacing w:after="0" w:line="4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acquisitions,</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including</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payments on</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seller notes</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57.1 63.0 37.6</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19.3 506.2</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RATIOS:</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Operating</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3"/>
              </w:rPr>
              <w:t>margin</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12.2%</w:t>
            </w:r>
          </w:p>
        </w:tc>
      </w:tr>
      <w:tr>
        <w:trPr>
          <w:trHeight w:val="182"/>
        </w:trPr>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13.7%</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7.0%</w:t>
            </w:r>
          </w:p>
        </w:tc>
      </w:tr>
    </w:tbl>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12.7% 12.6%</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Current ratio</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1.8 1.6 1.5 1.6</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1.7 Total debt</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to total book</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capitalization</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51.0% 58.3%</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63.7% 64.3%</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68.2% Return on</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average</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shareholders'</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equity (book</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value) 15.7%</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15.0% 3.1%</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14.5% 12.6% PER</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SHARE DATA:</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Basic earnings</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per common</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share(7) $ 3.36</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$ 2.81 $ 0.55 $</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2.39 $ 2.93</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Diluted</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earnings per</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common share(7)</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3.23 2.61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0.51</w:t>
            </w:r>
          </w:p>
        </w:tc>
      </w:tr>
      <w:tr>
        <w:trPr>
          <w:trHeight w:val="182"/>
        </w:trPr>
        <w:tc>
          <w:tcPr>
            <w:tcW w:w="14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8"/>
              </w:rPr>
              <w:t>2.25 2.08 Stock</w:t>
            </w:r>
          </w:p>
        </w:tc>
      </w:tr>
      <w:tr>
        <w:trPr>
          <w:trHeight w:val="182"/>
        </w:trPr>
        <w:tc>
          <w:tcPr>
            <w:tcW w:w="14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6"/>
              </w:rPr>
              <w:t>price to</w:t>
            </w:r>
          </w:p>
        </w:tc>
      </w:tr>
      <w:tr>
        <w:trPr>
          <w:trHeight w:val="182"/>
        </w:trPr>
        <w:tc>
          <w:tcPr>
            <w:tcW w:w="14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8"/>
              </w:rPr>
              <w:t>diluted</w:t>
            </w:r>
          </w:p>
        </w:tc>
      </w:tr>
      <w:tr>
        <w:trPr>
          <w:trHeight w:val="182"/>
        </w:trPr>
        <w:tc>
          <w:tcPr>
            <w:tcW w:w="14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8"/>
              </w:rPr>
              <w:t>earnings per</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share,</w:t>
            </w:r>
          </w:p>
        </w:tc>
        <w:tc>
          <w:tcPr>
            <w:tcW w:w="7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end of</w:t>
            </w:r>
          </w:p>
        </w:tc>
      </w:tr>
      <w:tr>
        <w:trPr>
          <w:trHeight w:val="182"/>
        </w:trPr>
        <w:tc>
          <w:tcPr>
            <w:tcW w:w="14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8"/>
              </w:rPr>
              <w:t>period 16.9</w:t>
            </w:r>
          </w:p>
        </w:tc>
      </w:tr>
      <w:tr>
        <w:trPr>
          <w:trHeight w:val="182"/>
        </w:trPr>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16.0 66.9</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14.9</w:t>
            </w:r>
          </w:p>
        </w:tc>
      </w:tr>
      <w:tr>
        <w:trPr>
          <w:trHeight w:val="182"/>
        </w:trPr>
        <w:tc>
          <w:tcPr>
            <w:tcW w:w="14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16.6 Stock</w:t>
            </w:r>
          </w:p>
        </w:tc>
      </w:tr>
      <w:tr>
        <w:trPr>
          <w:trHeight w:val="182"/>
        </w:trPr>
        <w:tc>
          <w:tcPr>
            <w:tcW w:w="14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price at year-</w:t>
            </w:r>
          </w:p>
        </w:tc>
      </w:tr>
      <w:tr>
        <w:trPr>
          <w:trHeight w:val="182"/>
        </w:trPr>
        <w:tc>
          <w:tcPr>
            <w:tcW w:w="14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8"/>
              </w:rPr>
              <w:t>end 54.70 41.69</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34.10</w:t>
            </w:r>
          </w:p>
        </w:tc>
        <w:tc>
          <w:tcPr>
            <w:tcW w:w="7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33.50</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34.63</w:t>
            </w:r>
          </w:p>
        </w:tc>
        <w:tc>
          <w:tcPr>
            <w:tcW w:w="7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Stock</w:t>
            </w:r>
          </w:p>
        </w:tc>
      </w:tr>
      <w:tr>
        <w:trPr>
          <w:trHeight w:val="182"/>
        </w:trPr>
        <w:tc>
          <w:tcPr>
            <w:tcW w:w="14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price range --</w:t>
            </w:r>
          </w:p>
        </w:tc>
      </w:tr>
      <w:tr>
        <w:trPr>
          <w:trHeight w:val="182"/>
        </w:trPr>
        <w:tc>
          <w:tcPr>
            <w:tcW w:w="14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High 57.70</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50.35</w:t>
            </w:r>
          </w:p>
        </w:tc>
        <w:tc>
          <w:tcPr>
            <w:tcW w:w="7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47.10</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42.00</w:t>
            </w:r>
          </w:p>
        </w:tc>
        <w:tc>
          <w:tcPr>
            <w:tcW w:w="7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47.63</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Stock</w:t>
            </w:r>
          </w:p>
        </w:tc>
        <w:tc>
          <w:tcPr>
            <w:tcW w:w="7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price</w:t>
            </w:r>
          </w:p>
        </w:tc>
      </w:tr>
      <w:tr>
        <w:trPr>
          <w:trHeight w:val="182"/>
        </w:trPr>
        <w:tc>
          <w:tcPr>
            <w:tcW w:w="14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8"/>
              </w:rPr>
              <w:t>range -- Low</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43.54</w:t>
            </w:r>
          </w:p>
        </w:tc>
        <w:tc>
          <w:tcPr>
            <w:tcW w:w="7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34.45</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28.88</w:t>
            </w:r>
          </w:p>
        </w:tc>
        <w:tc>
          <w:tcPr>
            <w:tcW w:w="7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29.44</w:t>
            </w:r>
          </w:p>
        </w:tc>
      </w:tr>
      <w:tr>
        <w:trPr>
          <w:trHeight w:val="182"/>
        </w:trPr>
        <w:tc>
          <w:tcPr>
            <w:tcW w:w="14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8"/>
              </w:rPr>
              <w:t>26.63 OTHER:</w:t>
            </w:r>
          </w:p>
        </w:tc>
      </w:tr>
      <w:tr>
        <w:trPr>
          <w:trHeight w:val="182"/>
        </w:trPr>
        <w:tc>
          <w:tcPr>
            <w:tcW w:w="14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8"/>
              </w:rPr>
              <w:t>EBITDA(5) 284.7</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282.7</w:t>
            </w:r>
          </w:p>
        </w:tc>
        <w:tc>
          <w:tcPr>
            <w:tcW w:w="7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180.0</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271.2</w:t>
            </w:r>
          </w:p>
        </w:tc>
        <w:tc>
          <w:tcPr>
            <w:tcW w:w="7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252.3</w:t>
            </w:r>
          </w:p>
        </w:tc>
      </w:tr>
      <w:tr>
        <w:trPr>
          <w:trHeight w:val="182"/>
        </w:trPr>
        <w:tc>
          <w:tcPr>
            <w:tcW w:w="1000" w:type="dxa"/>
            <w:vAlign w:val="bottom"/>
            <w:gridSpan w:val="2"/>
          </w:tcPr>
          <w:p>
            <w:pPr>
              <w:jc w:val="center"/>
              <w:ind w:left="341"/>
              <w:spacing w:after="0"/>
              <w:rPr>
                <w:sz w:val="20"/>
                <w:szCs w:val="20"/>
                <w:color w:val="auto"/>
              </w:rPr>
            </w:pPr>
            <w:r>
              <w:rPr>
                <w:rFonts w:ascii="Courier New" w:cs="Courier New" w:eastAsia="Courier New" w:hAnsi="Courier New"/>
                <w:sz w:val="16"/>
                <w:szCs w:val="16"/>
                <w:color w:val="auto"/>
              </w:rPr>
              <w:t>EBITDA</w:t>
            </w:r>
          </w:p>
        </w:tc>
        <w:tc>
          <w:tcPr>
            <w:tcW w:w="420" w:type="dxa"/>
            <w:vAlign w:val="bottom"/>
          </w:tcPr>
          <w:p>
            <w:pPr>
              <w:spacing w:after="0"/>
              <w:rPr>
                <w:sz w:val="15"/>
                <w:szCs w:val="15"/>
                <w:color w:val="auto"/>
              </w:rPr>
            </w:pPr>
          </w:p>
        </w:tc>
      </w:tr>
      <w:tr>
        <w:trPr>
          <w:trHeight w:val="182"/>
        </w:trPr>
        <w:tc>
          <w:tcPr>
            <w:tcW w:w="14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8"/>
              </w:rPr>
              <w:t>margin(5) 14.9%</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16.2%</w:t>
            </w:r>
          </w:p>
        </w:tc>
        <w:tc>
          <w:tcPr>
            <w:tcW w:w="7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10.8%</w:t>
            </w:r>
          </w:p>
        </w:tc>
      </w:tr>
      <w:tr>
        <w:trPr>
          <w:trHeight w:val="182"/>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16.4%</w:t>
            </w:r>
          </w:p>
        </w:tc>
        <w:tc>
          <w:tcPr>
            <w:tcW w:w="7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16.3%</w:t>
            </w:r>
          </w:p>
        </w:tc>
      </w:tr>
      <w:tr>
        <w:trPr>
          <w:trHeight w:val="182"/>
        </w:trPr>
        <w:tc>
          <w:tcPr>
            <w:tcW w:w="14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6"/>
              </w:rPr>
              <w:t>Interest</w:t>
            </w:r>
          </w:p>
        </w:tc>
      </w:tr>
      <w:tr>
        <w:trPr>
          <w:trHeight w:val="182"/>
        </w:trPr>
        <w:tc>
          <w:tcPr>
            <w:tcW w:w="14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6"/>
              </w:rPr>
              <w:t>coverage</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(EBITDA/interest</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10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expense)(5)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2"/>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3.7</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bl>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Average common</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shares</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outstanding</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30.9 29.3 28.4</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27.9 18.3</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Common shares</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used in diluted</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earnings per</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common share</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calculation</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32.1 31.7 30.4</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29.6 30.5</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Dividends on</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Class A</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Convertible</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Preferred Stock</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$ 0.0 $ 0.0 $</w:t>
      </w:r>
    </w:p>
    <w:p>
      <w:pPr>
        <w:spacing w:after="0" w:line="1"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0.0 $ 6.4 $ 9.7</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Prior year presentations have been changed to conform to fiscal 2003</w:t>
      </w:r>
    </w:p>
    <w:p>
      <w:pPr>
        <w:sectPr>
          <w:pgSz w:w="11900" w:h="16881" w:orient="portrait"/>
          <w:cols w:equalWidth="0" w:num="1">
            <w:col w:w="10219"/>
          </w:cols>
          <w:pgMar w:left="240" w:top="138" w:right="1440" w:bottom="0" w:gutter="0" w:footer="0" w:header="0"/>
        </w:sectPr>
      </w:pPr>
    </w:p>
    <w:bookmarkStart w:id="26" w:name="page27"/>
    <w:bookmarkEnd w:id="26"/>
    <w:p>
      <w:pPr>
        <w:ind w:left="563"/>
        <w:spacing w:after="0"/>
        <w:rPr>
          <w:sz w:val="20"/>
          <w:szCs w:val="20"/>
          <w:color w:val="auto"/>
        </w:rPr>
      </w:pPr>
      <w:r>
        <w:rPr>
          <w:rFonts w:ascii="Courier New" w:cs="Courier New" w:eastAsia="Courier New" w:hAnsi="Courier New"/>
          <w:sz w:val="16"/>
          <w:szCs w:val="16"/>
          <w:color w:val="auto"/>
        </w:rPr>
        <w:t>presentation; these changes did not impact net income.</w:t>
      </w:r>
    </w:p>
    <w:p>
      <w:pPr>
        <w:spacing w:after="0" w:line="183" w:lineRule="exact"/>
        <w:rPr>
          <w:sz w:val="20"/>
          <w:szCs w:val="20"/>
          <w:color w:val="auto"/>
        </w:rPr>
      </w:pPr>
    </w:p>
    <w:p>
      <w:pPr>
        <w:ind w:left="383" w:hanging="383"/>
        <w:spacing w:after="0"/>
        <w:tabs>
          <w:tab w:leader="none" w:pos="38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Scotts LawnService(R) acquisitions from dates acquired.</w:t>
      </w:r>
    </w:p>
    <w:p>
      <w:pPr>
        <w:spacing w:after="0" w:line="186" w:lineRule="exact"/>
        <w:rPr>
          <w:rFonts w:ascii="Courier New" w:cs="Courier New" w:eastAsia="Courier New" w:hAnsi="Courier New"/>
          <w:sz w:val="16"/>
          <w:szCs w:val="16"/>
          <w:color w:val="auto"/>
        </w:rPr>
      </w:pPr>
    </w:p>
    <w:p>
      <w:pPr>
        <w:ind w:left="383" w:hanging="383"/>
        <w:spacing w:after="0"/>
        <w:tabs>
          <w:tab w:leader="none" w:pos="383"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Substral(R) brand acquired from Henkel KGaA from January 2001.</w:t>
      </w:r>
    </w:p>
    <w:p>
      <w:pPr>
        <w:spacing w:after="0" w:line="190"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2"/>
          </w:cols>
          <w:pgMar w:left="237" w:top="138" w:right="1440" w:bottom="1440" w:gutter="0" w:footer="0" w:header="0"/>
        </w:sectPr>
      </w:pPr>
    </w:p>
    <w:bookmarkStart w:id="27" w:name="page28"/>
    <w:bookmarkEnd w:id="27"/>
    <w:p>
      <w:pPr>
        <w:spacing w:after="0" w:line="26" w:lineRule="exact"/>
        <w:rPr>
          <w:sz w:val="20"/>
          <w:szCs w:val="20"/>
          <w:color w:val="auto"/>
        </w:rPr>
      </w:pPr>
    </w:p>
    <w:p>
      <w:pPr>
        <w:ind w:left="383" w:right="2659" w:hanging="383"/>
        <w:spacing w:after="0" w:line="238" w:lineRule="auto"/>
        <w:tabs>
          <w:tab w:leader="none" w:pos="38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Rhone-Poulenc Jardin (nka Scotts France SAS) from October 1998, ASEF Holding BV from December 1998 and the non-Roundup(R) ("Ortho") business from January 1999.</w:t>
      </w:r>
    </w:p>
    <w:p>
      <w:pPr>
        <w:spacing w:after="0" w:line="188" w:lineRule="exact"/>
        <w:rPr>
          <w:rFonts w:ascii="Courier New" w:cs="Courier New" w:eastAsia="Courier New" w:hAnsi="Courier New"/>
          <w:sz w:val="16"/>
          <w:szCs w:val="16"/>
          <w:color w:val="auto"/>
        </w:rPr>
      </w:pPr>
    </w:p>
    <w:p>
      <w:pPr>
        <w:ind w:left="383" w:right="2659" w:hanging="383"/>
        <w:spacing w:after="0" w:line="239" w:lineRule="auto"/>
        <w:tabs>
          <w:tab w:leader="none" w:pos="38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from operations for fiscal 2003, 2002 and 2001 includes $17.1, $8.1 and $75.7 of restructuring and other charges, respectively. Gross profit for fiscal 2003, 2002 and 2001 includes $9.1, $1.7 and $7.3 of restructuring and other charges, respectively.</w:t>
      </w:r>
    </w:p>
    <w:p>
      <w:pPr>
        <w:spacing w:after="0" w:line="187" w:lineRule="exact"/>
        <w:rPr>
          <w:rFonts w:ascii="Courier New" w:cs="Courier New" w:eastAsia="Courier New" w:hAnsi="Courier New"/>
          <w:sz w:val="16"/>
          <w:szCs w:val="16"/>
          <w:color w:val="auto"/>
        </w:rPr>
      </w:pPr>
    </w:p>
    <w:p>
      <w:pPr>
        <w:ind w:left="383" w:right="2759" w:hanging="383"/>
        <w:spacing w:after="0" w:line="258" w:lineRule="auto"/>
        <w:tabs>
          <w:tab w:leader="none" w:pos="38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income from operations, plus depreciation and amortization. We believe that EBITDA provides additional information for determining our ability to meet debt service requirements. EBITDA does not represent and should not be considered as an alternative to net income or cash flow from operations as determined by generally accepted accounting principles, and EBITDA does not necessarily indicate whether cash flow will be sufficient to meet cash requirements. EBITDA margin is calculated as EBITDA divided into net sales. Our measure of EBITDA may not be similar to other similarly titled captions used by other companies. A numeric reconciliation of EBITDA to income from operations is as follows:</w:t>
      </w:r>
    </w:p>
    <w:p>
      <w:pPr>
        <w:spacing w:after="0" w:line="170"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30, -------</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523" w:hanging="290"/>
        <w:spacing w:after="0"/>
        <w:tabs>
          <w:tab w:leader="none" w:pos="52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2003</w:t>
      </w:r>
    </w:p>
    <w:p>
      <w:pPr>
        <w:ind w:left="1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2002 2001</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2000 1999 -</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Income from</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operations</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$232.5</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$239.2</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$116.4</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$210.2</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$196.1</w:t>
      </w:r>
    </w:p>
    <w:p>
      <w:pPr>
        <w:spacing w:after="0" w:line="5" w:lineRule="exact"/>
        <w:rPr>
          <w:sz w:val="20"/>
          <w:szCs w:val="20"/>
          <w:color w:val="auto"/>
        </w:rPr>
      </w:pPr>
    </w:p>
    <w:p>
      <w:pPr>
        <w:jc w:val="center"/>
        <w:ind w:right="9076"/>
        <w:spacing w:after="0"/>
        <w:rPr>
          <w:sz w:val="20"/>
          <w:szCs w:val="20"/>
          <w:color w:val="auto"/>
        </w:rPr>
      </w:pPr>
      <w:r>
        <w:rPr>
          <w:rFonts w:ascii="Courier New" w:cs="Courier New" w:eastAsia="Courier New" w:hAnsi="Courier New"/>
          <w:sz w:val="15"/>
          <w:szCs w:val="15"/>
          <w:color w:val="auto"/>
        </w:rPr>
        <w:t>Depreciation</w:t>
      </w:r>
    </w:p>
    <w:p>
      <w:pPr>
        <w:spacing w:after="0" w:line="8"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and</w:t>
      </w:r>
    </w:p>
    <w:p>
      <w:pPr>
        <w:spacing w:after="0" w:line="5" w:lineRule="exact"/>
        <w:rPr>
          <w:sz w:val="20"/>
          <w:szCs w:val="20"/>
          <w:color w:val="auto"/>
        </w:rPr>
      </w:pPr>
    </w:p>
    <w:p>
      <w:pPr>
        <w:jc w:val="center"/>
        <w:ind w:right="9076"/>
        <w:spacing w:after="0"/>
        <w:rPr>
          <w:sz w:val="20"/>
          <w:szCs w:val="20"/>
          <w:color w:val="auto"/>
        </w:rPr>
      </w:pPr>
      <w:r>
        <w:rPr>
          <w:rFonts w:ascii="Courier New" w:cs="Courier New" w:eastAsia="Courier New" w:hAnsi="Courier New"/>
          <w:sz w:val="15"/>
          <w:szCs w:val="15"/>
          <w:color w:val="auto"/>
        </w:rPr>
        <w:t>amortization</w:t>
      </w:r>
    </w:p>
    <w:p>
      <w:pPr>
        <w:spacing w:after="0" w:line="8" w:lineRule="exact"/>
        <w:rPr>
          <w:sz w:val="20"/>
          <w:szCs w:val="20"/>
          <w:color w:val="auto"/>
        </w:rPr>
      </w:pPr>
    </w:p>
    <w:tbl>
      <w:tblPr>
        <w:tblLayout w:type="fixed"/>
        <w:tblInd w:w="43" w:type="dxa"/>
        <w:tblCellMar>
          <w:top w:w="0" w:type="dxa"/>
          <w:left w:w="0" w:type="dxa"/>
          <w:bottom w:w="0" w:type="dxa"/>
          <w:right w:w="0" w:type="dxa"/>
        </w:tblCellMar>
      </w:tblPr>
      <w:tr>
        <w:trPr>
          <w:trHeight w:val="181"/>
        </w:trPr>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52.2</w:t>
            </w:r>
          </w:p>
        </w:tc>
        <w:tc>
          <w:tcPr>
            <w:tcW w:w="560" w:type="dxa"/>
            <w:vAlign w:val="bottom"/>
          </w:tcPr>
          <w:p>
            <w:pPr>
              <w:jc w:val="center"/>
              <w:spacing w:after="0"/>
              <w:rPr>
                <w:sz w:val="20"/>
                <w:szCs w:val="20"/>
                <w:color w:val="auto"/>
              </w:rPr>
            </w:pPr>
            <w:r>
              <w:rPr>
                <w:rFonts w:ascii="Courier New" w:cs="Courier New" w:eastAsia="Courier New" w:hAnsi="Courier New"/>
                <w:sz w:val="16"/>
                <w:szCs w:val="16"/>
                <w:color w:val="auto"/>
                <w:w w:val="98"/>
              </w:rPr>
              <w:t>43.5</w:t>
            </w:r>
          </w:p>
        </w:tc>
      </w:tr>
      <w:tr>
        <w:trPr>
          <w:trHeight w:val="182"/>
        </w:trPr>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63.6</w:t>
            </w:r>
          </w:p>
        </w:tc>
        <w:tc>
          <w:tcPr>
            <w:tcW w:w="560" w:type="dxa"/>
            <w:vAlign w:val="bottom"/>
          </w:tcPr>
          <w:p>
            <w:pPr>
              <w:jc w:val="center"/>
              <w:spacing w:after="0"/>
              <w:rPr>
                <w:sz w:val="20"/>
                <w:szCs w:val="20"/>
                <w:color w:val="auto"/>
              </w:rPr>
            </w:pPr>
            <w:r>
              <w:rPr>
                <w:rFonts w:ascii="Courier New" w:cs="Courier New" w:eastAsia="Courier New" w:hAnsi="Courier New"/>
                <w:sz w:val="16"/>
                <w:szCs w:val="16"/>
                <w:color w:val="auto"/>
                <w:w w:val="98"/>
              </w:rPr>
              <w:t>61.0</w:t>
            </w:r>
          </w:p>
        </w:tc>
      </w:tr>
      <w:tr>
        <w:trPr>
          <w:trHeight w:val="182"/>
        </w:trPr>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56.2</w:t>
            </w:r>
          </w:p>
        </w:tc>
        <w:tc>
          <w:tcPr>
            <w:tcW w:w="560" w:type="dxa"/>
            <w:vAlign w:val="bottom"/>
          </w:tcPr>
          <w:p>
            <w:pPr>
              <w:jc w:val="center"/>
              <w:spacing w:after="0"/>
              <w:rPr>
                <w:sz w:val="20"/>
                <w:szCs w:val="20"/>
                <w:color w:val="auto"/>
              </w:rPr>
            </w:pPr>
            <w:r>
              <w:rPr>
                <w:rFonts w:ascii="Courier New" w:cs="Courier New" w:eastAsia="Courier New" w:hAnsi="Courier New"/>
                <w:sz w:val="16"/>
                <w:szCs w:val="16"/>
                <w:color w:val="auto"/>
                <w:w w:val="97"/>
              </w:rPr>
              <w:t>------</w:t>
            </w:r>
          </w:p>
        </w:tc>
      </w:tr>
    </w:tbl>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323" w:hanging="279"/>
        <w:spacing w:after="0"/>
        <w:tabs>
          <w:tab w:leader="none" w:pos="32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EBITDA</w:t>
      </w:r>
    </w:p>
    <w:p>
      <w:pPr>
        <w:spacing w:after="0" w:line="1"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$284.7</w:t>
      </w:r>
    </w:p>
    <w:p>
      <w:pPr>
        <w:spacing w:after="0" w:line="1"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$282.7</w:t>
      </w:r>
    </w:p>
    <w:p>
      <w:pPr>
        <w:spacing w:after="0" w:line="1"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$180.0</w:t>
      </w:r>
    </w:p>
    <w:p>
      <w:pPr>
        <w:spacing w:after="0" w:line="1"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$271.2</w:t>
      </w:r>
    </w:p>
    <w:p>
      <w:pPr>
        <w:spacing w:after="0" w:line="1"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$252.3</w:t>
      </w:r>
    </w:p>
    <w:p>
      <w:pPr>
        <w:spacing w:after="0" w:line="1"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left="383" w:right="2659" w:hanging="383"/>
        <w:spacing w:after="0"/>
        <w:tabs>
          <w:tab w:leader="none" w:pos="38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fiscal 2002, we adopted EITF 00-25, "Accounting for Consideration from a Vendor to a Retailer in Connection with the Purchase or Promotion of the Vendor's Products" which requires that certain consideration from a vendor to a retailer be classified as a reduction in sales. As had many other companies, we had historically classified these as advertising and promotion costs. The information for all periods presented reflects this new method of presentation. Also, certain expenses previously recorded as advertising were reclassified to marketing within selling, general and administrative expenses.</w:t>
      </w:r>
    </w:p>
    <w:p>
      <w:pPr>
        <w:spacing w:after="0" w:line="187" w:lineRule="exact"/>
        <w:rPr>
          <w:rFonts w:ascii="Courier New" w:cs="Courier New" w:eastAsia="Courier New" w:hAnsi="Courier New"/>
          <w:sz w:val="16"/>
          <w:szCs w:val="16"/>
          <w:color w:val="auto"/>
        </w:rPr>
      </w:pPr>
    </w:p>
    <w:p>
      <w:pPr>
        <w:ind w:left="383" w:right="2659" w:hanging="383"/>
        <w:spacing w:after="0" w:line="238" w:lineRule="auto"/>
        <w:tabs>
          <w:tab w:leader="none" w:pos="38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Basic and diluted earnings per share would have been as follows if the accounting change for intangible assets adopted in the fiscal year beginning October 1, 2001, had been adopted as of October 1, 1999:</w:t>
      </w:r>
    </w:p>
    <w:p>
      <w:pPr>
        <w:spacing w:after="0" w:line="184"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30, -------</w:t>
      </w:r>
    </w:p>
    <w:p>
      <w:pPr>
        <w:spacing w:after="0" w:line="1" w:lineRule="exact"/>
        <w:rPr>
          <w:sz w:val="20"/>
          <w:szCs w:val="20"/>
          <w:color w:val="auto"/>
        </w:rPr>
      </w:pPr>
    </w:p>
    <w:p>
      <w:pPr>
        <w:ind w:left="223"/>
        <w:spacing w:after="0"/>
        <w:rPr>
          <w:sz w:val="20"/>
          <w:szCs w:val="20"/>
          <w:color w:val="auto"/>
        </w:rPr>
      </w:pPr>
      <w:r>
        <w:rPr>
          <w:rFonts w:ascii="Courier New" w:cs="Courier New" w:eastAsia="Courier New" w:hAnsi="Courier New"/>
          <w:sz w:val="16"/>
          <w:szCs w:val="16"/>
          <w:color w:val="auto"/>
        </w:rPr>
        <w:t>-------</w:t>
      </w:r>
    </w:p>
    <w:p>
      <w:pPr>
        <w:sectPr>
          <w:pgSz w:w="11900" w:h="16864" w:orient="portrait"/>
          <w:cols w:equalWidth="0" w:num="1">
            <w:col w:w="10222"/>
          </w:cols>
          <w:pgMar w:left="237" w:top="663" w:right="1440" w:bottom="0" w:gutter="0" w:footer="0" w:header="0"/>
        </w:sectPr>
      </w:pPr>
    </w:p>
    <w:bookmarkStart w:id="28" w:name="page29"/>
    <w:bookmarkEnd w:id="28"/>
    <w:p>
      <w:pPr>
        <w:ind w:left="40"/>
        <w:spacing w:after="0"/>
        <w:rPr>
          <w:sz w:val="20"/>
          <w:szCs w:val="20"/>
          <w:color w:val="auto"/>
        </w:rPr>
      </w:pPr>
      <w:r>
        <w:rPr>
          <w:rFonts w:ascii="Courier New" w:cs="Courier New" w:eastAsia="Courier New" w:hAnsi="Courier New"/>
          <w:sz w:val="16"/>
          <w:szCs w:val="16"/>
          <w:color w:val="auto"/>
        </w:rPr>
        <w:t>2001 2000 -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Income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available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common</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shareholders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$32.1 $83.4</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Basic</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earnings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per share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1.13 2.98</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Diluted</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earnings</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per share</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1.05 2.81</w:t>
      </w:r>
    </w:p>
    <w:p>
      <w:pPr>
        <w:spacing w:after="0" w:line="368" w:lineRule="exact"/>
        <w:rPr>
          <w:sz w:val="20"/>
          <w:szCs w:val="20"/>
          <w:color w:val="auto"/>
        </w:rPr>
      </w:pPr>
    </w:p>
    <w:p>
      <w:pPr>
        <w:ind w:left="760" w:right="2759" w:hanging="756"/>
        <w:spacing w:after="0" w:line="237" w:lineRule="auto"/>
        <w:rPr>
          <w:sz w:val="20"/>
          <w:szCs w:val="20"/>
          <w:color w:val="auto"/>
        </w:rPr>
      </w:pPr>
      <w:r>
        <w:rPr>
          <w:rFonts w:ascii="Courier New" w:cs="Courier New" w:eastAsia="Courier New" w:hAnsi="Courier New"/>
          <w:sz w:val="16"/>
          <w:szCs w:val="16"/>
          <w:color w:val="auto"/>
        </w:rPr>
        <w:t>ITEM 7. 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Scotts is a leading manufacturer and marketer of consumer branded products for lawn and garden care and professional horticulture in North America and Europe. We also have a presence in Australia, the Far East, Latin America and South America. Also, in the United States, we operate the second largest residential lawn service business, Scotts LawnService(R). In fiscal 2003, our operations were divided into four business segments: North American Consumer, Scotts LawnService(R), Global Professional, and International Consumer. The North American Consumer segment includes the Lawns, Gardening Products, Ortho(R) and Canadian business groups. We are also Monsanto's exclusive agent for the marketing and distribution of consumer Roundup(R) non-selective herbicide within the United States and other contractually specified countries.</w:t>
      </w:r>
    </w:p>
    <w:p>
      <w:pPr>
        <w:spacing w:after="0" w:line="18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 fiscal 2003, we continued the rapid expansion of our Scotts LawnService(R) business. Through acquisitions and internal growth, revenues increased from approximately $42 million in fiscal 2001 to over $110 million in fiscal 2003. We completed $30 million of lawn care acquisitions in fiscal 2003 and expect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138" w:right="1440" w:bottom="1440" w:gutter="0" w:footer="0" w:header="0"/>
        </w:sectPr>
      </w:pPr>
    </w:p>
    <w:bookmarkStart w:id="29" w:name="page30"/>
    <w:bookmarkEnd w:id="29"/>
    <w:p>
      <w:pPr>
        <w:ind w:right="2839"/>
        <w:spacing w:after="0" w:line="237" w:lineRule="auto"/>
        <w:rPr>
          <w:sz w:val="20"/>
          <w:szCs w:val="20"/>
          <w:color w:val="auto"/>
        </w:rPr>
      </w:pPr>
      <w:r>
        <w:rPr>
          <w:rFonts w:ascii="Courier New" w:cs="Courier New" w:eastAsia="Courier New" w:hAnsi="Courier New"/>
          <w:sz w:val="16"/>
          <w:szCs w:val="16"/>
          <w:color w:val="auto"/>
        </w:rPr>
        <w:t>to continue to make selective acquisitions in fiscal 2004 and beyond, although at a somewhat slower pace.</w:t>
      </w:r>
    </w:p>
    <w:p>
      <w:pPr>
        <w:spacing w:after="0" w:line="188"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As a leading consumer branded lawn and garden company, we focus our consumer marketing efforts, including advertising and consumer research, on creating consumer demand to pull products through the retail distribution channels. In the past three years, we have spent approximately 5% of our net sales annually on media advertising to support and promote our products and brands. We have applied this consumer marketing focus for the past several years, and we believe that Scotts receives a significant return on these marketing expenditures. We expect that we will continue to focus our marketing efforts toward the consumer and make additional significant investments in consumer marketing expenditures in the future to continue to drive market share and sales growth. In fiscal 2004, we expect to increase advertising spending as we deliver a new media message for the Ortho(R) line, increase our advertising spending on selected brands in Europe and continue to have the largest share of voice in our lawn and garden categories in North America.</w:t>
      </w:r>
    </w:p>
    <w:p>
      <w:pPr>
        <w:spacing w:after="0" w:line="18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Our sales are susceptible to global weather conditions, primarily in North America and Europe. For instance, periods of wet weather like we experienced this past spring in the United States adversely impacted fertilizer sales but increased demand for certain pesticide products. We believe that our past acquisitions have somewhat diversified both our product line risk and geographic risk to weather conditions.</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Historically, the majority of our shipments to retailers have occurred in the second and third fiscal quarters. However, over the past two years, retailers have reduced their pre-season inventories by relying on vendors to deliver products "in season" when consumers seek to buy our products. This change in retailer purchasing patterns and the increasing importance of Scotts LawnService(R) revenues, has caused a sales shift from our second fiscal quarter to the third and fourth fiscal quarters. Net sales by quarter were 9.5%, 35.4%, 37.2%, and 17.9%, respectively, of fiscal 2003 net sales. Concurrent with this sales shift, and because of the expansion of Scotts LawnService(R), the Company has experienced a shift in profitability from the second to third and fourth fiscal quarters, with the third fiscal quarter now more profitable than the second fiscal quarter. Results for the Company's fourth fiscal quarter, historically a loss making quarter, improved substantially in fiscal 2003. We expect the trend towards stronger third and fourth fiscal quarter sales and profits to continue in fiscal 2004.</w:t>
      </w:r>
    </w:p>
    <w:p>
      <w:pPr>
        <w:spacing w:after="0" w:line="19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Beginning in fiscal 2003, the Company began expensing prospective grants of employee stock-based compensation awards in accordance with Statement of Financial Accounting Standards No. 123, "Accounting for Stock-Based Compensation", as amended by Statement of Financial Accounting Standards No. 148, "Accounting for Stock-Based Compensation -- Transition and Disclosure -- an Amendment of SFAS No. 123". The fair value of future awards will be expensed ratably over the vesting period, which has historically been three years, except for grants to directors, which have a six-month vesting period. The related compensation expense recorded in fiscal 2003 was $4.8 million.</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fiscal 2002, we adopted Statement of Financial Accounting Standards No. 142, "Goodwill and Other Intangible Assets." This standard eliminates the requirement to amortize indefinite-lived assets and goodwill. It also requires an initial impairment test on all indefinite-lived assets as of the date of adoption of this standard and impairment tests done at least annually thereafter. As a result of adopting the standard as of October 1, 2001, amortization expense for fiscal 2003 and 2002 was reduced by approximately $21.0 million in each year.</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We completed our impairment analysis in the second quarter of fiscal 2002, taking into account additional guidance provided by EITF 02-07, "Unit of Measure for Testing Impairment of Indefinite-Lived Intangible Assets." As a result, a pre-tax impairment charge related to the value of tradenames in our German, French and United Kingdom consumer businesses of $29.8 million was recorded as of October 1, 2001. After income taxes, the net charge was $18.5 million which is recorded as a cumulative effect of a change in accounting principle. There was no goodwill impairment as of the date of adoption. Upon completing the annual impairment analysis in the first quarter of fiscal 2003, it was determined that a charge for impairment was not required.</w:t>
      </w:r>
    </w:p>
    <w:p>
      <w:pPr>
        <w:spacing w:after="0" w:line="188" w:lineRule="exact"/>
        <w:rPr>
          <w:sz w:val="20"/>
          <w:szCs w:val="20"/>
          <w:color w:val="auto"/>
        </w:rPr>
      </w:pPr>
    </w:p>
    <w:p>
      <w:pPr>
        <w:ind w:right="2759" w:firstLine="473"/>
        <w:spacing w:after="0" w:line="256" w:lineRule="auto"/>
        <w:rPr>
          <w:sz w:val="20"/>
          <w:szCs w:val="20"/>
          <w:color w:val="auto"/>
        </w:rPr>
      </w:pPr>
      <w:r>
        <w:rPr>
          <w:rFonts w:ascii="Courier New" w:cs="Courier New" w:eastAsia="Courier New" w:hAnsi="Courier New"/>
          <w:sz w:val="15"/>
          <w:szCs w:val="15"/>
          <w:color w:val="auto"/>
        </w:rPr>
        <w:t>In fiscal 2002, we announced the International Profit Improvement Plan to improve the operations and profitability of our European-based consumer and professional businesses. By the end of 2005, we anticipate spending between $45 million and $55 million in the aggregate on various projects related to</w:t>
      </w:r>
    </w:p>
    <w:p>
      <w:pPr>
        <w:ind w:left="3600"/>
        <w:spacing w:after="0" w:line="238" w:lineRule="auto"/>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63" w:right="1440" w:bottom="1440" w:gutter="0" w:footer="0" w:header="0"/>
        </w:sectPr>
      </w:pPr>
    </w:p>
    <w:bookmarkStart w:id="30" w:name="page31"/>
    <w:bookmarkEnd w:id="30"/>
    <w:p>
      <w:pPr>
        <w:ind w:right="2659"/>
        <w:spacing w:after="0"/>
        <w:rPr>
          <w:sz w:val="20"/>
          <w:szCs w:val="20"/>
          <w:color w:val="auto"/>
        </w:rPr>
      </w:pPr>
      <w:r>
        <w:rPr>
          <w:rFonts w:ascii="Courier New" w:cs="Courier New" w:eastAsia="Courier New" w:hAnsi="Courier New"/>
          <w:sz w:val="16"/>
          <w:szCs w:val="16"/>
          <w:color w:val="auto"/>
        </w:rPr>
        <w:t>this plan, approximately 25% of which will be capital expenditures. Approximately 75% of the total spending relates to the reorganization and rationalization of our European supply chain, increased sales force productivity and a shift to pan-European category management of our product portfolio. In the fourth quarter of fiscal 2002, we announced the closure of a manufacturing plant in Bramford, England. In the fourth quarter of fiscal 2002, $4.0 million of severance and additional pension costs related to the closure were recorded and reported as restructuring and other charges. The closure was completed in May 2003 with the transfer of United Kingdom fertilizer production to our Howden, United Kingdom facility. For further information concerning the restructuring charges incurred in fiscal years 2003, 2002 and 2001, see Note 4 to the Consolidated Financial Statements.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fiscal 2001, Scotts adopted accounting policies that required certain amounts payable to customers or consumers related to the purchase of our products to be recorded as a reduction in net sales rather than as advertising and promotion expense (e.g., volume rebates and coupons). In fiscal 2002, Scotts adopted EITF 00-25, "Accounting for Consideration from a Vendor to a Retailer in Connection with the Purchase or Promotion of the Vendor's Products." This standard requires Scotts to record certain of its cooperative advertising expenditures as reductions of net sales rather than as advertising and promotion expense. Results for prior fiscal years have been reclassified to conform to this new presentation method for these expenses.</w:t>
      </w:r>
    </w:p>
    <w:p>
      <w:pPr>
        <w:spacing w:after="0" w:line="188"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In fiscal 2001, restructuring and other charges of $75.7 million were recorded for reductions in work force, facility closures, asset writedowns, and other related costs. Certain costs associated with this restructuring initiative, including costs related to the relocation of equipment, personnel and inventory, were not recorded as part of the restructuring costs in fiscal 2001. These costs, which totaled $4.1 million, were recorded as they were incurred in fiscal 2002 as required under generally accepted accounting principles in the United States.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CRITICAL ACCOUNTING POLICIES AND ESTIMATES</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The following discussion and analysis of the consolidated results of operations and financial position should be read in conjunction with our Consolidated Financial Statements included under "ITEM 8. FINANCIAL STATEMENTS AND SUPPLEMENTARY DATA"</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Actual results may differ from these estimates under different assumptions or conditions. The estimates that we believe are most critical to our reporting of results of operations and financial position are as follows:</w:t>
      </w:r>
    </w:p>
    <w:p>
      <w:pPr>
        <w:spacing w:after="0" w:line="191" w:lineRule="exact"/>
        <w:rPr>
          <w:sz w:val="20"/>
          <w:szCs w:val="20"/>
          <w:color w:val="auto"/>
        </w:rPr>
      </w:pPr>
    </w:p>
    <w:p>
      <w:pPr>
        <w:ind w:left="660" w:right="2659" w:hanging="190"/>
        <w:spacing w:after="0" w:line="257" w:lineRule="auto"/>
        <w:tabs>
          <w:tab w:leader="none" w:pos="6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significant investments in property and equipment, intangible assets and goodwill. Whenever changing conditions warrant, we review the realizability of the assets that may be impacted. At least annually, we review indefinite-lived intangible assets for impairment. The review for impairment of long-lived assets, intangibles and goodwill takes into account estimates of future cash flows. Our estimates of future cash flows are based upon budgets and longer-range plans. These budgets and plans are used for internal purposes and are also the basis for communication with outside parties about future business trends. While we believe the assumptions we use to estimate future cash flows are reasonable, there can be no assurance that the expected future cash flows will be realized. As a result, impairment charges that possibly should have been recognized in earlier periods may not be recognized until later periods if actual results deviate unfavorably from earlier estimates.</w:t>
      </w:r>
    </w:p>
    <w:p>
      <w:pPr>
        <w:spacing w:after="0" w:line="180" w:lineRule="exact"/>
        <w:rPr>
          <w:rFonts w:ascii="Courier New" w:cs="Courier New" w:eastAsia="Courier New" w:hAnsi="Courier New"/>
          <w:sz w:val="15"/>
          <w:szCs w:val="15"/>
          <w:color w:val="auto"/>
        </w:rPr>
      </w:pPr>
    </w:p>
    <w:p>
      <w:pPr>
        <w:ind w:left="660" w:right="2939" w:hanging="190"/>
        <w:spacing w:after="0" w:line="238" w:lineRule="auto"/>
        <w:tabs>
          <w:tab w:leader="none" w:pos="6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continually assess the adequacy of our reserves for uncollectible accounts due from customers. However, future changes in our customers' operating performance and cash flows or in general</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63" w:right="1440" w:bottom="1440" w:gutter="0" w:footer="0" w:header="0"/>
        </w:sectPr>
      </w:pPr>
    </w:p>
    <w:bookmarkStart w:id="31" w:name="page32"/>
    <w:bookmarkEnd w:id="31"/>
    <w:p>
      <w:pPr>
        <w:ind w:left="660" w:right="2939"/>
        <w:spacing w:after="0" w:line="238" w:lineRule="auto"/>
        <w:rPr>
          <w:sz w:val="20"/>
          <w:szCs w:val="20"/>
          <w:color w:val="auto"/>
        </w:rPr>
      </w:pPr>
      <w:r>
        <w:rPr>
          <w:rFonts w:ascii="Courier New" w:cs="Courier New" w:eastAsia="Courier New" w:hAnsi="Courier New"/>
          <w:sz w:val="16"/>
          <w:szCs w:val="16"/>
          <w:color w:val="auto"/>
        </w:rPr>
        <w:t>economic conditions could have an impact on their ability to fully pay these amounts which could have a material impact on our operating results.</w:t>
      </w:r>
    </w:p>
    <w:p>
      <w:pPr>
        <w:spacing w:after="0" w:line="188" w:lineRule="exact"/>
        <w:rPr>
          <w:sz w:val="20"/>
          <w:szCs w:val="20"/>
          <w:color w:val="auto"/>
        </w:rPr>
      </w:pPr>
    </w:p>
    <w:p>
      <w:pPr>
        <w:ind w:left="660" w:right="2839" w:hanging="190"/>
        <w:spacing w:after="0" w:line="239" w:lineRule="auto"/>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Reserves for product returns are based upon historical data and current program terms and conditions with our customers. Changes in economic conditions, regulatory actions or defective products could result in actual returns being materially different than the amounts provided for in our interim or annual results of operations.</w:t>
      </w:r>
    </w:p>
    <w:p>
      <w:pPr>
        <w:spacing w:after="0" w:line="188" w:lineRule="exact"/>
        <w:rPr>
          <w:rFonts w:ascii="Courier New" w:cs="Courier New" w:eastAsia="Courier New" w:hAnsi="Courier New"/>
          <w:sz w:val="16"/>
          <w:szCs w:val="16"/>
          <w:color w:val="auto"/>
        </w:rPr>
      </w:pPr>
    </w:p>
    <w:p>
      <w:pPr>
        <w:ind w:left="660" w:right="2659" w:hanging="190"/>
        <w:spacing w:after="0" w:line="239" w:lineRule="auto"/>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Reserves for excess and obsolete inventory are based on a variety of factors, including product changes and improvements, changes in active ingredient availability and regulatory acceptance, new product introductions and estimated future demand. The adequacy of our reserves could be materially affected by changes in the demand for our products or regulatory actions.</w:t>
      </w:r>
    </w:p>
    <w:p>
      <w:pPr>
        <w:spacing w:after="0" w:line="190" w:lineRule="exact"/>
        <w:rPr>
          <w:rFonts w:ascii="Courier New" w:cs="Courier New" w:eastAsia="Courier New" w:hAnsi="Courier New"/>
          <w:sz w:val="16"/>
          <w:szCs w:val="16"/>
          <w:color w:val="auto"/>
        </w:rPr>
      </w:pPr>
    </w:p>
    <w:p>
      <w:pPr>
        <w:ind w:left="660" w:right="2659" w:hanging="190"/>
        <w:spacing w:after="0" w:line="258" w:lineRule="auto"/>
        <w:tabs>
          <w:tab w:leader="none" w:pos="6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described more fully in the Notes to the Consolidated Financial Statements for the fiscal year ended September 30, 2003, we are involved in significant environmental and legal matters which have a high degree of uncertainty associated with them. We continually assess the likely outcomes of these matters and the adequacy of amounts, if any, provided for these matters. There can be no assurance that the ultimate outcomes will not differ materially from our assessment of them. There can also be no assurance that all matters that may be brought against us or that we may bring against other parties are known to us at any point in time.</w:t>
      </w:r>
    </w:p>
    <w:p>
      <w:pPr>
        <w:spacing w:after="0" w:line="174" w:lineRule="exact"/>
        <w:rPr>
          <w:rFonts w:ascii="Courier New" w:cs="Courier New" w:eastAsia="Courier New" w:hAnsi="Courier New"/>
          <w:sz w:val="15"/>
          <w:szCs w:val="15"/>
          <w:color w:val="auto"/>
        </w:rPr>
      </w:pPr>
    </w:p>
    <w:p>
      <w:pPr>
        <w:ind w:left="660" w:right="2659" w:hanging="190"/>
        <w:spacing w:after="0" w:line="258" w:lineRule="auto"/>
        <w:tabs>
          <w:tab w:leader="none" w:pos="6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accrue for the estimated costs of customer volume rebates, cooperative advertising, consumer coupons and other trade programs as the related sales occur during the year. These accruals involve the use of estimates as to the total expected program costs and the expected sales levels. Historical results are also used to evaluate the accuracy and adequacy of amounts provided at interim dates and year end. There can be no assurance that actual amounts paid for these trade programs will not differ from estimated amounts accrued. However, we believe any such differences would not be material to our financial position or results of operations.</w:t>
      </w:r>
    </w:p>
    <w:p>
      <w:pPr>
        <w:spacing w:after="0" w:line="174" w:lineRule="exact"/>
        <w:rPr>
          <w:rFonts w:ascii="Courier New" w:cs="Courier New" w:eastAsia="Courier New" w:hAnsi="Courier New"/>
          <w:sz w:val="15"/>
          <w:szCs w:val="15"/>
          <w:color w:val="auto"/>
        </w:rPr>
      </w:pPr>
    </w:p>
    <w:p>
      <w:pPr>
        <w:ind w:left="660" w:right="2659" w:hanging="190"/>
        <w:spacing w:after="0" w:line="257" w:lineRule="auto"/>
        <w:tabs>
          <w:tab w:leader="none" w:pos="6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 that is more likely than not to be realized. We must make estimates and judgments on future taxable income, considering feasible tax planning strategies and taking into account existing facts and circumstances, to determine the proper valuation allowance. When we determine that deferred tax assets could be realized in greater or lesser amounts than recorded, the asset balance and income statement reflects the change in the period such determination is made. Due to changes in facts and circumstances and the estimates and judgments that are involved in determining the proper valuation allowance, differences between actual future events and prior estimates and judgments could result in adjustments to this valuation allowance. The Company uses an estimate of its annual effective tax rate at each interim period based on the facts and circumstances available at that time, while the actual effective tax rate is calculated at year-end.</w:t>
      </w:r>
    </w:p>
    <w:p>
      <w:pPr>
        <w:spacing w:after="0" w:line="180" w:lineRule="exact"/>
        <w:rPr>
          <w:rFonts w:ascii="Courier New" w:cs="Courier New" w:eastAsia="Courier New" w:hAnsi="Courier New"/>
          <w:sz w:val="15"/>
          <w:szCs w:val="15"/>
          <w:color w:val="auto"/>
        </w:rPr>
      </w:pPr>
    </w:p>
    <w:p>
      <w:pPr>
        <w:ind w:left="660" w:right="2759" w:hanging="190"/>
        <w:spacing w:after="0" w:line="257" w:lineRule="auto"/>
        <w:tabs>
          <w:tab w:leader="none" w:pos="6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Also, as described more fully in the Notes to the Consolidated Financial Statements, we have not accrued the deferred contribution under the Roundup(R) marketing agreement with Monsanto or the per annum charges thereon. We consider this method of accounting for the contribution payments to be appropriate after consideration of the likely term of the agreement, our ability to terminate the agreement without paying the deferred amounts, and the fact that approximately $18.6 million of the deferred amount is never paid, even if the agreement is not terminated prior to 2018, unless significant earnings targets are exceeded. At September 30, 2003, contribution payments and related per annum charges of approximately $49.2 million had been deferred under the agreement.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ACCOUNTING STANDARDS NOT YET EFFECTIVE</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Financial Accounting Standards Board issued FASB Interpretation No. 46, "Consolidation of Variable Interest Entities -- an interpretation of ARB No. 51" (FIN 46), in January 2003. This Interpretation explains how to identify variable interest entities and how an enterprise assesses its interests in a variable interest entity to decide whether to consolidate that entity. This Interpretation requires existing unconsolidated variable interest entities to be consolidated by their primary beneficiaries if the entities do</w:t>
      </w:r>
    </w:p>
    <w:p>
      <w:pPr>
        <w:spacing w:after="0" w:line="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63" w:right="1440" w:bottom="1440" w:gutter="0" w:footer="0" w:header="0"/>
        </w:sectPr>
      </w:pPr>
    </w:p>
    <w:bookmarkStart w:id="32" w:name="page33"/>
    <w:bookmarkEnd w:id="32"/>
    <w:p>
      <w:pPr>
        <w:spacing w:after="0" w:line="2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not effectively disperse risks among parties involved. Variable interest entities that effectively disperse risks will not be consolidated unless a single party holds an interest or combination of interests that effectively recombines risks that were previously dispersed. The Company will be required to adopt this interpretation in the first quarter of fiscal 2004. The Company is still evaluating the provisions of FIN 46 and its related FASB Staff Positions for applicability to the Company's Scotts LawnService(R) franchises are currently being reviewed for application of this Interpretation. The Company has no other special purpose entities that would be applicable under this Interpretation.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6" w:lineRule="exact"/>
        <w:rPr>
          <w:sz w:val="20"/>
          <w:szCs w:val="20"/>
          <w:color w:val="auto"/>
        </w:rPr>
      </w:pPr>
    </w:p>
    <w:p>
      <w:pPr>
        <w:ind w:right="2939" w:firstLine="473"/>
        <w:spacing w:after="0" w:line="237" w:lineRule="auto"/>
        <w:rPr>
          <w:sz w:val="20"/>
          <w:szCs w:val="20"/>
          <w:color w:val="auto"/>
        </w:rPr>
      </w:pPr>
      <w:r>
        <w:rPr>
          <w:rFonts w:ascii="Courier New" w:cs="Courier New" w:eastAsia="Courier New" w:hAnsi="Courier New"/>
          <w:sz w:val="16"/>
          <w:szCs w:val="16"/>
          <w:color w:val="auto"/>
        </w:rPr>
        <w:t>The following table sets forth the components of income and expense as a percentage of net sales for the three years ended September 30, 2003:</w:t>
      </w:r>
    </w:p>
    <w:p>
      <w:pPr>
        <w:spacing w:after="0" w:line="18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2003 2002</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Net sales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100.0% 100.0%</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100.0% Cost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 sales 63.3</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63.6 63.9</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Restructuring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and other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charges 0.5</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0.1 0.4 -----</w:t>
      </w:r>
    </w:p>
    <w:p>
      <w:pPr>
        <w:spacing w:after="0" w:line="1" w:lineRule="exact"/>
        <w:rPr>
          <w:sz w:val="20"/>
          <w:szCs w:val="20"/>
          <w:color w:val="auto"/>
        </w:rPr>
      </w:pPr>
    </w:p>
    <w:p>
      <w:pPr>
        <w:ind w:left="460" w:hanging="370"/>
        <w:spacing w:after="0"/>
        <w:tabs>
          <w:tab w:leader="none" w:pos="4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Gross profit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36.2 36.3</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35.7</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Commission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earned from</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marketing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net 0.9 0.9</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1.3</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Advertising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5.1 4.7 5.3</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Selling,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general and</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5"/>
          <w:szCs w:val="15"/>
          <w:color w:val="auto"/>
        </w:rPr>
        <w:t>administrative</w:t>
      </w:r>
    </w:p>
    <w:p>
      <w:pPr>
        <w:spacing w:after="0" w:line="8"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17.1 17.0</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18.4 Selling,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general and</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5"/>
          <w:szCs w:val="15"/>
          <w:color w:val="auto"/>
        </w:rPr>
        <w:t>administrative</w:t>
      </w:r>
    </w:p>
    <w:p>
      <w:pPr>
        <w:spacing w:after="0" w:line="12" w:lineRule="exact"/>
        <w:rPr>
          <w:sz w:val="20"/>
          <w:szCs w:val="20"/>
          <w:color w:val="auto"/>
        </w:rPr>
      </w:pPr>
    </w:p>
    <w:p>
      <w:pPr>
        <w:jc w:val="right"/>
        <w:ind w:left="320" w:right="9239" w:firstLine="7"/>
        <w:spacing w:after="0" w:line="256" w:lineRule="auto"/>
        <w:tabs>
          <w:tab w:leader="none" w:pos="60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lawn service</w:t>
      </w:r>
    </w:p>
    <w:p>
      <w:pPr>
        <w:jc w:val="center"/>
        <w:ind w:right="8899"/>
        <w:spacing w:after="0" w:line="236" w:lineRule="auto"/>
        <w:rPr>
          <w:sz w:val="20"/>
          <w:szCs w:val="20"/>
          <w:color w:val="auto"/>
        </w:rPr>
      </w:pPr>
      <w:r>
        <w:rPr>
          <w:rFonts w:ascii="Courier New" w:cs="Courier New" w:eastAsia="Courier New" w:hAnsi="Courier New"/>
          <w:sz w:val="16"/>
          <w:szCs w:val="16"/>
          <w:color w:val="auto"/>
        </w:rPr>
        <w:t>business 2.4</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1.8 1.0</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Restructuring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and other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charges 0.4</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0.4 4.1</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Amortization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 goodwill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and other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intangibles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0.4</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0.3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c>
          <w:tcPr>
            <w:tcW w:w="100" w:type="dxa"/>
            <w:vAlign w:val="bottom"/>
          </w:tcPr>
          <w:p>
            <w:pPr>
              <w:spacing w:after="0"/>
              <w:rPr>
                <w:sz w:val="15"/>
                <w:szCs w:val="15"/>
                <w:color w:val="auto"/>
              </w:rPr>
            </w:pPr>
          </w:p>
        </w:tc>
      </w:tr>
      <w:tr>
        <w:trPr>
          <w:trHeight w:val="182"/>
        </w:trPr>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Other</w:t>
            </w:r>
          </w:p>
        </w:tc>
        <w:tc>
          <w:tcPr>
            <w:tcW w:w="76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5"/>
              </w:rPr>
              <w:t>income,</w:t>
            </w:r>
          </w:p>
        </w:tc>
      </w:tr>
      <w:tr>
        <w:trPr>
          <w:trHeight w:val="182"/>
        </w:trPr>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net</w:t>
            </w:r>
          </w:p>
        </w:tc>
        <w:tc>
          <w:tcPr>
            <w:tcW w:w="6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(0.5)</w:t>
            </w:r>
          </w:p>
        </w:tc>
        <w:tc>
          <w:tcPr>
            <w:tcW w:w="100" w:type="dxa"/>
            <w:vAlign w:val="bottom"/>
          </w:tcPr>
          <w:p>
            <w:pPr>
              <w:spacing w:after="0"/>
              <w:rPr>
                <w:sz w:val="15"/>
                <w:szCs w:val="15"/>
                <w:color w:val="auto"/>
              </w:rPr>
            </w:pPr>
          </w:p>
        </w:tc>
      </w:tr>
      <w:tr>
        <w:trPr>
          <w:trHeight w:val="182"/>
        </w:trPr>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(0.7)</w:t>
            </w:r>
          </w:p>
        </w:tc>
        <w:tc>
          <w:tcPr>
            <w:tcW w:w="6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(0.5)</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bl>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460" w:hanging="370"/>
        <w:spacing w:after="0"/>
        <w:tabs>
          <w:tab w:leader="none" w:pos="4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both"/>
        <w:ind w:left="180" w:right="9039" w:hanging="47"/>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Income from operations</w:t>
      </w:r>
    </w:p>
    <w:p>
      <w:pPr>
        <w:jc w:val="center"/>
        <w:ind w:right="8899"/>
        <w:spacing w:after="0" w:line="236" w:lineRule="auto"/>
        <w:rPr>
          <w:sz w:val="20"/>
          <w:szCs w:val="20"/>
          <w:color w:val="auto"/>
        </w:rPr>
      </w:pPr>
      <w:r>
        <w:rPr>
          <w:rFonts w:ascii="Courier New" w:cs="Courier New" w:eastAsia="Courier New" w:hAnsi="Courier New"/>
          <w:sz w:val="16"/>
          <w:szCs w:val="16"/>
          <w:color w:val="auto"/>
        </w:rPr>
        <w:t>12.2 13.7 7.0</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Interest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expense 3.6</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4.4 5.3 -----</w:t>
      </w:r>
    </w:p>
    <w:p>
      <w:pPr>
        <w:spacing w:after="0" w:line="1" w:lineRule="exact"/>
        <w:rPr>
          <w:sz w:val="20"/>
          <w:szCs w:val="20"/>
          <w:color w:val="auto"/>
        </w:rPr>
      </w:pPr>
    </w:p>
    <w:p>
      <w:pPr>
        <w:ind w:left="460" w:hanging="370"/>
        <w:spacing w:after="0"/>
        <w:tabs>
          <w:tab w:leader="none" w:pos="4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Income before</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income taxes</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8.6 9.3 1.7</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Income taxes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3.2 3.5 0.8 -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w:t>
      </w:r>
    </w:p>
    <w:p>
      <w:pPr>
        <w:sectPr>
          <w:pgSz w:w="11900" w:h="16864" w:orient="portrait"/>
          <w:cols w:equalWidth="0" w:num="1">
            <w:col w:w="10219"/>
          </w:cols>
          <w:pgMar w:left="240" w:top="663" w:right="1440" w:bottom="0" w:gutter="0" w:footer="0" w:header="0"/>
        </w:sectPr>
      </w:pPr>
    </w:p>
    <w:bookmarkStart w:id="33" w:name="page34"/>
    <w:bookmarkEnd w:id="33"/>
    <w:p>
      <w:pPr>
        <w:jc w:val="center"/>
        <w:ind w:right="8899"/>
        <w:spacing w:after="0"/>
        <w:rPr>
          <w:sz w:val="20"/>
          <w:szCs w:val="20"/>
          <w:color w:val="auto"/>
        </w:rPr>
      </w:pPr>
      <w:r>
        <w:rPr>
          <w:rFonts w:ascii="Courier New" w:cs="Courier New" w:eastAsia="Courier New" w:hAnsi="Courier New"/>
          <w:sz w:val="16"/>
          <w:szCs w:val="16"/>
          <w:color w:val="auto"/>
        </w:rPr>
        <w:t>Income before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cumulative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effect of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accounting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change 5.4</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5.8 0.9</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Cumulative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effect of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change in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accounting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for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intangible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assets, net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 tax (1.1)</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520" w:hanging="477"/>
        <w:spacing w:after="0"/>
        <w:tabs>
          <w:tab w:leader="none" w:pos="5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5.4% 4.7%</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0.9% ========</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The following table sets forth net sales by business segment for the three years ended September 30, 2003:</w:t>
      </w:r>
    </w:p>
    <w:p>
      <w:pPr>
        <w:spacing w:after="0" w:line="18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2003 2002</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millions)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North</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American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Consumer: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Lawns $ 581.7</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$ 523.3 $</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495.8</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Gardening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Products</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472.5</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471.7</w:t>
            </w:r>
          </w:p>
        </w:tc>
      </w:tr>
      <w:tr>
        <w:trPr>
          <w:trHeight w:val="182"/>
        </w:trPr>
        <w:tc>
          <w:tcPr>
            <w:tcW w:w="11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446.3</w:t>
            </w:r>
          </w:p>
        </w:tc>
      </w:tr>
      <w:tr>
        <w:trPr>
          <w:trHeight w:val="182"/>
        </w:trPr>
        <w:tc>
          <w:tcPr>
            <w:tcW w:w="11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Ortho(R)</w:t>
            </w:r>
          </w:p>
        </w:tc>
      </w:tr>
      <w:tr>
        <w:trPr>
          <w:trHeight w:val="182"/>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225.6</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220.9</w:t>
            </w:r>
          </w:p>
        </w:tc>
      </w:tr>
      <w:tr>
        <w:trPr>
          <w:trHeight w:val="182"/>
        </w:trPr>
        <w:tc>
          <w:tcPr>
            <w:tcW w:w="11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222.2 Canada</w:t>
            </w:r>
          </w:p>
        </w:tc>
      </w:tr>
      <w:tr>
        <w:trPr>
          <w:trHeight w:val="182"/>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35.3</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26.7</w:t>
            </w:r>
          </w:p>
        </w:tc>
      </w:tr>
      <w:tr>
        <w:trPr>
          <w:trHeight w:val="182"/>
        </w:trPr>
        <w:tc>
          <w:tcPr>
            <w:tcW w:w="11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26.5 Other</w:t>
            </w:r>
          </w:p>
        </w:tc>
      </w:tr>
    </w:tbl>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3.5 0.3 0.6 -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460" w:hanging="370"/>
        <w:spacing w:after="0"/>
        <w:tabs>
          <w:tab w:leader="none" w:pos="46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 1,318.6</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1,242.9</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1,191.4</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Scotts</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LawnService(R)</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110.4 75.6</w:t>
      </w:r>
    </w:p>
    <w:p>
      <w:pPr>
        <w:ind w:left="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41.2</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International</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Consumer</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281.3 246.8</w:t>
      </w:r>
    </w:p>
    <w:p>
      <w:pPr>
        <w:spacing w:after="0" w:line="4" w:lineRule="exact"/>
        <w:rPr>
          <w:rFonts w:ascii="Courier New" w:cs="Courier New" w:eastAsia="Courier New" w:hAnsi="Courier New"/>
          <w:sz w:val="16"/>
          <w:szCs w:val="16"/>
          <w:color w:val="auto"/>
        </w:rPr>
      </w:pPr>
    </w:p>
    <w:p>
      <w:pPr>
        <w:jc w:val="center"/>
        <w:ind w:left="40" w:right="8939" w:firstLine="47"/>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252.1 Global Professional 199.8 183.4 185.7 -------</w:t>
      </w:r>
    </w:p>
    <w:p>
      <w:pPr>
        <w:ind w:left="240" w:hanging="197"/>
        <w:spacing w:after="0"/>
        <w:tabs>
          <w:tab w:leader="none" w:pos="2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Consolidated</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$1,910.1</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$1,748.7</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$1,670.4</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138"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6"/>
          <w:szCs w:val="16"/>
          <w:color w:val="auto"/>
        </w:rPr>
        <w:t>FISCAL 2003 COMPARED TO FISCAL 2002</w:t>
      </w:r>
    </w:p>
    <w:p>
      <w:pPr>
        <w:spacing w:after="0" w:line="186"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Net sales for fiscal 2003 increased 9.2% to $1,910.1 million from $1,748.7 million in fiscal 2002.</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North American Consumer segment net sales were $1,318.6 million in fiscal 2003, an increase of $75.7 million, or 6.1%, from net sales for fiscal 2002 of $1,242.9 million. Within the North American Consumer segment, Lawns net sales in fiscal 2003 increased a robust 11.2% due to strong acceptance of the new Miracle-Gro(R) lawn fertilizer line at Wal*Mart and continued strong sales of Turf Builder(R) lawn fertilizer, control products and grass seed. Gardening Products sales, which include growing media and garden fertilizers, were essentially flat year-over-year with higher sales of value-added Miracle-Gro(R) potting mix and garden soils mainly offset by lower sales of commodity growing media products. Ortho(R)'s net sales increased 2.1% in fiscal 2003, driven largely by strong sales of selective and non-selective weed control products and continued growth of the Ortho(R) Home Defense(R) indoor and perimeter pest control product line, partially offset by lower outdoor insect control sales. Several important outdoor insect control products are scheduled for re-launch with increased advertising support in fiscal 2004.</w:t>
      </w:r>
    </w:p>
    <w:p>
      <w:pPr>
        <w:spacing w:after="0" w:line="191"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Scotts LawnService(R) net sales increased 46.0% from $75.6 million in fiscal 2002 to $110.4 million in fiscal 2003. The growth in net sales has been largely fueled by geographic expansion and acquisitions. Spending on acquisitions, including seller-financing, reached $30.6 million in fiscal 2003 versus $54.0 million in fiscal 2002. Fiscal 2002 was impacted by a major acquisition late in the year, representing nearly one-half of fiscal 2002 acquisition spending and favorably impacting fiscal 2003 net sales.</w:t>
      </w:r>
    </w:p>
    <w:p>
      <w:pPr>
        <w:spacing w:after="0" w:line="192"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Net sales for the International Consumer segment were $281.3 million in fiscal 2003, an increase of $34.5 million, or 14.0%, compared to fiscal 2002. Excluding the effects of currency fluctuations and non-recurring sales from previous supply agreements, net sales increased approximately $5.0 million, or 2.0%, in fiscal 2003. Sales increased in all major countries except Germany which experienced lower sales due to increased regulatory restrictions and product line gaps that are being addressed in fiscal 2004.</w:t>
      </w:r>
    </w:p>
    <w:p>
      <w:pPr>
        <w:spacing w:after="0" w:line="192"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5"/>
          <w:szCs w:val="15"/>
          <w:color w:val="auto"/>
        </w:rPr>
        <w:t>Net sales for the Global Professional segment reached $199.8 million in fiscal 2003, an increase of $16.4 million, or 8.9%, compared to fiscal 2002. Excluding the effects of currency fluctuations, sales were essentially flat but reflected a shift to more profitable controlled-release fertilizer sales due to management's decision to exit certain lower margin growing media businesses.</w:t>
      </w:r>
    </w:p>
    <w:p>
      <w:pPr>
        <w:spacing w:after="0" w:line="174" w:lineRule="exact"/>
        <w:rPr>
          <w:sz w:val="20"/>
          <w:szCs w:val="20"/>
          <w:color w:val="auto"/>
        </w:rPr>
      </w:pPr>
    </w:p>
    <w:p>
      <w:pPr>
        <w:ind w:right="3119" w:firstLine="473"/>
        <w:spacing w:after="0" w:line="237" w:lineRule="auto"/>
        <w:rPr>
          <w:sz w:val="20"/>
          <w:szCs w:val="20"/>
          <w:color w:val="auto"/>
        </w:rPr>
      </w:pPr>
      <w:r>
        <w:rPr>
          <w:rFonts w:ascii="Courier New" w:cs="Courier New" w:eastAsia="Courier New" w:hAnsi="Courier New"/>
          <w:sz w:val="16"/>
          <w:szCs w:val="16"/>
          <w:color w:val="auto"/>
        </w:rPr>
        <w:t>Selling price changes were not material to net sales in fiscal 2003 or fiscal 2002.</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Gross profit increased $55.9 million in fiscal 2003 compared to fiscal 2002. As a percentage of net sales, gross profit was 36.2% of net sales in fiscal 2003 compared to 36.3% in fiscal 2002. Favorable impacts were realized from certain supply chain initiatives and higher volume. These benefits were offset by unfavorable warehousing and material handling costs and product mix, particularly in our Lawns business, which was also impacted by higher urea costs. Lastly, restructuring and other expenses, included in cost of sales, primarily related to International supply chain initiatives, increased from $1.7 million in fiscal 2002 to $9.1 million in fiscal 2003, reducing gross profit as a percentage of net sales by 39 basis points.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net commission earned from the Roundup(R) marketing agreement in fiscal 2003 was $17.6 million compared to $16.2 million in fiscal 2002. The increase from the prior year is primarily due to strong underlying growth in Roundup(R) sales, which drove the gross commission higher, partially offset by a $5.0 million increase in the contribution payment due to Monsanto, which increased from $20.0 million in fiscal 2002 to $25.0 million in fiscal 2003.</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Advertising expenses in fiscal 2003 were $97.7 million, an increase of $15.5 million from fiscal 2002. The increase in advertising expenses is primarily due to the re-launch of television media support for the Ortho(R) line and media support for new product launches such as Miracle-Gro(R) Shake N' Feed(R). Foreign currency fluctuations also increased reported advertising expenses by $2.7 million.</w:t>
      </w:r>
    </w:p>
    <w:p>
      <w:pPr>
        <w:spacing w:after="0" w:line="190"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Selling, general and administrative ("SG&amp;A") expenses in fiscal 2003 were $380.4 million compared to $336.0 million for fiscal 2002. Excluding the expensing of stock-based compensation, infrastructure investment in the Scotts LawnService(R) and restructuring and other charges, the Company's SG&amp;A expenses increased $22.6 million, or 7.6%, compared to 2002. This increase is primarily due to investments to support our expansion into adjacent categories and channels, investments to expand the functionality and capability of our business development offices at our largest retailers, and foreign exchange fluctuations.</w:t>
      </w:r>
    </w:p>
    <w:p>
      <w:pPr>
        <w:spacing w:after="0" w:line="17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59" w:right="1440" w:bottom="701" w:gutter="0" w:footer="0" w:header="0"/>
        </w:sectPr>
      </w:pPr>
    </w:p>
    <w:bookmarkStart w:id="35" w:name="page36"/>
    <w:bookmarkEnd w:id="35"/>
    <w:p>
      <w:pPr>
        <w:ind w:right="2839"/>
        <w:spacing w:after="0" w:line="239" w:lineRule="auto"/>
        <w:rPr>
          <w:sz w:val="20"/>
          <w:szCs w:val="20"/>
          <w:color w:val="auto"/>
        </w:rPr>
      </w:pPr>
      <w:r>
        <w:rPr>
          <w:rFonts w:ascii="Courier New" w:cs="Courier New" w:eastAsia="Courier New" w:hAnsi="Courier New"/>
          <w:sz w:val="16"/>
          <w:szCs w:val="16"/>
          <w:color w:val="auto"/>
        </w:rPr>
        <w:t>SG&amp;A expenses for Scotts LawnService(R) increased 50% from $30.8 million in fiscal 2002 to $46.2 million in fiscal 2003, primarily due to growth in the branch service network, supporting our plan to rapidly expand to a national platform. SG&amp;A restructuring and other expenses increased from $6.4 million in fiscal 2002 to $8.0 million in fiscal 2003, primarily related to the implementation of the International Profit Improvement Plan.</w:t>
      </w:r>
    </w:p>
    <w:p>
      <w:pPr>
        <w:spacing w:after="0" w:line="190"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Amortization of goodwill and intangibles increased from $5.7 million in fiscal 2002 to $8.6 million in fiscal 2003, primarily due to foreign currency fluctuations and higher expenses related to the amortization of certain intangibles, primarily related to customer lists acquired by Scotts LawnService(R).</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Other income, net was $10.8 million in fiscal 2003, compared to $12.0 million in fiscal 2002. The Company realized a net reduction of approximately $4 million from an agreement to cease peat extraction in the United Kingdom. Increased Scotts LawnService(R) franchise fees and royalty income recorded in fiscal 2002 partially off-set the reduction related to peat extraction.</w:t>
      </w:r>
    </w:p>
    <w:p>
      <w:pPr>
        <w:spacing w:after="0" w:line="18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Income from operations in fiscal 2003 was $232.5 million, compared to</w:t>
      </w:r>
    </w:p>
    <w:p>
      <w:pPr>
        <w:spacing w:after="0" w:line="5"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$239.2 million in fiscal 2002. This decrease in income from operations reflects higher net sales and gross profit, offset by greater investments in media advertising and higher SG&amp;A expenses, higher restructuring spending in Europe (to support our International Profit Improvement Plan) and the adoption of an accounting change to expense stock-based compensation awards.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For segment reporting purposes, earnings before interest, taxes and amortization is used as the measure for income from operations ("operating income"). On that basis, operating income in the North American Consumer segment increased from $273.7 million in fiscal 2002 to $276.1 million in fiscal 2003, on an increase in net sales from $1,242.9 million in fiscal 2002 to $1,318.6 million in fiscal 2003. Higher sales volume (primarily in the Lawns business) and favorable volume-related manufacturing cost absorption were largely offset by a decrease in gross profit margin as a percentage of net sales (due to product mix and increased urea and warehousing costs), and higher media and SG&amp;A expenses.</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Scotts LawnService's(R) operating income decreased from $8.8 million in fiscal 2002 to $6.2 million in fiscal 2003 due to planned infrastructure investments and higher field labor and truck costs, largely the result of poor spring weather that delayed the start of the spring treatment season. These higher costs more than offset increased margin resulting from higher net sales, which were driven by geographic expansion and acquisitions.</w:t>
      </w:r>
    </w:p>
    <w:p>
      <w:pPr>
        <w:spacing w:after="0" w:line="190"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International Consumer's operating income was $9.1 million in fiscal 2003, compared to $16.3 million in fiscal 2002. The decrease in fiscal 2003 operating income is largely due to planned restructuring expenses, as outlined in the Company's International Profit Improvement Plan, and a non-recurring peat transaction gain recognized in fiscal 2002. Foreign currency fluctuations also favorably impacted operating income.</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Global Professional's operating income increased from $13.4 million in fiscal 2002 to $22.4 million in fiscal 2003 primarily due to higher gross profit margins, largely driven by stringent cost controls and management's decision to exit low margin commodity growing media. Foreign currency fluctuations also favorably impacted operating income.</w:t>
      </w:r>
    </w:p>
    <w:p>
      <w:pPr>
        <w:spacing w:after="0" w:line="189"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Interest expense decreased from $76.3 million in fiscal 2002 to $69.2 million in fiscal 2003. The decrease in interest expense was primarily due to debt repayments and strong operating cash flow, which resulted in lower average borrowing levels as compared to the prior year, and lower interest rates on our credit revolver and variable rate term loans. The weighted average cost of debt was 7.96% in fiscal 2003 compared to 8.30% in fiscal 2002.</w:t>
      </w:r>
    </w:p>
    <w:p>
      <w:pPr>
        <w:spacing w:after="0" w:line="177"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Income tax expense for fiscal 2003 was $59.5 million, compared to $61.9 million in fiscal 2002. This decrease in income tax expense as compared to the prior year primarily was the result of a reduction in the Company's effective tax rate from 38.0% in 2002 to 36.4% in 2003, due to an adjustment of state deferred income taxes resulting from a detailed review of state effective tax rates, and increased utilization of foreign tax credits in fiscal 2003.</w:t>
      </w:r>
    </w:p>
    <w:p>
      <w:pPr>
        <w:spacing w:after="0" w:line="177" w:lineRule="exact"/>
        <w:rPr>
          <w:sz w:val="20"/>
          <w:szCs w:val="20"/>
          <w:color w:val="auto"/>
        </w:rPr>
      </w:pPr>
    </w:p>
    <w:p>
      <w:pPr>
        <w:ind w:right="2659" w:firstLine="473"/>
        <w:spacing w:after="0" w:line="260" w:lineRule="auto"/>
        <w:rPr>
          <w:sz w:val="20"/>
          <w:szCs w:val="20"/>
          <w:color w:val="auto"/>
        </w:rPr>
      </w:pPr>
      <w:r>
        <w:rPr>
          <w:rFonts w:ascii="Courier New" w:cs="Courier New" w:eastAsia="Courier New" w:hAnsi="Courier New"/>
          <w:sz w:val="15"/>
          <w:szCs w:val="15"/>
          <w:color w:val="auto"/>
        </w:rPr>
        <w:t>The Company reported income before cumulative effect of accounting changes of $103.8 million for fiscal 2003, compared to $101.0 million in fiscal 2002. After the charge of $29.8 million ($18.5 million, net of tax) for the impairment of trade names in our German, French and United Kingdom businesses, net</w:t>
      </w:r>
    </w:p>
    <w:p>
      <w:pPr>
        <w:spacing w:after="0" w:line="16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63" w:right="1440" w:bottom="1440" w:gutter="0" w:footer="0" w:header="0"/>
        </w:sectPr>
      </w:pPr>
    </w:p>
    <w:bookmarkStart w:id="36" w:name="page37"/>
    <w:bookmarkEnd w:id="36"/>
    <w:p>
      <w:pPr>
        <w:ind w:right="2839"/>
        <w:spacing w:after="0" w:line="267" w:lineRule="auto"/>
        <w:rPr>
          <w:sz w:val="20"/>
          <w:szCs w:val="20"/>
          <w:color w:val="auto"/>
        </w:rPr>
      </w:pPr>
      <w:r>
        <w:rPr>
          <w:rFonts w:ascii="Courier New" w:cs="Courier New" w:eastAsia="Courier New" w:hAnsi="Courier New"/>
          <w:sz w:val="15"/>
          <w:szCs w:val="15"/>
          <w:color w:val="auto"/>
        </w:rPr>
        <w:t>income for fiscal 2002 was $82.5 million, or $2.61 per diluted share, compared to net income of $103.8 million, or $3.23 per diluted share, in fiscal 2003.</w:t>
      </w:r>
    </w:p>
    <w:p>
      <w:pPr>
        <w:spacing w:after="0" w:line="16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Average diluted shares outstanding increased from 31.7 million in fiscal 2002 to 32.1 million in fiscal 2003, due to option and warrant exercises and the impact on common stock equivalents of a higher average share price in fiscal 2003.</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2002 COMPARED TO FISCAL 2001</w:t>
      </w:r>
    </w:p>
    <w:p>
      <w:pPr>
        <w:spacing w:after="0" w:line="186"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Net sales for fiscal 2002 increased 4.7% to $1,748.7 million from $1,670.4 million in fiscal 2001.</w:t>
      </w:r>
    </w:p>
    <w:p>
      <w:pPr>
        <w:spacing w:after="0" w:line="188" w:lineRule="exact"/>
        <w:rPr>
          <w:sz w:val="20"/>
          <w:szCs w:val="20"/>
          <w:color w:val="auto"/>
        </w:rPr>
      </w:pPr>
    </w:p>
    <w:p>
      <w:pPr>
        <w:ind w:right="2839" w:firstLine="473"/>
        <w:spacing w:after="0"/>
        <w:rPr>
          <w:sz w:val="20"/>
          <w:szCs w:val="20"/>
          <w:color w:val="auto"/>
        </w:rPr>
      </w:pPr>
      <w:r>
        <w:rPr>
          <w:rFonts w:ascii="Courier New" w:cs="Courier New" w:eastAsia="Courier New" w:hAnsi="Courier New"/>
          <w:sz w:val="16"/>
          <w:szCs w:val="16"/>
          <w:color w:val="auto"/>
        </w:rPr>
        <w:t>North American Consumer segment net sales were $1,242.9 million in fiscal 2002, an increase of $51.5 million, or 4.3%, from net sales for fiscal 2001 of $1,191.4 million. Within the North American Consumer segment, Lawns net sales increased in fiscal 2002 over 5.5% due to strong acceptance of our new SummerGuard(R) product and continued strong sales of Turf Builder(R) lawn fertilizer, control products and grass seed; Gardening Products net sales increased over 11% due to continued strong performance of our value-added line of Miracle-Gro(R) potting mix and garden soil with an off-setting decline of 5.5% in our garden fertilizers due primarily to a colder and wetter May (the business peak sales month) in the Midwest and Eastern portions of the United States. Ortho(R) net sales were down slightly in fiscal 2002. Despite an increase in consumer purchases of certain product lines, overall Ortho(R) net sales declined slightly in fiscal 2002 as we reduced national television advertising support to reassess our campaign for this line and prepared for a new campaign in fiscal 2003.</w:t>
      </w:r>
    </w:p>
    <w:p>
      <w:pPr>
        <w:spacing w:after="0" w:line="19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Scotts LawnService(R) net sales increased over 83% from $41.2 million in fiscal 2001 to $75.6 million in fiscal 2002. The growth in net sales reflects the growth in the business from the acquisitions completed in fiscal 2002, new branch openings in late winter of 2001 and the growth in customers from our spring 2002 and fall 2001 marketing campaigns. Spending on acquisitions, including seller-financing, increased from nearly $18.0 million in fiscal 2001 to over $54.0 million in fiscal 2002. Due to one major acquisition, nearly one-half of fiscal 2002's acquisition spending occurred in August 2002 resulting in only a minor contribution to fiscal 2002's revenue growth.</w:t>
      </w:r>
    </w:p>
    <w:p>
      <w:pPr>
        <w:spacing w:after="0" w:line="188"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Net sales for the International Consumer segment were $246.8 million in fiscal 2002, which were $5.3 million, or 2.1%, lower than net sales for fiscal 2001. Excluding the effects of currency fluctuations, net sales declined over $7.0 million from fiscal 2001 to fiscal 2002. Efforts by retailers to reduce their inventory investment and more closely time their purchases to consumer purchases contributed to the year over year sales decrease.</w:t>
      </w:r>
    </w:p>
    <w:p>
      <w:pPr>
        <w:spacing w:after="0" w:line="177" w:lineRule="exact"/>
        <w:rPr>
          <w:sz w:val="20"/>
          <w:szCs w:val="20"/>
          <w:color w:val="auto"/>
        </w:rPr>
      </w:pPr>
    </w:p>
    <w:p>
      <w:pPr>
        <w:ind w:right="2659" w:firstLine="473"/>
        <w:spacing w:after="0" w:line="260" w:lineRule="auto"/>
        <w:rPr>
          <w:sz w:val="20"/>
          <w:szCs w:val="20"/>
          <w:color w:val="auto"/>
        </w:rPr>
      </w:pPr>
      <w:r>
        <w:rPr>
          <w:rFonts w:ascii="Courier New" w:cs="Courier New" w:eastAsia="Courier New" w:hAnsi="Courier New"/>
          <w:sz w:val="15"/>
          <w:szCs w:val="15"/>
          <w:color w:val="auto"/>
        </w:rPr>
        <w:t>Net sales for the Global Professional segment were $183.4 million in fiscal 2002, which were $2.3 million, or 1.2%, lower than net sales for fiscal 2001. The decline was primarily in North America where our customers, the end-user growers, have been impacted by retailer initiatives to reduce inventory levels.</w:t>
      </w:r>
    </w:p>
    <w:p>
      <w:pPr>
        <w:spacing w:after="0" w:line="173" w:lineRule="exact"/>
        <w:rPr>
          <w:sz w:val="20"/>
          <w:szCs w:val="20"/>
          <w:color w:val="auto"/>
        </w:rPr>
      </w:pPr>
    </w:p>
    <w:p>
      <w:pPr>
        <w:ind w:right="3119" w:firstLine="473"/>
        <w:spacing w:after="0" w:line="237" w:lineRule="auto"/>
        <w:rPr>
          <w:sz w:val="20"/>
          <w:szCs w:val="20"/>
          <w:color w:val="auto"/>
        </w:rPr>
      </w:pPr>
      <w:r>
        <w:rPr>
          <w:rFonts w:ascii="Courier New" w:cs="Courier New" w:eastAsia="Courier New" w:hAnsi="Courier New"/>
          <w:sz w:val="16"/>
          <w:szCs w:val="16"/>
          <w:color w:val="auto"/>
        </w:rPr>
        <w:t>Selling price changes were not material to net sales in fiscal 2002 or fiscal 2001.</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Gross profit increased $38.5 million in fiscal 2002 from fiscal 2001. As a percentage of net sales, gross profit was 36.3% of net sales in fiscal 2002 compared to 35.7% in fiscal 2001. In North America, cost savings from our supply chain and purchasing initiatives to reduce manufacturing costs were partially offset by lower absorption of fixed costs due to lower production levels. Production levels were lowered in order to reduce North American inventory levels, which declined over $92 million from the end of fiscal 2001 to the end of fiscal 2002. Other factors affecting margins were better product mix, particularly in our Lawns and Gardening Products businesses, and the increasing contribution of our rapidly growing Scotts LawnService(R) business which has higher margins than our other business units. Lastly, restructuring expenses included in cost of sales declined from $7.3 million in fiscal 2001 to $1.7 million in fiscal 2002 which improved gross profit as a percentage of net sales by 32 basis points.</w:t>
      </w:r>
    </w:p>
    <w:p>
      <w:pPr>
        <w:spacing w:after="0" w:line="19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net commission earned from the Roundup(R) marketing agreement in fiscal 2002 was $16.2 million, compared to $20.8 million in fiscal 2001. The decrease from the prior year is primarily due to a $5.0 million increase in the contribution payment due to Monsanto to $20.0 million in fiscal 2002 from $15.0 million in fiscal 2001.</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63" w:right="1440" w:bottom="1440" w:gutter="0" w:footer="0" w:header="0"/>
        </w:sectPr>
      </w:pPr>
    </w:p>
    <w:bookmarkStart w:id="37" w:name="page38"/>
    <w:bookmarkEnd w:id="37"/>
    <w:p>
      <w:pPr>
        <w:ind w:right="2759" w:firstLine="473"/>
        <w:spacing w:after="0" w:line="239" w:lineRule="auto"/>
        <w:rPr>
          <w:sz w:val="20"/>
          <w:szCs w:val="20"/>
          <w:color w:val="auto"/>
        </w:rPr>
      </w:pPr>
      <w:r>
        <w:rPr>
          <w:rFonts w:ascii="Courier New" w:cs="Courier New" w:eastAsia="Courier New" w:hAnsi="Courier New"/>
          <w:sz w:val="16"/>
          <w:szCs w:val="16"/>
          <w:color w:val="auto"/>
        </w:rPr>
        <w:t>Advertising expenses in fiscal 2002 were $82.2 million, a decrease of $6.9 million from advertising expenses in fiscal 2001 of $89.1 million. The decrease in advertising expenses from the prior year is primarily due to efficiencies from improved media buying and lower rates and reduced media spending on the Ortho(R) line which was replaced with more in-store promotional support, which is a marketing expense included in SG&amp;A expenses.</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SG&amp;A expenses in fiscal 2002 were $336.0 million, compared to $392.5 million for fiscal 2001. The reduction is primarily due to restructuring and other charges of $68.4 million in fiscal 2001 compared to only $6.4 million in fiscal 2002. Excluding restructuring expenses in both fiscal years, the $3.0 million environmental charge in fiscal 2002 and SG&amp;A expenses of the Scotts LawnService(R) business from both fiscal 2002 and 2001 results, SG&amp;A expenses were $295.8 million, or 16.9% of net sales, in fiscal 2002 compared to $307.9 million, or 18.4%, of net sales in fiscal 2001 which reflects the benefits in fiscal 2002 from the cost reduction efforts undertaken in 2001 through reduction in workforce and other restructuring activities even though other costs such as litigation-related legal expenses and information systems support expenses increased in fiscal 2002 from fiscal 2001.</w:t>
      </w:r>
    </w:p>
    <w:p>
      <w:pPr>
        <w:spacing w:after="0" w:line="189"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Fiscal 2002 includes $1.7 million of restructuring charges in costs of sales related to the redeployment of inventory from closed plants and warehouses and $2.4 million in SG&amp;A expenses related to the relocation of personnel for the restructuring activities initiated in fiscal 2001. Under generally accepted accounting principles in the United States, these costs have been expensed in the period incurred. Also, in the fourth quarter of fiscal 2002, approximately $4.0 million in restructuring charges, primarily severance and pension costs, related to the announced closure of a plant in Bramford, England were recorded. In fiscal 2001, $7.3 million of restructuring and other charges were recorded in cost of sales and $68.4 million in SG&amp;A costs.</w:t>
      </w:r>
    </w:p>
    <w:p>
      <w:pPr>
        <w:spacing w:after="0" w:line="174"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Amortization of goodwill and intangibles in fiscal 2002 declined to $5.7 million from $27.7 million in fiscal 2001, primarily due to the adoption of SFAS No. 142 in fiscal 2002.</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Other income was $12.0 million for fiscal 2002, compared to $8.5 million in fiscal 2001. The increase is primarily due to the gain and other income from the agreement for the cessation of peat extraction in the United Kingdom of approximately $6.6 million. This gain was partially offset by lower royalty income due to the phase out in 2002 of a lawn mower program at a major North American retailer and a one-time insurance settlement gain in fiscal 2001.</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Income from operations for fiscal 2002 was $239.2 million, compared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$116.4 million for fiscal 2001. The increase in income from operations over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prior year is the result of lower restructuring expenses, increased gross margin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the increase in net sales, lower advertising spending, lower SG&amp;A expenses,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effect of the change in accounting for amortization of indefinite-lived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Operating income in the North American Consumer segment increased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$250.7 million for fiscal 2001 to $273.7 million for fiscal 2002 on an increase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net sales from $1,191.4 million in fiscal 2001 to $1,242.9 million in fiscal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Gross margin improvement from supply chain cost reductions, improved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 sales mix in Lawns and Gardening Products, and reduced media spending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levels were partially offset by lower overhead absorption due to reduced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production levels, a reduction in the Roundup(R) commission and decreased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licensing royalties.</w:t>
      </w:r>
    </w:p>
    <w:p>
      <w:pPr>
        <w:spacing w:after="0" w:line="186"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Scotts LawnService's(R) operating income increased from $4.7 million in fiscal 2001 to $8.8 million in fiscal 2002 due to the over 80% increase in net sales driven by internal growth and acquisitions.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International Consumer operating income was $16.3 million for fiscal 2002, compared to a loss of $4.0 million for fiscal 2001 even though net sales declined to $246.8 million from $252.1 million during the periods. Operating income increased due to the peat transaction with English Nature, lower spending on SG&amp;A, and lower restructuring charges which declined from $10.5 million in fiscal 2001 to $4.5 million in fiscal 2002.</w:t>
      </w:r>
    </w:p>
    <w:p>
      <w:pPr>
        <w:spacing w:after="0" w:line="190"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Global Professional operating income increased slightly to $13.4 million in fiscal 2002 from $12.7 million in fiscal 2001 despite a slight reduction in net sales due to cost controls implemented in fiscal 2002.</w:t>
      </w:r>
    </w:p>
    <w:p>
      <w:pPr>
        <w:spacing w:after="0" w:line="188"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Interest expense for fiscal 2002 was $76.3 million, a decrease of $11.4 million from interest expense for fiscal 2001 of $87.7 million. The decrease in interest expense was primarily due to a reduction in</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63" w:right="1440" w:bottom="1440" w:gutter="0" w:footer="0" w:header="0"/>
        </w:sectPr>
      </w:pPr>
    </w:p>
    <w:bookmarkStart w:id="38" w:name="page39"/>
    <w:bookmarkEnd w:id="38"/>
    <w:p>
      <w:pPr>
        <w:ind w:right="2759"/>
        <w:spacing w:after="0" w:line="262" w:lineRule="auto"/>
        <w:rPr>
          <w:sz w:val="20"/>
          <w:szCs w:val="20"/>
          <w:color w:val="auto"/>
        </w:rPr>
      </w:pPr>
      <w:r>
        <w:rPr>
          <w:rFonts w:ascii="Courier New" w:cs="Courier New" w:eastAsia="Courier New" w:hAnsi="Courier New"/>
          <w:sz w:val="15"/>
          <w:szCs w:val="15"/>
          <w:color w:val="auto"/>
        </w:rPr>
        <w:t>average borrowings as compared to the prior year due to increased profitability and lower working capital, and lower interest rates on our debt. The weighted average cost of debt was 8.30% in fiscal 2002 compared to 8.47% in fiscal 2001.</w:t>
      </w:r>
    </w:p>
    <w:p>
      <w:pPr>
        <w:spacing w:after="0" w:line="17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Income tax expense for fiscal 2002 was $61.9 million, compared with income tax expense for fiscal 2001 of $13.2 million. The increase in income tax expense from the prior year is the result of higher pre-tax income in fiscal 2002 for the reasons noted above. The lower estimated income tax rate for fiscal 2002 of 38% compared to 46% for fiscal 2001 is primarily due to effect of the elimination of amortization expense for book purposes that was not deductible for tax purposes and higher earnings in fiscal 2002.</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Company reported income before cumulative effect of accounting changes of $101.0 million for fiscal 2002, compared to $15.5 million for fiscal 2001. After the charge of $29.8 million ($18.5 million, net of tax) for the impairment of tradenames in our German, French and United Kingdom businesses, net income for fiscal 2002 was $82.5 million, or $2.61 per diluted share, compared to net income of $15.5 million, or $.51 per diluted share, in fiscal 2001. If SFAS No. 142 had been adopted as of the beginning of fiscal 2001 diluted earnings per share for fiscal 2001 would have been $1.05 excluding impairment charges, if any, that would have been recorded upon adoption at October 1, 2000. Diluted earnings per share in fiscal 2002 would have been $3.19 per share if the impairment charge was excluded.</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Average diluted shares outstanding increased from 30.4 million in fiscal 2001 to 31.7 million in fiscal 2002 due to option and warrant exercises, and the impact on common stock equivalents of a higher average share price in fiscal 2002.</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Cash provided by operating activities was $218.0 million for fiscal 2003, compared to $233.6 million for fiscal 2002. Following a record year for cash flow generation in fiscal 2002, cash flow provided by operating activities was again very strong in fiscal 2003 due principally to increased profitability, lower cash expenditures for restructuring and a reduction in taxes paid due to a change in the tax treatment of trade programs from a cash to accrual basis. Cash flow from operating activities in fiscal 2002 benefited from a $99 million one-time reduction in domestic inventory levels from unusually high levels at the end of fiscal 2001. The seasonal nature of our operations generally requires cash to fund significant increases in working capital (primarily inventory) during the first half of the year. Receivables and payables also build substantially in the second quarter in line with increasing sales as the season begins. These balances liquidate during the June through September period as the lawn and garden season winds down.</w:t>
      </w:r>
    </w:p>
    <w:p>
      <w:pPr>
        <w:spacing w:after="0" w:line="19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As of the end of fiscal 2003, accounts receivable increased by $34.0 million, in line with reported fourth quarter net sales growth. Net sales in the fourth quarter of fiscal 2003 were $343.1 million compared to $299.7 million in the fourth fiscal quarter of 2002. Inventories increased $5.3 million in fiscal 2003 as compared to a $99.4 million reduction in fiscal 2002 as discussed above. Accounts payable increased $43.8 million in fiscal 2003 due principally to global cash management initiatives and to foreign currency fluctuations, which increased reported payables by approximately $11 million.</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funded status of our pension plan decreased slightly in fiscal 2003 with improved investment performance being essentially offset by higher benefit obligations, due to the effect of a 75 basis point decline in the interest rates used to discount future benefit obligations, and the impact of foreign currency translation on our international benefits plans. The unfunded status of our curtailed defined benefit plans in the United States increased slightly from a deficit of $29.2 million at September 30, 2002 to a deficit of $29.5 million at September 30, 2003. Our International plans went from a deficit of $50.2 million in fiscal 2002 to a deficit of $55.4 million in fiscal 2003. Employer contributions to the plans in fiscal 2004 are not expected to increase appreciably from fiscal 2003 contributions of $12.1 million.</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Cash used in investing activities was $108.9 million in fiscal 2003, roughly comparable to $113.0 million in the prior year. Payments on seller notes increased because of required payments made on Scotts LawnService(R) deferred purchase obligations in fiscal 2003. Cash payments on acquisitions decreased to $20.4 million in fiscal 2003 from $31.0 million in fiscal 2002. Cash payments related to Scotts LawnService(R) acquisitions were $17.2 million in fiscal 2003. The total value of acquisitions by Scotts LawnService(R), including property and equipment obtained in the acquisitions, in fiscal 2003 was $30.6 million, compared to $54.8 million in fiscal 2002.</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63" w:right="1440" w:bottom="1440" w:gutter="0" w:footer="0" w:header="0"/>
        </w:sectPr>
      </w:pPr>
    </w:p>
    <w:bookmarkStart w:id="39" w:name="page40"/>
    <w:bookmarkEnd w:id="39"/>
    <w:p>
      <w:pPr>
        <w:ind w:right="2659" w:firstLine="473"/>
        <w:spacing w:after="0"/>
        <w:rPr>
          <w:sz w:val="20"/>
          <w:szCs w:val="20"/>
          <w:color w:val="auto"/>
        </w:rPr>
      </w:pPr>
      <w:r>
        <w:rPr>
          <w:rFonts w:ascii="Courier New" w:cs="Courier New" w:eastAsia="Courier New" w:hAnsi="Courier New"/>
          <w:sz w:val="16"/>
          <w:szCs w:val="16"/>
          <w:color w:val="auto"/>
        </w:rPr>
        <w:t>Financing activities used cash of $59.0 million in fiscal 2003, compared to a cash usage of $41.8 million the prior year. The increase in cash used in financing activities was primarily due to mandatory repayments of borrowings on our term loans in fiscal 2003. Proceeds from the exercises of stock options increased to $21.4 million in fiscal 2003 from $19.7 million in fiscal 2002. In addition to option exercises in fiscal 2003, 1.8 million warrants were exercised by Hagedorn Partnership, L.P. in exchange for the issuance of 1.0 million shares in a series of non-cash transactions.</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Our primary sources of liquidity are funds generated by operations and borrowings under our credit agreement. The credit agreement provided for borrowings in the aggregate principal amount of $1.1 billion consisting of term loan facilities in the aggregate amount of $525 million and a revolving credit facility in the amount of $575 million. Due to paydowns on our term loans, the amount remaining under the term loan facilities had been reduced to approximately $326.5 million as of September 30, 2003. Also, as of September 30, 2003, approximately $6.9 million of the $575 million revolving credit facility was committed for letters of credit; the balance of approximately $568.1 million is available for use.</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Total debt was $757.6 million as of September 30, 2003, a decrease of $71.8 million compared to total debt at September 30, 2002 of $829.4 million. The decrease in debt compared to the prior year was primarily due to scheduled debt repayments on our term loans during fiscal 2003 and payments made on Scotts LawnService(R) seller notes. There were no borrowings on our revolver as of September 30, 2003 or September 30, 2002 due to significantly improved cash flows from operating activities in both years.</w:t>
      </w:r>
    </w:p>
    <w:p>
      <w:pPr>
        <w:spacing w:after="0" w:line="192"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At September 30, 2003, we were in compliance with all debt covenants. The credit agreement contains covenants on interest coverage and leverage. The credit agreement and the 8 5/8% Senior Subordinated Note indenture agreement also contain numerous negative covenants which we were also in compliance with in fiscal 2003. There are no rating triggers in our credit agreement or the Subordinated Note indenture agreement.</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October 2003, The Scotts Company completed a refinancing of its credit agreement and its $400 million 8 5/8% Senior Subordinated Notes in a series of transactions. The new credit agreement was entered into with a syndicate of commercial banks and institutional lenders. The new credit agreement consists of a $700 million multi-currency revolving credit commitment, expiring on October 22, 2008, and a $500 million term loan B facility, expiring on September 30, 2010. Repayment of the term loan B commences on March 31, 2004, with minimum quarterly principal payments through June 30, 2010, followed by a balloon maturity on September 30, 2010. Also, as part of the refinancing, $200 million of 6 5/8% Senior Subordinated Notes due October 2013 were issued at par, with interest payable semi-annually on May 15 and November 15.</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Total cash was $155.9 million at September 30, 2003, an increase of $56.2 million from September 30, 2002. Due to restrictions in our debt agreements on voluntary prepayments of indebtedness, we elected not to use the cash on hand at September 30, 2003 to paydown indebtedness because voluntary paydowns permanently reduce the total borrowing commitment available under the credit facility. A mandatory excess cash flow prepayment of $24.4 million was made in early fiscal 2003 based upon fiscal 2002's results of operations and cash flows. Our year end cash effectively serves to reduce our average indebtedness by reducing borrowings under the revolving credit facility to fund our seasonal working capital needs.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We did not repurchase any treasury shares in fiscal 2003 or fiscal 2002. We have not paid dividends on the common shares in the past and do not presently plan to pay dividends on the common shares. It is presently anticipated that earnings will be retained and reinvested to support the growth of our business or to pay down indebtedness. The payment of future dividends, if any, on common shares will be determined by the Board of Directors of Scotts in light of conditions then existing, including our earnings, financial condition and capital requirements, restrictions in financing agreements, business conditions and other factors.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All of our off balance sheet financing is in the form of operating leases which are disclosed in the Notes to the Consolidated Financial Statements. As of September 30, 2003, we had $11.4 million of outstanding guarantees, primarily related to deferred purchase obligations on Scotts LawnService(R) acquisitions. All material intercompany transactions are eliminated in our consolidated financial statements. Certain transactions with executive officers are fully described and disclosed in our</w:t>
      </w: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63" w:right="1440" w:bottom="1440" w:gutter="0" w:footer="0" w:header="0"/>
        </w:sectPr>
      </w:pPr>
    </w:p>
    <w:bookmarkStart w:id="40" w:name="page41"/>
    <w:bookmarkEnd w:id="40"/>
    <w:p>
      <w:pPr>
        <w:spacing w:after="0" w:line="26"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proxy statement. Such transactions pertain primarily to office space provided to and administrative services provided by Hagedorn Partnership, L.P. and do not exceed $150,000 per annum.</w:t>
      </w:r>
    </w:p>
    <w:p>
      <w:pPr>
        <w:spacing w:after="0" w:line="188"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In July 2002, The Scotts Company's Board of Directors approved the International Profit Improvement Plan designed to significantly improve the profitability of the international consumer and professional businesses. The plan includes implementation of an SAP platform throughout Europe, as well as efforts to optimize operations in the United Kingdom, France and Germany, including the creation of a global supply chain. We now estimate that cash outlays of between $45 million and $55 million will be required by the end of fiscal 2005, of which approximately 25% will be capital expenditures, and approximately 75% will be recorded as expenses to implement this plan. For further information concerning the restructuring charges incurred in fiscal years 2003, 2002 and 2001, see Note 4 to the Consolidated Financial Statements.</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We are party to various pending judicial and administrative proceedings, including those discussed in Note 16 to the Consolidated Financial Statements. These include, among others, proceedings based on accidents or product liability claims and alleged violations of environmental laws. We have reviewed our pending environmental and legal proceedings, including the probable outcomes, reasonably anticipated costs and expenses, availability and limits of our insurance coverage and have established what we believe to be appropriate reserves. We do not believe that any liabilities that may result from these proceedings are reasonably likely to have a material adverse effect on our liquidity, financial condition or results of operations.</w:t>
      </w:r>
    </w:p>
    <w:p>
      <w:pPr>
        <w:spacing w:after="0" w:line="188"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The following table summarizes our future cash outflows for contractual obligations as of September 30, 2003 (in millions):</w:t>
      </w:r>
    </w:p>
    <w:p>
      <w:pPr>
        <w:spacing w:after="0" w:line="18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Payments Due</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by Period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Contractual</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Cash</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Obligations</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Total Less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than 1 year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1-3 years 4-</w:t>
      </w:r>
    </w:p>
    <w:p>
      <w:pPr>
        <w:spacing w:after="0" w:line="5" w:lineRule="exact"/>
        <w:rPr>
          <w:sz w:val="20"/>
          <w:szCs w:val="20"/>
          <w:color w:val="auto"/>
        </w:rPr>
      </w:pPr>
    </w:p>
    <w:p>
      <w:pPr>
        <w:jc w:val="both"/>
        <w:ind w:left="280" w:right="9279" w:hanging="2"/>
        <w:spacing w:after="0" w:line="256" w:lineRule="auto"/>
        <w:tabs>
          <w:tab w:leader="none" w:pos="46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After 5</w:t>
      </w:r>
    </w:p>
    <w:p>
      <w:pPr>
        <w:ind w:left="40"/>
        <w:spacing w:after="0" w:line="236" w:lineRule="auto"/>
        <w:rPr>
          <w:sz w:val="20"/>
          <w:szCs w:val="20"/>
          <w:color w:val="auto"/>
        </w:rPr>
      </w:pPr>
      <w:r>
        <w:rPr>
          <w:rFonts w:ascii="Courier New" w:cs="Courier New" w:eastAsia="Courier New" w:hAnsi="Courier New"/>
          <w:sz w:val="16"/>
          <w:szCs w:val="16"/>
          <w:color w:val="auto"/>
        </w:rPr>
        <w:t>years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left="40" w:right="9039" w:firstLine="49"/>
        <w:spacing w:after="0" w:line="256" w:lineRule="auto"/>
        <w:tabs>
          <w:tab w:leader="none" w:pos="56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$ 770.3 $ 60.7</w:t>
      </w:r>
    </w:p>
    <w:p>
      <w:pPr>
        <w:spacing w:after="0" w:line="1" w:lineRule="exact"/>
        <w:rPr>
          <w:rFonts w:ascii="Courier New" w:cs="Courier New" w:eastAsia="Courier New" w:hAnsi="Courier New"/>
          <w:sz w:val="15"/>
          <w:szCs w:val="15"/>
          <w:color w:val="auto"/>
        </w:rPr>
      </w:pPr>
    </w:p>
    <w:p>
      <w:pPr>
        <w:jc w:val="center"/>
        <w:ind w:left="80" w:right="9099" w:firstLine="237"/>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$ 60.1 $240.6 $408.9 Operating leases 90.8 24.4 30.9</w:t>
      </w: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10.1 25.4</w:t>
      </w: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Unconditional</w:t>
      </w:r>
    </w:p>
    <w:p>
      <w:pPr>
        <w:ind w:left="2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purchase</w:t>
      </w:r>
    </w:p>
    <w:p>
      <w:pPr>
        <w:spacing w:after="0" w:line="4" w:lineRule="exact"/>
        <w:rPr>
          <w:rFonts w:ascii="Courier New" w:cs="Courier New" w:eastAsia="Courier New" w:hAnsi="Courier New"/>
          <w:sz w:val="15"/>
          <w:szCs w:val="15"/>
          <w:color w:val="auto"/>
        </w:rPr>
      </w:pPr>
    </w:p>
    <w:p>
      <w:pPr>
        <w:jc w:val="center"/>
        <w:ind w:left="40" w:right="9039" w:firstLine="47"/>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151.4 80.7 58.8 11.9 Fixed interest payments 3.1 2.6 0.5 Annual contribution payment under 10 year term of marketing agreement 125.0 25.0 50.0 50.0 --</w:t>
      </w:r>
    </w:p>
    <w:p>
      <w:pPr>
        <w:spacing w:after="0" w:line="6"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w:t>
      </w:r>
    </w:p>
    <w:p>
      <w:pPr>
        <w:ind w:left="240" w:hanging="198"/>
        <w:spacing w:after="0"/>
        <w:tabs>
          <w:tab w:leader="none" w:pos="2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contractual</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cash</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obligations</w:t>
      </w:r>
    </w:p>
    <w:p>
      <w:pPr>
        <w:sectPr>
          <w:pgSz w:w="11900" w:h="16864" w:orient="portrait"/>
          <w:cols w:equalWidth="0" w:num="1">
            <w:col w:w="10219"/>
          </w:cols>
          <w:pgMar w:left="240" w:top="663" w:right="1440" w:bottom="0" w:gutter="0" w:footer="0" w:header="0"/>
        </w:sectPr>
      </w:pPr>
    </w:p>
    <w:bookmarkStart w:id="41" w:name="page42"/>
    <w:bookmarkEnd w:id="41"/>
    <w:p>
      <w:pPr>
        <w:jc w:val="center"/>
        <w:ind w:right="8999"/>
        <w:spacing w:after="0"/>
        <w:rPr>
          <w:sz w:val="20"/>
          <w:szCs w:val="20"/>
          <w:color w:val="auto"/>
        </w:rPr>
      </w:pPr>
      <w:r>
        <w:rPr>
          <w:rFonts w:ascii="Courier New" w:cs="Courier New" w:eastAsia="Courier New" w:hAnsi="Courier New"/>
          <w:sz w:val="16"/>
          <w:szCs w:val="16"/>
          <w:color w:val="auto"/>
        </w:rPr>
        <w:t>$1,140.6</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$193.4</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$200.3</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$312.6</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$434.3</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In our opinion, cash flows from operating activities and capital resources will be sufficient to meet debt service and working capital needs during fiscal 2004, and thereafter for the foreseeable future. However, we cannot ensure that our business groups will generate sufficient cash flows from operating activities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MATTERS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results of operations, financial condition or cash flows of the Company. Additional information on environmental matters affecting us is provided in "ITEM 1. BUSINESS -- Environmental and Regulatory Considerations", "ITEM 1. BUSINESS -- Regulatory Actions" and "ITEM 3. LEGAL PROCEEDINGS".</w:t>
      </w:r>
    </w:p>
    <w:p>
      <w:pPr>
        <w:spacing w:after="0" w:line="18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138"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6"/>
          <w:szCs w:val="16"/>
          <w:color w:val="auto"/>
        </w:rPr>
        <w:t>MANAGEMENT'S OUTLOOK</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We are very pleased with the Company's performance in fiscal 2003. Despite generally cool and wet spring weather conditions that delayed the start of the lawn and garden season, and planned savings from the outsourcing of transportation and logistics management that were not achieved, the Company reported record net sales and earnings in fiscal 2003.</w:t>
      </w:r>
    </w:p>
    <w:p>
      <w:pPr>
        <w:spacing w:after="0" w:line="189"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We set several challenging goals for fiscal 2003, including aggressive sales growth and share gains within our core North American consumer lawn and garden categories, continued rapid expansion of Scotts LawnService(R) and implementation of the International Profit Improvement Plan. We also set aggressive goals to improve customer service levels in our order processing and supply chain organizations by moving to "real-time" consumer-based replenishment of store inventory levels. We were successful in strengthening our relationships with key accounts by focusing on improving in-season execution and by driving more consumers to retailers' stores to purchase lawn and garden products. We also had a second consecutive year of strong cash flow generation due to our continuing focus on working capital management and capital expenditures.</w:t>
      </w:r>
    </w:p>
    <w:p>
      <w:pPr>
        <w:spacing w:after="0" w:line="181"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While we continued the rapid expansion of Scotts LawnService(R), the business fell considerably short of its aggressive sales and earnings growth targets. Poor spring weather, which delayed the start of the spring treatment season, was clearly a contributing factor.</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However, the business also experienced customer service, infrastructure and business integration challenges, due to its rapid growth, that are a primary area of focus in the year ahead. Consequently, the pace of expansion will be slower in fiscal 2004 and we anticipate making selective, but fewer, acquisitions.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Our strong results in fiscal 2003 set the stage for another successful year in fiscal 2004. We are committed to the continued improvement of our International Consumer and Global Professional segments. We are progressing on the International Profit Improvement Plan, which is a three-year plan to invest in systems and to reorganize our International operations to drive sustainable, profitable growth. We anticipate continued strong execution from our global supply chain organization on several important purchasing, logistics and manufacturing initiatives. We also plan to continue to invest aggressively in media advertising and in-store merchandising and promotional initiatives to drive sales growth and profitability in fiscal 2004. Our strategy is also to develop new distribution channels, and to leverage our strong brands to enter complementary adjacent product categories.</w:t>
      </w:r>
    </w:p>
    <w:p>
      <w:pPr>
        <w:spacing w:after="0" w:line="189"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We believe fiscal 2004 will be another year of profitable growth, with continued focus on improving our return on invested capital and strong cash flow generation.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86"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We have made and will make "forward-looking statements" within the meaning of Section 27A of the Securities Act of 1933 and Section 21E of the Securities Exchange Act of 1934 in our 2003 Annual Report, in this Form 10-K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17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Some forward-looking statements that we make in our 2003 Annual Report, in this Form 10-K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59" w:right="1440" w:bottom="1440" w:gutter="0" w:footer="0" w:header="0"/>
        </w:sectPr>
      </w:pPr>
    </w:p>
    <w:bookmarkStart w:id="43" w:name="page44"/>
    <w:bookmarkEnd w:id="43"/>
    <w:p>
      <w:pPr>
        <w:ind w:left="200" w:right="2759" w:hanging="190"/>
        <w:spacing w:after="0" w:line="237" w:lineRule="auto"/>
        <w:tabs>
          <w:tab w:leader="none" w:pos="2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SUBSTANTIAL INDEBTEDNESS COULD ADVERSELY AFFECT OUR FINANCIAL HEALTH AND PREVENT US FROM FULFILLING OUR OBLIGATIONS.</w:t>
      </w:r>
    </w:p>
    <w:p>
      <w:pPr>
        <w:spacing w:after="0" w:line="188" w:lineRule="exact"/>
        <w:rPr>
          <w:sz w:val="20"/>
          <w:szCs w:val="20"/>
          <w:color w:val="auto"/>
        </w:rPr>
      </w:pPr>
    </w:p>
    <w:p>
      <w:pPr>
        <w:ind w:left="100" w:right="2839"/>
        <w:spacing w:after="0" w:line="237" w:lineRule="auto"/>
        <w:rPr>
          <w:sz w:val="20"/>
          <w:szCs w:val="20"/>
          <w:color w:val="auto"/>
        </w:rPr>
      </w:pPr>
      <w:r>
        <w:rPr>
          <w:rFonts w:ascii="Courier New" w:cs="Courier New" w:eastAsia="Courier New" w:hAnsi="Courier New"/>
          <w:sz w:val="16"/>
          <w:szCs w:val="16"/>
          <w:color w:val="auto"/>
        </w:rPr>
        <w:t>We have a significant amount of debt. Our substantial indebtedness could have important consequences. For example, it could:</w:t>
      </w:r>
    </w:p>
    <w:p>
      <w:pPr>
        <w:spacing w:after="0" w:line="188" w:lineRule="exact"/>
        <w:rPr>
          <w:sz w:val="20"/>
          <w:szCs w:val="20"/>
          <w:color w:val="auto"/>
        </w:rPr>
      </w:pPr>
    </w:p>
    <w:p>
      <w:pPr>
        <w:ind w:left="480" w:right="3419" w:hanging="186"/>
        <w:spacing w:after="0" w:line="237" w:lineRule="auto"/>
        <w:tabs>
          <w:tab w:leader="none" w:pos="4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it more difficult for us to satisfy our obligations under outstanding indebtedness and otherwise;</w:t>
      </w:r>
    </w:p>
    <w:p>
      <w:pPr>
        <w:spacing w:after="0" w:line="187" w:lineRule="exact"/>
        <w:rPr>
          <w:rFonts w:ascii="Courier New" w:cs="Courier New" w:eastAsia="Courier New" w:hAnsi="Courier New"/>
          <w:sz w:val="16"/>
          <w:szCs w:val="16"/>
          <w:color w:val="auto"/>
        </w:rPr>
      </w:pPr>
    </w:p>
    <w:p>
      <w:pPr>
        <w:ind w:left="480" w:right="2939" w:hanging="186"/>
        <w:spacing w:after="0" w:line="237" w:lineRule="auto"/>
        <w:tabs>
          <w:tab w:leader="none" w:pos="4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our vulnerability to general adverse economic and industry conditions;</w:t>
      </w:r>
    </w:p>
    <w:p>
      <w:pPr>
        <w:spacing w:after="0" w:line="187" w:lineRule="exact"/>
        <w:rPr>
          <w:rFonts w:ascii="Courier New" w:cs="Courier New" w:eastAsia="Courier New" w:hAnsi="Courier New"/>
          <w:sz w:val="16"/>
          <w:szCs w:val="16"/>
          <w:color w:val="auto"/>
        </w:rPr>
      </w:pPr>
    </w:p>
    <w:p>
      <w:pPr>
        <w:ind w:left="480" w:right="2759" w:hanging="186"/>
        <w:spacing w:after="0" w:line="239" w:lineRule="auto"/>
        <w:tabs>
          <w:tab w:leader="none" w:pos="4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us to dedicate a substantial portion of cash flows from operating activities to payments on our indebtedness, which would reduce the cash flows available to fund working capital, capital expenditures, advertising, research and development efforts and other general corporate requirements;</w:t>
      </w:r>
    </w:p>
    <w:p>
      <w:pPr>
        <w:spacing w:after="0" w:line="188" w:lineRule="exact"/>
        <w:rPr>
          <w:rFonts w:ascii="Courier New" w:cs="Courier New" w:eastAsia="Courier New" w:hAnsi="Courier New"/>
          <w:sz w:val="16"/>
          <w:szCs w:val="16"/>
          <w:color w:val="auto"/>
        </w:rPr>
      </w:pPr>
    </w:p>
    <w:p>
      <w:pPr>
        <w:ind w:left="480" w:right="2759" w:hanging="186"/>
        <w:spacing w:after="0" w:line="237" w:lineRule="auto"/>
        <w:tabs>
          <w:tab w:leader="none" w:pos="4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flexibility in planning for, or reacting to, changes in our business and the industry in which we operate;</w:t>
      </w:r>
    </w:p>
    <w:p>
      <w:pPr>
        <w:spacing w:after="0" w:line="187" w:lineRule="exact"/>
        <w:rPr>
          <w:rFonts w:ascii="Courier New" w:cs="Courier New" w:eastAsia="Courier New" w:hAnsi="Courier New"/>
          <w:sz w:val="16"/>
          <w:szCs w:val="16"/>
          <w:color w:val="auto"/>
        </w:rPr>
      </w:pPr>
    </w:p>
    <w:p>
      <w:pPr>
        <w:ind w:left="480" w:right="3039" w:hanging="186"/>
        <w:spacing w:after="0" w:line="237" w:lineRule="auto"/>
        <w:tabs>
          <w:tab w:leader="none" w:pos="4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us at a competitive disadvantage compared to our competitors that have less debt;</w:t>
      </w:r>
    </w:p>
    <w:p>
      <w:pPr>
        <w:spacing w:after="0" w:line="183" w:lineRule="exact"/>
        <w:rPr>
          <w:rFonts w:ascii="Courier New" w:cs="Courier New" w:eastAsia="Courier New" w:hAnsi="Courier New"/>
          <w:sz w:val="16"/>
          <w:szCs w:val="16"/>
          <w:color w:val="auto"/>
        </w:rPr>
      </w:pPr>
    </w:p>
    <w:p>
      <w:pPr>
        <w:ind w:left="480" w:hanging="186"/>
        <w:spacing w:after="0"/>
        <w:tabs>
          <w:tab w:leader="none" w:pos="4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ability to borrow additional funds; and</w:t>
      </w:r>
    </w:p>
    <w:p>
      <w:pPr>
        <w:spacing w:after="0" w:line="186" w:lineRule="exact"/>
        <w:rPr>
          <w:rFonts w:ascii="Courier New" w:cs="Courier New" w:eastAsia="Courier New" w:hAnsi="Courier New"/>
          <w:sz w:val="16"/>
          <w:szCs w:val="16"/>
          <w:color w:val="auto"/>
        </w:rPr>
      </w:pPr>
    </w:p>
    <w:p>
      <w:pPr>
        <w:ind w:left="480" w:right="2659" w:hanging="186"/>
        <w:spacing w:after="0" w:line="239" w:lineRule="auto"/>
        <w:tabs>
          <w:tab w:leader="none" w:pos="4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expose us to risks inherent in interest rate fluctuations because some of our borrowings are at variable rates of interest, which could result in higher interest expense in the event of increases in interest rates.</w:t>
      </w:r>
    </w:p>
    <w:p>
      <w:pPr>
        <w:spacing w:after="0" w:line="187" w:lineRule="exact"/>
        <w:rPr>
          <w:sz w:val="20"/>
          <w:szCs w:val="20"/>
          <w:color w:val="auto"/>
        </w:rPr>
      </w:pPr>
    </w:p>
    <w:p>
      <w:pPr>
        <w:ind w:left="100" w:right="2839"/>
        <w:spacing w:after="0" w:line="239" w:lineRule="auto"/>
        <w:rPr>
          <w:sz w:val="20"/>
          <w:szCs w:val="20"/>
          <w:color w:val="auto"/>
        </w:rPr>
      </w:pPr>
      <w:r>
        <w:rPr>
          <w:rFonts w:ascii="Courier New" w:cs="Courier New" w:eastAsia="Courier New" w:hAnsi="Courier New"/>
          <w:sz w:val="16"/>
          <w:szCs w:val="16"/>
          <w:color w:val="auto"/>
        </w:rPr>
        <w:t>Our ability to make payments on and to refinance our indebtedness and to fund planned capital expenditures and acquisitions will depend on our ability to generate cash in the future. This, to some extent, is subject to general economic, financial, competitive, legislative, regulatory and other factors that are beyond our control.</w:t>
      </w:r>
    </w:p>
    <w:p>
      <w:pPr>
        <w:spacing w:after="0" w:line="189" w:lineRule="exact"/>
        <w:rPr>
          <w:sz w:val="20"/>
          <w:szCs w:val="20"/>
          <w:color w:val="auto"/>
        </w:rPr>
      </w:pPr>
    </w:p>
    <w:p>
      <w:pPr>
        <w:ind w:left="100" w:right="2659"/>
        <w:spacing w:after="0"/>
        <w:rPr>
          <w:sz w:val="20"/>
          <w:szCs w:val="20"/>
          <w:color w:val="auto"/>
        </w:rPr>
      </w:pPr>
      <w:r>
        <w:rPr>
          <w:rFonts w:ascii="Courier New" w:cs="Courier New" w:eastAsia="Courier New" w:hAnsi="Courier New"/>
          <w:sz w:val="16"/>
          <w:szCs w:val="16"/>
          <w:color w:val="auto"/>
        </w:rPr>
        <w:t>We cannot provide assurance that our business will generate sufficient cash flow from operating activities or that future borrowings will be available to us under our Second Amended and Restated Credit Agreement (the "New Credit Agreement") in amounts sufficient to enable us to pay our indebtedness or to fund our other liquidity needs. We may need to refinance all or a portion of our indebtedness, on or before maturity. We cannot assure you that we would be able to refinance any of our indebtedness on commercially reasonable terms or at all.</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RESTRICTIVE COVENANTS MAY ADVERSELY AFFECT US.</w:t>
      </w:r>
    </w:p>
    <w:p>
      <w:pPr>
        <w:spacing w:after="0" w:line="186" w:lineRule="exact"/>
        <w:rPr>
          <w:sz w:val="20"/>
          <w:szCs w:val="20"/>
          <w:color w:val="auto"/>
        </w:rPr>
      </w:pPr>
    </w:p>
    <w:p>
      <w:pPr>
        <w:ind w:left="100" w:right="2659"/>
        <w:spacing w:after="0" w:line="257" w:lineRule="auto"/>
        <w:rPr>
          <w:sz w:val="20"/>
          <w:szCs w:val="20"/>
          <w:color w:val="auto"/>
        </w:rPr>
      </w:pPr>
      <w:r>
        <w:rPr>
          <w:rFonts w:ascii="Courier New" w:cs="Courier New" w:eastAsia="Courier New" w:hAnsi="Courier New"/>
          <w:sz w:val="15"/>
          <w:szCs w:val="15"/>
          <w:color w:val="auto"/>
        </w:rPr>
        <w:t>The New Credit Agreement and the indenture governing our 6 5/8% Senior Subordinated Notes (the "New Indenture") contain restrictive covenants and cross default provisions that require us to maintain specified financial ratios. Our ability to satisfy those financial ratios can be affected by events beyond our control, and we cannot assure you that we will satisfy those ratios. A breach of any of these financial ratio covenants or other covenants in the New Credit Agreement or the New Indenture could result in a default under the New Credit Agreement and/or the New Indenture. Upon the occurrence of an event of default under the New Credit Agreement and/or the New Indenture, the lenders and/or noteholders could elect to declare the applicable outstanding indebtedness to be immediately due and payable and, in the case of our lenders under the New Credit Agreement, terminate all commitments to extend further credit. We cannot be sure that our lenders or the noteholders would waive a default or that we could pay the indebtedness in full if it were accelerated.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ADVERSE WEATHER CONDITIONS COULD ADVERSELY IMPACT FINANCIAL RESULTS.</w:t>
      </w:r>
    </w:p>
    <w:p>
      <w:pPr>
        <w:spacing w:after="0" w:line="186" w:lineRule="exact"/>
        <w:rPr>
          <w:sz w:val="20"/>
          <w:szCs w:val="20"/>
          <w:color w:val="auto"/>
        </w:rPr>
      </w:pPr>
    </w:p>
    <w:p>
      <w:pPr>
        <w:ind w:left="100" w:right="2659"/>
        <w:spacing w:after="0" w:line="239" w:lineRule="auto"/>
        <w:rPr>
          <w:sz w:val="20"/>
          <w:szCs w:val="20"/>
          <w:color w:val="auto"/>
        </w:rPr>
      </w:pPr>
      <w:r>
        <w:rPr>
          <w:rFonts w:ascii="Courier New" w:cs="Courier New" w:eastAsia="Courier New" w:hAnsi="Courier New"/>
          <w:sz w:val="16"/>
          <w:szCs w:val="16"/>
          <w:color w:val="auto"/>
        </w:rPr>
        <w:t>Weather conditions in North America and Europe have a significant impact on the timing of sales in the spring selling season and overall annual sales. An abnormally cold spring throughout North America and/or Europe could adversely affect both fertilizer and pesticide sales and, therefore, our financial results.</w:t>
      </w:r>
    </w:p>
    <w:p>
      <w:pPr>
        <w:spacing w:after="0" w:line="189" w:lineRule="exact"/>
        <w:rPr>
          <w:sz w:val="20"/>
          <w:szCs w:val="20"/>
          <w:color w:val="auto"/>
        </w:rPr>
      </w:pPr>
    </w:p>
    <w:p>
      <w:pPr>
        <w:ind w:left="200" w:right="2659" w:hanging="190"/>
        <w:spacing w:after="0" w:line="237" w:lineRule="auto"/>
        <w:tabs>
          <w:tab w:leader="none" w:pos="2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HISTORICAL SEASONALITY COULD IMPAIR OUR ABILITY TO PAY OBLIGATIONS AS THEY COME DUE IN ADDITION TO OUR OPERATING EXPENSES.</w:t>
      </w:r>
    </w:p>
    <w:p>
      <w:pPr>
        <w:spacing w:after="0" w:line="188" w:lineRule="exact"/>
        <w:rPr>
          <w:sz w:val="20"/>
          <w:szCs w:val="20"/>
          <w:color w:val="auto"/>
        </w:rPr>
      </w:pPr>
    </w:p>
    <w:p>
      <w:pPr>
        <w:ind w:left="100" w:right="2759"/>
        <w:spacing w:after="0" w:line="238" w:lineRule="auto"/>
        <w:rPr>
          <w:sz w:val="20"/>
          <w:szCs w:val="20"/>
          <w:color w:val="auto"/>
        </w:rPr>
      </w:pPr>
      <w:r>
        <w:rPr>
          <w:rFonts w:ascii="Courier New" w:cs="Courier New" w:eastAsia="Courier New" w:hAnsi="Courier New"/>
          <w:sz w:val="16"/>
          <w:szCs w:val="16"/>
          <w:color w:val="auto"/>
        </w:rPr>
        <w:t>Because our products are used primarily in the spring and summer, our business is highly seasonal. For the past two fiscal years, more than 70% of our net sales have occurred in the</w:t>
      </w:r>
    </w:p>
    <w:p>
      <w:pPr>
        <w:spacing w:after="0" w:line="184"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9759"/>
          </w:cols>
          <w:pgMar w:left="700" w:top="663" w:right="1440" w:bottom="883" w:gutter="0" w:footer="0" w:header="0"/>
        </w:sectPr>
      </w:pPr>
    </w:p>
    <w:bookmarkStart w:id="44" w:name="page45"/>
    <w:bookmarkEnd w:id="44"/>
    <w:p>
      <w:pPr>
        <w:ind w:left="90" w:right="2659"/>
        <w:spacing w:after="0"/>
        <w:rPr>
          <w:sz w:val="20"/>
          <w:szCs w:val="20"/>
          <w:color w:val="auto"/>
        </w:rPr>
      </w:pPr>
      <w:r>
        <w:rPr>
          <w:rFonts w:ascii="Courier New" w:cs="Courier New" w:eastAsia="Courier New" w:hAnsi="Courier New"/>
          <w:sz w:val="16"/>
          <w:szCs w:val="16"/>
          <w:color w:val="auto"/>
        </w:rPr>
        <w:t>second and third fiscal quarters combined. Our working capital needs and our borrowings peak near the middle of our second fiscal quarter because we are generating fewer revenues while incurring expenditures in preparation for the spring selling season. If cash on hand is insufficient to pay our obligations as they come due, including interest payments on our indebtedness, or our operating expenses, at a time when we are unable to draw on our credit facility, this seasonality could have a material adverse effect on our ability to conduct our business. Adverse weather conditions could heighten this risk.</w:t>
      </w:r>
    </w:p>
    <w:p>
      <w:pPr>
        <w:spacing w:after="0" w:line="188" w:lineRule="exact"/>
        <w:rPr>
          <w:sz w:val="20"/>
          <w:szCs w:val="20"/>
          <w:color w:val="auto"/>
        </w:rPr>
      </w:pPr>
    </w:p>
    <w:p>
      <w:pPr>
        <w:ind w:left="190" w:right="2939" w:hanging="190"/>
        <w:spacing w:after="0" w:line="237" w:lineRule="auto"/>
        <w:tabs>
          <w:tab w:leader="none" w:pos="19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PERCEPTIONS THAT THE PRODUCTS WE PRODUCE AND MARKET ARE NOT SAFE COULD ADVERSELY AFFECT US.</w:t>
      </w:r>
    </w:p>
    <w:p>
      <w:pPr>
        <w:spacing w:after="0" w:line="188" w:lineRule="exact"/>
        <w:rPr>
          <w:sz w:val="20"/>
          <w:szCs w:val="20"/>
          <w:color w:val="auto"/>
        </w:rPr>
      </w:pPr>
    </w:p>
    <w:p>
      <w:pPr>
        <w:ind w:left="90" w:right="2659"/>
        <w:spacing w:after="0" w:line="258" w:lineRule="auto"/>
        <w:rPr>
          <w:sz w:val="20"/>
          <w:szCs w:val="20"/>
          <w:color w:val="auto"/>
        </w:rPr>
      </w:pPr>
      <w:r>
        <w:rPr>
          <w:rFonts w:ascii="Courier New" w:cs="Courier New" w:eastAsia="Courier New" w:hAnsi="Courier New"/>
          <w:sz w:val="15"/>
          <w:szCs w:val="15"/>
          <w:color w:val="auto"/>
        </w:rPr>
        <w:t>We manufacture and market a number of complex chemical products, such as fertilizers, growing media, herbicides and pesticides, bearing one of our brand names. On occasion, allegations are made that some of our products have failed to perform up to expectations or have caused damage or injury to individuals or property. Based on reports of contamination at a third party supplier's vermiculite mine, the public may perceive that some of our products manufactured in the past using vermiculite are or may also be contaminated. Public perception that our products are not safe, whether justified or not, could impair our reputation, involve us in litigation, damage our brand names and have a material adverse affect our business.</w:t>
      </w:r>
    </w:p>
    <w:p>
      <w:pPr>
        <w:spacing w:after="0" w:line="174" w:lineRule="exact"/>
        <w:rPr>
          <w:sz w:val="20"/>
          <w:szCs w:val="20"/>
          <w:color w:val="auto"/>
        </w:rPr>
      </w:pPr>
    </w:p>
    <w:p>
      <w:pPr>
        <w:ind w:left="190" w:right="2659" w:hanging="190"/>
        <w:spacing w:after="0" w:line="237" w:lineRule="auto"/>
        <w:tabs>
          <w:tab w:leader="none" w:pos="19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NATURE OF CERTAIN OF OUR PRODUCTS AND OUR BUSINESS SUCCESS CONTRIBUTE TO THE RISK THAT THE COMPANY WILL BE SUBJECTED TO LAWSUITS.</w:t>
      </w:r>
    </w:p>
    <w:p>
      <w:pPr>
        <w:spacing w:after="0" w:line="188" w:lineRule="exact"/>
        <w:rPr>
          <w:sz w:val="20"/>
          <w:szCs w:val="20"/>
          <w:color w:val="auto"/>
        </w:rPr>
      </w:pPr>
    </w:p>
    <w:p>
      <w:pPr>
        <w:jc w:val="both"/>
        <w:ind w:left="90" w:right="2759"/>
        <w:spacing w:after="0" w:line="262" w:lineRule="auto"/>
        <w:rPr>
          <w:sz w:val="20"/>
          <w:szCs w:val="20"/>
          <w:color w:val="auto"/>
        </w:rPr>
      </w:pPr>
      <w:r>
        <w:rPr>
          <w:rFonts w:ascii="Courier New" w:cs="Courier New" w:eastAsia="Courier New" w:hAnsi="Courier New"/>
          <w:sz w:val="15"/>
          <w:szCs w:val="15"/>
          <w:color w:val="auto"/>
        </w:rPr>
        <w:t>The nature of certain of our products and our business success contribute to the risk that the Company will be subjected to lawsuits. The following are among the factors that contribute to this litigation risk:</w:t>
      </w:r>
    </w:p>
    <w:p>
      <w:pPr>
        <w:spacing w:after="0" w:line="171" w:lineRule="exact"/>
        <w:rPr>
          <w:sz w:val="20"/>
          <w:szCs w:val="20"/>
          <w:color w:val="auto"/>
        </w:rPr>
      </w:pPr>
    </w:p>
    <w:p>
      <w:pPr>
        <w:ind w:left="290" w:right="2659" w:hanging="196"/>
        <w:spacing w:after="0"/>
        <w:tabs>
          <w:tab w:leader="none" w:pos="29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manufacture and market a number of complex chemical products bearing our brand names, including fertilizers, growing media, herbicides and pesticides. There is a portion of the population that perceives all chemical products as potentially hazardous. This perception, regardless of its merits, enhances the risk that the Company will be subjected to product liability claims that allege harm from exposure to our products. Product liability claims are brought against the Company from time to time.</w:t>
      </w:r>
    </w:p>
    <w:p>
      <w:pPr>
        <w:spacing w:after="0" w:line="186" w:lineRule="exact"/>
        <w:rPr>
          <w:rFonts w:ascii="Courier New" w:cs="Courier New" w:eastAsia="Courier New" w:hAnsi="Courier New"/>
          <w:sz w:val="16"/>
          <w:szCs w:val="16"/>
          <w:color w:val="auto"/>
        </w:rPr>
      </w:pPr>
    </w:p>
    <w:p>
      <w:pPr>
        <w:ind w:left="290" w:right="2939" w:hanging="196"/>
        <w:spacing w:after="0" w:line="239" w:lineRule="auto"/>
        <w:tabs>
          <w:tab w:leader="none" w:pos="29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third party vendor supplied contaminated vermiculite ore to the Company. Although our use of vermiculite ore from the contaminated source ended over twenty years ago, our former relationship with this supplier enhances the risk that the Company will be subjected to personal injury and product liability claims relating to the use of vermiculite in some of our products.</w:t>
      </w:r>
    </w:p>
    <w:p>
      <w:pPr>
        <w:spacing w:after="0" w:line="190" w:lineRule="exact"/>
        <w:rPr>
          <w:rFonts w:ascii="Courier New" w:cs="Courier New" w:eastAsia="Courier New" w:hAnsi="Courier New"/>
          <w:sz w:val="16"/>
          <w:szCs w:val="16"/>
          <w:color w:val="auto"/>
        </w:rPr>
      </w:pPr>
    </w:p>
    <w:p>
      <w:pPr>
        <w:ind w:left="290" w:right="2839" w:hanging="196"/>
        <w:spacing w:after="0" w:line="258" w:lineRule="auto"/>
        <w:tabs>
          <w:tab w:leader="none" w:pos="29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a significant competitor in many of the markets in which we compete. Our success in our markets enhances the risk that the Company will be targeted by plaintiffs' lawyers, consumer groups, competitors and others asserting antitrust claims. Antitrust claims are brought against the Company from time to time. The Company believes that the antitrust claims of which it is aware are without merit.</w:t>
      </w:r>
    </w:p>
    <w:p>
      <w:pPr>
        <w:spacing w:after="0" w:line="177" w:lineRule="exact"/>
        <w:rPr>
          <w:sz w:val="20"/>
          <w:szCs w:val="20"/>
          <w:color w:val="auto"/>
        </w:rPr>
      </w:pPr>
    </w:p>
    <w:p>
      <w:pPr>
        <w:ind w:left="90" w:right="3039"/>
        <w:spacing w:after="0" w:line="237" w:lineRule="auto"/>
        <w:rPr>
          <w:sz w:val="20"/>
          <w:szCs w:val="20"/>
          <w:color w:val="auto"/>
        </w:rPr>
      </w:pPr>
      <w:r>
        <w:rPr>
          <w:rFonts w:ascii="Courier New" w:cs="Courier New" w:eastAsia="Courier New" w:hAnsi="Courier New"/>
          <w:sz w:val="16"/>
          <w:szCs w:val="16"/>
          <w:color w:val="auto"/>
        </w:rPr>
        <w:t>Please see "ITEM 3. LEGAL PROCEEDINGS" and Note 16 to the Consolidated Financial Statements.</w:t>
      </w:r>
    </w:p>
    <w:p>
      <w:pPr>
        <w:spacing w:after="0" w:line="188" w:lineRule="exact"/>
        <w:rPr>
          <w:sz w:val="20"/>
          <w:szCs w:val="20"/>
          <w:color w:val="auto"/>
        </w:rPr>
      </w:pPr>
    </w:p>
    <w:p>
      <w:pPr>
        <w:ind w:left="190" w:right="2839" w:hanging="190"/>
        <w:spacing w:after="0" w:line="262" w:lineRule="auto"/>
        <w:tabs>
          <w:tab w:leader="none" w:pos="19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OF THE CONCENTRATION OF OUR SALES TO A SMALL NUMBER OF RETAIL CUSTOMERS, THE LOSS OF ONE OR MORE OF, OR SIGNIFICANT DECLINE IN ORDERS FROM, OUR TOP CUSTOMERS COULD ADVERSELY AFFECT OUR FINANCIAL RESULTS.</w:t>
      </w:r>
    </w:p>
    <w:p>
      <w:pPr>
        <w:spacing w:after="0" w:line="171" w:lineRule="exact"/>
        <w:rPr>
          <w:sz w:val="20"/>
          <w:szCs w:val="20"/>
          <w:color w:val="auto"/>
        </w:rPr>
      </w:pPr>
    </w:p>
    <w:p>
      <w:pPr>
        <w:ind w:left="90" w:right="2659"/>
        <w:spacing w:after="0" w:line="257" w:lineRule="auto"/>
        <w:rPr>
          <w:sz w:val="20"/>
          <w:szCs w:val="20"/>
          <w:color w:val="auto"/>
        </w:rPr>
      </w:pPr>
      <w:r>
        <w:rPr>
          <w:rFonts w:ascii="Courier New" w:cs="Courier New" w:eastAsia="Courier New" w:hAnsi="Courier New"/>
          <w:sz w:val="15"/>
          <w:szCs w:val="15"/>
          <w:color w:val="auto"/>
        </w:rPr>
        <w:t>North American Consumer net sales represent approximately 69% of our worldwide net sales in fiscal 2003. Our top three North American retail customers together accounted for 71% of our North American Consumer fiscal 2003 net sales and 79% of our outstanding accounts receivable as of September 30, 2003. Home Depot, Wal*Mart and Lowe's represented approximately 38%, 19% and 14%, respectively, of our fiscal 2002 North American Consumer net sales. The loss of, or reduction in orders from, Home Depot, Wal*Mart, Lowe's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177" w:lineRule="exact"/>
        <w:rPr>
          <w:sz w:val="20"/>
          <w:szCs w:val="20"/>
          <w:color w:val="auto"/>
        </w:rPr>
      </w:pPr>
    </w:p>
    <w:p>
      <w:pPr>
        <w:ind w:left="313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21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9749"/>
          </w:cols>
          <w:pgMar w:left="710" w:top="663" w:right="1440" w:bottom="1440" w:gutter="0" w:footer="0" w:header="0"/>
        </w:sectPr>
      </w:pPr>
    </w:p>
    <w:bookmarkStart w:id="45" w:name="page46"/>
    <w:bookmarkEnd w:id="45"/>
    <w:p>
      <w:pPr>
        <w:ind w:left="90" w:right="2659"/>
        <w:spacing w:after="0"/>
        <w:rPr>
          <w:sz w:val="20"/>
          <w:szCs w:val="20"/>
          <w:color w:val="auto"/>
        </w:rPr>
      </w:pPr>
      <w:r>
        <w:rPr>
          <w:rFonts w:ascii="Courier New" w:cs="Courier New" w:eastAsia="Courier New" w:hAnsi="Courier New"/>
          <w:sz w:val="16"/>
          <w:szCs w:val="16"/>
          <w:color w:val="auto"/>
        </w:rPr>
        <w:t>We do not have long-term sales agreements or other contractual assurances as to future sales to any of our major retail customers. In addition, continued consolidation in the retail industry has resulted in an increasingly concentrated retail base. To the extent such concentration continues to occur, our net sales and income from operations may be increasingly sensitive to a deterioration in the financial condition of, or other adverse developments involving our relationship with, one or more customers.</w:t>
      </w:r>
    </w:p>
    <w:p>
      <w:pPr>
        <w:spacing w:after="0" w:line="187" w:lineRule="exact"/>
        <w:rPr>
          <w:sz w:val="20"/>
          <w:szCs w:val="20"/>
          <w:color w:val="auto"/>
        </w:rPr>
      </w:pPr>
    </w:p>
    <w:p>
      <w:pPr>
        <w:ind w:left="190" w:right="2939" w:hanging="190"/>
        <w:spacing w:after="0" w:line="267" w:lineRule="auto"/>
        <w:tabs>
          <w:tab w:leader="none" w:pos="19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HIGHLY COMPETITIVE NATURE OF THE COMPANY'S MARKETS COULD ADVERSELY AFFECT THE ABILITY OF THE COMPANY TO GROW OR MAINTAIN REVENUES.</w:t>
      </w:r>
    </w:p>
    <w:p>
      <w:pPr>
        <w:spacing w:after="0" w:line="168" w:lineRule="exact"/>
        <w:rPr>
          <w:sz w:val="20"/>
          <w:szCs w:val="20"/>
          <w:color w:val="auto"/>
        </w:rPr>
      </w:pPr>
    </w:p>
    <w:p>
      <w:pPr>
        <w:ind w:left="90" w:right="2659"/>
        <w:spacing w:after="0" w:line="258" w:lineRule="auto"/>
        <w:rPr>
          <w:sz w:val="20"/>
          <w:szCs w:val="20"/>
          <w:color w:val="auto"/>
        </w:rPr>
      </w:pPr>
      <w:r>
        <w:rPr>
          <w:rFonts w:ascii="Courier New" w:cs="Courier New" w:eastAsia="Courier New" w:hAnsi="Courier New"/>
          <w:sz w:val="15"/>
          <w:szCs w:val="15"/>
          <w:color w:val="auto"/>
        </w:rPr>
        <w:t>Each of our segments participates in markets that are highly competitive. Many of our competitors sell their products at prices lower than ours, and we compete primarily on the basis of product quality, product performance, value, brand strength, supply chain competency and advertising. Some of our competitors have significant financial resources and research departments. The strong competition that we face in all of our markets may prevent us from achieving our revenue goals, which may have a material adverse affect on our financial condition and results of operations.</w:t>
      </w:r>
    </w:p>
    <w:p>
      <w:pPr>
        <w:spacing w:after="0" w:line="176" w:lineRule="exact"/>
        <w:rPr>
          <w:sz w:val="20"/>
          <w:szCs w:val="20"/>
          <w:color w:val="auto"/>
        </w:rPr>
      </w:pPr>
    </w:p>
    <w:p>
      <w:pPr>
        <w:ind w:left="190" w:right="2659" w:hanging="190"/>
        <w:spacing w:after="0" w:line="238" w:lineRule="auto"/>
        <w:tabs>
          <w:tab w:leader="none" w:pos="19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MONSANTO WERE TO TERMINATE THE MARKETING AGREEMENT FOR CONSUMER ROUNDUP(R) PRODUCTS WITHOUT BEING REQUIRED TO PAY ANY TERMINATION FEE, WE WOULD LOSE A SUBSTANTIAL SOURCE OF FUTURE EARNINGS.</w:t>
      </w:r>
    </w:p>
    <w:p>
      <w:pPr>
        <w:spacing w:after="0" w:line="188" w:lineRule="exact"/>
        <w:rPr>
          <w:sz w:val="20"/>
          <w:szCs w:val="20"/>
          <w:color w:val="auto"/>
        </w:rPr>
      </w:pPr>
    </w:p>
    <w:p>
      <w:pPr>
        <w:ind w:left="90" w:right="2659"/>
        <w:spacing w:after="0" w:line="258" w:lineRule="auto"/>
        <w:rPr>
          <w:sz w:val="20"/>
          <w:szCs w:val="20"/>
          <w:color w:val="auto"/>
        </w:rPr>
      </w:pPr>
      <w:r>
        <w:rPr>
          <w:rFonts w:ascii="Courier New" w:cs="Courier New" w:eastAsia="Courier New" w:hAnsi="Courier New"/>
          <w:sz w:val="15"/>
          <w:szCs w:val="15"/>
          <w:color w:val="auto"/>
        </w:rPr>
        <w:t>If we were to commit a serious default under the marketing agreement with Monsanto for consumer Roundup(R) products, Monsanto may have the right to terminate the agreement. If Monsanto were to terminate the marketing agreement for cause, we would not be entitled to any termination fee, and we would lose all, or a significant portion, of the significant source of earnings and overhead expense absorption the marketing agreement provides. Monsanto may also be able to terminate the marketing agreement within a given region, including North America, without paying us a termination fee if sales to consumers in that region decline:</w:t>
      </w:r>
    </w:p>
    <w:p>
      <w:pPr>
        <w:spacing w:after="0" w:line="171" w:lineRule="exact"/>
        <w:rPr>
          <w:sz w:val="20"/>
          <w:szCs w:val="20"/>
          <w:color w:val="auto"/>
        </w:rPr>
      </w:pPr>
    </w:p>
    <w:p>
      <w:pPr>
        <w:ind w:left="290" w:hanging="196"/>
        <w:spacing w:after="0"/>
        <w:tabs>
          <w:tab w:leader="none" w:pos="29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 a cumulative three fiscal year period; or</w:t>
      </w:r>
    </w:p>
    <w:p>
      <w:pPr>
        <w:spacing w:after="0" w:line="182" w:lineRule="exact"/>
        <w:rPr>
          <w:rFonts w:ascii="Courier New" w:cs="Courier New" w:eastAsia="Courier New" w:hAnsi="Courier New"/>
          <w:sz w:val="16"/>
          <w:szCs w:val="16"/>
          <w:color w:val="auto"/>
        </w:rPr>
      </w:pPr>
    </w:p>
    <w:p>
      <w:pPr>
        <w:ind w:left="290" w:hanging="196"/>
        <w:spacing w:after="0"/>
        <w:tabs>
          <w:tab w:leader="none" w:pos="29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more than 5% for each of two consecutive fiscal years.</w:t>
      </w:r>
    </w:p>
    <w:p>
      <w:pPr>
        <w:spacing w:after="0" w:line="186" w:lineRule="exact"/>
        <w:rPr>
          <w:rFonts w:ascii="Courier New" w:cs="Courier New" w:eastAsia="Courier New" w:hAnsi="Courier New"/>
          <w:sz w:val="16"/>
          <w:szCs w:val="16"/>
          <w:color w:val="auto"/>
        </w:rPr>
      </w:pPr>
    </w:p>
    <w:p>
      <w:pPr>
        <w:ind w:left="190" w:right="3039" w:hanging="190"/>
        <w:spacing w:after="0" w:line="237" w:lineRule="auto"/>
        <w:tabs>
          <w:tab w:leader="none" w:pos="19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HAGEDORN PARTNERSHIP, L.P. BENEFICIALLY OWNS APPROXIMATELY 34% OF OUR OUTSTANDING COMMON SHARES.</w:t>
      </w:r>
    </w:p>
    <w:p>
      <w:pPr>
        <w:spacing w:after="0" w:line="188" w:lineRule="exact"/>
        <w:rPr>
          <w:sz w:val="20"/>
          <w:szCs w:val="20"/>
          <w:color w:val="auto"/>
        </w:rPr>
      </w:pPr>
    </w:p>
    <w:p>
      <w:pPr>
        <w:ind w:left="90" w:right="2659"/>
        <w:spacing w:after="0" w:line="239" w:lineRule="auto"/>
        <w:rPr>
          <w:sz w:val="20"/>
          <w:szCs w:val="20"/>
          <w:color w:val="auto"/>
        </w:rPr>
      </w:pPr>
      <w:r>
        <w:rPr>
          <w:rFonts w:ascii="Courier New" w:cs="Courier New" w:eastAsia="Courier New" w:hAnsi="Courier New"/>
          <w:sz w:val="16"/>
          <w:szCs w:val="16"/>
          <w:color w:val="auto"/>
        </w:rPr>
        <w:t>Hagedorn Partnership, L.P. beneficially owns approximately 34% of our outstanding common shares and has sufficient voting power to significantly influence the election of directors and the approval of other actions requiring the approval of our shareholders.</w:t>
      </w:r>
    </w:p>
    <w:p>
      <w:pPr>
        <w:spacing w:after="0" w:line="187" w:lineRule="exact"/>
        <w:rPr>
          <w:sz w:val="20"/>
          <w:szCs w:val="20"/>
          <w:color w:val="auto"/>
        </w:rPr>
      </w:pPr>
    </w:p>
    <w:p>
      <w:pPr>
        <w:ind w:left="190" w:right="2839" w:hanging="190"/>
        <w:spacing w:after="0" w:line="237" w:lineRule="auto"/>
        <w:tabs>
          <w:tab w:leader="none" w:pos="19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ENVIRONMENTAL AND OTHER PUBLIC HEALTH REGULATIONS COULD INCREASE OUR COST OF DOING BUSINESS.</w:t>
      </w:r>
    </w:p>
    <w:p>
      <w:pPr>
        <w:spacing w:after="0" w:line="188" w:lineRule="exact"/>
        <w:rPr>
          <w:sz w:val="20"/>
          <w:szCs w:val="20"/>
          <w:color w:val="auto"/>
        </w:rPr>
      </w:pPr>
    </w:p>
    <w:p>
      <w:pPr>
        <w:ind w:left="90" w:right="2659"/>
        <w:spacing w:after="0"/>
        <w:rPr>
          <w:sz w:val="20"/>
          <w:szCs w:val="20"/>
          <w:color w:val="auto"/>
        </w:rPr>
      </w:pPr>
      <w:r>
        <w:rPr>
          <w:rFonts w:ascii="Courier New" w:cs="Courier New" w:eastAsia="Courier New" w:hAnsi="Courier New"/>
          <w:sz w:val="16"/>
          <w:szCs w:val="16"/>
          <w:color w:val="auto"/>
        </w:rPr>
        <w:t>Local, state, federal and foreign laws and regulations relating to environmental matters affect us in several ways. In the United States, all products containing pesticides must be registered with the U.S. EPA and, in many cases, similar state agencies before they can be sold. The inability to obtain or the cancellation of any registration could have an adverse effect on our business.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89" w:lineRule="exact"/>
        <w:rPr>
          <w:sz w:val="20"/>
          <w:szCs w:val="20"/>
          <w:color w:val="auto"/>
        </w:rPr>
      </w:pPr>
    </w:p>
    <w:p>
      <w:pPr>
        <w:ind w:left="90" w:right="2659"/>
        <w:spacing w:after="0"/>
        <w:rPr>
          <w:sz w:val="20"/>
          <w:szCs w:val="20"/>
          <w:color w:val="auto"/>
        </w:rPr>
      </w:pPr>
      <w:r>
        <w:rPr>
          <w:rFonts w:ascii="Courier New" w:cs="Courier New" w:eastAsia="Courier New" w:hAnsi="Courier New"/>
          <w:sz w:val="16"/>
          <w:szCs w:val="16"/>
          <w:color w:val="auto"/>
        </w:rPr>
        <w:t>The Food Quality Protection Act, enacted by the U.S. Congress in August 1996, establishes a standard for food-use pesticides: that a reasonable certainty of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continue to be evaluated by the U.S. EPA as part of this exposure risk assessment. It is possible that the U.S. EPA or a third party active ingredient registrant may decide that a pesticide we use in our products will be limited or made unavailable to us. For example, in June 2000, DowAgroSciences, an active ingredient registrant, voluntarily agreed to a gradual phase-out of residential uses of chlorpyrifos, an active ingredient used in our lawn and garden products. In December 2000, the U.S. EPA reached</w:t>
      </w:r>
    </w:p>
    <w:p>
      <w:pPr>
        <w:spacing w:after="0" w:line="5" w:lineRule="exact"/>
        <w:rPr>
          <w:sz w:val="20"/>
          <w:szCs w:val="20"/>
          <w:color w:val="auto"/>
        </w:rPr>
      </w:pPr>
    </w:p>
    <w:p>
      <w:pPr>
        <w:ind w:left="313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21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9749"/>
          </w:cols>
          <w:pgMar w:left="710" w:top="663" w:right="1440" w:bottom="1440" w:gutter="0" w:footer="0" w:header="0"/>
        </w:sectPr>
      </w:pPr>
    </w:p>
    <w:bookmarkStart w:id="46" w:name="page47"/>
    <w:bookmarkEnd w:id="46"/>
    <w:p>
      <w:pPr>
        <w:ind w:left="90" w:right="2659"/>
        <w:spacing w:after="0" w:line="239" w:lineRule="auto"/>
        <w:rPr>
          <w:sz w:val="20"/>
          <w:szCs w:val="20"/>
          <w:color w:val="auto"/>
        </w:rPr>
      </w:pPr>
      <w:r>
        <w:rPr>
          <w:rFonts w:ascii="Courier New" w:cs="Courier New" w:eastAsia="Courier New" w:hAnsi="Courier New"/>
          <w:sz w:val="16"/>
          <w:szCs w:val="16"/>
          <w:color w:val="auto"/>
        </w:rPr>
        <w:t>agreement with various parties, including manufacturers of the active ingredient diazinon, regarding a phased withdrawal from retailers by December 2004 of residential uses of products containing diazinon, also used in our lawn and garden products. We cannot predict the outcome or the severity of the effect of the U.S. EPA's continuing evaluations of active ingredients used in our products.</w:t>
      </w:r>
    </w:p>
    <w:p>
      <w:pPr>
        <w:spacing w:after="0" w:line="190" w:lineRule="exact"/>
        <w:rPr>
          <w:sz w:val="20"/>
          <w:szCs w:val="20"/>
          <w:color w:val="auto"/>
        </w:rPr>
      </w:pPr>
    </w:p>
    <w:p>
      <w:pPr>
        <w:ind w:left="90" w:right="2659"/>
        <w:spacing w:after="0" w:line="257" w:lineRule="auto"/>
        <w:rPr>
          <w:sz w:val="20"/>
          <w:szCs w:val="20"/>
          <w:color w:val="auto"/>
        </w:rPr>
      </w:pPr>
      <w:r>
        <w:rPr>
          <w:rFonts w:ascii="Courier New" w:cs="Courier New" w:eastAsia="Courier New" w:hAnsi="Courier New"/>
          <w:sz w:val="15"/>
          <w:szCs w:val="15"/>
          <w:color w:val="auto"/>
        </w:rPr>
        <w:t>The use of certain pesticide and fertilizer products is regulated by various local, state, federal and foreign environmental and public health agencies. Regulations regarding the use of some pesticide and fertilizer products may include requirements that only certified or professional users apply the product, that the products be used only in specified locations or that certain ingredients not be used.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you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363" w:lineRule="exact"/>
        <w:rPr>
          <w:sz w:val="20"/>
          <w:szCs w:val="20"/>
          <w:color w:val="auto"/>
        </w:rPr>
      </w:pPr>
    </w:p>
    <w:p>
      <w:pPr>
        <w:ind w:left="90" w:right="2659"/>
        <w:spacing w:after="0" w:line="239" w:lineRule="auto"/>
        <w:rPr>
          <w:sz w:val="20"/>
          <w:szCs w:val="20"/>
          <w:color w:val="auto"/>
        </w:rPr>
      </w:pPr>
      <w:r>
        <w:rPr>
          <w:rFonts w:ascii="Courier New" w:cs="Courier New" w:eastAsia="Courier New" w:hAnsi="Courier New"/>
          <w:sz w:val="16"/>
          <w:szCs w:val="16"/>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legislation.</w:t>
      </w:r>
    </w:p>
    <w:p>
      <w:pPr>
        <w:spacing w:after="0" w:line="192" w:lineRule="exact"/>
        <w:rPr>
          <w:sz w:val="20"/>
          <w:szCs w:val="20"/>
          <w:color w:val="auto"/>
        </w:rPr>
      </w:pPr>
    </w:p>
    <w:p>
      <w:pPr>
        <w:ind w:left="90" w:right="2659"/>
        <w:spacing w:after="0"/>
        <w:rPr>
          <w:sz w:val="20"/>
          <w:szCs w:val="20"/>
          <w:color w:val="auto"/>
        </w:rPr>
      </w:pPr>
      <w:r>
        <w:rPr>
          <w:rFonts w:ascii="Courier New" w:cs="Courier New" w:eastAsia="Courier New" w:hAnsi="Courier New"/>
          <w:sz w:val="16"/>
          <w:szCs w:val="16"/>
          <w:color w:val="auto"/>
        </w:rPr>
        <w:t>In addition to the regulations already described, local, state, federal and foreign agencies regulate the disposal, handling and storage of waste, air and water discharges from our facilities. In June 1997, the Ohio EPA initiated an enforcement action against us with respect to alleged surface water violations and inadequate treatment capabilities at our Marysville facility and is seeking corrective action under the Resource Conservation Recovery Act. We have met with the Ohio EPA and the Ohio Attorney General's office to negotiate an amicable resolution of these issues. On December 3, 2001, an agreed judicial Consent Order was submitted to the Union County Common Pleas Court and was entered by the court on January 25, 2002.</w:t>
      </w:r>
    </w:p>
    <w:p>
      <w:pPr>
        <w:spacing w:after="0" w:line="189" w:lineRule="exact"/>
        <w:rPr>
          <w:sz w:val="20"/>
          <w:szCs w:val="20"/>
          <w:color w:val="auto"/>
        </w:rPr>
      </w:pPr>
    </w:p>
    <w:p>
      <w:pPr>
        <w:ind w:left="90" w:right="2759"/>
        <w:spacing w:after="0" w:line="239" w:lineRule="auto"/>
        <w:rPr>
          <w:sz w:val="20"/>
          <w:szCs w:val="20"/>
          <w:color w:val="auto"/>
        </w:rPr>
      </w:pPr>
      <w:r>
        <w:rPr>
          <w:rFonts w:ascii="Courier New" w:cs="Courier New" w:eastAsia="Courier New" w:hAnsi="Courier New"/>
          <w:sz w:val="16"/>
          <w:szCs w:val="16"/>
          <w:color w:val="auto"/>
        </w:rPr>
        <w:t>In fiscal 2003, we made $1.5 million in environmental expenditures compared with approximately $0.3 million in environmental capital expenditures and $5.4 million in other environmental expenses in fiscal 2002. We expect spending on environmental matters in fiscal 2004 will not vary materially from the amount spent in fiscal 2003.</w:t>
      </w:r>
    </w:p>
    <w:p>
      <w:pPr>
        <w:spacing w:after="0" w:line="189" w:lineRule="exact"/>
        <w:rPr>
          <w:sz w:val="20"/>
          <w:szCs w:val="20"/>
          <w:color w:val="auto"/>
        </w:rPr>
      </w:pPr>
    </w:p>
    <w:p>
      <w:pPr>
        <w:ind w:left="90" w:right="2939"/>
        <w:spacing w:after="0" w:line="262" w:lineRule="auto"/>
        <w:rPr>
          <w:sz w:val="20"/>
          <w:szCs w:val="20"/>
          <w:color w:val="auto"/>
        </w:rPr>
      </w:pPr>
      <w:r>
        <w:rPr>
          <w:rFonts w:ascii="Courier New" w:cs="Courier New" w:eastAsia="Courier New" w:hAnsi="Courier New"/>
          <w:sz w:val="15"/>
          <w:szCs w:val="15"/>
          <w:color w:val="auto"/>
        </w:rPr>
        <w:t>The adequacy of these estimated future expenditures is based on our operating in substantial compliance with applicable environmental and public health laws and regulations and several significant assumptions:</w:t>
      </w:r>
    </w:p>
    <w:p>
      <w:pPr>
        <w:spacing w:after="0" w:line="171" w:lineRule="exact"/>
        <w:rPr>
          <w:sz w:val="20"/>
          <w:szCs w:val="20"/>
          <w:color w:val="auto"/>
        </w:rPr>
      </w:pPr>
    </w:p>
    <w:p>
      <w:pPr>
        <w:ind w:left="290" w:right="3319" w:hanging="196"/>
        <w:spacing w:after="0" w:line="237" w:lineRule="auto"/>
        <w:tabs>
          <w:tab w:leader="none" w:pos="29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we have identified all of the significant sites that must be remediated;</w:t>
      </w:r>
    </w:p>
    <w:p>
      <w:pPr>
        <w:spacing w:after="0" w:line="187" w:lineRule="exact"/>
        <w:rPr>
          <w:rFonts w:ascii="Courier New" w:cs="Courier New" w:eastAsia="Courier New" w:hAnsi="Courier New"/>
          <w:sz w:val="16"/>
          <w:szCs w:val="16"/>
          <w:color w:val="auto"/>
        </w:rPr>
      </w:pPr>
    </w:p>
    <w:p>
      <w:pPr>
        <w:ind w:left="290" w:right="2659" w:hanging="196"/>
        <w:spacing w:after="0" w:line="237" w:lineRule="auto"/>
        <w:tabs>
          <w:tab w:leader="none" w:pos="29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there are no significant conditions of potential contamination that are unknown to us; and</w:t>
      </w:r>
    </w:p>
    <w:p>
      <w:pPr>
        <w:spacing w:after="0" w:line="187" w:lineRule="exact"/>
        <w:rPr>
          <w:rFonts w:ascii="Courier New" w:cs="Courier New" w:eastAsia="Courier New" w:hAnsi="Courier New"/>
          <w:sz w:val="16"/>
          <w:szCs w:val="16"/>
          <w:color w:val="auto"/>
        </w:rPr>
      </w:pPr>
    </w:p>
    <w:p>
      <w:pPr>
        <w:ind w:left="290" w:right="3039" w:hanging="196"/>
        <w:spacing w:after="0" w:line="239" w:lineRule="auto"/>
        <w:tabs>
          <w:tab w:leader="none" w:pos="29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87" w:lineRule="exact"/>
        <w:rPr>
          <w:sz w:val="20"/>
          <w:szCs w:val="20"/>
          <w:color w:val="auto"/>
        </w:rPr>
      </w:pPr>
    </w:p>
    <w:p>
      <w:pPr>
        <w:ind w:left="90" w:right="2759"/>
        <w:spacing w:after="0" w:line="239" w:lineRule="auto"/>
        <w:rPr>
          <w:sz w:val="20"/>
          <w:szCs w:val="20"/>
          <w:color w:val="auto"/>
        </w:rPr>
      </w:pPr>
      <w:r>
        <w:rPr>
          <w:rFonts w:ascii="Courier New" w:cs="Courier New" w:eastAsia="Courier New" w:hAnsi="Courier New"/>
          <w:sz w:val="16"/>
          <w:szCs w:val="16"/>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190" w:lineRule="exact"/>
        <w:rPr>
          <w:sz w:val="20"/>
          <w:szCs w:val="20"/>
          <w:color w:val="auto"/>
        </w:rPr>
      </w:pPr>
    </w:p>
    <w:p>
      <w:pPr>
        <w:ind w:left="190" w:right="2659" w:hanging="190"/>
        <w:spacing w:after="0" w:line="238" w:lineRule="auto"/>
        <w:tabs>
          <w:tab w:leader="none" w:pos="19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SIGNIFICANT INTERNATIONAL OPERATIONS MAKE US SUSCEPTIBLE TO FLUCTUATIONS IN CURRENCY EXCHANGE RATES AND TO THE COSTS OF INTERNATIONAL REGULATION.</w:t>
      </w:r>
    </w:p>
    <w:p>
      <w:pPr>
        <w:spacing w:after="0" w:line="188" w:lineRule="exact"/>
        <w:rPr>
          <w:sz w:val="20"/>
          <w:szCs w:val="20"/>
          <w:color w:val="auto"/>
        </w:rPr>
      </w:pPr>
    </w:p>
    <w:p>
      <w:pPr>
        <w:ind w:left="90" w:right="2759"/>
        <w:spacing w:after="0" w:line="238" w:lineRule="auto"/>
        <w:rPr>
          <w:sz w:val="20"/>
          <w:szCs w:val="20"/>
          <w:color w:val="auto"/>
        </w:rPr>
      </w:pPr>
      <w:r>
        <w:rPr>
          <w:rFonts w:ascii="Courier New" w:cs="Courier New" w:eastAsia="Courier New" w:hAnsi="Courier New"/>
          <w:sz w:val="16"/>
          <w:szCs w:val="16"/>
          <w:color w:val="auto"/>
        </w:rPr>
        <w:t>We currently operate manufacturing, sales and service facilities outside of North America, particularly in the United Kingdom, Germany, France and the Netherlands. In fiscal 2003,</w:t>
      </w:r>
    </w:p>
    <w:p>
      <w:pPr>
        <w:spacing w:after="0" w:line="184" w:lineRule="exact"/>
        <w:rPr>
          <w:sz w:val="20"/>
          <w:szCs w:val="20"/>
          <w:color w:val="auto"/>
        </w:rPr>
      </w:pPr>
    </w:p>
    <w:p>
      <w:pPr>
        <w:ind w:left="313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21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9749"/>
          </w:cols>
          <w:pgMar w:left="710" w:top="663" w:right="1440" w:bottom="883" w:gutter="0" w:footer="0" w:header="0"/>
        </w:sectPr>
      </w:pPr>
    </w:p>
    <w:bookmarkStart w:id="47" w:name="page48"/>
    <w:bookmarkEnd w:id="47"/>
    <w:p>
      <w:pPr>
        <w:spacing w:after="0" w:line="26" w:lineRule="exact"/>
        <w:rPr>
          <w:sz w:val="20"/>
          <w:szCs w:val="20"/>
          <w:color w:val="auto"/>
        </w:rPr>
      </w:pPr>
    </w:p>
    <w:p>
      <w:pPr>
        <w:ind w:left="560" w:right="2659"/>
        <w:spacing w:after="0" w:line="238" w:lineRule="auto"/>
        <w:rPr>
          <w:sz w:val="20"/>
          <w:szCs w:val="20"/>
          <w:color w:val="auto"/>
        </w:rPr>
      </w:pPr>
      <w:r>
        <w:rPr>
          <w:rFonts w:ascii="Courier New" w:cs="Courier New" w:eastAsia="Courier New" w:hAnsi="Courier New"/>
          <w:sz w:val="16"/>
          <w:szCs w:val="16"/>
          <w:color w:val="auto"/>
        </w:rPr>
        <w:t>international sales accounted for approximately 20% of our total sales. Accordingly, we are subject to risks associated with operations in foreign countries, including:</w:t>
      </w:r>
    </w:p>
    <w:p>
      <w:pPr>
        <w:spacing w:after="0" w:line="184" w:lineRule="exact"/>
        <w:rPr>
          <w:sz w:val="20"/>
          <w:szCs w:val="20"/>
          <w:color w:val="auto"/>
        </w:rPr>
      </w:pPr>
    </w:p>
    <w:p>
      <w:pPr>
        <w:ind w:left="760" w:hanging="196"/>
        <w:spacing w:after="0"/>
        <w:tabs>
          <w:tab w:leader="none" w:pos="7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fluctuations in currency exchange rates;</w:t>
      </w:r>
    </w:p>
    <w:p>
      <w:pPr>
        <w:ind w:left="760" w:hanging="196"/>
        <w:spacing w:after="0"/>
        <w:tabs>
          <w:tab w:leader="none" w:pos="7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conversion of foreign currencies into U.S. dollars;</w:t>
      </w:r>
    </w:p>
    <w:p>
      <w:pPr>
        <w:spacing w:after="0" w:line="4" w:lineRule="exact"/>
        <w:rPr>
          <w:rFonts w:ascii="Courier New" w:cs="Courier New" w:eastAsia="Courier New" w:hAnsi="Courier New"/>
          <w:sz w:val="16"/>
          <w:szCs w:val="16"/>
          <w:color w:val="auto"/>
        </w:rPr>
      </w:pPr>
    </w:p>
    <w:p>
      <w:pPr>
        <w:ind w:left="760" w:right="2659" w:hanging="196"/>
        <w:spacing w:after="0" w:line="237" w:lineRule="auto"/>
        <w:tabs>
          <w:tab w:leader="none" w:pos="7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remittance of dividends and other payments by foreign subsidiaries;</w:t>
      </w:r>
    </w:p>
    <w:p>
      <w:pPr>
        <w:spacing w:after="0" w:line="1" w:lineRule="exact"/>
        <w:rPr>
          <w:rFonts w:ascii="Courier New" w:cs="Courier New" w:eastAsia="Courier New" w:hAnsi="Courier New"/>
          <w:sz w:val="16"/>
          <w:szCs w:val="16"/>
          <w:color w:val="auto"/>
        </w:rPr>
      </w:pPr>
    </w:p>
    <w:p>
      <w:pPr>
        <w:ind w:left="760" w:hanging="196"/>
        <w:spacing w:after="0"/>
        <w:tabs>
          <w:tab w:leader="none" w:pos="7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costs of compliance with local regulations; and</w:t>
      </w:r>
    </w:p>
    <w:p>
      <w:pPr>
        <w:spacing w:after="0" w:line="4" w:lineRule="exact"/>
        <w:rPr>
          <w:rFonts w:ascii="Courier New" w:cs="Courier New" w:eastAsia="Courier New" w:hAnsi="Courier New"/>
          <w:sz w:val="16"/>
          <w:szCs w:val="16"/>
          <w:color w:val="auto"/>
        </w:rPr>
      </w:pPr>
    </w:p>
    <w:p>
      <w:pPr>
        <w:ind w:left="760" w:right="2939" w:hanging="196"/>
        <w:spacing w:after="0" w:line="237" w:lineRule="auto"/>
        <w:tabs>
          <w:tab w:leader="none" w:pos="7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historically, in certain countries, higher rates of inflation than in the United States.</w:t>
      </w:r>
    </w:p>
    <w:p>
      <w:pPr>
        <w:spacing w:after="0" w:line="188" w:lineRule="exact"/>
        <w:rPr>
          <w:sz w:val="20"/>
          <w:szCs w:val="20"/>
          <w:color w:val="auto"/>
        </w:rPr>
      </w:pPr>
    </w:p>
    <w:p>
      <w:pPr>
        <w:ind w:left="560" w:right="2759"/>
        <w:spacing w:after="0" w:line="239" w:lineRule="auto"/>
        <w:rPr>
          <w:sz w:val="20"/>
          <w:szCs w:val="20"/>
          <w:color w:val="auto"/>
        </w:rPr>
      </w:pPr>
      <w:r>
        <w:rPr>
          <w:rFonts w:ascii="Courier New" w:cs="Courier New" w:eastAsia="Courier New" w:hAnsi="Courier New"/>
          <w:sz w:val="16"/>
          <w:szCs w:val="16"/>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operations could adversely affect our operations and financial results in the future.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7A. QUANTITATIVE AND QUALITATIVE DISCLOSURES ABOUT MARKET RISK</w:t>
      </w:r>
    </w:p>
    <w:p>
      <w:pPr>
        <w:spacing w:after="0" w:line="186" w:lineRule="exact"/>
        <w:rPr>
          <w:sz w:val="20"/>
          <w:szCs w:val="20"/>
          <w:color w:val="auto"/>
        </w:rPr>
      </w:pPr>
    </w:p>
    <w:p>
      <w:pPr>
        <w:ind w:right="2839" w:firstLine="473"/>
        <w:spacing w:after="0" w:line="259" w:lineRule="auto"/>
        <w:rPr>
          <w:sz w:val="20"/>
          <w:szCs w:val="20"/>
          <w:color w:val="auto"/>
        </w:rPr>
      </w:pPr>
      <w:r>
        <w:rPr>
          <w:rFonts w:ascii="Courier New" w:cs="Courier New" w:eastAsia="Courier New" w:hAnsi="Courier New"/>
          <w:sz w:val="15"/>
          <w:szCs w:val="15"/>
          <w:color w:val="auto"/>
        </w:rPr>
        <w:t>As part of our ongoing business, we are exposed to certain market risks, including fluctuations in interest rates, foreign currency exchange rates and commodity prices. We use derivative financial and other instruments, where appropriate, to manage these risks. We do not enter into transactions designed to mitigate our market risks for trading or speculative purposes.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 RISK</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We have various debt instruments outstanding at September 30, 2003 and 2002 that are impacted by changes in interest rates. As a means of managing our interest rate risk on these debt instruments, we enter into interest rate swap agreements to effectively convert certain variable rate debt obligations to fixed rates.</w:t>
      </w:r>
    </w:p>
    <w:p>
      <w:pPr>
        <w:spacing w:after="0" w:line="189"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At September 30, 2003 and 2002, Scotts had outstanding five and six interest rate swaps, respectively, with major financial institutions that effectively convert variable-rate debt to a fixed rate. The swaps have notional amounts between $10 million and $25 million ($75 million and $95 million in total, respectively) with three, four or five year terms commencing in January 1999. Under the terms of these swaps, the Company pays rates ranging from 3.75% to 5.18% and receives three-month LIBOR.</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following table summarizes information about our derivative financial instruments and debt instruments that are sensitive to changes in interest rates as of September 30, 2003 and 2002. For debt instruments, the table presents principal cash flows and related weighted-average interest rates by expected maturity dates. For interest rate swaps, the table presents expected cash flows based on notional amounts and weighted-average interest rates by contractual maturity dates. Weighted-average variable rates are based on implied forward rates in the yield curve at September 30, 2003 and 2002. The information is presented in U.S. dollars (in millions):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Expected</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Maturity</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Date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40" w:right="9239" w:firstLine="90"/>
        <w:spacing w:after="0" w:line="256" w:lineRule="auto"/>
        <w:tabs>
          <w:tab w:leader="none" w:pos="51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2003 2004 2005 2006 2007 2008</w:t>
      </w:r>
    </w:p>
    <w:p>
      <w:pPr>
        <w:ind w:left="40"/>
        <w:spacing w:after="0" w:line="238" w:lineRule="auto"/>
        <w:rPr>
          <w:sz w:val="20"/>
          <w:szCs w:val="20"/>
          <w:color w:val="auto"/>
        </w:rPr>
      </w:pPr>
      <w:r>
        <w:rPr>
          <w:rFonts w:ascii="Courier New" w:cs="Courier New" w:eastAsia="Courier New" w:hAnsi="Courier New"/>
          <w:sz w:val="16"/>
          <w:szCs w:val="16"/>
          <w:color w:val="auto"/>
        </w:rPr>
        <w:t>After Total</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Value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left="80" w:right="9179" w:firstLine="55"/>
        <w:spacing w:after="0" w:line="256" w:lineRule="auto"/>
        <w:tabs>
          <w:tab w:leader="none" w:pos="50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Fixed rate</w:t>
      </w:r>
    </w:p>
    <w:p>
      <w:pPr>
        <w:jc w:val="center"/>
        <w:ind w:right="9099"/>
        <w:spacing w:after="0" w:line="237" w:lineRule="auto"/>
        <w:rPr>
          <w:sz w:val="20"/>
          <w:szCs w:val="20"/>
          <w:color w:val="auto"/>
        </w:rPr>
      </w:pPr>
      <w:r>
        <w:rPr>
          <w:rFonts w:ascii="Courier New" w:cs="Courier New" w:eastAsia="Courier New" w:hAnsi="Courier New"/>
          <w:sz w:val="16"/>
          <w:szCs w:val="16"/>
          <w:color w:val="auto"/>
        </w:rPr>
        <w:t>debt $400.0</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$400.0</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$393.1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Average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rate 8.625%</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8.625%</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Variable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rate debt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$38.6 $49.2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$ 0.9</w:t>
      </w:r>
    </w:p>
    <w:p>
      <w:pPr>
        <w:sectPr>
          <w:pgSz w:w="11900" w:h="16864" w:orient="portrait"/>
          <w:cols w:equalWidth="0" w:num="1">
            <w:col w:w="10219"/>
          </w:cols>
          <w:pgMar w:left="240" w:top="663" w:right="1440" w:bottom="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$178.4</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$59.4</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$326.5</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$326.5</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Average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rate 4.97%</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4.97% 4.59%</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4.59% 4.59%</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4.70%</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Interest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rate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derivatives: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Interest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rate swaps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on US$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LIBOR $ 0.5</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$ 1.6 $ 2.1</w:t>
      </w:r>
    </w:p>
    <w:p>
      <w:pPr>
        <w:spacing w:after="0" w:line="1" w:lineRule="exact"/>
        <w:rPr>
          <w:sz w:val="20"/>
          <w:szCs w:val="20"/>
          <w:color w:val="auto"/>
        </w:rPr>
      </w:pPr>
    </w:p>
    <w:p>
      <w:pPr>
        <w:ind w:left="520" w:hanging="196"/>
        <w:spacing w:after="0"/>
        <w:tabs>
          <w:tab w:leader="none" w:pos="5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Average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rate 5.18%</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3.76% 4.22%</w:t>
      </w:r>
    </w:p>
    <w:p>
      <w:pPr>
        <w:spacing w:after="0" w:line="368"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138" w:right="1440" w:bottom="1440" w:gutter="0" w:footer="0" w:header="0"/>
        </w:sectPr>
      </w:pPr>
    </w:p>
    <w:bookmarkStart w:id="49" w:name="page50"/>
    <w:bookmarkEnd w:id="49"/>
    <w:p>
      <w:pPr>
        <w:spacing w:after="0" w:line="3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Expected</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Maturity</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Date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560" w:hanging="378"/>
        <w:spacing w:after="0"/>
        <w:tabs>
          <w:tab w:leader="none" w:pos="5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2002 2003</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2004 2005</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2006 2007</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After Total</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Value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left="80" w:right="9179" w:firstLine="55"/>
        <w:spacing w:after="0" w:line="256" w:lineRule="auto"/>
        <w:tabs>
          <w:tab w:leader="none" w:pos="50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Fixed rate</w:t>
      </w:r>
    </w:p>
    <w:p>
      <w:pPr>
        <w:jc w:val="center"/>
        <w:ind w:right="9099"/>
        <w:spacing w:after="0" w:line="237" w:lineRule="auto"/>
        <w:rPr>
          <w:sz w:val="20"/>
          <w:szCs w:val="20"/>
          <w:color w:val="auto"/>
        </w:rPr>
      </w:pPr>
      <w:r>
        <w:rPr>
          <w:rFonts w:ascii="Courier New" w:cs="Courier New" w:eastAsia="Courier New" w:hAnsi="Courier New"/>
          <w:sz w:val="16"/>
          <w:szCs w:val="16"/>
          <w:color w:val="auto"/>
        </w:rPr>
        <w:t>debt $400.0</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$400.0</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$391.8</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Average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rate 8.625%</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8.625%</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Variable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rate debt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$59.1 $34.2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$43.6 $ 0.9</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$178.3 $</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59.4 $375.5</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$375.5</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Average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rate 5.95%</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6.32% 6.33%</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5.03% 5.03%</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5.03% 5.52%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Interest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rate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derivatives: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Interest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rate swaps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on US$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LIBOR $ 2.0</w:t>
      </w:r>
    </w:p>
    <w:p>
      <w:pPr>
        <w:spacing w:after="0" w:line="5" w:lineRule="exact"/>
        <w:rPr>
          <w:sz w:val="20"/>
          <w:szCs w:val="20"/>
          <w:color w:val="auto"/>
        </w:rPr>
      </w:pPr>
    </w:p>
    <w:p>
      <w:pPr>
        <w:ind w:left="320" w:right="9139" w:hanging="279"/>
        <w:spacing w:after="0" w:line="256" w:lineRule="auto"/>
        <w:tabs>
          <w:tab w:leader="none" w:pos="226"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1.6 $ 3.6 $ 3.6</w:t>
      </w:r>
    </w:p>
    <w:p>
      <w:pPr>
        <w:jc w:val="center"/>
        <w:ind w:right="9099"/>
        <w:spacing w:after="0" w:line="236" w:lineRule="auto"/>
        <w:rPr>
          <w:sz w:val="20"/>
          <w:szCs w:val="20"/>
          <w:color w:val="auto"/>
        </w:rPr>
      </w:pPr>
      <w:r>
        <w:rPr>
          <w:rFonts w:ascii="Courier New" w:cs="Courier New" w:eastAsia="Courier New" w:hAnsi="Courier New"/>
          <w:sz w:val="16"/>
          <w:szCs w:val="16"/>
          <w:color w:val="auto"/>
        </w:rPr>
        <w:t>Average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rate 4.45%</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4.29% 4.38%</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MARKET RISKS</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Our market risk associated with foreign currency rates is not considered to be material. Through fiscal 2003, we had only minor amounts of transactions that were denominated in currencies other than the currency of the country of origin. We are subject to market risk from fluctuating market prices of certain raw materials, including urea and other chemicals and paper and plastic products. Our objectives surrounding the procurement of these materials are to ensure continuous supply and to minimize costs. We seek to achieve these objectives through negotiation of contracts with favorable terms directly with vendors. We do not enter into forward contracts or other market instruments as a means of achieving our objectives or minimizing our risk exposures on these materials.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FINANCIAL STATEMENTS AND SUPPLEMENTARY DATA</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financial statements and other information required by this Item are contained in the consolidated financial statements, notes thereto and schedules listed in the "Index to Consolidated Financial Statements and Financial Statement Schedules" on page 48 herein.</w:t>
      </w:r>
    </w:p>
    <w:p>
      <w:pPr>
        <w:spacing w:after="0" w:line="187" w:lineRule="exact"/>
        <w:rPr>
          <w:sz w:val="20"/>
          <w:szCs w:val="20"/>
          <w:color w:val="auto"/>
        </w:rPr>
      </w:pPr>
    </w:p>
    <w:p>
      <w:pPr>
        <w:ind w:left="760" w:right="3499" w:hanging="756"/>
        <w:spacing w:after="0" w:line="237" w:lineRule="auto"/>
        <w:rPr>
          <w:sz w:val="20"/>
          <w:szCs w:val="20"/>
          <w:color w:val="auto"/>
        </w:rPr>
      </w:pPr>
      <w:r>
        <w:rPr>
          <w:rFonts w:ascii="Courier New" w:cs="Courier New" w:eastAsia="Courier New" w:hAnsi="Courier New"/>
          <w:sz w:val="16"/>
          <w:szCs w:val="16"/>
          <w:color w:val="auto"/>
        </w:rPr>
        <w:t>ITEM 9. CHANGES IN AND DISAGREEMENTS WITH ACCOUNTANTS ON ACCOUNTING AND FINANCIAL DISCLOSURE</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None.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9A. CONTROLS AND PROCEDURES</w:t>
      </w:r>
    </w:p>
    <w:p>
      <w:pPr>
        <w:spacing w:after="0" w:line="186" w:lineRule="exact"/>
        <w:rPr>
          <w:sz w:val="20"/>
          <w:szCs w:val="20"/>
          <w:color w:val="auto"/>
        </w:rPr>
      </w:pPr>
    </w:p>
    <w:p>
      <w:pPr>
        <w:ind w:right="3039" w:firstLine="473"/>
        <w:spacing w:after="0" w:line="260" w:lineRule="auto"/>
        <w:rPr>
          <w:sz w:val="20"/>
          <w:szCs w:val="20"/>
          <w:color w:val="auto"/>
        </w:rPr>
      </w:pPr>
      <w:r>
        <w:rPr>
          <w:rFonts w:ascii="Courier New" w:cs="Courier New" w:eastAsia="Courier New" w:hAnsi="Courier New"/>
          <w:sz w:val="15"/>
          <w:szCs w:val="15"/>
          <w:color w:val="auto"/>
        </w:rPr>
        <w:t>With the participation of the principal executive officer and principal financial officer of The Scotts Company (the "Registrant"), the Registrant's management has evaluated the effectiveness of the Registrant's disclosure controls and procedures (as defined in Rule 13a-15(e) under the Securities</w:t>
      </w:r>
    </w:p>
    <w:p>
      <w:pPr>
        <w:sectPr>
          <w:pgSz w:w="11900" w:h="16877" w:orient="portrait"/>
          <w:cols w:equalWidth="0" w:num="1">
            <w:col w:w="10219"/>
          </w:cols>
          <w:pgMar w:left="240" w:top="659" w:right="1440" w:bottom="0" w:gutter="0" w:footer="0" w:header="0"/>
        </w:sectPr>
      </w:pPr>
    </w:p>
    <w:bookmarkStart w:id="50" w:name="page51"/>
    <w:bookmarkEnd w:id="50"/>
    <w:p>
      <w:pPr>
        <w:ind w:right="2839"/>
        <w:spacing w:after="0" w:line="239" w:lineRule="auto"/>
        <w:rPr>
          <w:sz w:val="20"/>
          <w:szCs w:val="20"/>
          <w:color w:val="auto"/>
        </w:rPr>
      </w:pPr>
      <w:r>
        <w:rPr>
          <w:rFonts w:ascii="Courier New" w:cs="Courier New" w:eastAsia="Courier New" w:hAnsi="Courier New"/>
          <w:sz w:val="16"/>
          <w:szCs w:val="16"/>
          <w:color w:val="auto"/>
        </w:rPr>
        <w:t>Exchange Act of 1934, as amended (the "Exchange Act") as of the end of the period covered by this Annual Report on Form 10-K. Based upon that evaluation, the Registrant's principal executive officer and principal financial officer have concluded that:</w:t>
      </w:r>
    </w:p>
    <w:p>
      <w:pPr>
        <w:spacing w:after="0" w:line="187" w:lineRule="exact"/>
        <w:rPr>
          <w:sz w:val="20"/>
          <w:szCs w:val="20"/>
          <w:color w:val="auto"/>
        </w:rPr>
      </w:pPr>
    </w:p>
    <w:p>
      <w:pPr>
        <w:ind w:left="660" w:right="2939" w:hanging="190"/>
        <w:spacing w:after="0" w:line="239" w:lineRule="auto"/>
        <w:tabs>
          <w:tab w:leader="none" w:pos="6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required to be disclosed by the Registrant in this Annual Report on Form 10-K would be accumulated and communicated to the Registrant's management, including its principal executive officer and principal financial officer, as appropriate to allow timely decisions regarding required disclosure;</w:t>
      </w:r>
    </w:p>
    <w:p>
      <w:pPr>
        <w:spacing w:after="0" w:line="188" w:lineRule="exact"/>
        <w:rPr>
          <w:rFonts w:ascii="Courier New" w:cs="Courier New" w:eastAsia="Courier New" w:hAnsi="Courier New"/>
          <w:sz w:val="16"/>
          <w:szCs w:val="16"/>
          <w:color w:val="auto"/>
        </w:rPr>
      </w:pPr>
    </w:p>
    <w:p>
      <w:pPr>
        <w:ind w:left="660" w:right="2659" w:hanging="190"/>
        <w:spacing w:after="0" w:line="262" w:lineRule="auto"/>
        <w:tabs>
          <w:tab w:leader="none" w:pos="6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required to be disclosed by the Registrant in this Annual Report on Form 10-K would be recorded, processed, summarized and reported within the time periods specified in the SEC's rules and forms; and</w:t>
      </w:r>
    </w:p>
    <w:p>
      <w:pPr>
        <w:spacing w:after="0" w:line="171" w:lineRule="exact"/>
        <w:rPr>
          <w:rFonts w:ascii="Courier New" w:cs="Courier New" w:eastAsia="Courier New" w:hAnsi="Courier New"/>
          <w:sz w:val="15"/>
          <w:szCs w:val="15"/>
          <w:color w:val="auto"/>
        </w:rPr>
      </w:pPr>
    </w:p>
    <w:p>
      <w:pPr>
        <w:ind w:left="660" w:right="2759" w:hanging="190"/>
        <w:spacing w:after="0" w:line="239" w:lineRule="auto"/>
        <w:tabs>
          <w:tab w:leader="none" w:pos="6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disclosure controls and procedures are effective as of the end of the period covered by this Annual Report on Form 10-K to ensure that material information relating to the Registrant and its consolidated subsidiaries is made known to them, particularly during the period in which the Registrant's periodic reports, including this Annual Report on Form 10-K, are being prepared.</w:t>
      </w:r>
    </w:p>
    <w:p>
      <w:pPr>
        <w:spacing w:after="0" w:line="190"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In addition, there were no changes in the Registrant's internal control over financial reporting (as defined in Rule 13a-15(f) under the Exchange Act) that occurred during the Registrant's fiscal quarter ended</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142" w:right="1440" w:bottom="1440" w:gutter="0" w:footer="0" w:header="0"/>
        </w:sectPr>
      </w:pPr>
    </w:p>
    <w:bookmarkStart w:id="51" w:name="page52"/>
    <w:bookmarkEnd w:id="51"/>
    <w:p>
      <w:pPr>
        <w:jc w:val="both"/>
        <w:ind w:right="2839"/>
        <w:spacing w:after="0" w:line="267" w:lineRule="auto"/>
        <w:rPr>
          <w:sz w:val="20"/>
          <w:szCs w:val="20"/>
          <w:color w:val="auto"/>
        </w:rPr>
      </w:pPr>
      <w:r>
        <w:rPr>
          <w:rFonts w:ascii="Courier New" w:cs="Courier New" w:eastAsia="Courier New" w:hAnsi="Courier New"/>
          <w:sz w:val="15"/>
          <w:szCs w:val="15"/>
          <w:color w:val="auto"/>
        </w:rPr>
        <w:t>September 30, 2003, that have materially affected, or are reasonably likely to materially affect, the Registrant's internal control over financial reporting.</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PART III</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 DIRECTORS AND EXECUTIVE OFFICERS OF THE REGISTRANT</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In accordance with General Instruction G(3), the information contained under the captions "BENEFICIAL OWNERSHIP OF SECURITIES OF THE COMPANY -- Section 16(a) Beneficial Ownership Reporting Compliance" and "PROPOSAL NUMBER</w:t>
      </w:r>
    </w:p>
    <w:p>
      <w:pPr>
        <w:spacing w:after="0" w:line="6"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1 -- ELECTION OF DIRECTORS" in the Registrant's definitive Proxy Statement for the 2004 Annual Meeting of Shareholders to be held on January 29, 2004 to be filed with the SEC pursuant to Regulation 14A promulgated under the Securities Exchange Act of 1934 (the "Proxy Statement"), is incorporated herein by reference. The information regarding executive officers of the Registrant required by Item 401 of Regulation S-K is included in "SUPPLEMENTAL ITEM. EXECUTIVE OFFICERS OF THE REGISTRANT."</w:t>
      </w:r>
    </w:p>
    <w:p>
      <w:pPr>
        <w:spacing w:after="0" w:line="192"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The Board of Directors of the Registrant has adopted charters for each of the Audit Committee, the Governance and Nominating Committee and the Compensation and Organization Committee.</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accordance with the requirements of Section 303A(10) of the New York Stock Exchange's Listed Company Manual, the Board of Directors of the Registrant has adopted a Code of Business Conduct and Ethics covering the Registrant's Board members and associates, including, without limitation, the Registrant's principal executive officer, principal financial officer and principal accounting officer. The Registrant intends to disclose the following on its Internet website located at http://www.investor.scotts.com within five business days following their occurrence: (A) the nature of any amendment to a provision of its Code of Business Conduct and Ethics that (i) applies to the Registrant's principal executive officer, principal financial officer, principal accounting officer or controller, or persons performing similar functions, (ii) relates to any element of the code of ethics definition enumerated in Item 406(b) of SEC Regulation S-K, and (iii) is not a technical, administrative or other non-substantive amendment; and (B) a description (including the nature of the waiver, the name of the person to whom the waiver was granted and the date of the waiver) of any waiver, including an implicit waiver, from a provision of the Code of Business Conduct and Ethics to the Registrant's principal executive officer, principal financial officer, principal accounting officer or controller, or persons performing similar functions that relates to one or more of the items set forth in Item 406(b) of SEC Regulation S-K.</w:t>
      </w:r>
    </w:p>
    <w:p>
      <w:pPr>
        <w:spacing w:after="0" w:line="362"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The text of the Code of Business Conduct and Ethics, the Corporate Governance Guidelines, the Governance and Nominating Committee Charter and the Compensation and Organization Committee Charter all will be posted on the Registrant's Internet website located at http://www.investor.scotts.com by January 29, 2004. Interested persons may also obtain copies of the Code of Business Conduct and Ethics without charge by writing to The Scotts Company, Attention: Investor Relations, 14111 Scottslawn Road, Marysville, Ohio 43041.</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11. EXECUTIVE COMPENSATION</w:t>
      </w:r>
    </w:p>
    <w:p>
      <w:pPr>
        <w:spacing w:after="0" w:line="186" w:lineRule="exact"/>
        <w:rPr>
          <w:sz w:val="20"/>
          <w:szCs w:val="20"/>
          <w:color w:val="auto"/>
        </w:rPr>
      </w:pPr>
    </w:p>
    <w:p>
      <w:pPr>
        <w:ind w:right="2759" w:firstLine="473"/>
        <w:spacing w:after="0" w:line="256" w:lineRule="auto"/>
        <w:rPr>
          <w:sz w:val="20"/>
          <w:szCs w:val="20"/>
          <w:color w:val="auto"/>
        </w:rPr>
      </w:pPr>
      <w:r>
        <w:rPr>
          <w:rFonts w:ascii="Courier New" w:cs="Courier New" w:eastAsia="Courier New" w:hAnsi="Courier New"/>
          <w:sz w:val="15"/>
          <w:szCs w:val="15"/>
          <w:color w:val="auto"/>
        </w:rPr>
        <w:t>In accordance with General Instruction G(3), the information contained under the captions "EXECUTIVE COMPENSATION -- Summary of Cash and Other Compensation, -- Option/SAR Grants in 2003 Fiscal Year, -- Option Exercises in 2003 Fiscal Year and 2003 Fiscal Year-End Option/SAR Values, -- Executive Retirement Plan, -- Pension Plans, and -- Employment Agreements and Termination of Employment and Change-in-Control Arrangements" and "PROPOSAL NUMBER</w:t>
      </w:r>
    </w:p>
    <w:p>
      <w:pPr>
        <w:spacing w:after="0" w:line="4"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6"/>
          <w:szCs w:val="16"/>
          <w:color w:val="auto"/>
        </w:rPr>
        <w:t>1 -- ELECTION OF DIRECTORS -- Compensation of Directors" in the Registrant's Proxy Statement is incorporated herein by reference.</w:t>
      </w:r>
    </w:p>
    <w:p>
      <w:pPr>
        <w:spacing w:after="0" w:line="188" w:lineRule="exact"/>
        <w:rPr>
          <w:sz w:val="20"/>
          <w:szCs w:val="20"/>
          <w:color w:val="auto"/>
        </w:rPr>
      </w:pPr>
    </w:p>
    <w:p>
      <w:pPr>
        <w:ind w:left="840" w:right="3119" w:hanging="850"/>
        <w:spacing w:after="0" w:line="237" w:lineRule="auto"/>
        <w:rPr>
          <w:sz w:val="20"/>
          <w:szCs w:val="20"/>
          <w:color w:val="auto"/>
        </w:rPr>
      </w:pPr>
      <w:r>
        <w:rPr>
          <w:rFonts w:ascii="Courier New" w:cs="Courier New" w:eastAsia="Courier New" w:hAnsi="Courier New"/>
          <w:sz w:val="16"/>
          <w:szCs w:val="16"/>
          <w:color w:val="auto"/>
        </w:rPr>
        <w:t>ITEM 12. SECURITY OWNERSHIP OF CERTAIN BENEFICIAL OWNERS AND MANAGEMENT AND RELATED STOCKHOLDER MATTERS</w:t>
      </w:r>
    </w:p>
    <w:p>
      <w:pPr>
        <w:spacing w:after="0" w:line="188" w:lineRule="exact"/>
        <w:rPr>
          <w:sz w:val="20"/>
          <w:szCs w:val="20"/>
          <w:color w:val="auto"/>
        </w:rPr>
      </w:pPr>
    </w:p>
    <w:p>
      <w:pPr>
        <w:ind w:right="3119" w:firstLine="473"/>
        <w:spacing w:after="0" w:line="260" w:lineRule="auto"/>
        <w:rPr>
          <w:sz w:val="20"/>
          <w:szCs w:val="20"/>
          <w:color w:val="auto"/>
        </w:rPr>
      </w:pPr>
      <w:r>
        <w:rPr>
          <w:rFonts w:ascii="Courier New" w:cs="Courier New" w:eastAsia="Courier New" w:hAnsi="Courier New"/>
          <w:sz w:val="15"/>
          <w:szCs w:val="15"/>
          <w:color w:val="auto"/>
        </w:rPr>
        <w:t>In accordance with General Instruction G(3), the information contained under the captions "BENEFICIAL OWNERSHIP OF SECURITIES OF THE COMPANY" and "EXECUTIVE COMPENSATION -- Equity Compensation Plan Information" in the Registrant's Proxy Statement is incorporated herein by reference.</w:t>
      </w:r>
    </w:p>
    <w:p>
      <w:pPr>
        <w:spacing w:after="0" w:line="16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63"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6"/>
          <w:szCs w:val="16"/>
          <w:color w:val="auto"/>
        </w:rPr>
        <w:t>ITEM 13. CERTAIN RELATIONSHIPS AND RELATED TRANSACTIONS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accordance</w:t>
            </w:r>
          </w:p>
        </w:tc>
        <w:tc>
          <w:tcPr>
            <w:tcW w:w="23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with General Instruction</w:t>
            </w:r>
          </w:p>
        </w:tc>
        <w:tc>
          <w:tcPr>
            <w:tcW w:w="29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G(3), the information contained</w:t>
            </w:r>
          </w:p>
        </w:tc>
      </w:tr>
      <w:tr>
        <w:trPr>
          <w:trHeight w:val="182"/>
        </w:trPr>
        <w:tc>
          <w:tcPr>
            <w:tcW w:w="900" w:type="dxa"/>
            <w:vAlign w:val="bottom"/>
          </w:tcPr>
          <w:p>
            <w:pPr>
              <w:spacing w:after="0"/>
              <w:rPr>
                <w:sz w:val="20"/>
                <w:szCs w:val="20"/>
                <w:color w:val="auto"/>
              </w:rPr>
            </w:pPr>
            <w:r>
              <w:rPr>
                <w:rFonts w:ascii="Courier New" w:cs="Courier New" w:eastAsia="Courier New" w:hAnsi="Courier New"/>
                <w:sz w:val="16"/>
                <w:szCs w:val="16"/>
                <w:color w:val="auto"/>
              </w:rPr>
              <w:t>under the</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captions</w:t>
            </w:r>
          </w:p>
        </w:tc>
        <w:tc>
          <w:tcPr>
            <w:tcW w:w="1140" w:type="dxa"/>
            <w:vAlign w:val="bottom"/>
          </w:tcPr>
          <w:p>
            <w:pPr>
              <w:ind w:left="60"/>
              <w:spacing w:after="0"/>
              <w:rPr>
                <w:sz w:val="20"/>
                <w:szCs w:val="20"/>
                <w:color w:val="auto"/>
              </w:rPr>
            </w:pPr>
            <w:r>
              <w:rPr>
                <w:rFonts w:ascii="Courier New" w:cs="Courier New" w:eastAsia="Courier New" w:hAnsi="Courier New"/>
                <w:sz w:val="16"/>
                <w:szCs w:val="16"/>
                <w:color w:val="auto"/>
              </w:rPr>
              <w:t>"BENEFICIAL</w:t>
            </w:r>
          </w:p>
        </w:tc>
        <w:tc>
          <w:tcPr>
            <w:tcW w:w="1240" w:type="dxa"/>
            <w:vAlign w:val="bottom"/>
          </w:tcPr>
          <w:p>
            <w:pPr>
              <w:ind w:left="40"/>
              <w:spacing w:after="0"/>
              <w:rPr>
                <w:sz w:val="20"/>
                <w:szCs w:val="20"/>
                <w:color w:val="auto"/>
              </w:rPr>
            </w:pPr>
            <w:r>
              <w:rPr>
                <w:rFonts w:ascii="Courier New" w:cs="Courier New" w:eastAsia="Courier New" w:hAnsi="Courier New"/>
                <w:sz w:val="16"/>
                <w:szCs w:val="16"/>
                <w:color w:val="auto"/>
              </w:rPr>
              <w:t>OWNERSHIP OF</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w w:val="99"/>
              </w:rPr>
              <w:t>SECURITIES OF</w:t>
            </w:r>
          </w:p>
        </w:tc>
        <w:tc>
          <w:tcPr>
            <w:tcW w:w="1320" w:type="dxa"/>
            <w:vAlign w:val="bottom"/>
          </w:tcPr>
          <w:p>
            <w:pPr>
              <w:ind w:left="40"/>
              <w:spacing w:after="0"/>
              <w:rPr>
                <w:sz w:val="20"/>
                <w:szCs w:val="20"/>
                <w:color w:val="auto"/>
              </w:rPr>
            </w:pPr>
            <w:r>
              <w:rPr>
                <w:rFonts w:ascii="Courier New" w:cs="Courier New" w:eastAsia="Courier New" w:hAnsi="Courier New"/>
                <w:sz w:val="16"/>
                <w:szCs w:val="16"/>
                <w:color w:val="auto"/>
              </w:rPr>
              <w:t>THE COMPANY",</w:t>
            </w:r>
          </w:p>
        </w:tc>
        <w:tc>
          <w:tcPr>
            <w:tcW w:w="340" w:type="dxa"/>
            <w:vAlign w:val="bottom"/>
          </w:tcPr>
          <w:p>
            <w:pPr>
              <w:spacing w:after="0"/>
              <w:rPr>
                <w:sz w:val="15"/>
                <w:szCs w:val="15"/>
                <w:color w:val="auto"/>
              </w:rPr>
            </w:pPr>
          </w:p>
        </w:tc>
      </w:tr>
      <w:tr>
        <w:trPr>
          <w:trHeight w:val="182"/>
        </w:trPr>
        <w:tc>
          <w:tcPr>
            <w:tcW w:w="900" w:type="dxa"/>
            <w:vAlign w:val="bottom"/>
          </w:tcPr>
          <w:p>
            <w:pPr>
              <w:spacing w:after="0"/>
              <w:rPr>
                <w:sz w:val="20"/>
                <w:szCs w:val="20"/>
                <w:color w:val="auto"/>
              </w:rPr>
            </w:pPr>
            <w:r>
              <w:rPr>
                <w:rFonts w:ascii="Courier New" w:cs="Courier New" w:eastAsia="Courier New" w:hAnsi="Courier New"/>
                <w:sz w:val="16"/>
                <w:szCs w:val="16"/>
                <w:color w:val="auto"/>
              </w:rPr>
              <w:t>"PROPOSAL</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NUMBER 1</w:t>
            </w:r>
          </w:p>
        </w:tc>
        <w:tc>
          <w:tcPr>
            <w:tcW w:w="1140" w:type="dxa"/>
            <w:vAlign w:val="bottom"/>
          </w:tcPr>
          <w:p>
            <w:pPr>
              <w:ind w:left="60"/>
              <w:spacing w:after="0"/>
              <w:rPr>
                <w:sz w:val="20"/>
                <w:szCs w:val="20"/>
                <w:color w:val="auto"/>
              </w:rPr>
            </w:pPr>
            <w:r>
              <w:rPr>
                <w:rFonts w:ascii="Courier New" w:cs="Courier New" w:eastAsia="Courier New" w:hAnsi="Courier New"/>
                <w:sz w:val="16"/>
                <w:szCs w:val="16"/>
                <w:color w:val="auto"/>
              </w:rPr>
              <w:t>-- ELECTION</w:t>
            </w:r>
          </w:p>
        </w:tc>
        <w:tc>
          <w:tcPr>
            <w:tcW w:w="25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OF DIRECTORS" and "CERTAIN</w:t>
            </w:r>
          </w:p>
        </w:tc>
        <w:tc>
          <w:tcPr>
            <w:tcW w:w="1320" w:type="dxa"/>
            <w:vAlign w:val="bottom"/>
          </w:tcPr>
          <w:p>
            <w:pPr>
              <w:ind w:left="40"/>
              <w:spacing w:after="0"/>
              <w:rPr>
                <w:sz w:val="20"/>
                <w:szCs w:val="20"/>
                <w:color w:val="auto"/>
              </w:rPr>
            </w:pPr>
            <w:r>
              <w:rPr>
                <w:rFonts w:ascii="Courier New" w:cs="Courier New" w:eastAsia="Courier New" w:hAnsi="Courier New"/>
                <w:sz w:val="16"/>
                <w:szCs w:val="16"/>
                <w:color w:val="auto"/>
              </w:rPr>
              <w:t>RELATIONSHIPS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AND</w:t>
            </w:r>
          </w:p>
        </w:tc>
      </w:tr>
    </w:tbl>
    <w:p>
      <w:pPr>
        <w:spacing w:after="0" w:line="5"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6"/>
          <w:szCs w:val="16"/>
          <w:color w:val="auto"/>
        </w:rPr>
        <w:t>RELATED TRANSACTIONS" in the Registrant's Proxy Statement is incorporated herein by reference.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14. PRINCIPAL ACCOUNTING FEES AND SERVICES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accordance with General Instruction G(3), the information contained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the captions "AUDIT COMMITTEE MATTERS -- Fees of Independent Auditors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 THE SCOTTS COMPANY THE AUDIT COMMITTEE POLICIES AND PROCEDURES REGARDING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APPROVAL OF SERVICES PROVIDED BY THE INDEPENDENT AUDITOR" in the Registrant's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Proxy Statement is incorporated herein by reference.</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59" w:right="1440" w:bottom="1440" w:gutter="0" w:footer="0" w:header="0"/>
        </w:sectPr>
      </w:pPr>
    </w:p>
    <w:bookmarkStart w:id="53" w:name="page54"/>
    <w:bookmarkEnd w:id="53"/>
    <w:p>
      <w:pPr>
        <w:ind w:left="3400"/>
        <w:spacing w:after="0"/>
        <w:rPr>
          <w:sz w:val="20"/>
          <w:szCs w:val="20"/>
          <w:color w:val="auto"/>
        </w:rPr>
      </w:pPr>
      <w:r>
        <w:rPr>
          <w:rFonts w:ascii="Courier New" w:cs="Courier New" w:eastAsia="Courier New" w:hAnsi="Courier New"/>
          <w:sz w:val="16"/>
          <w:szCs w:val="16"/>
          <w:color w:val="auto"/>
        </w:rPr>
        <w:t>PART IV</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15. EXHIBITS, FINANCIAL STATEMENT SCHEDULES, AND REPORTS ON FORM 8-K</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 LIST OF DOCUMENTS FILED AS PART OF THIS REPORT</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1 and 2. Financial Statements and Financial Statement Schedules:</w:t>
      </w:r>
    </w:p>
    <w:p>
      <w:pPr>
        <w:spacing w:after="0" w:line="186" w:lineRule="exact"/>
        <w:rPr>
          <w:sz w:val="20"/>
          <w:szCs w:val="20"/>
          <w:color w:val="auto"/>
        </w:rPr>
      </w:pPr>
    </w:p>
    <w:p>
      <w:pPr>
        <w:ind w:left="460" w:right="2659" w:firstLine="473"/>
        <w:spacing w:after="0" w:line="239" w:lineRule="auto"/>
        <w:rPr>
          <w:sz w:val="20"/>
          <w:szCs w:val="20"/>
          <w:color w:val="auto"/>
        </w:rPr>
      </w:pPr>
      <w:r>
        <w:rPr>
          <w:rFonts w:ascii="Courier New" w:cs="Courier New" w:eastAsia="Courier New" w:hAnsi="Courier New"/>
          <w:sz w:val="16"/>
          <w:szCs w:val="16"/>
          <w:color w:val="auto"/>
        </w:rPr>
        <w:t>The response to this portion of Item 15 is submitted as a separate section of this Annual Report on Form 10-K. Reference is made to the "Index to Consolidated Financial Statements and Financial Statement Schedules" on page 48 herein.</w:t>
      </w:r>
    </w:p>
    <w:p>
      <w:pPr>
        <w:spacing w:after="0" w:line="183" w:lineRule="exact"/>
        <w:rPr>
          <w:sz w:val="20"/>
          <w:szCs w:val="20"/>
          <w:color w:val="auto"/>
        </w:rPr>
      </w:pPr>
    </w:p>
    <w:p>
      <w:pPr>
        <w:ind w:left="840" w:hanging="370"/>
        <w:spacing w:after="0"/>
        <w:tabs>
          <w:tab w:leader="none" w:pos="8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86" w:lineRule="exact"/>
        <w:rPr>
          <w:sz w:val="20"/>
          <w:szCs w:val="20"/>
          <w:color w:val="auto"/>
        </w:rPr>
      </w:pPr>
    </w:p>
    <w:p>
      <w:pPr>
        <w:ind w:left="460" w:right="2659" w:firstLine="473"/>
        <w:spacing w:after="0" w:line="239" w:lineRule="auto"/>
        <w:rPr>
          <w:sz w:val="20"/>
          <w:szCs w:val="20"/>
          <w:color w:val="auto"/>
        </w:rPr>
      </w:pPr>
      <w:r>
        <w:rPr>
          <w:rFonts w:ascii="Courier New" w:cs="Courier New" w:eastAsia="Courier New" w:hAnsi="Courier New"/>
          <w:sz w:val="16"/>
          <w:szCs w:val="16"/>
          <w:color w:val="auto"/>
        </w:rPr>
        <w:t>Exhibits filed with this Annual Report on Form 10-K are attached hereto or incorporated herein by reference. For a list of such exhibits, see "Index to Exhibits" beginning at page 99. The following table provides certain information concerning executive compensation plans and arrangements required to be filed as exhibits to this Annual Report on Form 10-K.</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59" w:right="1440" w:bottom="1440" w:gutter="0" w:footer="0" w:header="0"/>
        </w:sectPr>
      </w:pPr>
    </w:p>
    <w:bookmarkStart w:id="54" w:name="page55"/>
    <w:bookmarkEnd w:id="54"/>
    <w:p>
      <w:pPr>
        <w:spacing w:after="0" w:line="26"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6"/>
          <w:szCs w:val="16"/>
          <w:color w:val="auto"/>
        </w:rPr>
        <w:t>EXECUTIVE COMPENSATORY PLANS AND ARRANGEMENTS</w:t>
      </w:r>
    </w:p>
    <w:p>
      <w:pPr>
        <w:spacing w:after="0" w:line="18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Exhibit No.</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Description</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Location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560" w:hanging="472"/>
        <w:spacing w:after="0"/>
        <w:tabs>
          <w:tab w:leader="none" w:pos="5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10(a)</w:t>
      </w:r>
    </w:p>
    <w:p>
      <w:pPr>
        <w:ind w:left="600" w:hanging="370"/>
        <w:spacing w:after="0"/>
        <w:tabs>
          <w:tab w:leader="none" w:pos="600"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O.M. Scott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&amp; Sons</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Company</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Excess</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Benefit</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Plan,</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effective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October 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1993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30, 1993,</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of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 a</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Delaware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corporation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0-19768)</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10(h)]</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10(a)(2)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First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Amendment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 O.M.</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Scott &amp;</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Sons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Excess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Benefit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Plan,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effective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as of</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January 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1998 the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30, 2001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10(a)(2)]</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10(a)(3)</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Second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Amendment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 O.M.</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Scott &amp;</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Sons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Excess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Benefit</w:t>
      </w:r>
    </w:p>
    <w:p>
      <w:pPr>
        <w:sectPr>
          <w:pgSz w:w="11900" w:h="16864" w:orient="portrait"/>
          <w:cols w:equalWidth="0" w:num="1">
            <w:col w:w="10219"/>
          </w:cols>
          <w:pgMar w:left="240" w:top="659" w:right="1440" w:bottom="0" w:gutter="0" w:footer="0" w:header="0"/>
        </w:sectPr>
      </w:pPr>
    </w:p>
    <w:bookmarkStart w:id="55" w:name="page56"/>
    <w:bookmarkEnd w:id="55"/>
    <w:p>
      <w:pPr>
        <w:spacing w:after="0" w:line="50"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Plan,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effective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as of</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January 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1999 the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30, 2001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10(a)(3)]</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10(b)(1)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The Scotts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1992 Long</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Term</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Incentive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Plan (as</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amended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through May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15, 2000)</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period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 April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1, 2000</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10(b)]</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10(b)(2)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The Scotts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1992 Long</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Term</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Incentive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Plan (2002</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Amendment)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period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December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28, 2002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10(b)(i)]</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10(c)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Executive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Incentive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Plan</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September</w:t>
      </w:r>
    </w:p>
    <w:p>
      <w:pPr>
        <w:sectPr>
          <w:pgSz w:w="11900" w:h="16888" w:orient="portrait"/>
          <w:cols w:equalWidth="0" w:num="1">
            <w:col w:w="10219"/>
          </w:cols>
          <w:pgMar w:left="240" w:top="138" w:right="1440" w:bottom="0" w:gutter="0" w:footer="0" w:header="0"/>
        </w:sectPr>
      </w:pPr>
    </w:p>
    <w:bookmarkStart w:id="56" w:name="page57"/>
    <w:bookmarkEnd w:id="56"/>
    <w:p>
      <w:pPr>
        <w:ind w:left="180"/>
        <w:spacing w:after="0"/>
        <w:rPr>
          <w:sz w:val="20"/>
          <w:szCs w:val="20"/>
          <w:color w:val="auto"/>
        </w:rPr>
      </w:pPr>
      <w:r>
        <w:rPr>
          <w:rFonts w:ascii="Courier New" w:cs="Courier New" w:eastAsia="Courier New" w:hAnsi="Courier New"/>
          <w:sz w:val="16"/>
          <w:szCs w:val="16"/>
          <w:color w:val="auto"/>
        </w:rPr>
        <w:t>30, 2001</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10(c)]</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10(d)(1)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The Scotts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1996 Stock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Option Plan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(as amended</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through</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May 15,</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2000) the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period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 April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1, 2000</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10(d)(2)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The Scotts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1996 Stock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Option Plan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(2002</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Amendment)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period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December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28, 2002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10(d)(i)]</w:t>
      </w:r>
    </w:p>
    <w:p>
      <w:pPr>
        <w:spacing w:after="0" w:line="368"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138" w:right="1440" w:bottom="1440" w:gutter="0" w:footer="0" w:header="0"/>
        </w:sectPr>
      </w:pPr>
    </w:p>
    <w:bookmarkStart w:id="57" w:name="page58"/>
    <w:bookmarkEnd w:id="57"/>
    <w:p>
      <w:pPr>
        <w:spacing w:after="0" w:line="2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Exhibit No.</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Description</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Location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560" w:hanging="472"/>
        <w:spacing w:after="0"/>
        <w:tabs>
          <w:tab w:leader="none" w:pos="5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10(e)</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Specimen</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form of</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Stock</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Option</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(as amended</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through</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October 23,</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2001) for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Qualified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Stock the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Options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granted to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employees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under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 1996</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Stock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Option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Plan, U.S.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specimen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30, 2001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10(f)</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Specimen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of</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Stock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Option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(as amended</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through</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October 23,</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2001) for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Qualified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Stock the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Options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granted to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employees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under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 1996</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Stock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Option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Plan,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French</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specimen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30, 2001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ectPr>
          <w:pgSz w:w="11900" w:h="16864" w:orient="portrait"/>
          <w:cols w:equalWidth="0" w:num="1">
            <w:col w:w="10219"/>
          </w:cols>
          <w:pgMar w:left="240" w:top="659" w:right="1440" w:bottom="0" w:gutter="0" w:footer="0" w:header="0"/>
        </w:sectPr>
      </w:pPr>
    </w:p>
    <w:bookmarkStart w:id="58" w:name="page59"/>
    <w:bookmarkEnd w:id="58"/>
    <w:p>
      <w:pPr>
        <w:spacing w:after="0" w:line="50"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10(f)]</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10(g)(1)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The Scotts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Executive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Retirement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Plan</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30, 1998</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1-11593)</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10(j)]</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10(g)(2)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First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Amendment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Executive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Retirement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Plan,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effective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as of</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January 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1999 the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30, 2001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10(g)(2)]</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10(g)(3)</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Second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Amendment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Executive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Retirement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Plan,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effective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as of</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January 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2000 the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30, 2001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10(g)(3)]</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10(g)(4)</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Third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Amendment</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to The</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Scotts</w:t>
      </w:r>
    </w:p>
    <w:p>
      <w:pPr>
        <w:sectPr>
          <w:pgSz w:w="11900" w:h="16888" w:orient="portrait"/>
          <w:cols w:equalWidth="0" w:num="1">
            <w:col w:w="10219"/>
          </w:cols>
          <w:pgMar w:left="240" w:top="138" w:right="1440" w:bottom="0" w:gutter="0" w:footer="0" w:header="0"/>
        </w:sectPr>
      </w:pPr>
    </w:p>
    <w:bookmarkStart w:id="59" w:name="page60"/>
    <w:bookmarkEnd w:id="59"/>
    <w:p>
      <w:pPr>
        <w:spacing w:after="0" w:line="50"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Executive *</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Retirement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Plan,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effective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as of</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January 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2003 10(h)</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Employment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May 19,</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1995,</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between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and James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Hagedorn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30, 1995</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1-11593)</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10(p)]</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10(i)</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Letter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dated June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8, 2000,</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between the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and Patrick</w:t>
      </w:r>
    </w:p>
    <w:p>
      <w:pPr>
        <w:spacing w:after="0" w:line="5" w:lineRule="exact"/>
        <w:rPr>
          <w:sz w:val="20"/>
          <w:szCs w:val="20"/>
          <w:color w:val="auto"/>
        </w:rPr>
      </w:pPr>
    </w:p>
    <w:p>
      <w:pPr>
        <w:ind w:left="420" w:right="9239" w:hanging="285"/>
        <w:spacing w:after="0" w:line="256" w:lineRule="auto"/>
        <w:tabs>
          <w:tab w:leader="none" w:pos="4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Norton the</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30, 2000</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10(q)]</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10(j)</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Letter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dated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November 5,</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2002,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pertaining</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to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terms of</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employment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of Mr.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Norton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through the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December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31, 2005,</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superseding</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certain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provisions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 of</w:t>
      </w:r>
    </w:p>
    <w:p>
      <w:pPr>
        <w:sectPr>
          <w:pgSz w:w="11900" w:h="16888" w:orient="portrait"/>
          <w:cols w:equalWidth="0" w:num="1">
            <w:col w:w="10219"/>
          </w:cols>
          <w:pgMar w:left="240" w:top="138" w:right="1440" w:bottom="0" w:gutter="0" w:footer="0" w:header="0"/>
        </w:sectPr>
      </w:pPr>
    </w:p>
    <w:bookmarkStart w:id="60" w:name="page61"/>
    <w:bookmarkEnd w:id="60"/>
    <w:p>
      <w:pPr>
        <w:jc w:val="center"/>
        <w:ind w:right="9139"/>
        <w:spacing w:after="0"/>
        <w:rPr>
          <w:sz w:val="20"/>
          <w:szCs w:val="20"/>
          <w:color w:val="auto"/>
        </w:rPr>
      </w:pPr>
      <w:r>
        <w:rPr>
          <w:rFonts w:ascii="Courier New" w:cs="Courier New" w:eastAsia="Courier New" w:hAnsi="Courier New"/>
          <w:sz w:val="16"/>
          <w:szCs w:val="16"/>
          <w:color w:val="auto"/>
        </w:rPr>
        <w:t>the letter</w:t>
      </w:r>
    </w:p>
    <w:p>
      <w:pPr>
        <w:spacing w:after="0" w:line="1"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dated June</w:t>
      </w:r>
    </w:p>
    <w:p>
      <w:pPr>
        <w:spacing w:after="0" w:line="1"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8, 2000,</w:t>
      </w:r>
    </w:p>
    <w:p>
      <w:pPr>
        <w:spacing w:after="0" w:line="1"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between</w:t>
      </w:r>
    </w:p>
    <w:p>
      <w:pPr>
        <w:spacing w:after="0" w:line="1"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30, 2002</w:t>
      </w:r>
    </w:p>
    <w:p>
      <w:pPr>
        <w:spacing w:after="0" w:line="1"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the</w:t>
      </w:r>
    </w:p>
    <w:p>
      <w:pPr>
        <w:spacing w:after="0" w:line="1"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and Mr.</w:t>
      </w:r>
    </w:p>
    <w:p>
      <w:pPr>
        <w:spacing w:after="0" w:line="1"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Norton</w:t>
      </w:r>
    </w:p>
    <w:p>
      <w:pPr>
        <w:spacing w:after="0" w:line="1"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10(q)]</w:t>
      </w:r>
    </w:p>
    <w:p>
      <w:pPr>
        <w:spacing w:after="0" w:line="1"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10(k)</w:t>
      </w:r>
    </w:p>
    <w:p>
      <w:pPr>
        <w:spacing w:after="0" w:line="1"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Written</w:t>
      </w:r>
    </w:p>
    <w:p>
      <w:pPr>
        <w:spacing w:after="0" w:line="5"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description</w:t>
      </w:r>
    </w:p>
    <w:p>
      <w:pPr>
        <w:spacing w:after="0" w:line="8"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of</w:t>
      </w:r>
    </w:p>
    <w:p>
      <w:pPr>
        <w:spacing w:after="0" w:line="1"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employment</w:t>
      </w:r>
    </w:p>
    <w:p>
      <w:pPr>
        <w:spacing w:after="0" w:line="1"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terms</w:t>
      </w:r>
    </w:p>
    <w:p>
      <w:pPr>
        <w:spacing w:after="0" w:line="5"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between the</w:t>
      </w:r>
    </w:p>
    <w:p>
      <w:pPr>
        <w:spacing w:after="0" w:line="8"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and David</w:t>
      </w:r>
    </w:p>
    <w:p>
      <w:pPr>
        <w:spacing w:after="0" w:line="1"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M.</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Aronowitz,</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Michael P.</w:t>
      </w:r>
    </w:p>
    <w:p>
      <w:pPr>
        <w:spacing w:after="0" w:line="1"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Kelty,</w:t>
      </w:r>
    </w:p>
    <w:p>
      <w:pPr>
        <w:spacing w:after="0" w:line="1"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Ph.D.,</w:t>
      </w:r>
    </w:p>
    <w:p>
      <w:pPr>
        <w:spacing w:after="0" w:line="5"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Christopher</w:t>
      </w:r>
    </w:p>
    <w:p>
      <w:pPr>
        <w:spacing w:after="0" w:line="8" w:lineRule="exact"/>
        <w:rPr>
          <w:sz w:val="20"/>
          <w:szCs w:val="20"/>
          <w:color w:val="auto"/>
        </w:rPr>
      </w:pPr>
    </w:p>
    <w:p>
      <w:pPr>
        <w:ind w:left="420" w:hanging="278"/>
        <w:spacing w:after="0"/>
        <w:tabs>
          <w:tab w:leader="none" w:pos="4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Nagel</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 Denise</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 Stump</w:t>
      </w:r>
    </w:p>
    <w:p>
      <w:pPr>
        <w:spacing w:after="0" w:line="36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179"/>
          </w:cols>
          <w:pgMar w:left="280" w:top="138" w:right="1440" w:bottom="1440" w:gutter="0" w:footer="0" w:header="0"/>
        </w:sectPr>
      </w:pPr>
    </w:p>
    <w:bookmarkStart w:id="61" w:name="page62"/>
    <w:bookmarkEnd w:id="61"/>
    <w:p>
      <w:pPr>
        <w:spacing w:after="0" w:line="2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Exhibit No.</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Description</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Location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560" w:hanging="472"/>
        <w:spacing w:after="0"/>
        <w:tabs>
          <w:tab w:leader="none" w:pos="5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10(l)</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Letter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December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20, 2001,</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between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and 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Robert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Stohler the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10-Q/A</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period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December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29, 2001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10(m)</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Letter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dated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November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21, 2002,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replacing</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and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superseding</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the letter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dated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December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20, 2001,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between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and 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Robert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Stohler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30, 2002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10(n)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2003 Stock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Option and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Incentive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Equity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Plan the</w:t>
      </w:r>
    </w:p>
    <w:p>
      <w:pPr>
        <w:sectPr>
          <w:pgSz w:w="11900" w:h="16864" w:orient="portrait"/>
          <w:cols w:equalWidth="0" w:num="1">
            <w:col w:w="10219"/>
          </w:cols>
          <w:pgMar w:left="240" w:top="659" w:right="1440" w:bottom="0" w:gutter="0" w:footer="0" w:header="0"/>
        </w:sectPr>
      </w:pPr>
    </w:p>
    <w:bookmarkStart w:id="62" w:name="page63"/>
    <w:bookmarkEnd w:id="62"/>
    <w:p>
      <w:pPr>
        <w:spacing w:after="0" w:line="50" w:lineRule="exact"/>
        <w:rPr>
          <w:sz w:val="20"/>
          <w:szCs w:val="20"/>
          <w:color w:val="auto"/>
        </w:rPr>
      </w:pPr>
    </w:p>
    <w:p>
      <w:pPr>
        <w:jc w:val="center"/>
        <w:ind w:right="9076"/>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period</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December</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28, 2002</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10(w)]</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10(o)</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Letter</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dated April</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23, 2003,</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between the</w:t>
      </w:r>
    </w:p>
    <w:p>
      <w:pPr>
        <w:spacing w:after="0" w:line="5" w:lineRule="exact"/>
        <w:rPr>
          <w:sz w:val="20"/>
          <w:szCs w:val="20"/>
          <w:color w:val="auto"/>
        </w:rPr>
      </w:pPr>
    </w:p>
    <w:p>
      <w:pPr>
        <w:jc w:val="center"/>
        <w:ind w:right="9076"/>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to</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and Robert</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F.</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Bernstock</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the</w:t>
      </w:r>
    </w:p>
    <w:p>
      <w:pPr>
        <w:spacing w:after="0" w:line="5" w:lineRule="exact"/>
        <w:rPr>
          <w:sz w:val="20"/>
          <w:szCs w:val="20"/>
          <w:color w:val="auto"/>
        </w:rPr>
      </w:pPr>
    </w:p>
    <w:p>
      <w:pPr>
        <w:jc w:val="center"/>
        <w:ind w:right="9076"/>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period</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ended June</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28, 2003</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10(x)]</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10(p)</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Letter</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dated</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October 10,</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2001,</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between the</w:t>
      </w:r>
    </w:p>
    <w:p>
      <w:pPr>
        <w:spacing w:after="0" w:line="5" w:lineRule="exact"/>
        <w:rPr>
          <w:sz w:val="20"/>
          <w:szCs w:val="20"/>
          <w:color w:val="auto"/>
        </w:rPr>
      </w:pPr>
    </w:p>
    <w:p>
      <w:pPr>
        <w:jc w:val="center"/>
        <w:ind w:right="9076"/>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to</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and Mr.</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Michel</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Farkouh the</w:t>
      </w:r>
    </w:p>
    <w:p>
      <w:pPr>
        <w:spacing w:after="0" w:line="5" w:lineRule="exact"/>
        <w:rPr>
          <w:sz w:val="20"/>
          <w:szCs w:val="20"/>
          <w:color w:val="auto"/>
        </w:rPr>
      </w:pPr>
    </w:p>
    <w:p>
      <w:pPr>
        <w:jc w:val="center"/>
        <w:ind w:right="9076"/>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Form 10-Q/A</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period</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December</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29, 2001</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10(x)]</w:t>
      </w:r>
    </w:p>
    <w:p>
      <w:pPr>
        <w:spacing w:after="0" w:line="364" w:lineRule="exact"/>
        <w:rPr>
          <w:sz w:val="20"/>
          <w:szCs w:val="20"/>
          <w:color w:val="auto"/>
        </w:rPr>
      </w:pPr>
    </w:p>
    <w:p>
      <w:pPr>
        <w:ind w:left="183" w:hanging="183"/>
        <w:spacing w:after="0"/>
        <w:tabs>
          <w:tab w:leader="none" w:pos="18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2"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Filed herewith.</w:t>
      </w:r>
    </w:p>
    <w:p>
      <w:pPr>
        <w:spacing w:after="0" w:line="182" w:lineRule="exact"/>
        <w:rPr>
          <w:rFonts w:ascii="Courier New" w:cs="Courier New" w:eastAsia="Courier New" w:hAnsi="Courier New"/>
          <w:sz w:val="16"/>
          <w:szCs w:val="16"/>
          <w:color w:val="auto"/>
        </w:rPr>
      </w:pPr>
    </w:p>
    <w:p>
      <w:pPr>
        <w:ind w:left="843" w:hanging="370"/>
        <w:spacing w:after="0"/>
        <w:tabs>
          <w:tab w:leader="none" w:pos="843"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6" w:lineRule="exact"/>
        <w:rPr>
          <w:sz w:val="20"/>
          <w:szCs w:val="20"/>
          <w:color w:val="auto"/>
        </w:rPr>
      </w:pPr>
    </w:p>
    <w:p>
      <w:pPr>
        <w:ind w:left="463" w:right="2839" w:firstLine="473"/>
        <w:spacing w:after="0" w:line="237" w:lineRule="auto"/>
        <w:rPr>
          <w:sz w:val="20"/>
          <w:szCs w:val="20"/>
          <w:color w:val="auto"/>
        </w:rPr>
      </w:pPr>
      <w:r>
        <w:rPr>
          <w:rFonts w:ascii="Courier New" w:cs="Courier New" w:eastAsia="Courier New" w:hAnsi="Courier New"/>
          <w:sz w:val="16"/>
          <w:szCs w:val="16"/>
          <w:color w:val="auto"/>
        </w:rPr>
        <w:t>No Current Reports on Form 8-K were filed during the last quarter of the period covered by this Annual Report on Form 10-K.</w:t>
      </w:r>
    </w:p>
    <w:p>
      <w:pPr>
        <w:spacing w:after="0" w:line="184"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(c) EXHIBITS</w:t>
      </w:r>
    </w:p>
    <w:p>
      <w:pPr>
        <w:spacing w:after="0" w:line="186" w:lineRule="exact"/>
        <w:rPr>
          <w:sz w:val="20"/>
          <w:szCs w:val="20"/>
          <w:color w:val="auto"/>
        </w:rPr>
      </w:pPr>
    </w:p>
    <w:p>
      <w:pPr>
        <w:ind w:left="3" w:right="2759" w:firstLine="473"/>
        <w:spacing w:after="0" w:line="238" w:lineRule="auto"/>
        <w:rPr>
          <w:sz w:val="20"/>
          <w:szCs w:val="20"/>
          <w:color w:val="auto"/>
        </w:rPr>
      </w:pPr>
      <w:r>
        <w:rPr>
          <w:rFonts w:ascii="Courier New" w:cs="Courier New" w:eastAsia="Courier New" w:hAnsi="Courier New"/>
          <w:sz w:val="16"/>
          <w:szCs w:val="16"/>
          <w:color w:val="auto"/>
        </w:rPr>
        <w:t>Exhibits filed with this Annual Report on Form 10-K are attached hereto or incorporated herein by reference. For a list of such exhibits, see "Index to Exhibits" beginning at page 99.</w:t>
      </w:r>
    </w:p>
    <w:p>
      <w:pPr>
        <w:spacing w:after="0" w:line="184"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(d) FINANCIAL STATEMENT SCHEDULES</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The financial statement schedules filed with this Annual Report on Form</w:t>
      </w:r>
    </w:p>
    <w:p>
      <w:pPr>
        <w:sectPr>
          <w:pgSz w:w="11900" w:h="16888" w:orient="portrait"/>
          <w:cols w:equalWidth="0" w:num="1">
            <w:col w:w="10222"/>
          </w:cols>
          <w:pgMar w:left="237" w:top="142" w:right="1440" w:bottom="0" w:gutter="0" w:footer="0" w:header="0"/>
        </w:sectPr>
      </w:pPr>
    </w:p>
    <w:bookmarkStart w:id="63" w:name="page64"/>
    <w:bookmarkEnd w:id="63"/>
    <w:p>
      <w:pPr>
        <w:ind w:right="2939"/>
        <w:spacing w:after="0" w:line="238" w:lineRule="auto"/>
        <w:rPr>
          <w:sz w:val="20"/>
          <w:szCs w:val="20"/>
          <w:color w:val="auto"/>
        </w:rPr>
      </w:pPr>
      <w:r>
        <w:rPr>
          <w:rFonts w:ascii="Courier New" w:cs="Courier New" w:eastAsia="Courier New" w:hAnsi="Courier New"/>
          <w:sz w:val="16"/>
          <w:szCs w:val="16"/>
          <w:color w:val="auto"/>
        </w:rPr>
        <w:t>10-K are submitted in a separate section hereof. For a list of such financial statement schedules, see "Index to Consolidated Financial Statements and Financial Statement Schedules" on page 48 herein.</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142" w:right="1440" w:bottom="1440" w:gutter="0" w:footer="0" w:header="0"/>
        </w:sectPr>
      </w:pPr>
    </w:p>
    <w:bookmarkStart w:id="64" w:name="page65"/>
    <w:bookmarkEnd w:id="64"/>
    <w:p>
      <w:pPr>
        <w:spacing w:after="0" w:line="2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SIGNATURES</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w:t>
      </w:r>
    </w:p>
    <w:p>
      <w:pPr>
        <w:sectPr>
          <w:pgSz w:w="11900" w:h="16864" w:orient="portrait"/>
          <w:cols w:equalWidth="0" w:num="1">
            <w:col w:w="10219"/>
          </w:cols>
          <w:pgMar w:left="240" w:top="65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December 8,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JAMES HAGEDORN</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James Hagedorn, President,</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Chief Executive Officer and</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Chairman of the Board</w:t>
      </w:r>
    </w:p>
    <w:p>
      <w:pPr>
        <w:spacing w:after="0" w:line="200" w:lineRule="exact"/>
        <w:rPr>
          <w:sz w:val="20"/>
          <w:szCs w:val="20"/>
          <w:color w:val="auto"/>
        </w:rPr>
      </w:pPr>
    </w:p>
    <w:p>
      <w:pPr>
        <w:sectPr>
          <w:pgSz w:w="11900" w:h="16864" w:orient="portrait"/>
          <w:cols w:equalWidth="0" w:num="2">
            <w:col w:w="3820" w:space="720"/>
            <w:col w:w="5679"/>
          </w:cols>
          <w:pgMar w:left="240" w:top="659" w:right="1440" w:bottom="0" w:gutter="0" w:footer="0" w:header="0"/>
          <w:type w:val="continuous"/>
        </w:sectPr>
      </w:pPr>
    </w:p>
    <w:p>
      <w:pPr>
        <w:spacing w:after="0" w:line="168"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8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Signature</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Title Date</w:t>
      </w:r>
    </w:p>
    <w:p>
      <w:pPr>
        <w:spacing w:after="0" w:line="1" w:lineRule="exact"/>
        <w:rPr>
          <w:sz w:val="20"/>
          <w:szCs w:val="20"/>
          <w:color w:val="auto"/>
        </w:rPr>
      </w:pPr>
    </w:p>
    <w:p>
      <w:pPr>
        <w:ind w:left="220" w:hanging="181"/>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20" w:hanging="181"/>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/s/</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LYNN J.</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BEASLEY</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Director</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December</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10, 2003 -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Lynn J.</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Beasley</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/s/ GORDON</w:t>
      </w:r>
    </w:p>
    <w:p>
      <w:pPr>
        <w:spacing w:after="0" w:line="5" w:lineRule="exact"/>
        <w:rPr>
          <w:sz w:val="20"/>
          <w:szCs w:val="20"/>
          <w:color w:val="auto"/>
        </w:rPr>
      </w:pPr>
    </w:p>
    <w:p>
      <w:pPr>
        <w:ind w:left="140" w:right="9239" w:hanging="101"/>
        <w:spacing w:after="0" w:line="256" w:lineRule="auto"/>
        <w:tabs>
          <w:tab w:leader="none" w:pos="32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BRUNNER Director December</w:t>
      </w:r>
    </w:p>
    <w:p>
      <w:pPr>
        <w:ind w:left="40"/>
        <w:spacing w:after="0" w:line="237" w:lineRule="auto"/>
        <w:rPr>
          <w:sz w:val="20"/>
          <w:szCs w:val="20"/>
          <w:color w:val="auto"/>
        </w:rPr>
      </w:pPr>
      <w:r>
        <w:rPr>
          <w:rFonts w:ascii="Courier New" w:cs="Courier New" w:eastAsia="Courier New" w:hAnsi="Courier New"/>
          <w:sz w:val="16"/>
          <w:szCs w:val="16"/>
          <w:color w:val="auto"/>
        </w:rPr>
        <w:t>10, 2003 -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Gordon F.</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Brunner</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/s/ ARNOLD</w:t>
      </w:r>
    </w:p>
    <w:p>
      <w:pPr>
        <w:spacing w:after="0" w:line="5" w:lineRule="exact"/>
        <w:rPr>
          <w:sz w:val="20"/>
          <w:szCs w:val="20"/>
          <w:color w:val="auto"/>
        </w:rPr>
      </w:pPr>
    </w:p>
    <w:p>
      <w:pPr>
        <w:jc w:val="both"/>
        <w:ind w:left="140" w:right="9279" w:hanging="53"/>
        <w:spacing w:after="0" w:line="256" w:lineRule="auto"/>
        <w:tabs>
          <w:tab w:leader="none" w:pos="37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DONALD Director December</w:t>
      </w:r>
    </w:p>
    <w:p>
      <w:pPr>
        <w:ind w:left="40"/>
        <w:spacing w:after="0" w:line="237" w:lineRule="auto"/>
        <w:rPr>
          <w:sz w:val="20"/>
          <w:szCs w:val="20"/>
          <w:color w:val="auto"/>
        </w:rPr>
      </w:pPr>
      <w:r>
        <w:rPr>
          <w:rFonts w:ascii="Courier New" w:cs="Courier New" w:eastAsia="Courier New" w:hAnsi="Courier New"/>
          <w:sz w:val="16"/>
          <w:szCs w:val="16"/>
          <w:color w:val="auto"/>
        </w:rPr>
        <w:t>10, 2003 -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Arnold W.</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Donald /s/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JOSEPH P.</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FLANNERY</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Director</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December</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10, 2003 -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Joseph P.</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Flannery</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/s/ JAMES</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HAGEDORN</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President,</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Chief</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Executive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December</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8, 2003 -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Officer</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and</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Chairman</w:t>
      </w:r>
    </w:p>
    <w:p>
      <w:pPr>
        <w:sectPr>
          <w:pgSz w:w="11900" w:h="16864" w:orient="portrait"/>
          <w:cols w:equalWidth="0" w:num="1">
            <w:col w:w="10219"/>
          </w:cols>
          <w:pgMar w:left="240" w:top="659" w:right="1440" w:bottom="0" w:gutter="0" w:footer="0" w:header="0"/>
          <w:type w:val="continuous"/>
        </w:sectPr>
      </w:pPr>
    </w:p>
    <w:bookmarkStart w:id="65" w:name="page66"/>
    <w:bookmarkEnd w:id="65"/>
    <w:p>
      <w:pPr>
        <w:spacing w:after="0" w:line="50"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of the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Board</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James</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Hagedorn</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(Principal</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Executive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Officer)</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/s/ ALBERT</w:t>
      </w:r>
    </w:p>
    <w:p>
      <w:pPr>
        <w:spacing w:after="0" w:line="5" w:lineRule="exact"/>
        <w:rPr>
          <w:sz w:val="20"/>
          <w:szCs w:val="20"/>
          <w:color w:val="auto"/>
        </w:rPr>
      </w:pPr>
    </w:p>
    <w:p>
      <w:pPr>
        <w:jc w:val="both"/>
        <w:ind w:left="140" w:right="9279" w:hanging="53"/>
        <w:spacing w:after="0" w:line="256" w:lineRule="auto"/>
        <w:tabs>
          <w:tab w:leader="none" w:pos="376"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HARRIS Director December</w:t>
      </w:r>
    </w:p>
    <w:p>
      <w:pPr>
        <w:ind w:left="40"/>
        <w:spacing w:after="0" w:line="237" w:lineRule="auto"/>
        <w:rPr>
          <w:sz w:val="20"/>
          <w:szCs w:val="20"/>
          <w:color w:val="auto"/>
        </w:rPr>
      </w:pPr>
      <w:r>
        <w:rPr>
          <w:rFonts w:ascii="Courier New" w:cs="Courier New" w:eastAsia="Courier New" w:hAnsi="Courier New"/>
          <w:sz w:val="16"/>
          <w:szCs w:val="16"/>
          <w:color w:val="auto"/>
        </w:rPr>
        <w:t>10, 2003 -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Albert 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Harris /s/</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KATHERINE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HAGEDORN</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LITTLEFIELD</w:t>
      </w:r>
    </w:p>
    <w:p>
      <w:pPr>
        <w:spacing w:after="0" w:line="8"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Director</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December</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10, 2003 -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Katherine</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Hagedorn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Littlefield</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 KAREN</w:t>
      </w:r>
    </w:p>
    <w:p>
      <w:pPr>
        <w:spacing w:after="0" w:line="5" w:lineRule="exact"/>
        <w:rPr>
          <w:sz w:val="20"/>
          <w:szCs w:val="20"/>
          <w:color w:val="auto"/>
        </w:rPr>
      </w:pPr>
    </w:p>
    <w:p>
      <w:pPr>
        <w:jc w:val="both"/>
        <w:ind w:left="140" w:right="9319" w:hanging="6"/>
        <w:spacing w:after="0" w:line="256" w:lineRule="auto"/>
        <w:tabs>
          <w:tab w:leader="none" w:pos="424"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MILLS Director December</w:t>
      </w:r>
    </w:p>
    <w:p>
      <w:pPr>
        <w:ind w:left="40"/>
        <w:spacing w:after="0" w:line="237" w:lineRule="auto"/>
        <w:rPr>
          <w:sz w:val="20"/>
          <w:szCs w:val="20"/>
          <w:color w:val="auto"/>
        </w:rPr>
      </w:pPr>
      <w:r>
        <w:rPr>
          <w:rFonts w:ascii="Courier New" w:cs="Courier New" w:eastAsia="Courier New" w:hAnsi="Courier New"/>
          <w:sz w:val="16"/>
          <w:szCs w:val="16"/>
          <w:color w:val="auto"/>
        </w:rPr>
        <w:t>10, 2003 -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Karen G.</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Mills /s/</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CHRISTOPHER</w:t>
      </w:r>
    </w:p>
    <w:p>
      <w:pPr>
        <w:spacing w:after="0" w:line="12" w:lineRule="exact"/>
        <w:rPr>
          <w:sz w:val="20"/>
          <w:szCs w:val="20"/>
          <w:color w:val="auto"/>
        </w:rPr>
      </w:pPr>
    </w:p>
    <w:p>
      <w:pPr>
        <w:jc w:val="right"/>
        <w:ind w:left="80" w:right="9279" w:firstLine="54"/>
        <w:spacing w:after="0" w:line="256" w:lineRule="auto"/>
        <w:tabs>
          <w:tab w:leader="none" w:pos="411"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NAGEL Executive</w:t>
      </w:r>
    </w:p>
    <w:p>
      <w:pPr>
        <w:ind w:left="3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Vice</w:t>
      </w:r>
    </w:p>
    <w:p>
      <w:pPr>
        <w:ind w:left="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President</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and</w:t>
      </w:r>
    </w:p>
    <w:p>
      <w:pPr>
        <w:ind w:left="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December</w:t>
      </w:r>
    </w:p>
    <w:p>
      <w:pPr>
        <w:ind w:left="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9, 2003 -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Chief</w:t>
      </w:r>
    </w:p>
    <w:p>
      <w:pPr>
        <w:ind w:left="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Financial</w:t>
      </w: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Officer</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Christopher</w:t>
      </w:r>
    </w:p>
    <w:p>
      <w:pPr>
        <w:spacing w:after="0" w:line="8" w:lineRule="exact"/>
        <w:rPr>
          <w:rFonts w:ascii="Courier New" w:cs="Courier New" w:eastAsia="Courier New" w:hAnsi="Courier New"/>
          <w:sz w:val="15"/>
          <w:szCs w:val="15"/>
          <w:color w:val="auto"/>
        </w:rPr>
      </w:pPr>
    </w:p>
    <w:p>
      <w:pPr>
        <w:ind w:left="420" w:hanging="286"/>
        <w:spacing w:after="0"/>
        <w:tabs>
          <w:tab w:leader="none" w:pos="4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Nagel</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Officer)</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NORTON</w:t>
      </w:r>
    </w:p>
    <w:p>
      <w:pPr>
        <w:spacing w:after="0" w:line="4" w:lineRule="exact"/>
        <w:rPr>
          <w:rFonts w:ascii="Courier New" w:cs="Courier New" w:eastAsia="Courier New" w:hAnsi="Courier New"/>
          <w:sz w:val="16"/>
          <w:szCs w:val="16"/>
          <w:color w:val="auto"/>
        </w:rPr>
      </w:pPr>
    </w:p>
    <w:p>
      <w:pPr>
        <w:jc w:val="center"/>
        <w:ind w:left="40" w:right="9239" w:firstLine="95"/>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Director December 10, 2003 -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both"/>
        <w:ind w:left="40" w:right="923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Patrick J. Norton /s/</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STEPHANIE</w:t>
      </w:r>
    </w:p>
    <w:p>
      <w:pPr>
        <w:spacing w:after="0" w:line="4" w:lineRule="exact"/>
        <w:rPr>
          <w:rFonts w:ascii="Courier New" w:cs="Courier New" w:eastAsia="Courier New" w:hAnsi="Courier New"/>
          <w:sz w:val="16"/>
          <w:szCs w:val="16"/>
          <w:color w:val="auto"/>
        </w:rPr>
      </w:pPr>
    </w:p>
    <w:p>
      <w:pPr>
        <w:jc w:val="both"/>
        <w:ind w:left="140" w:right="9319" w:hanging="6"/>
        <w:spacing w:after="0" w:line="256" w:lineRule="auto"/>
        <w:tabs>
          <w:tab w:leader="none" w:pos="424"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SHERN Director December</w:t>
      </w:r>
    </w:p>
    <w:p>
      <w:pPr>
        <w:ind w:left="40"/>
        <w:spacing w:after="0" w:line="237" w:lineRule="auto"/>
        <w:rPr>
          <w:sz w:val="20"/>
          <w:szCs w:val="20"/>
          <w:color w:val="auto"/>
        </w:rPr>
      </w:pPr>
      <w:r>
        <w:rPr>
          <w:rFonts w:ascii="Courier New" w:cs="Courier New" w:eastAsia="Courier New" w:hAnsi="Courier New"/>
          <w:sz w:val="16"/>
          <w:szCs w:val="16"/>
          <w:color w:val="auto"/>
        </w:rPr>
        <w:t>10, 2003 -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ectPr>
          <w:pgSz w:w="11900" w:h="16888" w:orient="portrait"/>
          <w:cols w:equalWidth="0" w:num="1">
            <w:col w:w="10219"/>
          </w:cols>
          <w:pgMar w:left="240" w:top="138" w:right="1440" w:bottom="0" w:gutter="0" w:footer="0" w:header="0"/>
        </w:sectPr>
      </w:pPr>
    </w:p>
    <w:bookmarkStart w:id="66" w:name="page67"/>
    <w:bookmarkEnd w:id="66"/>
    <w:p>
      <w:pPr>
        <w:ind w:left="1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Stephanie</w:t>
      </w:r>
    </w:p>
    <w:p>
      <w:pPr>
        <w:spacing w:after="0" w:line="5" w:lineRule="exact"/>
        <w:rPr>
          <w:sz w:val="20"/>
          <w:szCs w:val="20"/>
          <w:color w:val="auto"/>
        </w:rPr>
      </w:pPr>
    </w:p>
    <w:p>
      <w:pPr>
        <w:jc w:val="both"/>
        <w:ind w:left="100" w:right="9319" w:hanging="6"/>
        <w:spacing w:after="0" w:line="256" w:lineRule="auto"/>
        <w:tabs>
          <w:tab w:leader="none" w:pos="38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Shern /s/ JOHN</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w:t>
      </w:r>
    </w:p>
    <w:p>
      <w:pPr>
        <w:spacing w:after="0" w:line="4" w:lineRule="exact"/>
        <w:rPr>
          <w:rFonts w:ascii="Courier New" w:cs="Courier New" w:eastAsia="Courier New" w:hAnsi="Courier New"/>
          <w:sz w:val="15"/>
          <w:szCs w:val="15"/>
          <w:color w:val="auto"/>
        </w:rPr>
      </w:pPr>
    </w:p>
    <w:p>
      <w:pPr>
        <w:jc w:val="both"/>
        <w:ind w:left="100" w:right="9319"/>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SULLIVAN Director December</w:t>
      </w:r>
    </w:p>
    <w:p>
      <w:pPr>
        <w:spacing w:after="0" w:line="237" w:lineRule="auto"/>
        <w:rPr>
          <w:sz w:val="20"/>
          <w:szCs w:val="20"/>
          <w:color w:val="auto"/>
        </w:rPr>
      </w:pPr>
      <w:r>
        <w:rPr>
          <w:rFonts w:ascii="Courier New" w:cs="Courier New" w:eastAsia="Courier New" w:hAnsi="Courier New"/>
          <w:sz w:val="16"/>
          <w:szCs w:val="16"/>
          <w:color w:val="auto"/>
        </w:rPr>
        <w:t>10, 2003 -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John M.</w:t>
      </w:r>
    </w:p>
    <w:p>
      <w:pPr>
        <w:spacing w:after="0" w:line="1"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6"/>
          <w:szCs w:val="16"/>
          <w:color w:val="auto"/>
        </w:rPr>
        <w:t>Sullivan</w:t>
      </w:r>
    </w:p>
    <w:p>
      <w:pPr>
        <w:spacing w:after="0" w:line="1"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6"/>
          <w:szCs w:val="16"/>
          <w:color w:val="auto"/>
        </w:rPr>
        <w:t>/s/ JOHN</w:t>
      </w:r>
    </w:p>
    <w:p>
      <w:pPr>
        <w:spacing w:after="0" w:line="1"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6"/>
          <w:szCs w:val="16"/>
          <w:color w:val="auto"/>
        </w:rPr>
        <w:t>WALKER,</w:t>
      </w:r>
    </w:p>
    <w:p>
      <w:pPr>
        <w:spacing w:after="0" w:line="1"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6"/>
          <w:szCs w:val="16"/>
          <w:color w:val="auto"/>
        </w:rPr>
        <w:t>PH.D.</w:t>
      </w:r>
    </w:p>
    <w:p>
      <w:pPr>
        <w:spacing w:after="0" w:line="1"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6"/>
          <w:szCs w:val="16"/>
          <w:color w:val="auto"/>
        </w:rPr>
        <w:t>Director</w:t>
      </w:r>
    </w:p>
    <w:p>
      <w:pPr>
        <w:spacing w:after="0" w:line="1"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6"/>
          <w:szCs w:val="16"/>
          <w:color w:val="auto"/>
        </w:rPr>
        <w:t>December</w:t>
      </w:r>
    </w:p>
    <w:p>
      <w:pPr>
        <w:spacing w:after="0" w:line="5"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10, 2003 -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6"/>
          <w:szCs w:val="16"/>
          <w:color w:val="auto"/>
        </w:rPr>
        <w:t>John</w:t>
      </w:r>
    </w:p>
    <w:p>
      <w:pPr>
        <w:spacing w:after="0" w:line="1"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6"/>
          <w:szCs w:val="16"/>
          <w:color w:val="auto"/>
        </w:rPr>
        <w:t>Walker,</w:t>
      </w:r>
    </w:p>
    <w:p>
      <w:pPr>
        <w:spacing w:after="0" w:line="1"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6"/>
          <w:szCs w:val="16"/>
          <w:color w:val="auto"/>
        </w:rPr>
        <w:t>Ph.D.</w:t>
      </w:r>
    </w:p>
    <w:p>
      <w:pPr>
        <w:spacing w:after="0" w:line="36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179"/>
          </w:cols>
          <w:pgMar w:left="280" w:top="138" w:right="1440" w:bottom="1440" w:gutter="0" w:footer="0" w:header="0"/>
        </w:sectPr>
      </w:pPr>
    </w:p>
    <w:bookmarkStart w:id="67" w:name="page68"/>
    <w:bookmarkEnd w:id="67"/>
    <w:p>
      <w:pPr>
        <w:ind w:left="1800"/>
        <w:spacing w:after="0"/>
        <w:rPr>
          <w:sz w:val="20"/>
          <w:szCs w:val="20"/>
          <w:color w:val="auto"/>
        </w:rPr>
      </w:pPr>
      <w:r>
        <w:rPr>
          <w:rFonts w:ascii="Courier New" w:cs="Courier New" w:eastAsia="Courier New" w:hAnsi="Courier New"/>
          <w:sz w:val="16"/>
          <w:szCs w:val="16"/>
          <w:color w:val="auto"/>
        </w:rPr>
        <w:t>INDEX TO CONSOLIDATED FINANCIAL STATEMENTS</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AND FINANCIAL STATEMENT SCHEDULES</w:t>
      </w:r>
    </w:p>
    <w:p>
      <w:pPr>
        <w:spacing w:after="0" w:line="183"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Page ---- Consolidated Financial Statements of The</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Scotts Company and Subsidiaries: Report of</w:t>
      </w:r>
    </w:p>
    <w:p>
      <w:pPr>
        <w:spacing w:after="0" w:line="1" w:lineRule="exact"/>
        <w:rPr>
          <w:sz w:val="20"/>
          <w:szCs w:val="20"/>
          <w:color w:val="auto"/>
        </w:rPr>
      </w:pPr>
    </w:p>
    <w:p>
      <w:pPr>
        <w:ind w:left="180"/>
        <w:spacing w:after="0"/>
        <w:tabs>
          <w:tab w:leader="dot" w:pos="4800" w:val="left"/>
        </w:tabs>
        <w:rPr>
          <w:sz w:val="20"/>
          <w:szCs w:val="20"/>
          <w:color w:val="auto"/>
        </w:rPr>
      </w:pPr>
      <w:r>
        <w:rPr>
          <w:rFonts w:ascii="Courier New" w:cs="Courier New" w:eastAsia="Courier New" w:hAnsi="Courier New"/>
          <w:sz w:val="16"/>
          <w:szCs w:val="16"/>
          <w:color w:val="auto"/>
        </w:rPr>
        <w:t>Management</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Report of Independent</w:t>
      </w:r>
    </w:p>
    <w:p>
      <w:pPr>
        <w:spacing w:after="0" w:line="1" w:lineRule="exact"/>
        <w:rPr>
          <w:sz w:val="20"/>
          <w:szCs w:val="20"/>
          <w:color w:val="auto"/>
        </w:rPr>
      </w:pPr>
    </w:p>
    <w:p>
      <w:pPr>
        <w:ind w:left="140"/>
        <w:spacing w:after="0"/>
        <w:tabs>
          <w:tab w:leader="dot" w:pos="3620" w:val="left"/>
        </w:tabs>
        <w:rPr>
          <w:sz w:val="20"/>
          <w:szCs w:val="20"/>
          <w:color w:val="auto"/>
        </w:rPr>
      </w:pPr>
      <w:r>
        <w:rPr>
          <w:rFonts w:ascii="Courier New" w:cs="Courier New" w:eastAsia="Courier New" w:hAnsi="Courier New"/>
          <w:sz w:val="16"/>
          <w:szCs w:val="16"/>
          <w:color w:val="auto"/>
        </w:rPr>
        <w:t>Auditors</w:t>
      </w:r>
      <w:r>
        <w:rPr>
          <w:sz w:val="20"/>
          <w:szCs w:val="20"/>
          <w:color w:val="auto"/>
        </w:rPr>
        <w:tab/>
      </w:r>
      <w:r>
        <w:rPr>
          <w:rFonts w:ascii="Courier New" w:cs="Courier New" w:eastAsia="Courier New" w:hAnsi="Courier New"/>
          <w:sz w:val="15"/>
          <w:szCs w:val="15"/>
          <w:color w:val="auto"/>
        </w:rPr>
        <w:t>50 Consolidated</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Statements of Operations for the fiscal years ended</w:t>
      </w:r>
    </w:p>
    <w:p>
      <w:pPr>
        <w:spacing w:after="0" w:line="1" w:lineRule="exact"/>
        <w:rPr>
          <w:sz w:val="20"/>
          <w:szCs w:val="20"/>
          <w:color w:val="auto"/>
        </w:rPr>
      </w:pPr>
    </w:p>
    <w:p>
      <w:pPr>
        <w:ind w:left="140"/>
        <w:spacing w:after="0"/>
        <w:tabs>
          <w:tab w:leader="dot" w:pos="4840" w:val="left"/>
        </w:tabs>
        <w:rPr>
          <w:sz w:val="20"/>
          <w:szCs w:val="20"/>
          <w:color w:val="auto"/>
        </w:rPr>
      </w:pPr>
      <w:r>
        <w:rPr>
          <w:rFonts w:ascii="Courier New" w:cs="Courier New" w:eastAsia="Courier New" w:hAnsi="Courier New"/>
          <w:sz w:val="16"/>
          <w:szCs w:val="16"/>
          <w:color w:val="auto"/>
        </w:rPr>
        <w:t>September 30, 2003, 2002 and 2001</w:t>
      </w:r>
      <w:r>
        <w:rPr>
          <w:sz w:val="20"/>
          <w:szCs w:val="20"/>
          <w:color w:val="auto"/>
        </w:rPr>
        <w:tab/>
      </w:r>
      <w:r>
        <w:rPr>
          <w:rFonts w:ascii="Courier New" w:cs="Courier New" w:eastAsia="Courier New" w:hAnsi="Courier New"/>
          <w:sz w:val="16"/>
          <w:szCs w:val="16"/>
          <w:color w:val="auto"/>
        </w:rPr>
        <w:t>51</w:t>
      </w:r>
    </w:p>
    <w:p>
      <w:pPr>
        <w:spacing w:after="0" w:line="1" w:lineRule="exact"/>
        <w:rPr>
          <w:sz w:val="20"/>
          <w:szCs w:val="20"/>
          <w:color w:val="auto"/>
        </w:rPr>
      </w:pPr>
    </w:p>
    <w:p>
      <w:pPr>
        <w:jc w:val="center"/>
        <w:ind w:right="5019"/>
        <w:spacing w:after="0"/>
        <w:rPr>
          <w:sz w:val="20"/>
          <w:szCs w:val="20"/>
          <w:color w:val="auto"/>
        </w:rPr>
      </w:pPr>
      <w:r>
        <w:rPr>
          <w:rFonts w:ascii="Courier New" w:cs="Courier New" w:eastAsia="Courier New" w:hAnsi="Courier New"/>
          <w:sz w:val="16"/>
          <w:szCs w:val="16"/>
          <w:color w:val="auto"/>
        </w:rPr>
        <w:t>Consolidated Statements of Cash Flows for the fiscal</w:t>
      </w:r>
    </w:p>
    <w:p>
      <w:pPr>
        <w:spacing w:after="0" w:line="1" w:lineRule="exact"/>
        <w:rPr>
          <w:sz w:val="20"/>
          <w:szCs w:val="20"/>
          <w:color w:val="auto"/>
        </w:rPr>
      </w:pPr>
    </w:p>
    <w:p>
      <w:pPr>
        <w:jc w:val="center"/>
        <w:ind w:right="5019"/>
        <w:spacing w:after="0"/>
        <w:rPr>
          <w:sz w:val="20"/>
          <w:szCs w:val="20"/>
          <w:color w:val="auto"/>
        </w:rPr>
      </w:pPr>
      <w:r>
        <w:rPr>
          <w:rFonts w:ascii="Courier New" w:cs="Courier New" w:eastAsia="Courier New" w:hAnsi="Courier New"/>
          <w:sz w:val="16"/>
          <w:szCs w:val="16"/>
          <w:color w:val="auto"/>
        </w:rPr>
        <w:t>years ended September 30, 2003, 2002 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c>
          <w:tcPr>
            <w:tcW w:w="4740" w:type="dxa"/>
            <w:vAlign w:val="bottom"/>
          </w:tcPr>
          <w:p>
            <w:pPr>
              <w:spacing w:after="0"/>
              <w:rPr>
                <w:sz w:val="20"/>
                <w:szCs w:val="20"/>
                <w:color w:val="auto"/>
              </w:rPr>
            </w:pPr>
            <w:r>
              <w:rPr>
                <w:rFonts w:ascii="Courier New" w:cs="Courier New" w:eastAsia="Courier New" w:hAnsi="Courier New"/>
                <w:sz w:val="16"/>
                <w:szCs w:val="16"/>
                <w:color w:val="auto"/>
                <w:w w:val="98"/>
              </w:rPr>
              <w:t>................ 52 Consolidated Balance Sheets at</w:t>
            </w:r>
          </w:p>
        </w:tc>
      </w:tr>
      <w:tr>
        <w:trPr>
          <w:trHeight w:val="182"/>
        </w:trPr>
        <w:tc>
          <w:tcPr>
            <w:tcW w:w="420" w:type="dxa"/>
            <w:vAlign w:val="bottom"/>
          </w:tcPr>
          <w:p>
            <w:pPr>
              <w:spacing w:after="0"/>
              <w:rPr>
                <w:sz w:val="15"/>
                <w:szCs w:val="15"/>
                <w:color w:val="auto"/>
              </w:rPr>
            </w:pPr>
          </w:p>
        </w:tc>
        <w:tc>
          <w:tcPr>
            <w:tcW w:w="474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September 30, 2003 and</w:t>
            </w:r>
          </w:p>
        </w:tc>
      </w:tr>
      <w:tr>
        <w:trPr>
          <w:trHeight w:val="182"/>
        </w:trPr>
        <w:tc>
          <w:tcPr>
            <w:tcW w:w="5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2002...................................................</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3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53 Consolidated Statements of Changes in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w w:val="97"/>
              </w:rPr>
              <w:t>Shareholders'</w:t>
            </w:r>
          </w:p>
        </w:tc>
      </w:tr>
      <w:tr>
        <w:trPr>
          <w:trHeight w:val="182"/>
        </w:trPr>
        <w:tc>
          <w:tcPr>
            <w:tcW w:w="3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Equity and Comprehensive Income for the</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fiscal years</w:t>
            </w:r>
          </w:p>
        </w:tc>
      </w:tr>
      <w:tr>
        <w:trPr>
          <w:trHeight w:val="182"/>
        </w:trPr>
        <w:tc>
          <w:tcPr>
            <w:tcW w:w="520" w:type="dxa"/>
            <w:vAlign w:val="bottom"/>
          </w:tcPr>
          <w:p>
            <w:pPr>
              <w:spacing w:after="0"/>
              <w:rPr>
                <w:sz w:val="15"/>
                <w:szCs w:val="15"/>
                <w:color w:val="auto"/>
              </w:rPr>
            </w:pPr>
          </w:p>
        </w:tc>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ended September 30, 2003, 2002</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and</w:t>
            </w:r>
          </w:p>
        </w:tc>
      </w:tr>
      <w:tr>
        <w:trPr>
          <w:trHeight w:val="182"/>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c>
          <w:tcPr>
            <w:tcW w:w="330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 54 Notes to</w:t>
            </w:r>
          </w:p>
        </w:tc>
        <w:tc>
          <w:tcPr>
            <w:tcW w:w="1300" w:type="dxa"/>
            <w:vAlign w:val="bottom"/>
          </w:tcPr>
          <w:p>
            <w:pPr>
              <w:ind w:left="20"/>
              <w:spacing w:after="0"/>
              <w:rPr>
                <w:sz w:val="20"/>
                <w:szCs w:val="20"/>
                <w:color w:val="auto"/>
              </w:rPr>
            </w:pPr>
            <w:r>
              <w:rPr>
                <w:rFonts w:ascii="Courier New" w:cs="Courier New" w:eastAsia="Courier New" w:hAnsi="Courier New"/>
                <w:sz w:val="16"/>
                <w:szCs w:val="16"/>
                <w:color w:val="auto"/>
              </w:rPr>
              <w:t>Consolidated</w:t>
            </w:r>
          </w:p>
        </w:tc>
      </w:tr>
      <w:tr>
        <w:trPr>
          <w:trHeight w:val="182"/>
        </w:trPr>
        <w:tc>
          <w:tcPr>
            <w:tcW w:w="38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Financial Statements..................</w:t>
            </w:r>
          </w:p>
        </w:tc>
        <w:tc>
          <w:tcPr>
            <w:tcW w:w="1300" w:type="dxa"/>
            <w:vAlign w:val="bottom"/>
          </w:tcPr>
          <w:p>
            <w:pPr>
              <w:ind w:left="20"/>
              <w:spacing w:after="0"/>
              <w:rPr>
                <w:sz w:val="20"/>
                <w:szCs w:val="20"/>
                <w:color w:val="auto"/>
              </w:rPr>
            </w:pPr>
            <w:r>
              <w:rPr>
                <w:rFonts w:ascii="Courier New" w:cs="Courier New" w:eastAsia="Courier New" w:hAnsi="Courier New"/>
                <w:sz w:val="16"/>
                <w:szCs w:val="16"/>
                <w:color w:val="auto"/>
              </w:rPr>
              <w:t>56 Schedules</w:t>
            </w:r>
          </w:p>
        </w:tc>
      </w:tr>
      <w:tr>
        <w:trPr>
          <w:trHeight w:val="182"/>
        </w:trPr>
        <w:tc>
          <w:tcPr>
            <w:tcW w:w="38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Supporting the Consolidated Financial</w:t>
            </w:r>
          </w:p>
        </w:tc>
        <w:tc>
          <w:tcPr>
            <w:tcW w:w="1300" w:type="dxa"/>
            <w:vAlign w:val="bottom"/>
          </w:tcPr>
          <w:p>
            <w:pPr>
              <w:ind w:left="20"/>
              <w:spacing w:after="0"/>
              <w:rPr>
                <w:sz w:val="20"/>
                <w:szCs w:val="20"/>
                <w:color w:val="auto"/>
              </w:rPr>
            </w:pPr>
            <w:r>
              <w:rPr>
                <w:rFonts w:ascii="Courier New" w:cs="Courier New" w:eastAsia="Courier New" w:hAnsi="Courier New"/>
                <w:sz w:val="16"/>
                <w:szCs w:val="16"/>
                <w:color w:val="auto"/>
              </w:rPr>
              <w:t>Statements:</w:t>
            </w:r>
          </w:p>
        </w:tc>
      </w:tr>
    </w:tbl>
    <w:p>
      <w:pPr>
        <w:spacing w:after="0" w:line="1" w:lineRule="exact"/>
        <w:rPr>
          <w:sz w:val="20"/>
          <w:szCs w:val="20"/>
          <w:color w:val="auto"/>
        </w:rPr>
      </w:pPr>
    </w:p>
    <w:p>
      <w:pPr>
        <w:jc w:val="center"/>
        <w:ind w:right="5019"/>
        <w:spacing w:after="0"/>
        <w:rPr>
          <w:sz w:val="20"/>
          <w:szCs w:val="20"/>
          <w:color w:val="auto"/>
        </w:rPr>
      </w:pPr>
      <w:r>
        <w:rPr>
          <w:rFonts w:ascii="Courier New" w:cs="Courier New" w:eastAsia="Courier New" w:hAnsi="Courier New"/>
          <w:sz w:val="16"/>
          <w:szCs w:val="16"/>
          <w:color w:val="auto"/>
        </w:rPr>
        <w:t>Report of Independent Auditors on Financial Statement</w:t>
      </w:r>
    </w:p>
    <w:p>
      <w:pPr>
        <w:spacing w:after="0" w:line="5" w:lineRule="exact"/>
        <w:rPr>
          <w:sz w:val="20"/>
          <w:szCs w:val="20"/>
          <w:color w:val="auto"/>
        </w:rPr>
      </w:pPr>
    </w:p>
    <w:p>
      <w:pPr>
        <w:jc w:val="center"/>
        <w:ind w:right="5019"/>
        <w:spacing w:after="0"/>
        <w:rPr>
          <w:sz w:val="20"/>
          <w:szCs w:val="20"/>
          <w:color w:val="auto"/>
        </w:rPr>
      </w:pPr>
      <w:r>
        <w:rPr>
          <w:rFonts w:ascii="Courier New" w:cs="Courier New" w:eastAsia="Courier New" w:hAnsi="Courier New"/>
          <w:sz w:val="15"/>
          <w:szCs w:val="15"/>
          <w:color w:val="auto"/>
        </w:rPr>
        <w:t>Schedule...............................................</w:t>
      </w:r>
    </w:p>
    <w:p>
      <w:pPr>
        <w:spacing w:after="0" w:line="8" w:lineRule="exact"/>
        <w:rPr>
          <w:sz w:val="20"/>
          <w:szCs w:val="20"/>
          <w:color w:val="auto"/>
        </w:rPr>
      </w:pPr>
    </w:p>
    <w:p>
      <w:pPr>
        <w:jc w:val="center"/>
        <w:ind w:right="5019"/>
        <w:spacing w:after="0"/>
        <w:rPr>
          <w:sz w:val="20"/>
          <w:szCs w:val="20"/>
          <w:color w:val="auto"/>
        </w:rPr>
      </w:pPr>
      <w:r>
        <w:rPr>
          <w:rFonts w:ascii="Courier New" w:cs="Courier New" w:eastAsia="Courier New" w:hAnsi="Courier New"/>
          <w:sz w:val="16"/>
          <w:szCs w:val="16"/>
          <w:color w:val="auto"/>
        </w:rPr>
        <w:t>97 Valuation and Qualifying Accounts for the fiscal</w:t>
      </w:r>
    </w:p>
    <w:p>
      <w:pPr>
        <w:spacing w:after="0" w:line="1" w:lineRule="exact"/>
        <w:rPr>
          <w:sz w:val="20"/>
          <w:szCs w:val="20"/>
          <w:color w:val="auto"/>
        </w:rPr>
      </w:pPr>
    </w:p>
    <w:p>
      <w:pPr>
        <w:jc w:val="center"/>
        <w:ind w:right="5019"/>
        <w:spacing w:after="0"/>
        <w:rPr>
          <w:sz w:val="20"/>
          <w:szCs w:val="20"/>
          <w:color w:val="auto"/>
        </w:rPr>
      </w:pPr>
      <w:r>
        <w:rPr>
          <w:rFonts w:ascii="Courier New" w:cs="Courier New" w:eastAsia="Courier New" w:hAnsi="Courier New"/>
          <w:sz w:val="16"/>
          <w:szCs w:val="16"/>
          <w:color w:val="auto"/>
        </w:rPr>
        <w:t>years ended September 30, 2003, 2002 and</w:t>
      </w:r>
    </w:p>
    <w:p>
      <w:pPr>
        <w:spacing w:after="0" w:line="1"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2001................ 98</w:t>
      </w:r>
    </w:p>
    <w:p>
      <w:pPr>
        <w:spacing w:after="0" w:line="368" w:lineRule="exact"/>
        <w:rPr>
          <w:sz w:val="20"/>
          <w:szCs w:val="20"/>
          <w:color w:val="auto"/>
        </w:rPr>
      </w:pPr>
    </w:p>
    <w:p>
      <w:pPr>
        <w:jc w:val="both"/>
        <w:ind w:right="3119" w:firstLine="473"/>
        <w:spacing w:after="0" w:line="238" w:lineRule="auto"/>
        <w:rPr>
          <w:sz w:val="20"/>
          <w:szCs w:val="20"/>
          <w:color w:val="auto"/>
        </w:rPr>
      </w:pPr>
      <w:r>
        <w:rPr>
          <w:rFonts w:ascii="Courier New" w:cs="Courier New" w:eastAsia="Courier New" w:hAnsi="Courier New"/>
          <w:sz w:val="16"/>
          <w:szCs w:val="16"/>
          <w:color w:val="auto"/>
        </w:rPr>
        <w:t>Schedules other than those listed above are omitted since they are not required or are not applicable, or the required information is shown in the Consolidated Financial Statements or Notes thereto.</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59" w:right="1440" w:bottom="1440" w:gutter="0" w:footer="0" w:header="0"/>
        </w:sectPr>
      </w:pPr>
    </w:p>
    <w:bookmarkStart w:id="68" w:name="page69"/>
    <w:bookmarkEnd w:id="68"/>
    <w:p>
      <w:pPr>
        <w:jc w:val="center"/>
        <w:ind w:right="2659"/>
        <w:spacing w:after="0"/>
        <w:rPr>
          <w:sz w:val="20"/>
          <w:szCs w:val="20"/>
          <w:color w:val="auto"/>
        </w:rPr>
      </w:pPr>
      <w:r>
        <w:rPr>
          <w:rFonts w:ascii="Courier New" w:cs="Courier New" w:eastAsia="Courier New" w:hAnsi="Courier New"/>
          <w:sz w:val="16"/>
          <w:szCs w:val="16"/>
          <w:color w:val="auto"/>
        </w:rPr>
        <w:t>REPORT OF MANAGEMENT</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Management of The Scotts Company is responsible for the preparation, integrity and objectivity of the financial information presented in this Annual Report on Form 10-K. The accompanying financial statements have been prepared in conformity with accounting principles generally accepted in the United States of America appropriate in the circumstances and, accordingly, include some amounts that are based on management's best judgments and estimates.</w:t>
      </w:r>
    </w:p>
    <w:p>
      <w:pPr>
        <w:spacing w:after="0" w:line="177"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Management is responsible for maintaining a system of accounting and internal controls which it believes is adequate to provide reasonable assurance that assets are safeguarded against loss from unauthorized use or disposition and that the financial records are reliable for preparing financial statements. The selection and training of qualified personnel, the establishment and communication of accounting and administrative policies and procedures and a program of internal audits are important elements of these control systems.</w:t>
      </w:r>
    </w:p>
    <w:p>
      <w:pPr>
        <w:spacing w:after="0" w:line="17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financial statements have been audited by PricewaterhouseCoopers LLP, independent auditors selected by the Board of Directors. The independent auditors conduct a review of internal accounting controls to the extent required by generally accepted auditing standards and perform such tests and related procedures as they deem necessary to arrive at an opinion on the fairness of the financial statements in accordance with generally accepted accounting principles in the United States of America.</w:t>
      </w:r>
    </w:p>
    <w:p>
      <w:pPr>
        <w:spacing w:after="0" w:line="192"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The Board of Directors, through its Audit Committee consisting solely of non-management directors, meets periodically with management, internal audit personnel and the independent auditors to discuss internal accounting controls and auditing and financial reporting matters. The Audit Committee reviews with the independent auditors the scope and results of the audit effort. Both internal audit personnel and the independent auditors have access to the Audit Committee with or without the presence of management.</w:t>
      </w: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59" w:right="1440" w:bottom="1440" w:gutter="0" w:footer="0" w:header="0"/>
        </w:sectPr>
      </w:pPr>
    </w:p>
    <w:bookmarkStart w:id="69" w:name="page70"/>
    <w:bookmarkEnd w:id="69"/>
    <w:p>
      <w:pPr>
        <w:ind w:left="2360"/>
        <w:spacing w:after="0"/>
        <w:rPr>
          <w:sz w:val="20"/>
          <w:szCs w:val="20"/>
          <w:color w:val="auto"/>
        </w:rPr>
      </w:pPr>
      <w:r>
        <w:rPr>
          <w:rFonts w:ascii="Courier New" w:cs="Courier New" w:eastAsia="Courier New" w:hAnsi="Courier New"/>
          <w:sz w:val="16"/>
          <w:szCs w:val="16"/>
          <w:color w:val="auto"/>
        </w:rPr>
        <w:t>REPORT OF INDEPENDENT AUDITORS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Shareholders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our opinion, the accompanying consolidated balance sheets and the related consolidated statements of operations, shareholders' equity and comprehensive income and cash flows present fairly, in all material respects, the financial position of The Scotts Company and its subsidiaries at September 30, 2003, and September 30, 2002, and the results of their operations and their cash flows for each of the three years in the period ended September 30, 2003,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93"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As discussed in Note 6 to the financial statements, effective October 1, 2001, the Company adopted Statement of Financial Accounting Standards No. 142, "Goodwill and Other Intangible Assets". Also, as discussed in Note 1 to the financial statements, effective October 1, 2002, the Company adopted the prospective method of recognizing the fair value of stock-based compensation in accordance with Statement of Financial Accounting Standards No. 123, "Accounting for Stock-Based Compensation".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PRICEWATERHOUSECOOPERS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Columbus, Ohio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5, 2003</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59" w:right="1440" w:bottom="1440" w:gutter="0" w:footer="0" w:header="0"/>
        </w:sectPr>
      </w:pPr>
    </w:p>
    <w:bookmarkStart w:id="70" w:name="page71"/>
    <w:bookmarkEnd w:id="70"/>
    <w:p>
      <w:pPr>
        <w:spacing w:after="0" w:line="4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1" w:lineRule="exact"/>
        <w:rPr>
          <w:sz w:val="20"/>
          <w:szCs w:val="20"/>
          <w:color w:val="auto"/>
        </w:rPr>
      </w:pPr>
    </w:p>
    <w:p>
      <w:pPr>
        <w:jc w:val="right"/>
        <w:ind w:right="3599"/>
        <w:spacing w:after="0"/>
        <w:rPr>
          <w:sz w:val="20"/>
          <w:szCs w:val="20"/>
          <w:color w:val="auto"/>
        </w:rPr>
      </w:pPr>
      <w:r>
        <w:rPr>
          <w:rFonts w:ascii="Courier New" w:cs="Courier New" w:eastAsia="Courier New" w:hAnsi="Courier New"/>
          <w:sz w:val="16"/>
          <w:szCs w:val="16"/>
          <w:color w:val="auto"/>
        </w:rPr>
        <w:t>FOR THE FISCAL YEARS ENDED SEPTEMBER 30, 2003, 2002 AND 2001</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(IN MILLIONS, EXCEPT PER SHARE DATA)</w:t>
      </w:r>
    </w:p>
    <w:p>
      <w:pPr>
        <w:spacing w:after="0" w:line="18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2003 2002</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Net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sales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$1,910.1</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$1,748.7</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$1,670.4 Cost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 sales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1,210.2</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1,112.1</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1,066.7</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Restructuring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and other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charges 9.1</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1.7 7.3 -----</w:t>
      </w:r>
    </w:p>
    <w:p>
      <w:pPr>
        <w:spacing w:after="0" w:line="1" w:lineRule="exact"/>
        <w:rPr>
          <w:sz w:val="20"/>
          <w:szCs w:val="20"/>
          <w:color w:val="auto"/>
        </w:rPr>
      </w:pPr>
    </w:p>
    <w:p>
      <w:pPr>
        <w:ind w:left="460" w:hanging="370"/>
        <w:spacing w:after="0"/>
        <w:tabs>
          <w:tab w:leader="none" w:pos="4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tbl>
      <w:tblPr>
        <w:tblLayout w:type="fixed"/>
        <w:tblInd w:w="140" w:type="dxa"/>
        <w:tblCellMar>
          <w:top w:w="0" w:type="dxa"/>
          <w:left w:w="0" w:type="dxa"/>
          <w:bottom w:w="0" w:type="dxa"/>
          <w:right w:w="0" w:type="dxa"/>
        </w:tblCellMar>
      </w:tblPr>
      <w:tr>
        <w:trPr>
          <w:trHeight w:val="181"/>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690.8</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634.9</w:t>
            </w:r>
          </w:p>
        </w:tc>
      </w:tr>
      <w:tr>
        <w:trPr>
          <w:trHeight w:val="182"/>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596.4</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Gross</w:t>
            </w:r>
          </w:p>
        </w:tc>
      </w:tr>
    </w:tbl>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commission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earned from</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marketing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45.9 39.6</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39.1</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Contribution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expenses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under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marketing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28.3 23.4</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18.3 --------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760" w:hanging="481"/>
        <w:spacing w:after="0"/>
        <w:tabs>
          <w:tab w:leader="none" w:pos="7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commission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earned from</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marketing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17.6 16.2</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20.8</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Operating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expenses: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Advertising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97.7 82.2</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89.1 Selling,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general and</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5"/>
          <w:szCs w:val="15"/>
          <w:color w:val="auto"/>
        </w:rPr>
        <w:t>administrative</w:t>
      </w:r>
    </w:p>
    <w:p>
      <w:pPr>
        <w:spacing w:after="0" w:line="8"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321.4 298.8</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307.9</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Selling,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general and</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5"/>
          <w:szCs w:val="15"/>
          <w:color w:val="auto"/>
        </w:rPr>
        <w:t>administrative</w:t>
      </w:r>
    </w:p>
    <w:p>
      <w:pPr>
        <w:spacing w:after="0" w:line="12" w:lineRule="exact"/>
        <w:rPr>
          <w:sz w:val="20"/>
          <w:szCs w:val="20"/>
          <w:color w:val="auto"/>
        </w:rPr>
      </w:pPr>
    </w:p>
    <w:p>
      <w:pPr>
        <w:jc w:val="right"/>
        <w:ind w:left="320" w:right="9239" w:firstLine="54"/>
        <w:spacing w:after="0" w:line="256" w:lineRule="auto"/>
        <w:tabs>
          <w:tab w:leader="none" w:pos="556"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lawn service</w:t>
      </w:r>
    </w:p>
    <w:p>
      <w:pPr>
        <w:jc w:val="center"/>
        <w:ind w:right="8899"/>
        <w:spacing w:after="0" w:line="236" w:lineRule="auto"/>
        <w:rPr>
          <w:sz w:val="20"/>
          <w:szCs w:val="20"/>
          <w:color w:val="auto"/>
        </w:rPr>
      </w:pPr>
      <w:r>
        <w:rPr>
          <w:rFonts w:ascii="Courier New" w:cs="Courier New" w:eastAsia="Courier New" w:hAnsi="Courier New"/>
          <w:sz w:val="16"/>
          <w:szCs w:val="16"/>
          <w:color w:val="auto"/>
        </w:rPr>
        <w:t>business 46.2</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30.8 16.2</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Stock-based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compensation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4.8</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Restructuring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and other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charges 8.0</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6.4 68.4</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Amortization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 goodwill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and other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intangibles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8.6 5.7 27.7</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Other income,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net (10.8)</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(12.0) (8.5)</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520" w:hanging="477"/>
        <w:spacing w:after="0"/>
        <w:tabs>
          <w:tab w:leader="none" w:pos="5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both"/>
        <w:ind w:left="140" w:right="90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Income from operations 232.5 239.2</w:t>
      </w:r>
    </w:p>
    <w:p>
      <w:pPr>
        <w:sectPr>
          <w:pgSz w:w="11900" w:h="16880" w:orient="portrait"/>
          <w:cols w:equalWidth="0" w:num="1">
            <w:col w:w="10219"/>
          </w:cols>
          <w:pgMar w:left="240" w:top="659" w:right="1440" w:bottom="0" w:gutter="0" w:footer="0" w:header="0"/>
        </w:sectPr>
      </w:pPr>
    </w:p>
    <w:bookmarkStart w:id="71" w:name="page72"/>
    <w:bookmarkEnd w:id="71"/>
    <w:p>
      <w:pPr>
        <w:spacing w:after="0" w:line="50"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116.4</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Interest</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expense 69.2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76.3 87.7 ---</w:t>
      </w:r>
    </w:p>
    <w:p>
      <w:pPr>
        <w:spacing w:after="0" w:line="12" w:lineRule="exact"/>
        <w:rPr>
          <w:sz w:val="20"/>
          <w:szCs w:val="20"/>
          <w:color w:val="auto"/>
        </w:rPr>
      </w:pPr>
    </w:p>
    <w:p>
      <w:pPr>
        <w:ind w:left="580" w:hanging="577"/>
        <w:spacing w:after="0"/>
        <w:tabs>
          <w:tab w:leader="none" w:pos="5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Income before</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income taxes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163.3 162.9</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28.7 Income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taxes 59.5</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61.9 13.2 ---</w:t>
      </w:r>
    </w:p>
    <w:p>
      <w:pPr>
        <w:spacing w:after="0" w:line="12" w:lineRule="exact"/>
        <w:rPr>
          <w:sz w:val="20"/>
          <w:szCs w:val="20"/>
          <w:color w:val="auto"/>
        </w:rPr>
      </w:pPr>
    </w:p>
    <w:p>
      <w:pPr>
        <w:ind w:left="580" w:hanging="577"/>
        <w:spacing w:after="0"/>
        <w:tabs>
          <w:tab w:leader="none" w:pos="5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Income before</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cumulative</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81"/>
        </w:trPr>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effect</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r>
      <w:tr>
        <w:trPr>
          <w:trHeight w:val="182"/>
        </w:trPr>
        <w:tc>
          <w:tcPr>
            <w:tcW w:w="11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accounting</w:t>
            </w:r>
          </w:p>
        </w:tc>
      </w:tr>
      <w:tr>
        <w:trPr>
          <w:trHeight w:val="182"/>
        </w:trPr>
        <w:tc>
          <w:tcPr>
            <w:tcW w:w="11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change 103.8</w:t>
            </w:r>
          </w:p>
        </w:tc>
      </w:tr>
      <w:tr>
        <w:trPr>
          <w:trHeight w:val="182"/>
        </w:trPr>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101.0</w:t>
            </w:r>
          </w:p>
        </w:tc>
        <w:tc>
          <w:tcPr>
            <w:tcW w:w="5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15.5</w:t>
            </w:r>
          </w:p>
        </w:tc>
      </w:tr>
      <w:tr>
        <w:trPr>
          <w:trHeight w:val="182"/>
        </w:trPr>
        <w:tc>
          <w:tcPr>
            <w:tcW w:w="11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Cumulative</w:t>
            </w:r>
          </w:p>
        </w:tc>
      </w:tr>
      <w:tr>
        <w:trPr>
          <w:trHeight w:val="182"/>
        </w:trPr>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effect</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r>
      <w:tr>
        <w:trPr>
          <w:trHeight w:val="182"/>
        </w:trPr>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change</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in</w:t>
            </w:r>
          </w:p>
        </w:tc>
      </w:tr>
      <w:tr>
        <w:trPr>
          <w:trHeight w:val="182"/>
        </w:trPr>
        <w:tc>
          <w:tcPr>
            <w:tcW w:w="11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accounting</w:t>
            </w:r>
          </w:p>
        </w:tc>
      </w:tr>
      <w:tr>
        <w:trPr>
          <w:trHeight w:val="182"/>
        </w:trPr>
        <w:tc>
          <w:tcPr>
            <w:tcW w:w="740" w:type="dxa"/>
            <w:vAlign w:val="bottom"/>
            <w:gridSpan w:val="2"/>
          </w:tcPr>
          <w:p>
            <w:pPr>
              <w:jc w:val="center"/>
              <w:ind w:left="301"/>
              <w:spacing w:after="0"/>
              <w:rPr>
                <w:sz w:val="20"/>
                <w:szCs w:val="20"/>
                <w:color w:val="auto"/>
              </w:rPr>
            </w:pPr>
            <w:r>
              <w:rPr>
                <w:rFonts w:ascii="Courier New" w:cs="Courier New" w:eastAsia="Courier New" w:hAnsi="Courier New"/>
                <w:sz w:val="16"/>
                <w:szCs w:val="16"/>
                <w:color w:val="auto"/>
                <w:w w:val="97"/>
              </w:rPr>
              <w:t>for</w:t>
            </w:r>
          </w:p>
        </w:tc>
        <w:tc>
          <w:tcPr>
            <w:tcW w:w="380" w:type="dxa"/>
            <w:vAlign w:val="bottom"/>
          </w:tcPr>
          <w:p>
            <w:pPr>
              <w:spacing w:after="0"/>
              <w:rPr>
                <w:sz w:val="15"/>
                <w:szCs w:val="15"/>
                <w:color w:val="auto"/>
              </w:rPr>
            </w:pPr>
          </w:p>
        </w:tc>
      </w:tr>
      <w:tr>
        <w:trPr>
          <w:trHeight w:val="182"/>
        </w:trPr>
        <w:tc>
          <w:tcPr>
            <w:tcW w:w="11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intangible</w:t>
            </w:r>
          </w:p>
        </w:tc>
      </w:tr>
      <w:tr>
        <w:trPr>
          <w:trHeight w:val="182"/>
        </w:trPr>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assets,</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net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tax (18.5)</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2" w:lineRule="exact"/>
        <w:rPr>
          <w:sz w:val="20"/>
          <w:szCs w:val="20"/>
          <w:color w:val="auto"/>
        </w:rPr>
      </w:pPr>
    </w:p>
    <w:p>
      <w:pPr>
        <w:ind w:left="480" w:hanging="477"/>
        <w:spacing w:after="0"/>
        <w:tabs>
          <w:tab w:leader="none" w:pos="4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jc w:val="center"/>
        <w:ind w:left="60" w:right="8999"/>
        <w:spacing w:after="0" w:line="238"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Net income $ 103.8 $ 82.5 $ 15.5</w:t>
      </w:r>
    </w:p>
    <w:p>
      <w:pPr>
        <w:spacing w:after="0" w:line="2" w:lineRule="exact"/>
        <w:rPr>
          <w:rFonts w:ascii="Courier New" w:cs="Courier New" w:eastAsia="Courier New" w:hAnsi="Courier New"/>
          <w:sz w:val="15"/>
          <w:szCs w:val="15"/>
          <w:color w:val="auto"/>
        </w:rPr>
      </w:pPr>
    </w:p>
    <w:p>
      <w:pPr>
        <w:ind w:left="2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2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2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Basic</w:t>
      </w:r>
    </w:p>
    <w:p>
      <w:pPr>
        <w:ind w:left="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earnings per</w:t>
      </w:r>
    </w:p>
    <w:p>
      <w:pPr>
        <w:ind w:left="3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share:</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Weighted-</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average</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w:t>
      </w:r>
    </w:p>
    <w:p>
      <w:pPr>
        <w:spacing w:after="0" w:line="11" w:lineRule="exact"/>
        <w:rPr>
          <w:rFonts w:ascii="Courier New" w:cs="Courier New" w:eastAsia="Courier New" w:hAnsi="Courier New"/>
          <w:sz w:val="15"/>
          <w:szCs w:val="15"/>
          <w:color w:val="auto"/>
        </w:rPr>
      </w:pPr>
    </w:p>
    <w:p>
      <w:pPr>
        <w:jc w:val="center"/>
        <w:ind w:right="8939" w:firstLine="95"/>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during the period 30.9 29.3 28.4 Basic earnings per common share: Before cumulative effect of accounting change $ 3.36 $ 3.44 $ 0.55 Cumulative effect of change in accounting for intangible assets, net of tax (0.63)</w:t>
      </w:r>
    </w:p>
    <w:p>
      <w:pPr>
        <w:spacing w:after="0" w:line="1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1" w:lineRule="exact"/>
        <w:rPr>
          <w:rFonts w:ascii="Courier New" w:cs="Courier New" w:eastAsia="Courier New" w:hAnsi="Courier New"/>
          <w:sz w:val="15"/>
          <w:szCs w:val="15"/>
          <w:color w:val="auto"/>
        </w:rPr>
      </w:pPr>
    </w:p>
    <w:p>
      <w:pPr>
        <w:ind w:left="480" w:hanging="477"/>
        <w:spacing w:after="0"/>
        <w:tabs>
          <w:tab w:leader="none" w:pos="4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After</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cumulative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effect of</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accounting</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change $ 3.36</w:t>
      </w:r>
    </w:p>
    <w:p>
      <w:pPr>
        <w:spacing w:after="0" w:line="12" w:lineRule="exact"/>
        <w:rPr>
          <w:sz w:val="20"/>
          <w:szCs w:val="20"/>
          <w:color w:val="auto"/>
        </w:rPr>
      </w:pPr>
    </w:p>
    <w:p>
      <w:pPr>
        <w:ind w:left="200" w:hanging="197"/>
        <w:spacing w:after="0"/>
        <w:tabs>
          <w:tab w:leader="none" w:pos="2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2.81 $ 0.55</w:t>
      </w:r>
    </w:p>
    <w:p>
      <w:pPr>
        <w:spacing w:after="0" w:line="8" w:lineRule="exact"/>
        <w:rPr>
          <w:rFonts w:ascii="Courier New" w:cs="Courier New" w:eastAsia="Courier New" w:hAnsi="Courier New"/>
          <w:sz w:val="15"/>
          <w:szCs w:val="15"/>
          <w:color w:val="auto"/>
        </w:rPr>
      </w:pPr>
    </w:p>
    <w:p>
      <w:pPr>
        <w:ind w:left="2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2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2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Diluted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earnings per</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share: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Weighted-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average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common shares</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outstanding</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during the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period 32.1</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31.7 30.4</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Diluted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earnings per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common share:</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Before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cumulative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effect of</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accounting</w:t>
      </w:r>
    </w:p>
    <w:p>
      <w:pPr>
        <w:sectPr>
          <w:pgSz w:w="11900" w:h="16888" w:orient="portrait"/>
          <w:cols w:equalWidth="0" w:num="1">
            <w:col w:w="10179"/>
          </w:cols>
          <w:pgMar w:left="280" w:top="138" w:right="1440" w:bottom="0" w:gutter="0" w:footer="0" w:header="0"/>
        </w:sectPr>
      </w:pPr>
    </w:p>
    <w:bookmarkStart w:id="72" w:name="page73"/>
    <w:bookmarkEnd w:id="72"/>
    <w:p>
      <w:pPr>
        <w:ind w:left="40"/>
        <w:spacing w:after="0"/>
        <w:rPr>
          <w:sz w:val="20"/>
          <w:szCs w:val="20"/>
          <w:color w:val="auto"/>
        </w:rPr>
      </w:pPr>
      <w:r>
        <w:rPr>
          <w:rFonts w:ascii="Courier New" w:cs="Courier New" w:eastAsia="Courier New" w:hAnsi="Courier New"/>
          <w:sz w:val="16"/>
          <w:szCs w:val="16"/>
          <w:color w:val="auto"/>
        </w:rPr>
        <w:t>change $ 3.23</w:t>
      </w:r>
    </w:p>
    <w:p>
      <w:pPr>
        <w:spacing w:after="0" w:line="5" w:lineRule="exact"/>
        <w:rPr>
          <w:sz w:val="20"/>
          <w:szCs w:val="20"/>
          <w:color w:val="auto"/>
        </w:rPr>
      </w:pPr>
    </w:p>
    <w:p>
      <w:pPr>
        <w:ind w:left="180" w:right="8939" w:hanging="137"/>
        <w:spacing w:after="0" w:line="256" w:lineRule="auto"/>
        <w:tabs>
          <w:tab w:leader="none" w:pos="22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3.19 $ 0.51 Cumulative effect of change in accounting</w:t>
      </w:r>
    </w:p>
    <w:p>
      <w:pPr>
        <w:jc w:val="center"/>
        <w:ind w:right="8899"/>
        <w:spacing w:after="0"/>
        <w:rPr>
          <w:sz w:val="20"/>
          <w:szCs w:val="20"/>
          <w:color w:val="auto"/>
        </w:rPr>
      </w:pPr>
      <w:r>
        <w:rPr>
          <w:rFonts w:ascii="Courier New" w:cs="Courier New" w:eastAsia="Courier New" w:hAnsi="Courier New"/>
          <w:sz w:val="16"/>
          <w:szCs w:val="16"/>
          <w:color w:val="auto"/>
        </w:rPr>
        <w:t>for</w:t>
      </w:r>
    </w:p>
    <w:p>
      <w:pPr>
        <w:jc w:val="center"/>
        <w:ind w:right="8899"/>
        <w:spacing w:after="0"/>
        <w:rPr>
          <w:sz w:val="20"/>
          <w:szCs w:val="20"/>
          <w:color w:val="auto"/>
        </w:rPr>
      </w:pPr>
      <w:r>
        <w:rPr>
          <w:rFonts w:ascii="Courier New" w:cs="Courier New" w:eastAsia="Courier New" w:hAnsi="Courier New"/>
          <w:sz w:val="16"/>
          <w:szCs w:val="16"/>
          <w:color w:val="auto"/>
        </w:rPr>
        <w:t>intangible</w:t>
      </w:r>
    </w:p>
    <w:p>
      <w:pPr>
        <w:jc w:val="center"/>
        <w:ind w:right="8899"/>
        <w:spacing w:after="0"/>
        <w:rPr>
          <w:sz w:val="20"/>
          <w:szCs w:val="20"/>
          <w:color w:val="auto"/>
        </w:rPr>
      </w:pPr>
      <w:r>
        <w:rPr>
          <w:rFonts w:ascii="Courier New" w:cs="Courier New" w:eastAsia="Courier New" w:hAnsi="Courier New"/>
          <w:sz w:val="16"/>
          <w:szCs w:val="16"/>
          <w:color w:val="auto"/>
        </w:rPr>
        <w:t>assets, net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 tax (0.58)</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520" w:hanging="477"/>
        <w:spacing w:after="0"/>
        <w:tabs>
          <w:tab w:leader="none" w:pos="5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After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cumulative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effect of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accounting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change $ 3.23</w:t>
      </w:r>
    </w:p>
    <w:p>
      <w:pPr>
        <w:spacing w:after="0" w:line="1" w:lineRule="exact"/>
        <w:rPr>
          <w:sz w:val="20"/>
          <w:szCs w:val="20"/>
          <w:color w:val="auto"/>
        </w:rPr>
      </w:pPr>
    </w:p>
    <w:p>
      <w:pPr>
        <w:ind w:left="240" w:hanging="197"/>
        <w:spacing w:after="0"/>
        <w:tabs>
          <w:tab w:leader="none" w:pos="24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2.61 $ 0.51</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9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138" w:right="1440" w:bottom="1440" w:gutter="0" w:footer="0" w:header="0"/>
        </w:sectPr>
      </w:pPr>
    </w:p>
    <w:bookmarkStart w:id="73" w:name="page74"/>
    <w:bookmarkEnd w:id="73"/>
    <w:p>
      <w:pPr>
        <w:ind w:left="2920"/>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 w:lineRule="exact"/>
        <w:rPr>
          <w:sz w:val="20"/>
          <w:szCs w:val="20"/>
          <w:color w:val="auto"/>
        </w:rPr>
      </w:pPr>
    </w:p>
    <w:p>
      <w:pPr>
        <w:jc w:val="right"/>
        <w:ind w:right="3599"/>
        <w:spacing w:after="0"/>
        <w:rPr>
          <w:sz w:val="20"/>
          <w:szCs w:val="20"/>
          <w:color w:val="auto"/>
        </w:rPr>
      </w:pPr>
      <w:r>
        <w:rPr>
          <w:rFonts w:ascii="Courier New" w:cs="Courier New" w:eastAsia="Courier New" w:hAnsi="Courier New"/>
          <w:sz w:val="16"/>
          <w:szCs w:val="16"/>
          <w:color w:val="auto"/>
        </w:rPr>
        <w:t>FOR THE FISCAL YEARS ENDED SEPTEMBER 30, 2003, 2002 AND 2001</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(IN MILLIONS)</w:t>
      </w:r>
    </w:p>
    <w:p>
      <w:pPr>
        <w:spacing w:after="0" w:line="18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2003 2002</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 CASH</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FLOWS FROM</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OPERATING</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ACTIVITIES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Net income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103.8 $ 82.5</w:t>
      </w:r>
    </w:p>
    <w:p>
      <w:pPr>
        <w:spacing w:after="0" w:line="1" w:lineRule="exact"/>
        <w:rPr>
          <w:sz w:val="20"/>
          <w:szCs w:val="20"/>
          <w:color w:val="auto"/>
        </w:rPr>
      </w:pPr>
    </w:p>
    <w:p>
      <w:pPr>
        <w:ind w:left="520" w:hanging="194"/>
        <w:spacing w:after="0"/>
        <w:tabs>
          <w:tab w:leader="none" w:pos="5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15.5</w:t>
      </w:r>
    </w:p>
    <w:p>
      <w:pPr>
        <w:spacing w:after="0" w:line="4" w:lineRule="exact"/>
        <w:rPr>
          <w:rFonts w:ascii="Courier New" w:cs="Courier New" w:eastAsia="Courier New" w:hAnsi="Courier New"/>
          <w:sz w:val="16"/>
          <w:szCs w:val="16"/>
          <w:color w:val="auto"/>
        </w:rPr>
      </w:pPr>
    </w:p>
    <w:p>
      <w:pPr>
        <w:jc w:val="center"/>
        <w:ind w:right="8999" w:firstLine="92"/>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Adjustments to reconcile net income to net cash provided by operating activities: Cumulative effect of change in accounting for intangible assets, pre-tax 29.8 Stock-based compensation expense 4.8 Depreciation 40.3 34.4 32.6 Amortization 11.9 9.1 31.0 Deferred taxes 48.3 21.2 (19.9) Restructuring and other charges 27.7 Changes in assets and liabilities, net of acquired businesses: Accounts receivable (34.0)</w:t>
      </w:r>
    </w:p>
    <w:p>
      <w:pPr>
        <w:spacing w:after="0" w:line="175"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(29.0)</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(14.2)</w:t>
      </w:r>
    </w:p>
    <w:p>
      <w:pPr>
        <w:spacing w:after="0" w:line="4" w:lineRule="exact"/>
        <w:rPr>
          <w:rFonts w:ascii="Courier New" w:cs="Courier New" w:eastAsia="Courier New" w:hAnsi="Courier New"/>
          <w:sz w:val="16"/>
          <w:szCs w:val="16"/>
          <w:color w:val="auto"/>
        </w:rPr>
      </w:pPr>
    </w:p>
    <w:p>
      <w:pPr>
        <w:jc w:val="center"/>
        <w:ind w:right="8999" w:firstLine="92"/>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Inventories (5.3) 99.4 (68.5) Prepaid and other current assets 0.1 (2.7) 31.4 Accounts payable 43.8 (17.0) (2.8) Accrued taxes and liabilities (0.6) 11.7 (22.7) Restructuring reserves (7.1) (27.9) 37.3 Other assets 3.7 (4.5) 6.1 Other liabilities (3.4) 33.6</w:t>
      </w:r>
    </w:p>
    <w:p>
      <w:pPr>
        <w:sectPr>
          <w:pgSz w:w="11900" w:h="16838" w:orient="portrait"/>
          <w:cols w:equalWidth="0" w:num="1">
            <w:col w:w="10219"/>
          </w:cols>
          <w:pgMar w:left="240" w:top="659" w:right="1440" w:bottom="0" w:gutter="0" w:footer="0" w:header="0"/>
        </w:sectPr>
      </w:pPr>
    </w:p>
    <w:bookmarkStart w:id="74" w:name="page75"/>
    <w:bookmarkEnd w:id="74"/>
    <w:p>
      <w:pPr>
        <w:spacing w:after="0" w:line="5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7.6 Other,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net</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11.7</w:t>
            </w:r>
          </w:p>
        </w:tc>
      </w:tr>
      <w:tr>
        <w:trPr>
          <w:trHeight w:val="182"/>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(7.0)</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4.6 --</w:t>
            </w:r>
          </w:p>
        </w:tc>
      </w:tr>
    </w:tbl>
    <w:p>
      <w:pPr>
        <w:spacing w:after="0" w:line="1" w:lineRule="exact"/>
        <w:rPr>
          <w:sz w:val="20"/>
          <w:szCs w:val="20"/>
          <w:color w:val="auto"/>
        </w:rPr>
      </w:pPr>
    </w:p>
    <w:p>
      <w:pPr>
        <w:ind w:left="560" w:hanging="558"/>
        <w:spacing w:after="0"/>
        <w:tabs>
          <w:tab w:leader="none" w:pos="5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cash</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provided by</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operating</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activities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218.0 233.6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65.7 -------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60" w:hanging="369"/>
        <w:spacing w:after="0"/>
        <w:tabs>
          <w:tab w:leader="none" w:pos="56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FLOWS FROM</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(USED IN)</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INVESTING</w:t>
      </w:r>
    </w:p>
    <w:p>
      <w:pPr>
        <w:spacing w:after="0" w:line="4" w:lineRule="exact"/>
        <w:rPr>
          <w:rFonts w:ascii="Courier New" w:cs="Courier New" w:eastAsia="Courier New" w:hAnsi="Courier New"/>
          <w:sz w:val="16"/>
          <w:szCs w:val="16"/>
          <w:color w:val="auto"/>
        </w:rPr>
      </w:pPr>
    </w:p>
    <w:p>
      <w:pPr>
        <w:jc w:val="both"/>
        <w:ind w:left="100" w:right="913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ACTIVITIES Investment</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in property,</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plant and</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equipment</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(51.8)</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(57.0)</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(63.4)</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Investments</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in acquired</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businesses,</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net of cash</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acquired</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(20.4)</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(31.0)</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(26.5)</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Payments on</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sellers</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notes (36.7)</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(32.0)</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(11.1)</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Other, net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7.0 -------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2" w:lineRule="exact"/>
        <w:rPr>
          <w:sz w:val="20"/>
          <w:szCs w:val="20"/>
          <w:color w:val="auto"/>
        </w:rPr>
      </w:pPr>
    </w:p>
    <w:p>
      <w:pPr>
        <w:ind w:left="240" w:right="9039" w:hanging="238"/>
        <w:spacing w:after="0" w:line="256" w:lineRule="auto"/>
        <w:tabs>
          <w:tab w:leader="none" w:pos="38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cash used in</w:t>
      </w:r>
    </w:p>
    <w:p>
      <w:pPr>
        <w:jc w:val="center"/>
        <w:ind w:right="9039"/>
        <w:spacing w:after="0" w:line="236" w:lineRule="auto"/>
        <w:rPr>
          <w:sz w:val="20"/>
          <w:szCs w:val="20"/>
          <w:color w:val="auto"/>
        </w:rPr>
      </w:pPr>
      <w:r>
        <w:rPr>
          <w:rFonts w:ascii="Courier New" w:cs="Courier New" w:eastAsia="Courier New" w:hAnsi="Courier New"/>
          <w:sz w:val="16"/>
          <w:szCs w:val="16"/>
          <w:color w:val="auto"/>
        </w:rPr>
        <w:t>investing</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activities</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(108.9)</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(113.0)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(101.0) ----</w:t>
      </w:r>
    </w:p>
    <w:p>
      <w:pPr>
        <w:spacing w:after="0" w:line="8" w:lineRule="exact"/>
        <w:rPr>
          <w:sz w:val="20"/>
          <w:szCs w:val="20"/>
          <w:color w:val="auto"/>
        </w:rPr>
      </w:pPr>
    </w:p>
    <w:p>
      <w:pPr>
        <w:ind w:left="420" w:hanging="371"/>
        <w:spacing w:after="0"/>
        <w:tabs>
          <w:tab w:leader="none" w:pos="4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 CASH</w:t>
      </w:r>
    </w:p>
    <w:p>
      <w:pPr>
        <w:spacing w:after="0" w:line="8"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FLOWS FROM</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(USED IN)</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FINANCING</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ACTIVITIES</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borrowings</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(repayments)</w:t>
      </w:r>
    </w:p>
    <w:p>
      <w:pPr>
        <w:spacing w:after="0" w:line="8"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under</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revolving</w:t>
      </w:r>
    </w:p>
    <w:p>
      <w:pPr>
        <w:spacing w:after="0" w:line="4" w:lineRule="exact"/>
        <w:rPr>
          <w:rFonts w:ascii="Courier New" w:cs="Courier New" w:eastAsia="Courier New" w:hAnsi="Courier New"/>
          <w:sz w:val="16"/>
          <w:szCs w:val="16"/>
          <w:color w:val="auto"/>
        </w:rPr>
      </w:pPr>
    </w:p>
    <w:p>
      <w:pPr>
        <w:jc w:val="center"/>
        <w:ind w:right="9039" w:firstLine="18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and bank lines of credit (17.6) (97.6) 61.7 Gross borrowings under term loans 260.0 Gross repayments under term loans (62.4) (31.9) (315.7) Issuance of 8 5/8% senior subordinated notes, net of issuance fees 70.2 Financing and issuance fees (0.4) (2.2) (1.6) Cash received from exercise of stock options 21.4 19.7 17.0 --</w:t>
      </w:r>
    </w:p>
    <w:p>
      <w:pPr>
        <w:sectPr>
          <w:pgSz w:w="11900" w:h="16895" w:orient="portrait"/>
          <w:cols w:equalWidth="0" w:num="1">
            <w:col w:w="10179"/>
          </w:cols>
          <w:pgMar w:left="280" w:top="138" w:right="1440" w:bottom="0" w:gutter="0" w:footer="0" w:header="0"/>
        </w:sectPr>
      </w:pPr>
    </w:p>
    <w:bookmarkStart w:id="75" w:name="page76"/>
    <w:bookmarkEnd w:id="75"/>
    <w:p>
      <w:pPr>
        <w:ind w:left="600" w:hanging="558"/>
        <w:spacing w:after="0"/>
        <w:tabs>
          <w:tab w:leader="none" w:pos="60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cash</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provided by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(used in)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financing</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activities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(59.0)</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(41.8) 21.4</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Effect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exchange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rate changes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on cash 6.1</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2.2 (0.4) --</w:t>
      </w:r>
    </w:p>
    <w:p>
      <w:pPr>
        <w:spacing w:after="0" w:line="1" w:lineRule="exact"/>
        <w:rPr>
          <w:sz w:val="20"/>
          <w:szCs w:val="20"/>
          <w:color w:val="auto"/>
        </w:rPr>
      </w:pPr>
    </w:p>
    <w:p>
      <w:pPr>
        <w:ind w:left="600" w:hanging="558"/>
        <w:spacing w:after="0"/>
        <w:tabs>
          <w:tab w:leader="none" w:pos="60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Net increase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(decrease)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 cash 56.2</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81.0 (14.3)</w:t>
      </w:r>
    </w:p>
    <w:p>
      <w:pPr>
        <w:spacing w:after="0" w:line="1"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Cash and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cash</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equivalents,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beginning of</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period 99.7</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18.7 33.0 --</w:t>
      </w:r>
    </w:p>
    <w:p>
      <w:pPr>
        <w:spacing w:after="0" w:line="1" w:lineRule="exact"/>
        <w:rPr>
          <w:sz w:val="20"/>
          <w:szCs w:val="20"/>
          <w:color w:val="auto"/>
        </w:rPr>
      </w:pPr>
    </w:p>
    <w:p>
      <w:pPr>
        <w:ind w:left="600" w:hanging="558"/>
        <w:spacing w:after="0"/>
        <w:tabs>
          <w:tab w:leader="none" w:pos="60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Cash and</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cash</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equivalents,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end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period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155.9 $ 99.7</w:t>
      </w:r>
    </w:p>
    <w:p>
      <w:pPr>
        <w:spacing w:after="0" w:line="1" w:lineRule="exact"/>
        <w:rPr>
          <w:sz w:val="20"/>
          <w:szCs w:val="20"/>
          <w:color w:val="auto"/>
        </w:rPr>
      </w:pPr>
    </w:p>
    <w:p>
      <w:pPr>
        <w:ind w:left="520" w:hanging="194"/>
        <w:spacing w:after="0"/>
        <w:tabs>
          <w:tab w:leader="none" w:pos="5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18.7</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9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138" w:right="1440" w:bottom="1440" w:gutter="0" w:footer="0" w:header="0"/>
        </w:sectPr>
      </w:pPr>
    </w:p>
    <w:bookmarkStart w:id="76" w:name="page77"/>
    <w:bookmarkEnd w:id="76"/>
    <w:p>
      <w:pPr>
        <w:spacing w:after="0" w:line="26"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CONSOLIDATED BALANCE SHEETS</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SEPTEMBER 30, 2003 AND 2002</w:t>
      </w:r>
    </w:p>
    <w:p>
      <w:pPr>
        <w:spacing w:after="0" w:line="1"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6"/>
          <w:szCs w:val="16"/>
          <w:color w:val="auto"/>
        </w:rPr>
        <w:t>(IN MILLIONS EXCEPT PER SHARE DATA)</w:t>
      </w:r>
    </w:p>
    <w:p>
      <w:pPr>
        <w:spacing w:after="0" w:line="183"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2003 2002 -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ASSETS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Current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assets: Cash</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and cash</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equivalents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$ 155.9 $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99.7</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Accounts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receivable,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less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allowance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for</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uncollectible</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accounts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$20.0 in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2003 and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$33.2 in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284.7</w:t>
            </w:r>
          </w:p>
        </w:tc>
      </w:tr>
      <w:tr>
        <w:trPr>
          <w:trHeight w:val="182"/>
        </w:trPr>
        <w:tc>
          <w:tcPr>
            <w:tcW w:w="11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249.9</w:t>
            </w:r>
          </w:p>
        </w:tc>
      </w:tr>
      <w:tr>
        <w:trPr>
          <w:trHeight w:val="182"/>
        </w:trPr>
        <w:tc>
          <w:tcPr>
            <w:tcW w:w="11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Inventories,</w:t>
            </w:r>
          </w:p>
        </w:tc>
      </w:tr>
    </w:tbl>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net 276.1</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269.1</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Current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deferred tax</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asset 56.9</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74.6 Prepaid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and other</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assets 36.6</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36.8 -------</w:t>
      </w:r>
    </w:p>
    <w:p>
      <w:pPr>
        <w:spacing w:after="0" w:line="1" w:lineRule="exact"/>
        <w:rPr>
          <w:sz w:val="20"/>
          <w:szCs w:val="20"/>
          <w:color w:val="auto"/>
        </w:rPr>
      </w:pPr>
    </w:p>
    <w:p>
      <w:pPr>
        <w:ind w:left="320" w:hanging="184"/>
        <w:spacing w:after="0"/>
        <w:tabs>
          <w:tab w:leader="none" w:pos="32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current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assets 810.2</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730.1</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Property,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plant and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equipment,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net 338.2</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329.2</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Goodwill and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intangible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assets, net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835.5 791.7</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Other assets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44.0 50.4 --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560" w:hanging="376"/>
        <w:spacing w:after="0"/>
        <w:tabs>
          <w:tab w:leader="none" w:pos="56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assets</w:t>
      </w:r>
    </w:p>
    <w:p>
      <w:pPr>
        <w:spacing w:after="0" w:line="1"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$2,027.9</w:t>
      </w:r>
    </w:p>
    <w:p>
      <w:pPr>
        <w:spacing w:after="0" w:line="1"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$1,901.4</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LIABILITIES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AND</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SHAREHOLDERS'</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EQUITY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Current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liabilities: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Current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portion of</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debt $ 55.4</w:t>
      </w:r>
    </w:p>
    <w:p>
      <w:pPr>
        <w:spacing w:after="0" w:line="1" w:lineRule="exact"/>
        <w:rPr>
          <w:sz w:val="20"/>
          <w:szCs w:val="20"/>
          <w:color w:val="auto"/>
        </w:rPr>
      </w:pPr>
    </w:p>
    <w:p>
      <w:pPr>
        <w:ind w:left="520" w:hanging="194"/>
        <w:spacing w:after="0"/>
        <w:tabs>
          <w:tab w:leader="none" w:pos="52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98.2</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Accounts</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payable</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520" w:type="dxa"/>
            <w:vAlign w:val="bottom"/>
          </w:tcPr>
          <w:p>
            <w:pPr>
              <w:spacing w:after="0"/>
              <w:rPr>
                <w:sz w:val="20"/>
                <w:szCs w:val="20"/>
                <w:color w:val="auto"/>
              </w:rPr>
            </w:pPr>
            <w:r>
              <w:rPr>
                <w:rFonts w:ascii="Courier New" w:cs="Courier New" w:eastAsia="Courier New" w:hAnsi="Courier New"/>
                <w:sz w:val="16"/>
                <w:szCs w:val="16"/>
                <w:color w:val="auto"/>
              </w:rPr>
              <w:t>177.8</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134.0</w:t>
            </w:r>
          </w:p>
        </w:tc>
      </w:tr>
      <w:tr>
        <w:trPr>
          <w:trHeight w:val="182"/>
        </w:trPr>
        <w:tc>
          <w:tcPr>
            <w:tcW w:w="10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Accrued</w:t>
            </w:r>
          </w:p>
        </w:tc>
      </w:tr>
      <w:tr>
        <w:trPr>
          <w:trHeight w:val="182"/>
        </w:trPr>
        <w:tc>
          <w:tcPr>
            <w:tcW w:w="1040" w:type="dxa"/>
            <w:vAlign w:val="bottom"/>
            <w:gridSpan w:val="2"/>
          </w:tcPr>
          <w:p>
            <w:pPr>
              <w:spacing w:after="0"/>
              <w:rPr>
                <w:sz w:val="20"/>
                <w:szCs w:val="20"/>
                <w:color w:val="auto"/>
              </w:rPr>
            </w:pPr>
            <w:r>
              <w:rPr>
                <w:rFonts w:ascii="Courier New" w:cs="Courier New" w:eastAsia="Courier New" w:hAnsi="Courier New"/>
                <w:sz w:val="16"/>
                <w:szCs w:val="16"/>
                <w:color w:val="auto"/>
                <w:w w:val="96"/>
              </w:rPr>
              <w:t>liabilities</w:t>
            </w:r>
          </w:p>
        </w:tc>
      </w:tr>
      <w:tr>
        <w:trPr>
          <w:trHeight w:val="182"/>
        </w:trPr>
        <w:tc>
          <w:tcPr>
            <w:tcW w:w="520" w:type="dxa"/>
            <w:vAlign w:val="bottom"/>
          </w:tcPr>
          <w:p>
            <w:pPr>
              <w:spacing w:after="0"/>
              <w:rPr>
                <w:sz w:val="20"/>
                <w:szCs w:val="20"/>
                <w:color w:val="auto"/>
              </w:rPr>
            </w:pPr>
            <w:r>
              <w:rPr>
                <w:rFonts w:ascii="Courier New" w:cs="Courier New" w:eastAsia="Courier New" w:hAnsi="Courier New"/>
                <w:sz w:val="16"/>
                <w:szCs w:val="16"/>
                <w:color w:val="auto"/>
              </w:rPr>
              <w:t>203.1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206.4</w:t>
            </w:r>
          </w:p>
        </w:tc>
      </w:tr>
    </w:tbl>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Accrued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taxes 9.5</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13.2 -------</w:t>
      </w:r>
    </w:p>
    <w:p>
      <w:pPr>
        <w:spacing w:after="0" w:line="1" w:lineRule="exact"/>
        <w:rPr>
          <w:sz w:val="20"/>
          <w:szCs w:val="20"/>
          <w:color w:val="auto"/>
        </w:rPr>
      </w:pPr>
    </w:p>
    <w:p>
      <w:pPr>
        <w:ind w:left="320" w:hanging="184"/>
        <w:spacing w:after="0"/>
        <w:tabs>
          <w:tab w:leader="none" w:pos="32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sectPr>
          <w:pgSz w:w="11900" w:h="16864" w:orient="portrait"/>
          <w:cols w:equalWidth="0" w:num="1">
            <w:col w:w="10219"/>
          </w:cols>
          <w:pgMar w:left="240" w:top="659" w:right="1440" w:bottom="0" w:gutter="0" w:footer="0" w:header="0"/>
        </w:sectPr>
      </w:pPr>
    </w:p>
    <w:bookmarkStart w:id="77" w:name="page78"/>
    <w:bookmarkEnd w:id="77"/>
    <w:p>
      <w:pPr>
        <w:jc w:val="center"/>
        <w:ind w:right="8999"/>
        <w:spacing w:after="0"/>
        <w:rPr>
          <w:sz w:val="20"/>
          <w:szCs w:val="20"/>
          <w:color w:val="auto"/>
        </w:rPr>
      </w:pPr>
      <w:r>
        <w:rPr>
          <w:rFonts w:ascii="Courier New" w:cs="Courier New" w:eastAsia="Courier New" w:hAnsi="Courier New"/>
          <w:sz w:val="16"/>
          <w:szCs w:val="16"/>
          <w:color w:val="auto"/>
        </w:rPr>
        <w:t>current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liabilities</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520" w:type="dxa"/>
            <w:vAlign w:val="bottom"/>
          </w:tcPr>
          <w:p>
            <w:pPr>
              <w:spacing w:after="0"/>
              <w:rPr>
                <w:sz w:val="20"/>
                <w:szCs w:val="20"/>
                <w:color w:val="auto"/>
              </w:rPr>
            </w:pPr>
            <w:r>
              <w:rPr>
                <w:rFonts w:ascii="Courier New" w:cs="Courier New" w:eastAsia="Courier New" w:hAnsi="Courier New"/>
                <w:sz w:val="16"/>
                <w:szCs w:val="16"/>
                <w:color w:val="auto"/>
              </w:rPr>
              <w:t>445.8</w:t>
            </w:r>
          </w:p>
        </w:tc>
        <w:tc>
          <w:tcPr>
            <w:tcW w:w="520" w:type="dxa"/>
            <w:vAlign w:val="bottom"/>
          </w:tcPr>
          <w:p>
            <w:pPr>
              <w:ind w:left="60"/>
              <w:spacing w:after="0"/>
              <w:rPr>
                <w:sz w:val="20"/>
                <w:szCs w:val="20"/>
                <w:color w:val="auto"/>
              </w:rPr>
            </w:pPr>
            <w:r>
              <w:rPr>
                <w:rFonts w:ascii="Courier New" w:cs="Courier New" w:eastAsia="Courier New" w:hAnsi="Courier New"/>
                <w:sz w:val="16"/>
                <w:szCs w:val="16"/>
                <w:color w:val="auto"/>
                <w:w w:val="91"/>
              </w:rPr>
              <w:t>451.8</w:t>
            </w:r>
          </w:p>
        </w:tc>
      </w:tr>
      <w:tr>
        <w:trPr>
          <w:trHeight w:val="182"/>
        </w:trPr>
        <w:tc>
          <w:tcPr>
            <w:tcW w:w="10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Long-term</w:t>
            </w:r>
          </w:p>
        </w:tc>
      </w:tr>
      <w:tr>
        <w:trPr>
          <w:trHeight w:val="182"/>
        </w:trPr>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debt 702.2</w:t>
            </w:r>
          </w:p>
        </w:tc>
      </w:tr>
      <w:tr>
        <w:trPr>
          <w:trHeight w:val="182"/>
        </w:trPr>
        <w:tc>
          <w:tcPr>
            <w:tcW w:w="520" w:type="dxa"/>
            <w:vAlign w:val="bottom"/>
          </w:tcPr>
          <w:p>
            <w:pPr>
              <w:spacing w:after="0"/>
              <w:rPr>
                <w:sz w:val="20"/>
                <w:szCs w:val="20"/>
                <w:color w:val="auto"/>
              </w:rPr>
            </w:pPr>
            <w:r>
              <w:rPr>
                <w:rFonts w:ascii="Courier New" w:cs="Courier New" w:eastAsia="Courier New" w:hAnsi="Courier New"/>
                <w:sz w:val="16"/>
                <w:szCs w:val="16"/>
                <w:color w:val="auto"/>
              </w:rPr>
              <w:t>731.2</w:t>
            </w:r>
          </w:p>
        </w:tc>
        <w:tc>
          <w:tcPr>
            <w:tcW w:w="520" w:type="dxa"/>
            <w:vAlign w:val="bottom"/>
          </w:tcPr>
          <w:p>
            <w:pPr>
              <w:ind w:left="60"/>
              <w:spacing w:after="0"/>
              <w:rPr>
                <w:sz w:val="20"/>
                <w:szCs w:val="20"/>
                <w:color w:val="auto"/>
              </w:rPr>
            </w:pPr>
            <w:r>
              <w:rPr>
                <w:rFonts w:ascii="Courier New" w:cs="Courier New" w:eastAsia="Courier New" w:hAnsi="Courier New"/>
                <w:sz w:val="16"/>
                <w:szCs w:val="16"/>
                <w:color w:val="auto"/>
                <w:w w:val="91"/>
              </w:rPr>
              <w:t>Other</w:t>
            </w:r>
          </w:p>
        </w:tc>
      </w:tr>
      <w:tr>
        <w:trPr>
          <w:trHeight w:val="182"/>
        </w:trPr>
        <w:tc>
          <w:tcPr>
            <w:tcW w:w="1040" w:type="dxa"/>
            <w:vAlign w:val="bottom"/>
            <w:gridSpan w:val="2"/>
          </w:tcPr>
          <w:p>
            <w:pPr>
              <w:spacing w:after="0"/>
              <w:rPr>
                <w:sz w:val="20"/>
                <w:szCs w:val="20"/>
                <w:color w:val="auto"/>
              </w:rPr>
            </w:pPr>
            <w:r>
              <w:rPr>
                <w:rFonts w:ascii="Courier New" w:cs="Courier New" w:eastAsia="Courier New" w:hAnsi="Courier New"/>
                <w:sz w:val="16"/>
                <w:szCs w:val="16"/>
                <w:color w:val="auto"/>
                <w:w w:val="96"/>
              </w:rPr>
              <w:t>liabilities</w:t>
            </w:r>
          </w:p>
        </w:tc>
      </w:tr>
      <w:tr>
        <w:trPr>
          <w:trHeight w:val="182"/>
        </w:trPr>
        <w:tc>
          <w:tcPr>
            <w:tcW w:w="520" w:type="dxa"/>
            <w:vAlign w:val="bottom"/>
          </w:tcPr>
          <w:p>
            <w:pPr>
              <w:spacing w:after="0"/>
              <w:rPr>
                <w:sz w:val="20"/>
                <w:szCs w:val="20"/>
                <w:color w:val="auto"/>
              </w:rPr>
            </w:pPr>
            <w:r>
              <w:rPr>
                <w:rFonts w:ascii="Courier New" w:cs="Courier New" w:eastAsia="Courier New" w:hAnsi="Courier New"/>
                <w:sz w:val="16"/>
                <w:szCs w:val="16"/>
                <w:color w:val="auto"/>
              </w:rPr>
              <w:t>151.7</w:t>
            </w:r>
          </w:p>
        </w:tc>
        <w:tc>
          <w:tcPr>
            <w:tcW w:w="520" w:type="dxa"/>
            <w:vAlign w:val="bottom"/>
          </w:tcPr>
          <w:p>
            <w:pPr>
              <w:ind w:left="60"/>
              <w:spacing w:after="0"/>
              <w:rPr>
                <w:sz w:val="20"/>
                <w:szCs w:val="20"/>
                <w:color w:val="auto"/>
              </w:rPr>
            </w:pPr>
            <w:r>
              <w:rPr>
                <w:rFonts w:ascii="Courier New" w:cs="Courier New" w:eastAsia="Courier New" w:hAnsi="Courier New"/>
                <w:sz w:val="16"/>
                <w:szCs w:val="16"/>
                <w:color w:val="auto"/>
                <w:w w:val="91"/>
              </w:rPr>
              <w:t>124.5</w:t>
            </w:r>
          </w:p>
        </w:tc>
      </w:tr>
    </w:tbl>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right"/>
        <w:ind w:left="80" w:right="9099" w:firstLine="9"/>
        <w:spacing w:after="0" w:line="256" w:lineRule="auto"/>
        <w:tabs>
          <w:tab w:leader="none" w:pos="647"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liabilities</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1,299.7</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1,307.5 ----</w:t>
      </w:r>
    </w:p>
    <w:p>
      <w:pPr>
        <w:ind w:left="520" w:hanging="478"/>
        <w:spacing w:after="0"/>
        <w:tabs>
          <w:tab w:leader="none" w:pos="52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Commitments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and</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contingencies</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(Notes 15</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and 16)</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Shareholders'</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equity: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Common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shares, no</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par value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per share,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$.01 stated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value per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share,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shares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issued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32.0 in 2003</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and 31.3 in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2002 and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2001 0.3 0.3</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Capital in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excess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stated value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390.1 398.6</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Retained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earnings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398.6 294.8</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Treasury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stock (41.8)</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Accumulated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other</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comprehensive</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loss (60.8)</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(58.0) -----</w:t>
      </w:r>
    </w:p>
    <w:p>
      <w:pPr>
        <w:spacing w:after="0" w:line="1" w:lineRule="exact"/>
        <w:rPr>
          <w:sz w:val="20"/>
          <w:szCs w:val="20"/>
          <w:color w:val="auto"/>
        </w:rPr>
      </w:pPr>
    </w:p>
    <w:p>
      <w:pPr>
        <w:ind w:left="420" w:hanging="378"/>
        <w:spacing w:after="0"/>
        <w:tabs>
          <w:tab w:leader="none" w:pos="42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equity 728.2</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593.9 ------</w:t>
      </w:r>
    </w:p>
    <w:p>
      <w:pPr>
        <w:spacing w:after="0" w:line="1" w:lineRule="exact"/>
        <w:rPr>
          <w:sz w:val="20"/>
          <w:szCs w:val="20"/>
          <w:color w:val="auto"/>
        </w:rPr>
      </w:pPr>
    </w:p>
    <w:p>
      <w:pPr>
        <w:ind w:left="380" w:hanging="291"/>
        <w:spacing w:after="0"/>
        <w:tabs>
          <w:tab w:leader="none" w:pos="38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liabilities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and</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shareholders'</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equity</w:t>
      </w:r>
    </w:p>
    <w:p>
      <w:pPr>
        <w:spacing w:after="0" w:line="1"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$2,027.9</w:t>
      </w:r>
    </w:p>
    <w:p>
      <w:pPr>
        <w:spacing w:after="0" w:line="1"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$1,901.4</w:t>
      </w:r>
    </w:p>
    <w:p>
      <w:pPr>
        <w:spacing w:after="0" w:line="1"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9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138" w:right="1440" w:bottom="1440" w:gutter="0" w:footer="0" w:header="0"/>
        </w:sectPr>
      </w:pPr>
    </w:p>
    <w:bookmarkStart w:id="78" w:name="page79"/>
    <w:bookmarkEnd w:id="78"/>
    <w:p>
      <w:pPr>
        <w:spacing w:after="0" w:line="4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SCOTTS COMPANY</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CONSOLIDATED STATEMENTS OF CHANGES IN SHAREHOLDERS' EQUITY AND COMPREHENSIVE</w:t>
      </w:r>
    </w:p>
    <w:p>
      <w:pPr>
        <w:spacing w:after="0" w:line="8"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INCOME</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FOR THE FISCAL YEARS ENDED SEPTEMBER 30, 2003, 2002 AND 2001</w:t>
      </w:r>
    </w:p>
    <w:p>
      <w:pPr>
        <w:spacing w:after="0" w:line="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(IN MILLIONS)</w:t>
      </w:r>
    </w:p>
    <w:p>
      <w:pPr>
        <w:spacing w:after="0" w:line="18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Common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Shares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Capital in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Treasury</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Stock ------</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Excess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Retained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Shares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Amount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Stated Value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Earnings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Shares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Amount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Balance,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30, 2000</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31.3 $0.3</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$389.3</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$196.8 (3.4)</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$(83.5) Net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income 15.5</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Foreign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currency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translation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Unrecognized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loss 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derivatives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Minimum</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pension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liability</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Comprehensive</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income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Issuance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common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shares held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 treasury</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9.0 0.8 13.5</w:t>
      </w:r>
    </w:p>
    <w:p>
      <w:pPr>
        <w:spacing w:after="0" w:line="1" w:lineRule="exact"/>
        <w:rPr>
          <w:sz w:val="20"/>
          <w:szCs w:val="20"/>
          <w:color w:val="auto"/>
        </w:rPr>
      </w:pPr>
    </w:p>
    <w:p>
      <w:pPr>
        <w:ind w:left="520" w:hanging="478"/>
        <w:spacing w:after="0"/>
        <w:tabs>
          <w:tab w:leader="none" w:pos="52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560" w:hanging="471"/>
        <w:spacing w:after="0"/>
        <w:tabs>
          <w:tab w:leader="none" w:pos="560"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Balance,</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September</w:t>
      </w:r>
    </w:p>
    <w:p>
      <w:pPr>
        <w:spacing w:after="0" w:line="4" w:lineRule="exact"/>
        <w:rPr>
          <w:rFonts w:ascii="Courier New" w:cs="Courier New" w:eastAsia="Courier New" w:hAnsi="Courier New"/>
          <w:sz w:val="16"/>
          <w:szCs w:val="16"/>
          <w:color w:val="auto"/>
        </w:rPr>
      </w:pPr>
    </w:p>
    <w:p>
      <w:pPr>
        <w:jc w:val="center"/>
        <w:ind w:right="8999" w:firstLine="234"/>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30, 2001 31.3 0.3 398.3 212.3 (2.6) (70.0) Net income 82.5 Foreign currency translation Unrecognized loss on derivatives Minimum pension liability Comprehensive income Issuance of common shares held in treasury 0.3 1.4 28.2</w:t>
      </w:r>
    </w:p>
    <w:p>
      <w:pPr>
        <w:spacing w:after="0" w:line="9" w:lineRule="exact"/>
        <w:rPr>
          <w:rFonts w:ascii="Courier New" w:cs="Courier New" w:eastAsia="Courier New" w:hAnsi="Courier New"/>
          <w:sz w:val="16"/>
          <w:szCs w:val="16"/>
          <w:color w:val="auto"/>
        </w:rPr>
      </w:pPr>
    </w:p>
    <w:p>
      <w:pPr>
        <w:ind w:left="520" w:hanging="478"/>
        <w:spacing w:after="0"/>
        <w:tabs>
          <w:tab w:leader="none" w:pos="52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560" w:hanging="471"/>
        <w:spacing w:after="0"/>
        <w:tabs>
          <w:tab w:leader="none" w:pos="560"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Balance,</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September</w:t>
      </w:r>
    </w:p>
    <w:p>
      <w:pPr>
        <w:spacing w:after="0" w:line="4" w:lineRule="exact"/>
        <w:rPr>
          <w:rFonts w:ascii="Courier New" w:cs="Courier New" w:eastAsia="Courier New" w:hAnsi="Courier New"/>
          <w:sz w:val="16"/>
          <w:szCs w:val="16"/>
          <w:color w:val="auto"/>
        </w:rPr>
      </w:pPr>
    </w:p>
    <w:p>
      <w:pPr>
        <w:jc w:val="center"/>
        <w:ind w:left="80" w:right="9099" w:firstLine="142"/>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30, 2002 31.3 0.3 398.6 294.8</w:t>
      </w:r>
    </w:p>
    <w:p>
      <w:pPr>
        <w:sectPr>
          <w:pgSz w:w="11900" w:h="16879" w:orient="portrait"/>
          <w:cols w:equalWidth="0" w:num="1">
            <w:col w:w="10219"/>
          </w:cols>
          <w:pgMar w:left="240" w:top="659" w:right="1440" w:bottom="0" w:gutter="0" w:footer="0" w:header="0"/>
        </w:sectPr>
      </w:pPr>
    </w:p>
    <w:bookmarkStart w:id="79" w:name="page80"/>
    <w:bookmarkEnd w:id="79"/>
    <w:p>
      <w:pPr>
        <w:jc w:val="center"/>
        <w:ind w:right="8999"/>
        <w:spacing w:after="0"/>
        <w:rPr>
          <w:sz w:val="20"/>
          <w:szCs w:val="20"/>
          <w:color w:val="auto"/>
        </w:rPr>
      </w:pPr>
      <w:r>
        <w:rPr>
          <w:rFonts w:ascii="Courier New" w:cs="Courier New" w:eastAsia="Courier New" w:hAnsi="Courier New"/>
          <w:sz w:val="16"/>
          <w:szCs w:val="16"/>
          <w:color w:val="auto"/>
        </w:rPr>
        <w:t>(1.2) (41.8)</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Net income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103.8</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Foreign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currency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translation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Unrecognized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gain 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derivatives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Minimum</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pension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liability</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Comprehensive</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income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Issuance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common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shares 0.7</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(8.5)</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Issuance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common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shares held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 treasury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1.2 41.8 ---</w:t>
      </w:r>
    </w:p>
    <w:p>
      <w:pPr>
        <w:spacing w:after="0" w:line="1" w:lineRule="exact"/>
        <w:rPr>
          <w:sz w:val="20"/>
          <w:szCs w:val="20"/>
          <w:color w:val="auto"/>
        </w:rPr>
      </w:pPr>
    </w:p>
    <w:p>
      <w:pPr>
        <w:ind w:left="240" w:hanging="198"/>
        <w:spacing w:after="0"/>
        <w:tabs>
          <w:tab w:leader="none" w:pos="24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240" w:hanging="198"/>
        <w:spacing w:after="0"/>
        <w:tabs>
          <w:tab w:leader="none" w:pos="24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460" w:hanging="276"/>
        <w:spacing w:after="0"/>
        <w:tabs>
          <w:tab w:leader="none" w:pos="46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Balance,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30, 2003</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32.0 $0.3</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$390.1</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$398.6 0.0 $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0.0 ====</w:t>
      </w:r>
    </w:p>
    <w:p>
      <w:pPr>
        <w:spacing w:after="0" w:line="1" w:lineRule="exact"/>
        <w:rPr>
          <w:sz w:val="20"/>
          <w:szCs w:val="20"/>
          <w:color w:val="auto"/>
        </w:rPr>
      </w:pPr>
    </w:p>
    <w:p>
      <w:pPr>
        <w:ind w:left="560" w:hanging="471"/>
        <w:spacing w:after="0"/>
        <w:tabs>
          <w:tab w:leader="none" w:pos="56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138" w:right="1440" w:bottom="1440" w:gutter="0" w:footer="0" w:header="0"/>
        </w:sectPr>
      </w:pPr>
    </w:p>
    <w:bookmarkStart w:id="80" w:name="page81"/>
    <w:bookmarkEnd w:id="80"/>
    <w:p>
      <w:pPr>
        <w:spacing w:after="0" w:line="37"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SCOTTS COMPANY</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CONSOLIDATED STATEMENTS OF CHANGES IN SHAREHOLDERS' EQUITY AND COMPREHENSIVE</w:t>
      </w:r>
    </w:p>
    <w:p>
      <w:pPr>
        <w:spacing w:after="0" w:line="8"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INCOME (CONTINUED)</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FOR THE FISCAL YEARS ENDED SEPTEMBER 30, 2002, 2001 AND 2000</w:t>
      </w:r>
    </w:p>
    <w:p>
      <w:pPr>
        <w:spacing w:after="0" w:line="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(IN MILLIONS)</w:t>
      </w:r>
    </w:p>
    <w:p>
      <w:pPr>
        <w:spacing w:after="0" w:line="18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Accumulated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Other</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Comprehensive</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Income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80" w:right="9139" w:hanging="144"/>
        <w:spacing w:after="0" w:line="256" w:lineRule="auto"/>
        <w:tabs>
          <w:tab w:leader="none" w:pos="42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Minimum Pension Foreign</w:t>
      </w:r>
    </w:p>
    <w:p>
      <w:pPr>
        <w:ind w:left="180"/>
        <w:spacing w:after="0" w:line="237" w:lineRule="auto"/>
        <w:rPr>
          <w:sz w:val="20"/>
          <w:szCs w:val="20"/>
          <w:color w:val="auto"/>
        </w:rPr>
      </w:pPr>
      <w:r>
        <w:rPr>
          <w:rFonts w:ascii="Courier New" w:cs="Courier New" w:eastAsia="Courier New" w:hAnsi="Courier New"/>
          <w:sz w:val="16"/>
          <w:szCs w:val="16"/>
          <w:color w:val="auto"/>
        </w:rPr>
        <w:t>Liability</w:t>
      </w:r>
    </w:p>
    <w:p>
      <w:pPr>
        <w:spacing w:after="0" w:line="1"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Currency</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Derivatives</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Adjustment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Translation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Total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Balance,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30, 2000 $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(5.1)</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$(19.9)</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$477.9 -----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both"/>
        <w:ind w:left="80" w:right="9039" w:hanging="38"/>
        <w:spacing w:after="0" w:line="256" w:lineRule="auto"/>
        <w:tabs>
          <w:tab w:leader="none" w:pos="22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Net income 15.5</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Foreign</w:t>
      </w:r>
    </w:p>
    <w:p>
      <w:pPr>
        <w:ind w:left="2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currency</w:t>
      </w:r>
    </w:p>
    <w:p>
      <w:pPr>
        <w:spacing w:after="0" w:line="4" w:lineRule="exact"/>
        <w:rPr>
          <w:rFonts w:ascii="Courier New" w:cs="Courier New" w:eastAsia="Courier New" w:hAnsi="Courier New"/>
          <w:sz w:val="15"/>
          <w:szCs w:val="15"/>
          <w:color w:val="auto"/>
        </w:rPr>
      </w:pPr>
    </w:p>
    <w:p>
      <w:pPr>
        <w:jc w:val="center"/>
        <w:ind w:left="40" w:right="9039" w:firstLine="47"/>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translation Unrecognized loss on derivatives (1.5)(b) (1.5) Minimum pension liability (8.2)(a) (8.2) ------</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Comprehensive</w:t>
      </w:r>
    </w:p>
    <w:p>
      <w:pPr>
        <w:spacing w:after="0" w:line="4" w:lineRule="exact"/>
        <w:rPr>
          <w:rFonts w:ascii="Courier New" w:cs="Courier New" w:eastAsia="Courier New" w:hAnsi="Courier New"/>
          <w:sz w:val="15"/>
          <w:szCs w:val="15"/>
          <w:color w:val="auto"/>
        </w:rPr>
      </w:pPr>
    </w:p>
    <w:p>
      <w:pPr>
        <w:jc w:val="center"/>
        <w:ind w:left="40" w:right="9039" w:firstLine="94"/>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income 5.8 Issuance of common shares held in treasury 22.5 -----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w:t>
      </w:r>
    </w:p>
    <w:p>
      <w:pPr>
        <w:ind w:left="3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2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Balance,</w:t>
      </w: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September</w:t>
      </w:r>
    </w:p>
    <w:p>
      <w:pPr>
        <w:ind w:left="2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30, 2001</w:t>
      </w:r>
    </w:p>
    <w:p>
      <w:pPr>
        <w:ind w:left="3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$(1.5)</w:t>
      </w:r>
    </w:p>
    <w:p>
      <w:pPr>
        <w:spacing w:after="0" w:line="4" w:lineRule="exact"/>
        <w:rPr>
          <w:rFonts w:ascii="Courier New" w:cs="Courier New" w:eastAsia="Courier New" w:hAnsi="Courier New"/>
          <w:sz w:val="15"/>
          <w:szCs w:val="15"/>
          <w:color w:val="auto"/>
        </w:rPr>
      </w:pPr>
    </w:p>
    <w:p>
      <w:pPr>
        <w:jc w:val="center"/>
        <w:ind w:left="40" w:right="9039" w:firstLine="236"/>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$(13.3) $(19.9) $506.2 -----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w:t>
      </w:r>
    </w:p>
    <w:p>
      <w:pPr>
        <w:spacing w:after="0" w:line="4" w:lineRule="exact"/>
        <w:rPr>
          <w:rFonts w:ascii="Courier New" w:cs="Courier New" w:eastAsia="Courier New" w:hAnsi="Courier New"/>
          <w:sz w:val="15"/>
          <w:szCs w:val="15"/>
          <w:color w:val="auto"/>
        </w:rPr>
      </w:pPr>
    </w:p>
    <w:p>
      <w:pPr>
        <w:jc w:val="both"/>
        <w:ind w:left="80" w:right="9039" w:hanging="38"/>
        <w:spacing w:after="0" w:line="256" w:lineRule="auto"/>
        <w:tabs>
          <w:tab w:leader="none" w:pos="22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Net income 82.5</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Foreign</w:t>
      </w:r>
    </w:p>
    <w:p>
      <w:pPr>
        <w:ind w:left="2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currency</w:t>
      </w:r>
    </w:p>
    <w:p>
      <w:pPr>
        <w:ind w:left="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translation</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1.7 1.7</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Unrecognized</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loss on</w:t>
      </w:r>
    </w:p>
    <w:p>
      <w:pPr>
        <w:ind w:left="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derivatives</w:t>
      </w:r>
    </w:p>
    <w:p>
      <w:pPr>
        <w:ind w:left="2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(0.6)(b)</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(0.6) ------</w:t>
      </w:r>
    </w:p>
    <w:p>
      <w:pPr>
        <w:spacing w:after="0" w:line="4" w:lineRule="exact"/>
        <w:rPr>
          <w:rFonts w:ascii="Courier New" w:cs="Courier New" w:eastAsia="Courier New" w:hAnsi="Courier New"/>
          <w:sz w:val="15"/>
          <w:szCs w:val="15"/>
          <w:color w:val="auto"/>
        </w:rPr>
      </w:pPr>
    </w:p>
    <w:p>
      <w:pPr>
        <w:jc w:val="center"/>
        <w:ind w:right="8999" w:firstLine="281"/>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Minimum pension liability (24.4)(a) (24.4) Comprehensive income 59.2 Issuance of common</w:t>
      </w:r>
    </w:p>
    <w:p>
      <w:pPr>
        <w:sectPr>
          <w:pgSz w:w="11900" w:h="16876" w:orient="portrait"/>
          <w:cols w:equalWidth="0" w:num="1">
            <w:col w:w="10219"/>
          </w:cols>
          <w:pgMar w:left="240" w:top="477" w:right="1440" w:bottom="0" w:gutter="0" w:footer="0" w:header="0"/>
        </w:sectPr>
      </w:pPr>
    </w:p>
    <w:bookmarkStart w:id="81" w:name="page82"/>
    <w:bookmarkEnd w:id="81"/>
    <w:p>
      <w:pPr>
        <w:ind w:left="83"/>
        <w:spacing w:after="0"/>
        <w:rPr>
          <w:sz w:val="20"/>
          <w:szCs w:val="20"/>
          <w:color w:val="auto"/>
        </w:rPr>
      </w:pPr>
      <w:r>
        <w:rPr>
          <w:rFonts w:ascii="Courier New" w:cs="Courier New" w:eastAsia="Courier New" w:hAnsi="Courier New"/>
          <w:sz w:val="16"/>
          <w:szCs w:val="16"/>
          <w:color w:val="auto"/>
        </w:rPr>
        <w:t>shares held</w:t>
      </w:r>
    </w:p>
    <w:p>
      <w:pPr>
        <w:spacing w:after="0" w:line="1" w:lineRule="exact"/>
        <w:rPr>
          <w:sz w:val="20"/>
          <w:szCs w:val="20"/>
          <w:color w:val="auto"/>
        </w:rPr>
      </w:pPr>
    </w:p>
    <w:p>
      <w:pPr>
        <w:ind w:left="83"/>
        <w:spacing w:after="0"/>
        <w:rPr>
          <w:sz w:val="20"/>
          <w:szCs w:val="20"/>
          <w:color w:val="auto"/>
        </w:rPr>
      </w:pPr>
      <w:r>
        <w:rPr>
          <w:rFonts w:ascii="Courier New" w:cs="Courier New" w:eastAsia="Courier New" w:hAnsi="Courier New"/>
          <w:sz w:val="16"/>
          <w:szCs w:val="16"/>
          <w:color w:val="auto"/>
        </w:rPr>
        <w:t>in treasury</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28.5 ----- -</w:t>
      </w:r>
    </w:p>
    <w:p>
      <w:pPr>
        <w:spacing w:after="0" w:line="1" w:lineRule="exact"/>
        <w:rPr>
          <w:sz w:val="20"/>
          <w:szCs w:val="20"/>
          <w:color w:val="auto"/>
        </w:rPr>
      </w:pPr>
    </w:p>
    <w:p>
      <w:pPr>
        <w:ind w:left="603" w:hanging="558"/>
        <w:spacing w:after="0"/>
        <w:tabs>
          <w:tab w:leader="none" w:pos="603"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Balance,</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30, 2002</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$(2.1)</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$(37.7)</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$(18.2)</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$593.9 =====</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 Net</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income 103.8</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Foreign</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currency</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translation</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(2.8) (2.8)</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Unrecognized</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gain on</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derivatives</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0.8(b) 0.8</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Minimum</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pension</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liability</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(0.8)(a)</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(0.8) ------</w:t>
      </w:r>
    </w:p>
    <w:p>
      <w:pPr>
        <w:spacing w:after="0" w:line="5"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5"/>
          <w:szCs w:val="15"/>
          <w:color w:val="auto"/>
        </w:rPr>
        <w:t>Comprehensive</w:t>
      </w:r>
    </w:p>
    <w:p>
      <w:pPr>
        <w:spacing w:after="0" w:line="8"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income 101.0</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Issuance of</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common</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shares (8.5)</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Issuance of</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common</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shares held</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in treasury</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41.8 ----- -</w:t>
      </w:r>
    </w:p>
    <w:p>
      <w:pPr>
        <w:spacing w:after="0" w:line="1" w:lineRule="exact"/>
        <w:rPr>
          <w:sz w:val="20"/>
          <w:szCs w:val="20"/>
          <w:color w:val="auto"/>
        </w:rPr>
      </w:pPr>
    </w:p>
    <w:p>
      <w:pPr>
        <w:ind w:left="603" w:hanging="558"/>
        <w:spacing w:after="0"/>
        <w:tabs>
          <w:tab w:leader="none" w:pos="603"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Balance,</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30, 2003</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$(1.3)</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$(38.5)</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$(21.0)</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$728.2 =====</w:t>
      </w:r>
    </w:p>
    <w:p>
      <w:pPr>
        <w:spacing w:after="0" w:line="1" w:lineRule="exact"/>
        <w:rPr>
          <w:sz w:val="20"/>
          <w:szCs w:val="20"/>
          <w:color w:val="auto"/>
        </w:rPr>
      </w:pPr>
    </w:p>
    <w:p>
      <w:pPr>
        <w:ind w:left="32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2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23"/>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3" w:right="2659" w:hanging="383"/>
        <w:spacing w:after="0" w:line="237" w:lineRule="auto"/>
        <w:tabs>
          <w:tab w:leader="none" w:pos="383"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of tax benefits of $1.3, $14.8, and $5.5 for fiscal 2003, 2002 and 2001, respectively.</w:t>
      </w:r>
    </w:p>
    <w:p>
      <w:pPr>
        <w:spacing w:after="0" w:line="187" w:lineRule="exact"/>
        <w:rPr>
          <w:rFonts w:ascii="Courier New" w:cs="Courier New" w:eastAsia="Courier New" w:hAnsi="Courier New"/>
          <w:sz w:val="16"/>
          <w:szCs w:val="16"/>
          <w:color w:val="auto"/>
        </w:rPr>
      </w:pPr>
    </w:p>
    <w:p>
      <w:pPr>
        <w:ind w:left="383" w:right="2659" w:hanging="383"/>
        <w:spacing w:after="0" w:line="237" w:lineRule="auto"/>
        <w:tabs>
          <w:tab w:leader="none" w:pos="383"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of tax (expense) benefits of $(0.6), $0.3 and $1.1 for fiscal 2003, 2002 and 2001.</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83"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22"/>
          </w:cols>
          <w:pgMar w:left="237" w:top="138" w:right="1440" w:bottom="1440" w:gutter="0" w:footer="0" w:header="0"/>
        </w:sectPr>
      </w:pPr>
    </w:p>
    <w:bookmarkStart w:id="82" w:name="page83"/>
    <w:bookmarkEnd w:id="82"/>
    <w:p>
      <w:pPr>
        <w:jc w:val="center"/>
        <w:ind w:right="2659"/>
        <w:spacing w:after="0"/>
        <w:rPr>
          <w:sz w:val="20"/>
          <w:szCs w:val="20"/>
          <w:color w:val="auto"/>
        </w:rPr>
      </w:pPr>
      <w:r>
        <w:rPr>
          <w:rFonts w:ascii="Courier New" w:cs="Courier New" w:eastAsia="Courier New" w:hAnsi="Courier New"/>
          <w:sz w:val="16"/>
          <w:szCs w:val="16"/>
          <w:color w:val="auto"/>
        </w:rPr>
        <w:t>THE SCOTTS COMPANY</w:t>
      </w:r>
    </w:p>
    <w:p>
      <w:pPr>
        <w:spacing w:after="0" w:line="183"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SUMMARY OF SIGNIFICANT ACCOUNTING POLICIES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NATURE OF OPERATIONS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Scotts Company and its subsidiaries (collectively "Scotts" or the "Company") are engaged in the manufacture, marketing and sale of lawn and garden care products. The Company's major customers include home improvement centers, mass merchandisers, large hardware chains, independent hardware stores, nurseries, garden centers, food and drug stores, commercial nurseries and greenhouses, and specialty crop growers. The Company's products are sold primarily in North America and the European Union. We also operate the Scotts LawnService(R) business which provides lawn and tree and shrub fertilization, insect control and other related services in the United States.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ORGANIZATION AND BASIS OF PRESENTATION</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Company's consolidated financial statements are presented in accordance with accounting principles generally accepted in the United States of America. The consolidated financial statements include the accounts of The Scotts Company and all wholly-owned and majority-owned subsidiaries. All intercompany transactions and accounts are eliminated in consolidation. The Company's criteria for consolidating entities are based on majority ownership and an objective evaluation and determination of effective management control.</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RECOGNITION</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Revenue is recognized when products are shipped and when title and risk of loss transfer to the customer. Provisions for estimated returns and allowances are recorded at the time of shipment based on historical rates of returns as a percentage of sales and are periodically adjusted for known changes in return levels. Scotts LawnService(R) revenues are recognized at the time service is provided to the customer.</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Under the terms of the Marketing Agreement between The Scotts Company and Monsanto, the Company in its role as exclusive agent performs certain functions, such as sales support, merchandising, distribution and logistics on behalf of Monsanto, and incurs certain costs in support of the consumer Roundup(R) business. The actual costs incurred by Scotts on behalf of Roundup(R) are recovered from Monsanto through the agency management and are treated solely as a recovery of incurred costs. Revenue is not recognized in the Company's consolidated financial statements for the recovery of these costs since the services rendered are solely in support of the agency arrangement and not a part of any principal line of business.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PROMOTIONAL ALLOWANCES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Company promotes its branded products through cooperative advertising programs with retailers. Retailers are also offered in-store promotional allowances and rebates based on sales volumes. Certain products are also promoted with direct consumer rebate programs and special purchasing incentives. Promotion costs (including allowances and rebates) incurred during the year are expensed to interim periods in relation to revenues and are recorded as a reduction of net sales.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ADVERTISING</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Company advertises its branded products through national and regional media.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189"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Scotts LawnService(R) promotes its service offerings through direct response mail campaigns. The external costs associated with these campaigns are deferred and recognized ratably and recorded as advertising expense in proportion to revenues as advertising costs over a period not in excess of one year. The costs deferred at September 30, 2003 and 2002 are $1.0 million and $0.9 million, respectively.</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659" w:right="1440" w:bottom="1440" w:gutter="0" w:footer="0" w:header="0"/>
        </w:sectPr>
      </w:pPr>
    </w:p>
    <w:bookmarkStart w:id="83" w:name="page84"/>
    <w:bookmarkEnd w:id="83"/>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FRANCHISE OPERATIONS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Company's Scotts LawnService(R) segment consists of 68 company-operated locations serving 44 metropolitan markets, with an additional 70 independent franchise locations at September 30, 2003. In fiscal 2002, there were 60 company-operated and 45 franchised locations. Franchise fee income and royalties are not material to total income from operations.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w:t>
      </w:r>
    </w:p>
    <w:p>
      <w:pPr>
        <w:spacing w:after="0" w:line="186"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All costs associated with research and development are charged to expense as incurred. Expense for fiscal 2003, 2002 and 2001 was $30.4 million, $26.2 million and $24.7 million, respectively.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COSTS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Company recognizes environmental liabilities when conditions requiring remediation are identified. The Company determines its liability on a site by site basis and records a liability at the time when it is probable and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INTERNAL USE SOFTWARE</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Company accounts for the costs of internal use software in accordance with Statement of Position 98-1, "Accounting for the Costs of Computer Software Developed or Obtained for Internal Use". Accordingly, costs other than reengineering costs are expensed or capitalized depending on whether they are incurred in the preliminary project stage, application development stage or the post-implementation/operation stage. As of September 30, 2003 and 2002, the Company had $43.3 million and $35.8 million, respectively, in unamortized capitalized internal use computer software costs. Amortization of these costs was $9.0 million, $5.8 million and $4.3 million during fiscal 2003, 2002 and 2001, respectively.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PER COMMON SHARE</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Basic earnings per common share is based on the weighted-average number of common shares outstanding each period. Diluted earnings per common share is based on the weighted-average number of common shares and dilutive potential common shares (stock options, stock appreciation rights and warrants) outstanding each period.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Inventories are stated at the lower of cost or market, principally determined by the FIFO method; however, certain growing media inventories are accounted for by the LIFO method. At September 30, 2003 and 2002, approximately 6% and 7% of inventories, respectively, are valued at the lower of LIFO cost or market. Inventories include the cost of raw materials, labor and manufacturing overhead. The Company makes provisions for obsolete or slow-moving inventories as necessary to properly reflect inventory value. Reserves for excess and obsolete inventories were $22.0 million and $25.9 million at September 30, 2003 and 2002, respectively.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LONG-LIVED ASSETS</w:t>
      </w:r>
    </w:p>
    <w:p>
      <w:pPr>
        <w:spacing w:after="0" w:line="186"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Property, plant and equipment, including significant improvements, are stated at cost. Expenditures for maintenance and repairs are charged to expense as incurred. When properties are retired or otherwise disposed of, the cost of the asset and the related accumulated depreciation are removed from the accounts with the resulting gain or loss being reflected in results of operations.</w:t>
      </w:r>
    </w:p>
    <w:p>
      <w:pPr>
        <w:spacing w:after="0" w:line="17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477" w:right="1440" w:bottom="1440" w:gutter="0" w:footer="0" w:header="0"/>
        </w:sectPr>
      </w:pPr>
    </w:p>
    <w:bookmarkStart w:id="84" w:name="page85"/>
    <w:bookmarkEnd w:id="84"/>
    <w:p>
      <w:pPr>
        <w:jc w:val="center"/>
        <w:ind w:right="26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Depreciation of other property, plant and equipment is provided on the straight-line method and is based on the estimated useful economic lives of the assets as follows:</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20" w:type="dxa"/>
            <w:vAlign w:val="bottom"/>
          </w:tcPr>
          <w:p>
            <w:pPr>
              <w:spacing w:after="0"/>
              <w:rPr>
                <w:sz w:val="20"/>
                <w:szCs w:val="20"/>
                <w:color w:val="auto"/>
              </w:rPr>
            </w:pPr>
            <w:r>
              <w:rPr>
                <w:rFonts w:ascii="Courier New" w:cs="Courier New" w:eastAsia="Courier New" w:hAnsi="Courier New"/>
                <w:sz w:val="16"/>
                <w:szCs w:val="16"/>
                <w:color w:val="auto"/>
              </w:rPr>
              <w:t>Land improvements</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- 25 years</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Buildings</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- 40</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years</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Machinery and equipment</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- 15</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years</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Furniture and fixtures</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- 10</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years</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Software</w:t>
            </w:r>
          </w:p>
        </w:tc>
        <w:tc>
          <w:tcPr>
            <w:tcW w:w="2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5"/>
              </w:rPr>
              <w:t>3 - 8</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years</w:t>
            </w:r>
          </w:p>
        </w:tc>
      </w:tr>
    </w:tbl>
    <w:p>
      <w:pPr>
        <w:spacing w:after="0" w:line="368"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Interest is capitalized on all significant capital projects. The Company capitalized $1.4 million, $1.1 million and $3.1 million of interest costs during fiscal 2003, 2002 and 2001, respectively.</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Management assesses the recoverability of property and equipment whenever events or changes in circumstances indicate that the carrying amount of an asset may not be recoverable from its future undiscounted cash flows. If it is determined that an impairment has occurred, an impairment loss is recognized for the amount by which the carrying amount of the asset exceeds its estimated fair value.</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Management also assesses the recoverability of goodwill, tradenames and other intangible assets whenever events or changes in circumstances indicate that the carrying amount of an asset may not be recoverable from its discounted future cash flows. Goodwill and unamortizable intangible assets are reviewed for impairment at least annually during the first fiscal quarter. If it is determined that an impairment of intangible assets has occurred, an impairment loss is recognized for the amount by which the carrying value of the asset exceeds its estimated fair value.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AND CASH EQUIVALENTS</w:t>
      </w:r>
    </w:p>
    <w:p>
      <w:pPr>
        <w:spacing w:after="0" w:line="186"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The Company considers all highly liquid financial instruments with original maturities of three months or less to be cash equivalents. The Company maintains cash deposits in banks which from time to time exceed the amount of deposit insurance available. Management periodically assesses the financial condition of the institutions and believes that any potential credit loss is minimal.</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EXCHANGE INSTRUMENTS</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Gains and losses on foreign currency transaction hedges are recognized in income and offset the foreign exchange gains and losses on the underlying transactions. Gains and losses on foreign currency firm commitment hedges are deferred and included in the basis of the transactions underlying the commitments.</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All assets and liabilities in the balance sheets of foreign subsidiaries whose functional currency is other than the U.S. dollar are translated into U.S. dollar equivalents at year-end exchange rates. Translation gains and losses are accumulated as a separate component of other comprehensive income and included in shareholders' equity. Income and expense items are translated at the twelve month average of the month end exchange rates. Foreign currency transaction gains and losses are included in the determination of net income.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DERIVATIVE INSTRUMENTS</w:t>
      </w:r>
    </w:p>
    <w:p>
      <w:pPr>
        <w:spacing w:after="0" w:line="186"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In the normal course of business, the Company is exposed to fluctuations in interest rates and the value of foreign currencies. The Company has established policies and procedures that govern the management of these exposures through the use of a variety of financial instruments. The Company employs various financial instruments, including forward exchange contracts and swap agreements, to manage certain of the exposures when practical. By policy, the Company does not enter into such contracts for the purpose of speculation or use leveraged financial instruments. The Company's derivative activities are managed by the Chief Financial Officer and other senior management of the Company in consultation with the Finance Committee of the Board of Directors. These activities include establishing a risk-management philosophy and objectives, providing guidelines for derivative-instrument usage and establishing procedures for control and valuation, counterparty credit approval and the monitoring and</w:t>
      </w:r>
    </w:p>
    <w:p>
      <w:pPr>
        <w:spacing w:after="0" w:line="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477" w:right="1440" w:bottom="1440" w:gutter="0" w:footer="0" w:header="0"/>
        </w:sectPr>
      </w:pPr>
    </w:p>
    <w:bookmarkStart w:id="85" w:name="page86"/>
    <w:bookmarkEnd w:id="85"/>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reporting of derivative activity. The Company's objective in managing its exposure to fluctuations in interest rates and foreign currency exchange rates is to decrease the volatility of earnings and cash flows associated with changes in the applicable rates and prices. To achieve this objective, the Company primarily enters into forward exchange contracts and swap agreements whose values change in the opposite direction of the anticipated cash flows. Derivative instruments related to forecasted transactions are considered to hedge future cash flows, and the effective portion of any gains or losses is included in other comprehensive income until earnings are affected by the variability of cash flows. Any remaining gain or loss is recognized currently in earnings. The cash flows of the derivative instruments are expected to be highly effective in achieving offsetting cash flows attributable to fluctuations in the cash flows of the hedged risk. If it becomes probable that a forecasted transaction will no longer occur, the derivative will continue to be carried on the balance sheet at fair value, and gains and losses that were accumulated in other comprehensive income will be recognized immediately in earnings.</w:t>
      </w:r>
    </w:p>
    <w:p>
      <w:pPr>
        <w:spacing w:after="0" w:line="181"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To manage certain of its cash flow exposures, the Company has entered into forward exchange contracts and interest rate swap agreements. The forward exchange contracts are designated as hedges of the Company's foreign currency exposure associated with future cash flows. The change in the value of the amounts payable or receivable under forward exchange contracts are recorded as adjustments to other income or expense. The interest rate swap agreements are designated as hedges of the Company's interest rate risk associated with certain variable rate debt. The change in the value of the amounts payable or receivable under the swap agreements are recorded as adjustments to interest expense.</w:t>
      </w:r>
    </w:p>
    <w:p>
      <w:pPr>
        <w:spacing w:after="0" w:line="175"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Unrealized gains or losses resulting from valuing these swaps at fair value are recorded in other comprehensive income.</w:t>
      </w:r>
    </w:p>
    <w:p>
      <w:pPr>
        <w:spacing w:after="0" w:line="188"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The Company adopted Statement of Financial Accounting Standards No. 133, which is amended by Statement of Financial Accounting Standards No. 149, "Amendment of Statement 133 on Derivative Instruments and Hedging Activities", as of October 2000. Since adoption, there have been no gains or losses recognized in earnings for hedge ineffectiveness or due to excluding a portion of the value from measuring effectiveness.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STOCK-BASED COMPENSATION AWARDS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Beginning in fiscal 2003, the Company began expensing prospective grants of employee stock-based compensation awards in accordance with Statement of Financial Accounting Standards No. 123, "Accounting for Stock-Based Compensation" as amended by Statement of Financial Accounting Standards No. 148, "Accounting for Stock-Based Compensation -- Transition and Disclosure -- an Amendment of SFAS No. 123". The fair value of future awards will be expensed ratably over the vesting period, which has historically been three years, except for grants to members of the Board of Directors, which have a six month vesting period.</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fiscal 2003, the Company granted 404,500 options to officers and other key employees, 63,000 options to members of the Board of Directors and 239,000 stock appreciation rights to executive officers. The exercise price for the option awards and the stated price for the stock appreciation rights awards were determined by the closing price of the Company's common shares on the date of grant. The related compensation expense recorded in fiscal 2003 was $4.8 million.</w:t>
      </w:r>
    </w:p>
    <w:p>
      <w:pPr>
        <w:spacing w:after="0" w:line="192" w:lineRule="exact"/>
        <w:rPr>
          <w:sz w:val="20"/>
          <w:szCs w:val="20"/>
          <w:color w:val="auto"/>
        </w:rPr>
      </w:pPr>
    </w:p>
    <w:p>
      <w:pPr>
        <w:ind w:right="2839" w:firstLine="473"/>
        <w:spacing w:after="0" w:line="260" w:lineRule="auto"/>
        <w:rPr>
          <w:sz w:val="20"/>
          <w:szCs w:val="20"/>
          <w:color w:val="auto"/>
        </w:rPr>
      </w:pPr>
      <w:r>
        <w:rPr>
          <w:rFonts w:ascii="Courier New" w:cs="Courier New" w:eastAsia="Courier New" w:hAnsi="Courier New"/>
          <w:sz w:val="15"/>
          <w:szCs w:val="15"/>
          <w:color w:val="auto"/>
        </w:rPr>
        <w:t>The Black-Scholes value of options granted in fiscal 2001 and fiscal 2002 was $10.0 million and $10.7 million, respectively. The Black-Scholes value of all stock-based compensation grants awarded during fiscal 2003 was $13.1 million. Had compensation expense been recognized for the periods ended</w:t>
      </w:r>
    </w:p>
    <w:p>
      <w:pPr>
        <w:spacing w:after="0" w:line="16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477" w:right="1440" w:bottom="1440" w:gutter="0" w:footer="0" w:header="0"/>
        </w:sectPr>
      </w:pPr>
    </w:p>
    <w:bookmarkStart w:id="86" w:name="page87"/>
    <w:bookmarkEnd w:id="86"/>
    <w:p>
      <w:pPr>
        <w:jc w:val="center"/>
        <w:ind w:right="26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September 30, 2003, 2002 and 2001 in accordance with the recognition provisions of SFAS No. 123, the Company would have recorded net income and net income per share as follows:</w:t>
      </w:r>
    </w:p>
    <w:p>
      <w:pPr>
        <w:spacing w:after="0" w:line="18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years 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30, 2003</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2002 2001 -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millions,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except per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share data)</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Net income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$103.8</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$82.5 $15.5</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Stock-based</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compensation</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expense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included in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net income,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net of tax</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2.9 Total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stock-based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employee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compensation</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expense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determined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under fair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value based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method for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all awards,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net of tax</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(7.0) (4.9)</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(6.7) -----</w:t>
      </w:r>
    </w:p>
    <w:p>
      <w:pPr>
        <w:spacing w:after="0" w:line="1" w:lineRule="exact"/>
        <w:rPr>
          <w:sz w:val="20"/>
          <w:szCs w:val="20"/>
          <w:color w:val="auto"/>
        </w:rPr>
      </w:pPr>
    </w:p>
    <w:p>
      <w:pPr>
        <w:ind w:left="220" w:hanging="179"/>
        <w:spacing w:after="0"/>
        <w:tabs>
          <w:tab w:leader="none" w:pos="22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560" w:hanging="283"/>
        <w:spacing w:after="0"/>
        <w:tabs>
          <w:tab w:leader="none" w:pos="560"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t>
      </w:r>
    </w:p>
    <w:p>
      <w:pPr>
        <w:spacing w:after="0" w:line="4" w:lineRule="exact"/>
        <w:rPr>
          <w:rFonts w:ascii="Courier New" w:cs="Courier New" w:eastAsia="Courier New" w:hAnsi="Courier New"/>
          <w:sz w:val="16"/>
          <w:szCs w:val="16"/>
          <w:color w:val="auto"/>
        </w:rPr>
      </w:pPr>
    </w:p>
    <w:p>
      <w:pPr>
        <w:jc w:val="center"/>
        <w:ind w:left="80" w:right="917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income, as adjusted $ 99.7 $77.6 $ 8.8</w:t>
      </w:r>
    </w:p>
    <w:p>
      <w:pPr>
        <w:jc w:val="center"/>
        <w:ind w:right="9099"/>
        <w:spacing w:after="0" w:line="238" w:lineRule="auto"/>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Net income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per share: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Basic $</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3.36 $2.81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$0.55</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Diluted $</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3.23 $2.61</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$0.51 Net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income per</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share, as</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adjusted: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Basic $</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3.23 $2.65</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$0.31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Diluted $</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3.11 $2.45</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$0.29</w:t>
      </w:r>
    </w:p>
    <w:p>
      <w:pPr>
        <w:spacing w:after="0" w:line="368"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The pro forma amounts shown above are not necessarily representative of the impact on net income in future periods.</w:t>
      </w:r>
    </w:p>
    <w:p>
      <w:pPr>
        <w:spacing w:after="0" w:line="188"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Prior to fiscal 2003, the Company accounted for stock options under APB 25, "Accounting for Stock Issued to Employees" and, as allowable, adopted only the disclosure provisions of SFAS No. 123.</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ESTIMATES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preparation of financial statements in conformity with accounting principles generally accepted in the United States of America requires management to make estimates and assumptions that affect the amounts 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ectPr>
          <w:pgSz w:w="11900" w:h="16838" w:orient="portrait"/>
          <w:cols w:equalWidth="0" w:num="1">
            <w:col w:w="10219"/>
          </w:cols>
          <w:pgMar w:left="240" w:top="477" w:right="1440" w:bottom="0" w:gutter="0" w:footer="0" w:header="0"/>
        </w:sectPr>
      </w:pPr>
    </w:p>
    <w:bookmarkStart w:id="87" w:name="page88"/>
    <w:bookmarkEnd w:id="87"/>
    <w:p>
      <w:pPr>
        <w:spacing w:after="0"/>
        <w:rPr>
          <w:sz w:val="20"/>
          <w:szCs w:val="20"/>
          <w:color w:val="auto"/>
        </w:rPr>
      </w:pPr>
      <w:r>
        <w:rPr>
          <w:rFonts w:ascii="Courier New" w:cs="Courier New" w:eastAsia="Courier New" w:hAnsi="Courier New"/>
          <w:sz w:val="16"/>
          <w:szCs w:val="16"/>
          <w:color w:val="auto"/>
        </w:rPr>
        <w:t>RECLASSIFICATIONS</w:t>
      </w:r>
    </w:p>
    <w:p>
      <w:pPr>
        <w:spacing w:after="0" w:line="186" w:lineRule="exact"/>
        <w:rPr>
          <w:sz w:val="20"/>
          <w:szCs w:val="20"/>
          <w:color w:val="auto"/>
        </w:rPr>
      </w:pPr>
    </w:p>
    <w:p>
      <w:pPr>
        <w:ind w:right="3119" w:firstLine="473"/>
        <w:spacing w:after="0" w:line="237" w:lineRule="auto"/>
        <w:rPr>
          <w:sz w:val="20"/>
          <w:szCs w:val="20"/>
          <w:color w:val="auto"/>
        </w:rPr>
      </w:pPr>
      <w:r>
        <w:rPr>
          <w:rFonts w:ascii="Courier New" w:cs="Courier New" w:eastAsia="Courier New" w:hAnsi="Courier New"/>
          <w:sz w:val="16"/>
          <w:szCs w:val="16"/>
          <w:color w:val="auto"/>
        </w:rPr>
        <w:t>Certain reclassifications have been made to the prior years' financial statements to conform to fiscal 2003 classifications.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DETAIL OF CERTAIN FINANCIAL STATEMENT ACCOUNTS</w:t>
      </w:r>
    </w:p>
    <w:p>
      <w:pPr>
        <w:spacing w:after="0" w:line="18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2003 2002 -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left="140" w:right="9239" w:firstLine="42"/>
        <w:spacing w:after="0" w:line="256" w:lineRule="auto"/>
        <w:tabs>
          <w:tab w:leader="none" w:pos="755"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millions)</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INVENTORIES,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NET: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Finished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goods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$203.7</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$196.6 Raw</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materials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72.4 72.5 -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both"/>
        <w:ind w:left="280" w:right="9319" w:hanging="50"/>
        <w:spacing w:after="0" w:line="256" w:lineRule="auto"/>
        <w:tabs>
          <w:tab w:leader="none" w:pos="42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$276.1 $269.1</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138" w:right="1440" w:bottom="1440" w:gutter="0" w:footer="0" w:header="0"/>
        </w:sectPr>
      </w:pPr>
    </w:p>
    <w:bookmarkStart w:id="88" w:name="page89"/>
    <w:bookmarkEnd w:id="88"/>
    <w:p>
      <w:pPr>
        <w:spacing w:after="0" w:line="26"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2003 2002 -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left="140" w:right="9239" w:firstLine="42"/>
        <w:spacing w:after="0" w:line="256" w:lineRule="auto"/>
        <w:tabs>
          <w:tab w:leader="none" w:pos="755"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millions)</w:t>
      </w:r>
    </w:p>
    <w:p>
      <w:pPr>
        <w:spacing w:after="0" w:line="1" w:lineRule="exact"/>
        <w:rPr>
          <w:rFonts w:ascii="Courier New" w:cs="Courier New" w:eastAsia="Courier New" w:hAnsi="Courier New"/>
          <w:sz w:val="15"/>
          <w:szCs w:val="15"/>
          <w:color w:val="auto"/>
        </w:rPr>
      </w:pPr>
    </w:p>
    <w:p>
      <w:pPr>
        <w:jc w:val="center"/>
        <w:ind w:left="80" w:right="9179" w:firstLine="47"/>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PROPERTY, PLANT AND EQUIPMENT, NET: Land and</w:t>
      </w:r>
    </w:p>
    <w:p>
      <w:pPr>
        <w:spacing w:after="0" w:line="7"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improvements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$ 37.4 $</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38.0</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Buildings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127.7 120.9</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Machinery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equipment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316.9 289.9</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Furniture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fixtures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38.9</w:t>
            </w:r>
          </w:p>
        </w:tc>
        <w:tc>
          <w:tcPr>
            <w:tcW w:w="5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33.1</w:t>
            </w:r>
          </w:p>
        </w:tc>
      </w:tr>
      <w:tr>
        <w:trPr>
          <w:trHeight w:val="182"/>
        </w:trPr>
        <w:tc>
          <w:tcPr>
            <w:tcW w:w="11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Software</w:t>
            </w:r>
          </w:p>
        </w:tc>
      </w:tr>
      <w:tr>
        <w:trPr>
          <w:trHeight w:val="182"/>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70.1</w:t>
            </w:r>
          </w:p>
        </w:tc>
        <w:tc>
          <w:tcPr>
            <w:tcW w:w="5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47.6</w:t>
            </w:r>
          </w:p>
        </w:tc>
      </w:tr>
      <w:tr>
        <w:trPr>
          <w:trHeight w:val="182"/>
        </w:trPr>
        <w:tc>
          <w:tcPr>
            <w:tcW w:w="11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Construction</w:t>
            </w:r>
          </w:p>
        </w:tc>
      </w:tr>
      <w:tr>
        <w:trPr>
          <w:trHeight w:val="182"/>
        </w:trPr>
        <w:tc>
          <w:tcPr>
            <w:tcW w:w="11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in progress</w:t>
            </w:r>
          </w:p>
        </w:tc>
      </w:tr>
      <w:tr>
        <w:trPr>
          <w:trHeight w:val="182"/>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17.7</w:t>
            </w:r>
          </w:p>
        </w:tc>
        <w:tc>
          <w:tcPr>
            <w:tcW w:w="5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45.7</w:t>
            </w:r>
          </w:p>
        </w:tc>
      </w:tr>
    </w:tbl>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Less: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accumulated</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depreciation</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(270.5)</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(246.0)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 Total $</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338.2 $</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329.2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2003 2002 -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millions)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ACCRUED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LIABILITIES: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Payroll and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other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compensation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accruals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53.5 $ 53.2</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Advertising</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promotional</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accruals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75.9 63.0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Restructuring</w:t>
            </w:r>
          </w:p>
        </w:tc>
      </w:tr>
      <w:tr>
        <w:trPr>
          <w:trHeight w:val="182"/>
        </w:trPr>
        <w:tc>
          <w:tcPr>
            <w:tcW w:w="12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accruals 4.5</w:t>
            </w:r>
          </w:p>
        </w:tc>
      </w:tr>
      <w:tr>
        <w:trPr>
          <w:trHeight w:val="182"/>
        </w:trPr>
        <w:tc>
          <w:tcPr>
            <w:tcW w:w="12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11.2 Other</w:t>
            </w:r>
          </w:p>
        </w:tc>
      </w:tr>
      <w:tr>
        <w:trPr>
          <w:trHeight w:val="182"/>
        </w:trPr>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69.2</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79.0 --</w:t>
            </w:r>
          </w:p>
        </w:tc>
      </w:tr>
    </w:tbl>
    <w:p>
      <w:pPr>
        <w:spacing w:after="0" w:line="1" w:lineRule="exact"/>
        <w:rPr>
          <w:sz w:val="20"/>
          <w:szCs w:val="20"/>
          <w:color w:val="auto"/>
        </w:rPr>
      </w:pPr>
    </w:p>
    <w:p>
      <w:pPr>
        <w:ind w:left="560" w:hanging="471"/>
        <w:spacing w:after="0"/>
        <w:tabs>
          <w:tab w:leader="none" w:pos="56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 $203.1</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$206.4</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2003 2002 -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ectPr>
          <w:pgSz w:w="11900" w:h="16864" w:orient="portrait"/>
          <w:cols w:equalWidth="0" w:num="1">
            <w:col w:w="10219"/>
          </w:cols>
          <w:pgMar w:left="240" w:top="477" w:right="1440" w:bottom="0" w:gutter="0" w:footer="0" w:header="0"/>
        </w:sectPr>
      </w:pPr>
    </w:p>
    <w:bookmarkStart w:id="89" w:name="page90"/>
    <w:bookmarkEnd w:id="89"/>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660" w:hanging="191"/>
        <w:spacing w:after="0"/>
        <w:tabs>
          <w:tab w:leader="none" w:pos="6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OTHER NON-</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CURRENT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LIABILITIES: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Accrued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pension and</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5"/>
          <w:szCs w:val="15"/>
          <w:color w:val="auto"/>
        </w:rPr>
        <w:t>postretirement</w:t>
      </w:r>
    </w:p>
    <w:p>
      <w:pPr>
        <w:spacing w:after="0" w:line="8"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liabilities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$108.1 $101.6</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Legal and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environmental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reserves 6.8</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8.2</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Restructuring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accruals 0.8</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Other 36.8</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13.9 ------ -</w:t>
      </w:r>
    </w:p>
    <w:p>
      <w:pPr>
        <w:spacing w:after="0" w:line="1" w:lineRule="exact"/>
        <w:rPr>
          <w:sz w:val="20"/>
          <w:szCs w:val="20"/>
          <w:color w:val="auto"/>
        </w:rPr>
      </w:pPr>
    </w:p>
    <w:p>
      <w:pPr>
        <w:ind w:left="700" w:hanging="562"/>
        <w:spacing w:after="0"/>
        <w:tabs>
          <w:tab w:leader="none" w:pos="70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$151.7 $124.5</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MARKETING AGREEMENT</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Effective September 30, 1998, the Company entered into an agreement with Monsanto Company ("Monsanto")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on commission rates that vary by threshold and program year.</w:t>
      </w:r>
    </w:p>
    <w:p>
      <w:pPr>
        <w:spacing w:after="0" w:line="174"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agreement also requires the Company to make fixed annual payments to Monsanto as a contribution against the overall expenses of the Roundup(R) business. The annual fixed payment is defined as $20 million. However, portions of the annual payments for the first three years of the agreement are deferred. No payment was required for the first year (fiscal 1999), a payment of $5 million was required for the second year and a payment of $15 million was required for the third year so that a total of $40 million of the contribution payments were deferred. Beginning in the fifth year of the agreement (fiscal 2003), the annual payments to Monsanto increase to at least $25 million, which include per annum interest charges at 8%. The annual payments may be increased above $25 million if certain significant earnings targets are exceeded. If all of the deferred contribution amounts are paid prior to 2018, the annual contribution payments revert to $20 million. Regardless of whether the deferred contribution amounts are paid, all contribution payments cease entirely in 2018.</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138" w:right="1440" w:bottom="1440" w:gutter="0" w:footer="0" w:header="0"/>
        </w:sectPr>
      </w:pPr>
    </w:p>
    <w:bookmarkStart w:id="90" w:name="page91"/>
    <w:bookmarkEnd w:id="90"/>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express terms of the agreement permit the Company to terminate the agreement only upon Material Breach, Material Fraud or Material Willful Misconduct by Monsanto, as such terms are defined in the agreement, or upon the sale of the Roundup(R) business by Monsanto. In such instances, the agreement permits the Company to avoid payment of any deferred contribution and related per annum charge. The Company's basis for not recording a financial liability to Monsanto for the deferred portions of the annual contribution and per annum charge is based on our assessment and 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18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192"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September 30, 2003, contribution payments and related per annum charges of approximately $49.2 million had been deferred under the agreement. This amount is considered a contingent obligation and has not been reflected in the financial statements as of and for the year then ended.</w:t>
      </w:r>
    </w:p>
    <w:p>
      <w:pPr>
        <w:spacing w:after="0" w:line="175"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Monsanto has disclosed that it is accruing the $20 million fixed contribution fee per year beginning in the fourth quarter of Monsanto's fiscal year 1998, plus interest on the deferred portion.</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the sale of the Roundup(R) business. The agreement provides the Company with the right to terminate the agreement in certain circumstances including an event of default by Monsanto or the sale of the Roundup(R) business. Unless Monsanto terminates the agreement for an event of default by the Company, Monsanto is required to pay a termination fee to the Company that varies by program year. The termination fee is $150 million for each of the first five program years, gradually declines to $100 million by year ten of the program and then declines to a minimum of $16 million if the program continues for years 11 through 20.</w:t>
      </w:r>
    </w:p>
    <w:p>
      <w:pPr>
        <w:spacing w:after="0" w:line="19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 consideration for the rights granted to the Company under the agreement for North America, the Company was required to pay a marketing fee of $32 million to Monsanto. The Company has deferred this amount on the basis that the payment will provide a future benefit through commissions that will be earned under the agreement and is amortizing the balance over ten years, which is the estimated likely term of the agreement.</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477" w:right="1440" w:bottom="1440" w:gutter="0" w:footer="0" w:header="0"/>
        </w:sectPr>
      </w:pPr>
    </w:p>
    <w:bookmarkStart w:id="91" w:name="page92"/>
    <w:bookmarkEnd w:id="91"/>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RESTRUCTURING AND OTHER CHARGES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 CHARGES</w:t>
      </w:r>
    </w:p>
    <w:p>
      <w:pPr>
        <w:spacing w:after="0" w:line="186"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During fiscal 2003, the Company recorded $17.1 million of restructuring and other charges.</w:t>
      </w:r>
    </w:p>
    <w:p>
      <w:pPr>
        <w:spacing w:after="0" w:line="188"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Costs of $5.3 million for warehouse lease buyouts and relocation of inventory associated with exiting certain warehouses in North America, and $3.8 million related to a plan to optimize our international supply chain were included in cost of sales. Severance and consulting costs of $5.3 million for the continued European integration efforts that began in the fourth quarter of fiscal 2002, and $2.7 million of administrative facility exit costs in North America were charged to selling, general and administrative expense. The severance costs incurred in fiscal 2003 are related to the reduction of 78 administrative and production employees.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CHARGES</w:t>
      </w:r>
    </w:p>
    <w:p>
      <w:pPr>
        <w:spacing w:after="0" w:line="186"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During fiscal 2002, the Company recorded $8.1 million of restructuring and other charges.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During the fourth quarter of fiscal 2002, the Company recorded $4.0 million of restructuring and other charges associated with reductions of headcount from the closure of a manufacturing facility in Bramford, England. This charge is included in selling, general and administrative costs in the Consolidated Statement of Operations and consists of severance and pension related costs. Closure of the Bramford facility was completed in May 2003 with the transfer of United Kingdom fertilizer production to our Howden, United Kingdom facility. Severance costs incurred in fiscal 2002 are related to the reduction of 37 administrative and production employees.</w:t>
      </w:r>
    </w:p>
    <w:p>
      <w:pPr>
        <w:spacing w:after="0" w:line="188"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Under accounting principles generally accepted in the United States of America, certain restructuring costs related to relocation of personnel, equipment and inventory are to be expensed in the period the costs are actually incurred. During fiscal 2002, inventory relocation costs of approximately $1.7 million were incurred and paid and were recorded as restructuring and other charges in cost of sales. Approximately $2.4 million of employee relocation and related costs were also incurred and paid in fiscal 2002 and were recorded as restructuring and other charges in operating expenses. These relocation charges related to a plan to optimize the North American supply chain that was initiated in the third and fourth quarters of fiscal 2001.</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 CHARGES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During the third and fourth quarters of fiscal 2001, the Company recorded $75.7 million of restructuring and other charges, primarily associated with reductions in headcount and the closure or relocation of certain manufacturing and administrative facilities. The $75.7 million in charges is segregated in the Consolidated Statements of Operations in two components: (i) $7.3 million included in cost of sales for the write-off of inventory that was rendered unusable as a result of the restructuring activities and (ii) $68.4 million included in selling, general and administrative costs. Included in the $68.4 million charge in selling, general and administrative costs is $20.4 million to write-down to fair value certain property and equipment and other assets; $5.8 million of facility exit costs; $27.0 million of severance costs; and $15.2 million in other restructuring and other costs. The severance costs related to the reduction in force initiatives, facility closures and consolidations in North America and Europe covered approximately 340 administrative, production, selling and other employees. Most severance costs were paid in fiscal 2002 with the balance substantially completed in 2003. All other fiscal 2001 restructuring related activities and costs were completed by the end of fiscal 2002.</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477" w:right="1440" w:bottom="1440" w:gutter="0" w:footer="0" w:header="0"/>
        </w:sectPr>
      </w:pPr>
    </w:p>
    <w:bookmarkStart w:id="92" w:name="page93"/>
    <w:bookmarkEnd w:id="92"/>
    <w:p>
      <w:pPr>
        <w:spacing w:after="0" w:line="3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following is a rollforward of the cash portion of the restructuring and other charges accrued in fiscal 2003, 2002 and 2001. The balance of the accrued charges at September 30, 2003 are included in accrued liabilities on the Consolidated Balance Sheets.</w:t>
      </w:r>
    </w:p>
    <w:p>
      <w:pPr>
        <w:spacing w:after="0" w:line="18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2002 2003 ---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Description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Type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5"/>
          <w:szCs w:val="15"/>
          <w:color w:val="auto"/>
        </w:rPr>
        <w:t>Classification</w:t>
      </w:r>
    </w:p>
    <w:p>
      <w:pPr>
        <w:spacing w:after="0" w:line="8"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Balance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Payment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Accrual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Balance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left="240" w:right="9139" w:firstLine="39"/>
        <w:spacing w:after="0" w:line="256" w:lineRule="auto"/>
        <w:tabs>
          <w:tab w:leader="none" w:pos="85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millions) Severance</w:t>
      </w:r>
    </w:p>
    <w:p>
      <w:pPr>
        <w:jc w:val="center"/>
        <w:ind w:right="8899"/>
        <w:spacing w:after="0" w:line="237" w:lineRule="auto"/>
        <w:rPr>
          <w:sz w:val="20"/>
          <w:szCs w:val="20"/>
          <w:color w:val="auto"/>
        </w:rPr>
      </w:pPr>
      <w:r>
        <w:rPr>
          <w:rFonts w:ascii="Courier New" w:cs="Courier New" w:eastAsia="Courier New" w:hAnsi="Courier New"/>
          <w:sz w:val="16"/>
          <w:szCs w:val="16"/>
          <w:color w:val="auto"/>
        </w:rPr>
        <w:t>Cash SG&amp;A $</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6.8 $(5.4)</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$0.2 $1.6</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Facility exit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costs Cash</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SG&amp;A 3.5</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(2.6) 0.9</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Other related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costs Cash</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SG&amp;A 1.7</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(1.3) 1.6 2.0</w:t>
      </w:r>
    </w:p>
    <w:p>
      <w:pPr>
        <w:spacing w:after="0" w:line="1" w:lineRule="exact"/>
        <w:rPr>
          <w:sz w:val="20"/>
          <w:szCs w:val="20"/>
          <w:color w:val="auto"/>
        </w:rPr>
      </w:pPr>
    </w:p>
    <w:p>
      <w:pPr>
        <w:ind w:left="620" w:hanging="577"/>
        <w:spacing w:after="0"/>
        <w:tabs>
          <w:tab w:leader="none" w:pos="62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660" w:hanging="381"/>
        <w:spacing w:after="0"/>
        <w:tabs>
          <w:tab w:leader="none" w:pos="660"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 cash</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$12.0 $(9.3)</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$1.8 $4.5</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 ====</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 ACQUISITIONS AND DIVESTITURES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During fiscal 2003, the Company's Scotts LawnService(R) segment acquired 22 individual lawn service entities for a total cost of $30.6 million. Of the total purchase price, $17.2 million was paid in cash, with notes being issued for the remaining $13.4 million. Goodwill attributable to the fiscal 2003 acquisitions was $22.3 million, of which $20.4 million was deductible for tax purposes. Other intangible assets, primarily customer accounts and non-compete agreements, of $6.2 million, and working capital and property, plant and equipment of $2.1 million were also recorded.</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Company's North American Consumer segment acquired two entities to enter the pottery business in fiscal 2003. The aggregate purchase price for these two entities was $3.2 million, all of which was paid in cash. Goodwill of $0.8 million pertaining to these acquisitions is tax deductible. Other intangible assets, primarily customer accounts of $1.0 million, and inventory of $1.4 million were also recorded.</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During fiscal 2002, the Company's Scotts LawnService(R) segment acquired 17 individual lawn service entities for a total cost of $54.8 million. Of this total, $33.9 million was paid in cash, with notes being issued for the remaining $20.9 million. Three of the entities acquired were responsible for approximately $44 million of the total acquisition costs. Goodwill related to these acquisitions of $42.7 million was recorded in fiscal 2002, all tax deductible. Other intangible assets of $8.7 million and working capital and property, plant and equipment of $3.4 million were also recorded.</w:t>
      </w:r>
    </w:p>
    <w:p>
      <w:pPr>
        <w:spacing w:after="0" w:line="187"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On January 1, 2001, the Company acquired the Substral(R) brand and consumer plant care business from Henkel KGaA. Substral(R) is a leading consumer fertilizer brand in many European countries including Germany, Austria, Belgium, France and the Nordics. Under the terms of the asset purchase agreement, the Company acquired specified working capital and intangible assets associated with the Substral(R) business. The final purchase price, determined based on the value of the assets acquired and the performance of the business for the period from June 15, 2000 to December 31, 2000, was $34.0 million.</w:t>
      </w:r>
    </w:p>
    <w:p>
      <w:pPr>
        <w:spacing w:after="0" w:line="176" w:lineRule="exact"/>
        <w:rPr>
          <w:sz w:val="20"/>
          <w:szCs w:val="20"/>
          <w:color w:val="auto"/>
        </w:rPr>
      </w:pPr>
    </w:p>
    <w:p>
      <w:pPr>
        <w:ind w:right="2659" w:firstLine="473"/>
        <w:spacing w:after="0" w:line="260" w:lineRule="auto"/>
        <w:rPr>
          <w:sz w:val="20"/>
          <w:szCs w:val="20"/>
          <w:color w:val="auto"/>
        </w:rPr>
      </w:pPr>
      <w:r>
        <w:rPr>
          <w:rFonts w:ascii="Courier New" w:cs="Courier New" w:eastAsia="Courier New" w:hAnsi="Courier New"/>
          <w:sz w:val="15"/>
          <w:szCs w:val="15"/>
          <w:color w:val="auto"/>
        </w:rPr>
        <w:t>The Substral(R) acquisition was made in exchange for cash and notes payable to seller and was accounted for under the purchase method of accounting. Accordingly, Substral's results have been included from the date of its acquisition and the purchase price has been allocated to the assets acquired and</w:t>
      </w:r>
    </w:p>
    <w:p>
      <w:pPr>
        <w:sectPr>
          <w:pgSz w:w="11900" w:h="16877" w:orient="portrait"/>
          <w:cols w:equalWidth="0" w:num="1">
            <w:col w:w="10219"/>
          </w:cols>
          <w:pgMar w:left="240" w:top="477" w:right="1440" w:bottom="0" w:gutter="0" w:footer="0" w:header="0"/>
        </w:sectPr>
      </w:pPr>
    </w:p>
    <w:bookmarkStart w:id="93" w:name="page94"/>
    <w:bookmarkEnd w:id="93"/>
    <w:p>
      <w:pPr>
        <w:ind w:right="2759"/>
        <w:spacing w:after="0" w:line="267" w:lineRule="auto"/>
        <w:rPr>
          <w:sz w:val="20"/>
          <w:szCs w:val="20"/>
          <w:color w:val="auto"/>
        </w:rPr>
      </w:pPr>
      <w:r>
        <w:rPr>
          <w:rFonts w:ascii="Courier New" w:cs="Courier New" w:eastAsia="Courier New" w:hAnsi="Courier New"/>
          <w:sz w:val="15"/>
          <w:szCs w:val="15"/>
          <w:color w:val="auto"/>
        </w:rPr>
        <w:t>liabilities assumed based on their estimated fair values at the date of acquisition. Intangible assets associated with the purchase were $34.0 million.</w:t>
      </w:r>
    </w:p>
    <w:p>
      <w:pPr>
        <w:spacing w:after="0" w:line="16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141" w:right="1440" w:bottom="1440" w:gutter="0" w:footer="0" w:header="0"/>
        </w:sectPr>
      </w:pPr>
    </w:p>
    <w:bookmarkStart w:id="94" w:name="page95"/>
    <w:bookmarkEnd w:id="94"/>
    <w:p>
      <w:pPr>
        <w:spacing w:after="0" w:line="3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ind w:right="2759" w:firstLine="473"/>
        <w:spacing w:after="0" w:line="260" w:lineRule="auto"/>
        <w:rPr>
          <w:sz w:val="20"/>
          <w:szCs w:val="20"/>
          <w:color w:val="auto"/>
        </w:rPr>
      </w:pPr>
      <w:r>
        <w:rPr>
          <w:rFonts w:ascii="Courier New" w:cs="Courier New" w:eastAsia="Courier New" w:hAnsi="Courier New"/>
          <w:sz w:val="15"/>
          <w:szCs w:val="15"/>
          <w:color w:val="auto"/>
        </w:rPr>
        <w:t>The following unaudited pro forma results of operations give effect to the fiscal 2002 and fiscal 2001 Scotts LawnService(R) acquisitions and Substral(R) brand acquisition as if they had occurred on October 1, 2000. The fiscal 2003 acquisitions were deemed immaterial to include in the table below.</w:t>
      </w:r>
    </w:p>
    <w:p>
      <w:pPr>
        <w:spacing w:after="0" w:line="16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Fiscal</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Year Ended</w:t>
      </w:r>
    </w:p>
    <w:p>
      <w:pPr>
        <w:spacing w:after="0" w:line="8"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520" w:hanging="476"/>
        <w:spacing w:after="0"/>
        <w:tabs>
          <w:tab w:leader="none" w:pos="52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2002</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2001 - ---</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except per</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data) Net</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sales</w:t>
      </w:r>
    </w:p>
    <w:p>
      <w:pPr>
        <w:spacing w:after="0" w:line="4" w:lineRule="exact"/>
        <w:rPr>
          <w:rFonts w:ascii="Courier New" w:cs="Courier New" w:eastAsia="Courier New" w:hAnsi="Courier New"/>
          <w:sz w:val="16"/>
          <w:szCs w:val="16"/>
          <w:color w:val="auto"/>
        </w:rPr>
      </w:pPr>
    </w:p>
    <w:p>
      <w:pPr>
        <w:jc w:val="center"/>
        <w:ind w:right="9279" w:firstLine="95"/>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$1,779.6 $1,726.5 Income before cumulative effect of accounting change 93.8 15.2 Net income 75.3 15.2 Basic earnings per share: Before cumulative effect of accounting change $ 3.20 $ .54 After cumulative effect of accounting change 2.57 .54 Diluted earnings per share: Before cumulative effect of accounting change $ 2.96 $ .50 After cumulative effect of accounting change 2.38 .50</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6. GOODWILL AND INTANGIBLE ASSETS, NET</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Effective October 1, 2001, Scotts adopted Statement of Financial Accounting Standards No. 142, "Goodwill and Other Intangible Assets". In accordance with this standard, goodwill and certain other intangible assets, primarily tradenames, have been classified as indefinite-lived assets no longer subject to amortization. Indefinite-lived assets are subject to impairment testing upon adoption of SFAS No. 142 and at least annually thereafter. The initial impairment analysis was completed in the second quarter of fiscal 2002, taking into account additional guidance provided by EITF 02-07, "Unit of Measure for Testing Impairment of Indefinite-Lived Intangible Assets". The value of all indefinite-lived tradenames as of October 1, 2001 was determined using a "royalty savings" methodology that was employed when the businesses associated with these tradenames were acquired but using updated estimates of sales and profitability. As a result, a pre-tax impairment loss of $29.8 million was recorded for the writedown of the value of the tradenames in our International</w:t>
      </w:r>
    </w:p>
    <w:p>
      <w:pPr>
        <w:sectPr>
          <w:pgSz w:w="11900" w:h="16870" w:orient="portrait"/>
          <w:cols w:equalWidth="0" w:num="1">
            <w:col w:w="10219"/>
          </w:cols>
          <w:pgMar w:left="240" w:top="477" w:right="1440" w:bottom="0" w:gutter="0" w:footer="0" w:header="0"/>
        </w:sectPr>
      </w:pPr>
    </w:p>
    <w:bookmarkStart w:id="95" w:name="page96"/>
    <w:bookmarkEnd w:id="95"/>
    <w:p>
      <w:pPr>
        <w:ind w:right="2659"/>
        <w:spacing w:after="0" w:line="259" w:lineRule="auto"/>
        <w:rPr>
          <w:sz w:val="20"/>
          <w:szCs w:val="20"/>
          <w:color w:val="auto"/>
        </w:rPr>
      </w:pPr>
      <w:r>
        <w:rPr>
          <w:rFonts w:ascii="Courier New" w:cs="Courier New" w:eastAsia="Courier New" w:hAnsi="Courier New"/>
          <w:sz w:val="15"/>
          <w:szCs w:val="15"/>
          <w:color w:val="auto"/>
        </w:rPr>
        <w:t>Consumer businesses in Germany, France and the United Kingdom. This transitional impairment charge was recorded as a cumulative effect of accounting change, net of tax, as of October 1, 2001. After completing this initial valuation and impairment of tradenames, an initial assessment for goodwill impairment was performed. It was determined that a goodwill impairment charge was not required.</w:t>
      </w:r>
    </w:p>
    <w:p>
      <w:pPr>
        <w:spacing w:after="0" w:line="174"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Intangible assets include patents, tradenames and other intangible assets which are valued at acquisition through independent appraisals where material, or through other valuation techniques. Patents, trademarks and other intangible assets are being amortized on a straight-line basis over periods varying from 7 to 40 years. The useful lives of intangible assets still subject to amortization were not revised as a result of the adoption of SFAS No. 142.</w:t>
      </w:r>
    </w:p>
    <w:p>
      <w:pPr>
        <w:spacing w:after="0" w:line="177"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Management assesses the recoverability of goodwill, tradenames and other intangible assets whenever events or changes in circumstances indicate that the carrying amount of an asset may not be recoverable from its discounted future cash flows. Goodwill and unamortizable intangible assets are reviewed for impairment at least annually. If it is determined that an impairment of intangile assets has occurred, an impairment loss is recognized for the amount by which the carrying value of the asset exceeds its estimated fair value.</w:t>
      </w:r>
    </w:p>
    <w:p>
      <w:pPr>
        <w:spacing w:after="0" w:line="176"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In the first quarter of fiscal 2003, the Company completed its annual impairment analysis and determined that a charge for annual impairment was not required.</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141" w:right="1440" w:bottom="1440" w:gutter="0" w:footer="0" w:header="0"/>
        </w:sectPr>
      </w:pPr>
    </w:p>
    <w:bookmarkStart w:id="96" w:name="page97"/>
    <w:bookmarkEnd w:id="96"/>
    <w:p>
      <w:pPr>
        <w:spacing w:after="0" w:line="4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The following table presents goodwill and intangible assets as of the end of each period presented. The September 30, 2002 balances reflect the impairment charge recorded as of October 1, 2001.</w:t>
      </w:r>
    </w:p>
    <w:p>
      <w:pPr>
        <w:spacing w:after="0" w:line="18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30, 2003</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30, 2002 ---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80" w:right="9099" w:hanging="91"/>
        <w:spacing w:after="0" w:line="256" w:lineRule="auto"/>
        <w:tabs>
          <w:tab w:leader="none" w:pos="369"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Gross Net Gross Net</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Average</w:t>
      </w:r>
    </w:p>
    <w:p>
      <w:pPr>
        <w:ind w:left="2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Carrying</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Accumulated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Carrying</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Carrying</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Accumulated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Carrying</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Life Amount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Amortization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Amount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Amount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Amortization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Amount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 millions)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Amortizable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intangible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assets: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Technology</w:t>
      </w:r>
    </w:p>
    <w:p>
      <w:pPr>
        <w:spacing w:after="0" w:line="5" w:lineRule="exact"/>
        <w:rPr>
          <w:sz w:val="20"/>
          <w:szCs w:val="20"/>
          <w:color w:val="auto"/>
        </w:rPr>
      </w:pPr>
    </w:p>
    <w:p>
      <w:pPr>
        <w:jc w:val="both"/>
        <w:ind w:left="140" w:right="9139" w:firstLine="91"/>
        <w:spacing w:after="0" w:line="256" w:lineRule="auto"/>
        <w:tabs>
          <w:tab w:leader="none" w:pos="51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$66.9 $(22.7) $ 44.2 $61.9 $(18.8) $</w:t>
      </w:r>
    </w:p>
    <w:p>
      <w:pPr>
        <w:ind w:left="4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43.1</w:t>
      </w:r>
    </w:p>
    <w:p>
      <w:pPr>
        <w:ind w:left="2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Customer</w:t>
      </w:r>
    </w:p>
    <w:p>
      <w:pPr>
        <w:spacing w:after="0" w:line="4" w:lineRule="exact"/>
        <w:rPr>
          <w:rFonts w:ascii="Courier New" w:cs="Courier New" w:eastAsia="Courier New" w:hAnsi="Courier New"/>
          <w:sz w:val="15"/>
          <w:szCs w:val="15"/>
          <w:color w:val="auto"/>
        </w:rPr>
      </w:pPr>
    </w:p>
    <w:p>
      <w:pPr>
        <w:jc w:val="both"/>
        <w:ind w:left="140" w:right="9139"/>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7 42.3 (6.0) 36.3 33.2 (3.5) 29.7 Tradenames</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16 11.3</w:t>
      </w: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(3.0) 8.3</w:t>
      </w:r>
    </w:p>
    <w:p>
      <w:pPr>
        <w:ind w:left="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11.3 (2.3)</w:t>
      </w: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3"/>
              </w:rPr>
              <w:t>54.6</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(37.9)</w:t>
            </w:r>
          </w:p>
        </w:tc>
      </w:tr>
      <w:tr>
        <w:trPr>
          <w:trHeight w:val="182"/>
        </w:trPr>
        <w:tc>
          <w:tcPr>
            <w:tcW w:w="1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16.7 50.6</w:t>
            </w:r>
          </w:p>
        </w:tc>
      </w:tr>
    </w:tbl>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(34.0) 16.6</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460" w:hanging="182"/>
        <w:spacing w:after="0"/>
        <w:tabs>
          <w:tab w:leader="none" w:pos="46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spacing w:after="0" w:line="4" w:lineRule="exact"/>
        <w:rPr>
          <w:rFonts w:ascii="Courier New" w:cs="Courier New" w:eastAsia="Courier New" w:hAnsi="Courier New"/>
          <w:sz w:val="16"/>
          <w:szCs w:val="16"/>
          <w:color w:val="auto"/>
        </w:rPr>
      </w:pPr>
    </w:p>
    <w:p>
      <w:pPr>
        <w:jc w:val="both"/>
        <w:ind w:left="80" w:right="909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amortizable intangible assets, net 105.5 98.4</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Unamortizable</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intangible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assets: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Tradenames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320.3 312.7</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Other 3.2</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3.1 ------ -</w:t>
      </w:r>
    </w:p>
    <w:p>
      <w:pPr>
        <w:spacing w:after="0" w:line="5" w:lineRule="exact"/>
        <w:rPr>
          <w:sz w:val="20"/>
          <w:szCs w:val="20"/>
          <w:color w:val="auto"/>
        </w:rPr>
      </w:pPr>
    </w:p>
    <w:p>
      <w:pPr>
        <w:jc w:val="right"/>
        <w:ind w:left="140" w:right="9099" w:hanging="51"/>
        <w:spacing w:after="0" w:line="256" w:lineRule="auto"/>
        <w:tabs>
          <w:tab w:leader="none" w:pos="66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intangible</w:t>
      </w:r>
    </w:p>
    <w:p>
      <w:pPr>
        <w:ind w:left="80"/>
        <w:spacing w:after="0" w:line="236" w:lineRule="auto"/>
        <w:rPr>
          <w:sz w:val="20"/>
          <w:szCs w:val="20"/>
          <w:color w:val="auto"/>
        </w:rPr>
      </w:pPr>
      <w:r>
        <w:rPr>
          <w:rFonts w:ascii="Courier New" w:cs="Courier New" w:eastAsia="Courier New" w:hAnsi="Courier New"/>
          <w:sz w:val="16"/>
          <w:szCs w:val="16"/>
          <w:color w:val="auto"/>
        </w:rPr>
        <w:t>assets, net</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429.0</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414.2</w:t>
            </w:r>
          </w:p>
        </w:tc>
      </w:tr>
      <w:tr>
        <w:trPr>
          <w:trHeight w:val="182"/>
        </w:trPr>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Goodwill</w:t>
            </w:r>
          </w:p>
        </w:tc>
      </w:tr>
      <w:tr>
        <w:trPr>
          <w:trHeight w:val="182"/>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406.5</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377.5</w:t>
            </w:r>
          </w:p>
        </w:tc>
      </w:tr>
    </w:tbl>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460" w:hanging="182"/>
        <w:spacing w:after="0"/>
        <w:tabs>
          <w:tab w:leader="none" w:pos="46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goodwill and</w:t>
      </w:r>
    </w:p>
    <w:p>
      <w:pPr>
        <w:spacing w:after="0" w:line="4" w:lineRule="exact"/>
        <w:rPr>
          <w:rFonts w:ascii="Courier New" w:cs="Courier New" w:eastAsia="Courier New" w:hAnsi="Courier New"/>
          <w:sz w:val="16"/>
          <w:szCs w:val="16"/>
          <w:color w:val="auto"/>
        </w:rPr>
      </w:pPr>
    </w:p>
    <w:p>
      <w:pPr>
        <w:jc w:val="both"/>
        <w:ind w:left="80" w:right="9099" w:firstLine="47"/>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intangible assets, net</w:t>
      </w:r>
    </w:p>
    <w:p>
      <w:pPr>
        <w:sectPr>
          <w:pgSz w:w="11900" w:h="16883" w:orient="portrait"/>
          <w:cols w:equalWidth="0" w:num="1">
            <w:col w:w="10219"/>
          </w:cols>
          <w:pgMar w:left="240" w:top="477" w:right="1440" w:bottom="0" w:gutter="0" w:footer="0" w:header="0"/>
        </w:sectPr>
      </w:pPr>
    </w:p>
    <w:bookmarkStart w:id="97" w:name="page98"/>
    <w:bookmarkEnd w:id="97"/>
    <w:p>
      <w:pPr>
        <w:ind w:left="320"/>
        <w:spacing w:after="0"/>
        <w:rPr>
          <w:sz w:val="20"/>
          <w:szCs w:val="20"/>
          <w:color w:val="auto"/>
        </w:rPr>
      </w:pPr>
      <w:r>
        <w:rPr>
          <w:rFonts w:ascii="Courier New" w:cs="Courier New" w:eastAsia="Courier New" w:hAnsi="Courier New"/>
          <w:sz w:val="16"/>
          <w:szCs w:val="16"/>
          <w:color w:val="auto"/>
        </w:rPr>
        <w:t>$835.5</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$791.7</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The changes to the net carrying value of goodwill by segment for the fiscal year ended September 30, 2003 are as follows (in millions):</w:t>
      </w:r>
    </w:p>
    <w:p>
      <w:pPr>
        <w:spacing w:after="0" w:line="184"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N.A. Scotts</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Global</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International</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Consumer</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LawnService(R)</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Professional</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Consumer Total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Balance</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as of September</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30, 2002 $178.3</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$68.5 $52.5 $78.2</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$377.5 Increases</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due to</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acquisitions 0.8</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22.3 23.1</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Reduction of</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final purchase of</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previous</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acquisition (1.6)</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(1.6) Other</w:t>
      </w:r>
    </w:p>
    <w:p>
      <w:pPr>
        <w:spacing w:after="0" w:line="5"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5"/>
          <w:szCs w:val="15"/>
          <w:color w:val="auto"/>
        </w:rPr>
        <w:t>(reclassifications</w:t>
      </w:r>
    </w:p>
    <w:p>
      <w:pPr>
        <w:spacing w:after="0" w:line="8"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and cumulative</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translation)</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(0.4) 0.6 7.3 7.5</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1" w:lineRule="exact"/>
        <w:rPr>
          <w:sz w:val="20"/>
          <w:szCs w:val="20"/>
          <w:color w:val="auto"/>
        </w:rPr>
      </w:pPr>
    </w:p>
    <w:p>
      <w:pPr>
        <w:ind w:left="380" w:hanging="196"/>
        <w:spacing w:after="0"/>
        <w:tabs>
          <w:tab w:leader="none" w:pos="38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4" w:lineRule="exact"/>
        <w:rPr>
          <w:rFonts w:ascii="Courier New" w:cs="Courier New" w:eastAsia="Courier New" w:hAnsi="Courier New"/>
          <w:sz w:val="16"/>
          <w:szCs w:val="16"/>
          <w:color w:val="auto"/>
        </w:rPr>
      </w:pPr>
    </w:p>
    <w:p>
      <w:pPr>
        <w:jc w:val="both"/>
        <w:ind w:left="240" w:right="875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Balance as of September 30,</w:t>
      </w:r>
    </w:p>
    <w:p>
      <w:pPr>
        <w:jc w:val="center"/>
        <w:ind w:right="8519"/>
        <w:spacing w:after="0" w:line="236" w:lineRule="auto"/>
        <w:rPr>
          <w:sz w:val="20"/>
          <w:szCs w:val="20"/>
          <w:color w:val="auto"/>
        </w:rPr>
      </w:pPr>
      <w:r>
        <w:rPr>
          <w:rFonts w:ascii="Courier New" w:cs="Courier New" w:eastAsia="Courier New" w:hAnsi="Courier New"/>
          <w:sz w:val="16"/>
          <w:szCs w:val="16"/>
          <w:color w:val="auto"/>
        </w:rPr>
        <w:t>2003 $177.1 $91.4</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$52.5 $85.5</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$406.5 ======</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 ===== =====</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following table represents a reconciliation of recorded net income to adjusted net income and related earnings per share data as if the provision of SFAS No. 142 relating to non-amortization of indefinite-lived intangible assets had been adopted as of the beginning of the earliest period presented. This presentation does not take into account the impairment charge, if any, that may have been recorded</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138" w:right="1440" w:bottom="1440" w:gutter="0" w:footer="0" w:header="0"/>
        </w:sectPr>
      </w:pPr>
    </w:p>
    <w:bookmarkStart w:id="98" w:name="page99"/>
    <w:bookmarkEnd w:id="98"/>
    <w:p>
      <w:pPr>
        <w:spacing w:after="0" w:line="2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if SFAS 142 had been adopted in the earlier periods presented. Basic and diluted earnings per share would have been $3.44 and $3.19, respectively in fiscal 2002 excluding the impairment charge.</w:t>
      </w:r>
    </w:p>
    <w:p>
      <w:pPr>
        <w:spacing w:after="0" w:line="18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year 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30, 2001 -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660" w:hanging="383"/>
        <w:spacing w:after="0"/>
        <w:tabs>
          <w:tab w:leader="none" w:pos="66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except per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share data)</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Net income</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Reported</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net income</w:t>
      </w:r>
    </w:p>
    <w:p>
      <w:pPr>
        <w:spacing w:after="0" w:line="1" w:lineRule="exact"/>
        <w:rPr>
          <w:sz w:val="20"/>
          <w:szCs w:val="20"/>
          <w:color w:val="auto"/>
        </w:rPr>
      </w:pPr>
    </w:p>
    <w:p>
      <w:pPr>
        <w:ind w:left="460" w:hanging="183"/>
        <w:spacing w:after="0"/>
        <w:tabs>
          <w:tab w:leader="none" w:pos="46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15.5</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Goodwill</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amortization</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11.2</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Tradename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amortization</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10.1 Taxes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(4.7) -----</w:t>
      </w:r>
    </w:p>
    <w:p>
      <w:pPr>
        <w:spacing w:after="0" w:line="1" w:lineRule="exact"/>
        <w:rPr>
          <w:sz w:val="20"/>
          <w:szCs w:val="20"/>
          <w:color w:val="auto"/>
        </w:rPr>
      </w:pPr>
    </w:p>
    <w:p>
      <w:pPr>
        <w:ind w:left="520" w:hanging="196"/>
        <w:spacing w:after="0"/>
        <w:tabs>
          <w:tab w:leader="none" w:pos="52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income as</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32.1 ======</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Basic EPS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net income</w:t>
      </w:r>
    </w:p>
    <w:p>
      <w:pPr>
        <w:spacing w:after="0" w:line="1" w:lineRule="exact"/>
        <w:rPr>
          <w:sz w:val="20"/>
          <w:szCs w:val="20"/>
          <w:color w:val="auto"/>
        </w:rPr>
      </w:pPr>
    </w:p>
    <w:p>
      <w:pPr>
        <w:ind w:left="460" w:hanging="183"/>
        <w:spacing w:after="0"/>
        <w:tabs>
          <w:tab w:leader="none" w:pos="46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0.55</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Goodwill</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amortization</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.39</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Tradename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amortization</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.36 Taxes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(0.17) ----</w:t>
      </w:r>
    </w:p>
    <w:p>
      <w:pPr>
        <w:spacing w:after="0" w:line="1" w:lineRule="exact"/>
        <w:rPr>
          <w:sz w:val="20"/>
          <w:szCs w:val="20"/>
          <w:color w:val="auto"/>
        </w:rPr>
      </w:pPr>
    </w:p>
    <w:p>
      <w:pPr>
        <w:ind w:left="560" w:hanging="283"/>
        <w:spacing w:after="0"/>
        <w:tabs>
          <w:tab w:leader="none" w:pos="56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income as</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1.13 ======</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Diluted EPS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net income</w:t>
      </w:r>
    </w:p>
    <w:p>
      <w:pPr>
        <w:spacing w:after="0" w:line="1" w:lineRule="exact"/>
        <w:rPr>
          <w:sz w:val="20"/>
          <w:szCs w:val="20"/>
          <w:color w:val="auto"/>
        </w:rPr>
      </w:pPr>
    </w:p>
    <w:p>
      <w:pPr>
        <w:ind w:left="460" w:hanging="183"/>
        <w:spacing w:after="0"/>
        <w:tabs>
          <w:tab w:leader="none" w:pos="46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0.51</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Goodwill</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amortization</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.37</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Tradename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amortization</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.33 Taxes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(0.16) ----</w:t>
      </w:r>
    </w:p>
    <w:p>
      <w:pPr>
        <w:spacing w:after="0" w:line="1" w:lineRule="exact"/>
        <w:rPr>
          <w:sz w:val="20"/>
          <w:szCs w:val="20"/>
          <w:color w:val="auto"/>
        </w:rPr>
      </w:pPr>
    </w:p>
    <w:p>
      <w:pPr>
        <w:ind w:left="560" w:hanging="283"/>
        <w:spacing w:after="0"/>
        <w:tabs>
          <w:tab w:leader="none" w:pos="56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income as</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1.05 ======</w:t>
      </w:r>
    </w:p>
    <w:p>
      <w:pPr>
        <w:spacing w:after="0" w:line="368"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The total amortization expense for the years ended September 30, 2003, 2002 and 2001 was $8.6 million, $5.7 million and $27.7 million, respectively.</w:t>
      </w:r>
    </w:p>
    <w:p>
      <w:pPr>
        <w:spacing w:after="0" w:line="188" w:lineRule="exact"/>
        <w:rPr>
          <w:sz w:val="20"/>
          <w:szCs w:val="20"/>
          <w:color w:val="auto"/>
        </w:rPr>
      </w:pPr>
    </w:p>
    <w:p>
      <w:pPr>
        <w:ind w:right="3119" w:firstLine="473"/>
        <w:spacing w:after="0" w:line="237" w:lineRule="auto"/>
        <w:rPr>
          <w:sz w:val="20"/>
          <w:szCs w:val="20"/>
          <w:color w:val="auto"/>
        </w:rPr>
      </w:pPr>
      <w:r>
        <w:rPr>
          <w:rFonts w:ascii="Courier New" w:cs="Courier New" w:eastAsia="Courier New" w:hAnsi="Courier New"/>
          <w:sz w:val="16"/>
          <w:szCs w:val="16"/>
          <w:color w:val="auto"/>
        </w:rPr>
        <w:t>Estimated amortization expense for the existing amortizable intangible assets for the years ended September 30, is as follows:</w:t>
      </w:r>
    </w:p>
    <w:p>
      <w:pPr>
        <w:spacing w:after="0" w:line="184" w:lineRule="exact"/>
        <w:rPr>
          <w:sz w:val="20"/>
          <w:szCs w:val="20"/>
          <w:color w:val="auto"/>
        </w:rPr>
      </w:pPr>
    </w:p>
    <w:p>
      <w:pPr>
        <w:ind w:left="240" w:hanging="197"/>
        <w:spacing w:after="0"/>
        <w:tabs>
          <w:tab w:leader="none" w:pos="24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2004</w:t>
      </w:r>
    </w:p>
    <w:p>
      <w:pPr>
        <w:sectPr>
          <w:pgSz w:w="11900" w:h="16864" w:orient="portrait"/>
          <w:cols w:equalWidth="0" w:num="1">
            <w:col w:w="10219"/>
          </w:cols>
          <w:pgMar w:left="240" w:top="477" w:right="1440" w:bottom="0" w:gutter="0" w:footer="0" w:header="0"/>
        </w:sectPr>
      </w:pPr>
    </w:p>
    <w:bookmarkStart w:id="99" w:name="page100"/>
    <w:bookmarkEnd w:id="99"/>
    <w:p>
      <w:pPr>
        <w:jc w:val="center"/>
        <w:ind w:right="9379"/>
        <w:spacing w:after="0"/>
        <w:rPr>
          <w:sz w:val="20"/>
          <w:szCs w:val="20"/>
          <w:color w:val="auto"/>
        </w:rPr>
      </w:pPr>
      <w:r>
        <w:rPr>
          <w:rFonts w:ascii="Courier New" w:cs="Courier New" w:eastAsia="Courier New" w:hAnsi="Courier New"/>
          <w:sz w:val="16"/>
          <w:szCs w:val="16"/>
          <w:color w:val="auto"/>
        </w:rPr>
        <w:t>$9.6</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2005 9.2</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2006 8.9</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2007 8.6</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2008 8.6</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7. RETIREMENT PLANS</w:t>
      </w:r>
    </w:p>
    <w:p>
      <w:pPr>
        <w:spacing w:after="0" w:line="186"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The Company offers a defined contribution profit sharing and 401(k) plan for substantially all U.S. employees. The majority of full and part-time employees may participate in the plan on the first day of the month after being hired, with a portion of the workforce being required to wait 60 days and until the first of the next month. The plan allows participants to contribute up to 75% of their compensation in the form of pre-tax contributions, not to exceed the annual Internal Revenue Service (IRS) maximum deferral amount. The Company provides a matching contribution equivalent to 100% of participants' initial</w:t>
      </w:r>
    </w:p>
    <w:p>
      <w:pPr>
        <w:spacing w:after="0" w:line="17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19"/>
          </w:cols>
          <w:pgMar w:left="240" w:top="138" w:right="1440" w:bottom="1440" w:gutter="0" w:footer="0" w:header="0"/>
        </w:sectPr>
      </w:pPr>
    </w:p>
    <w:bookmarkStart w:id="100" w:name="page101"/>
    <w:bookmarkEnd w:id="100"/>
    <w:p>
      <w:pPr>
        <w:ind w:left="180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ind w:left="3" w:right="2659"/>
        <w:spacing w:after="0"/>
        <w:rPr>
          <w:sz w:val="20"/>
          <w:szCs w:val="20"/>
          <w:color w:val="auto"/>
        </w:rPr>
      </w:pPr>
      <w:r>
        <w:rPr>
          <w:rFonts w:ascii="Courier New" w:cs="Courier New" w:eastAsia="Courier New" w:hAnsi="Courier New"/>
          <w:sz w:val="16"/>
          <w:szCs w:val="16"/>
          <w:color w:val="auto"/>
        </w:rPr>
        <w:t>3% contribution and 50% of the participants' remaining contribution up to 5%. Participants are immediately vested in employee contributions, the Company's matching contributions and the investment return on those monies. The Company also provides a base contribution to employees' accounts regardless of whether employees are active in the plan. The base contribution is 2% of compensation up to 50% of the Social Security taxable wage base plus 4% of compensation in excess of 50% of the Social Security taxable wage base. Domestic employees of the Company are eligible to receive base contributions on the first day of the month following the date of hire with a portion of the workforce eligible to receive base contributions on the first day of the month after completing one year of service. Participants become fully vested in the Company's base contribution after three years of service. The Company recorded charges of $9.6 million, $7.3 million and $10.3 million under the plan in fiscal 2003, 2002 and 2001, respectively.</w:t>
      </w:r>
    </w:p>
    <w:p>
      <w:pPr>
        <w:spacing w:after="0" w:line="191"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In conjunction with the decision to offer the expanded defined contribution profit sharing and 401(k) plan to domestic Company associates, management decided to freeze benefits under certain defined benefit pension plans as of December 31, 1997. These pension plans covered substantially all full-time U.S. associates who had completed one year of eligible service and reached the age of</w:t>
      </w:r>
    </w:p>
    <w:p>
      <w:pPr>
        <w:spacing w:after="0" w:line="3" w:lineRule="exact"/>
        <w:rPr>
          <w:sz w:val="20"/>
          <w:szCs w:val="20"/>
          <w:color w:val="auto"/>
        </w:rPr>
      </w:pPr>
    </w:p>
    <w:p>
      <w:pPr>
        <w:ind w:left="3" w:right="2759" w:hanging="3"/>
        <w:spacing w:after="0" w:line="258" w:lineRule="auto"/>
        <w:tabs>
          <w:tab w:leader="none" w:pos="381"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benefits under these plans are based on years of service and the associates' average final compensation or stated amounts. The Company's funding policy, consistent with statutory requirements and tax considerations, is based on actuarial computations using the Projected Unit Credit method. The Company also curtailed its non-qualified supplemental pension plan which provides for incremental pension payments from the Company so that total pension payments equal amounts that would have been payable from the Company's pension plans if it were not for limitations imposed by income tax regulations.</w:t>
      </w:r>
    </w:p>
    <w:p>
      <w:pPr>
        <w:spacing w:after="0" w:line="17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The Company also sponsors the following pension plans associated with the international businesses it has acquired: Scotts International BV, ASEF BV (Netherlands), The Scotts Company (United Kingdom) Ltd., Miracle Garden Care, Scotts France SAS, Scotts Celaflor GmbH (Germany) and Scotts Celaflor HG (Austria). These plans generally cover all associates of the respective businesses and retirement benefits are generally based on years of service and compensation levels. The pension plans for Scotts International BV, ASEF BV (Netherlands), The Scotts Company (United Kingdom) Ltd., and Miracle Garden Care are funded plans. The remaining international pension plans are not funded by separately held plan assets.</w:t>
      </w:r>
    </w:p>
    <w:p>
      <w:pPr>
        <w:spacing w:after="0" w:line="188" w:lineRule="exact"/>
        <w:rPr>
          <w:sz w:val="20"/>
          <w:szCs w:val="20"/>
          <w:color w:val="auto"/>
        </w:rPr>
      </w:pPr>
    </w:p>
    <w:p>
      <w:pPr>
        <w:ind w:left="3" w:right="2939" w:firstLine="473"/>
        <w:spacing w:after="0" w:line="239" w:lineRule="auto"/>
        <w:rPr>
          <w:sz w:val="20"/>
          <w:szCs w:val="20"/>
          <w:color w:val="auto"/>
        </w:rPr>
      </w:pPr>
      <w:r>
        <w:rPr>
          <w:rFonts w:ascii="Courier New" w:cs="Courier New" w:eastAsia="Courier New" w:hAnsi="Courier New"/>
          <w:sz w:val="16"/>
          <w:szCs w:val="16"/>
          <w:color w:val="auto"/>
        </w:rPr>
        <w:t>In connection with reduction in force initiatives implemented in fiscal 2001, curtailment (gains) or losses of ($0.2) million and $2.7 million were recorded as components of restructuring expense for the international and domestic defined benefit pension plans, respectively. In connection with the closure of a manufacturing plant in Bramford, England, completed in May 2003, special termination benefits of $1.5 million were recorded as a component of restructuring expense in September 2002.</w:t>
      </w:r>
    </w:p>
    <w:p>
      <w:pPr>
        <w:spacing w:after="0" w:line="188"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22"/>
          </w:cols>
          <w:pgMar w:left="237" w:top="477" w:right="1440" w:bottom="1440" w:gutter="0" w:footer="0" w:header="0"/>
        </w:sectPr>
      </w:pPr>
    </w:p>
    <w:bookmarkStart w:id="101" w:name="page102"/>
    <w:bookmarkEnd w:id="101"/>
    <w:p>
      <w:pPr>
        <w:spacing w:after="0" w:line="26"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The following tables present information about benefit obligations, plan assets, annual expense and other assumptions about the Company's defined benefit pension plans (in millions):</w:t>
      </w:r>
    </w:p>
    <w:p>
      <w:pPr>
        <w:spacing w:after="0" w:line="18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Curtailed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Curtailed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Defined</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International</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Supplemental</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Benefit Plan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Benefit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Plans Plan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520" w:hanging="478"/>
        <w:spacing w:after="0"/>
        <w:tabs>
          <w:tab w:leader="none" w:pos="52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600" w:hanging="369"/>
        <w:spacing w:after="0"/>
        <w:tabs>
          <w:tab w:leader="none" w:pos="600"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2003</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2002 2003</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2002 2003</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2002 -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CHANGE IN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BENEFIT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OBLIGATION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Benefit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obligation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at beginning</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of year $</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77.0</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$ 67.2</w:t>
            </w:r>
          </w:p>
        </w:tc>
      </w:tr>
      <w:tr>
        <w:trPr>
          <w:trHeight w:val="182"/>
        </w:trPr>
        <w:tc>
          <w:tcPr>
            <w:tcW w:w="8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5"/>
              </w:rPr>
              <w:t>$ 101.2</w:t>
            </w:r>
          </w:p>
        </w:tc>
        <w:tc>
          <w:tcPr>
            <w:tcW w:w="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r>
      <w:tr>
        <w:trPr>
          <w:trHeight w:val="182"/>
        </w:trPr>
        <w:tc>
          <w:tcPr>
            <w:tcW w:w="420" w:type="dxa"/>
            <w:vAlign w:val="bottom"/>
          </w:tcPr>
          <w:p>
            <w:pPr>
              <w:spacing w:after="0"/>
              <w:rPr>
                <w:sz w:val="20"/>
                <w:szCs w:val="20"/>
                <w:color w:val="auto"/>
              </w:rPr>
            </w:pPr>
            <w:r>
              <w:rPr>
                <w:rFonts w:ascii="Courier New" w:cs="Courier New" w:eastAsia="Courier New" w:hAnsi="Courier New"/>
                <w:sz w:val="16"/>
                <w:szCs w:val="16"/>
                <w:color w:val="auto"/>
              </w:rPr>
              <w:t>76.1</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$ 2.0 $</w:t>
            </w:r>
          </w:p>
        </w:tc>
      </w:tr>
      <w:tr>
        <w:trPr>
          <w:trHeight w:val="182"/>
        </w:trPr>
        <w:tc>
          <w:tcPr>
            <w:tcW w:w="11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8"/>
              </w:rPr>
              <w:t>1.9 Service</w:t>
            </w:r>
          </w:p>
        </w:tc>
      </w:tr>
      <w:tr>
        <w:trPr>
          <w:trHeight w:val="182"/>
        </w:trPr>
        <w:tc>
          <w:tcPr>
            <w:tcW w:w="800" w:type="dxa"/>
            <w:vAlign w:val="bottom"/>
            <w:gridSpan w:val="2"/>
          </w:tcPr>
          <w:p>
            <w:pPr>
              <w:spacing w:after="0"/>
              <w:rPr>
                <w:sz w:val="20"/>
                <w:szCs w:val="20"/>
                <w:color w:val="auto"/>
              </w:rPr>
            </w:pPr>
            <w:r>
              <w:rPr>
                <w:rFonts w:ascii="Courier New" w:cs="Courier New" w:eastAsia="Courier New" w:hAnsi="Courier New"/>
                <w:sz w:val="16"/>
                <w:szCs w:val="16"/>
                <w:color w:val="auto"/>
              </w:rPr>
              <w:t>cost 4.0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2"/>
        </w:trPr>
        <w:tc>
          <w:tcPr>
            <w:tcW w:w="11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6"/>
              </w:rPr>
              <w:t>Interest</w:t>
            </w:r>
          </w:p>
        </w:tc>
      </w:tr>
      <w:tr>
        <w:trPr>
          <w:trHeight w:val="182"/>
        </w:trPr>
        <w:tc>
          <w:tcPr>
            <w:tcW w:w="800" w:type="dxa"/>
            <w:vAlign w:val="bottom"/>
            <w:gridSpan w:val="2"/>
          </w:tcPr>
          <w:p>
            <w:pPr>
              <w:spacing w:after="0"/>
              <w:rPr>
                <w:sz w:val="20"/>
                <w:szCs w:val="20"/>
                <w:color w:val="auto"/>
              </w:rPr>
            </w:pPr>
            <w:r>
              <w:rPr>
                <w:rFonts w:ascii="Courier New" w:cs="Courier New" w:eastAsia="Courier New" w:hAnsi="Courier New"/>
                <w:sz w:val="16"/>
                <w:szCs w:val="16"/>
                <w:color w:val="auto"/>
              </w:rPr>
              <w:t>cost 4.9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2"/>
        </w:trPr>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5.8</w:t>
            </w:r>
          </w:p>
        </w:tc>
        <w:tc>
          <w:tcPr>
            <w:tcW w:w="380" w:type="dxa"/>
            <w:vAlign w:val="bottom"/>
          </w:tcPr>
          <w:p>
            <w:pPr>
              <w:jc w:val="center"/>
              <w:ind w:right="1"/>
              <w:spacing w:after="0"/>
              <w:rPr>
                <w:sz w:val="20"/>
                <w:szCs w:val="20"/>
                <w:color w:val="auto"/>
              </w:rPr>
            </w:pPr>
            <w:r>
              <w:rPr>
                <w:rFonts w:ascii="Courier New" w:cs="Courier New" w:eastAsia="Courier New" w:hAnsi="Courier New"/>
                <w:sz w:val="16"/>
                <w:szCs w:val="16"/>
                <w:color w:val="auto"/>
              </w:rPr>
              <w:t>4.5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0.1</w:t>
            </w:r>
          </w:p>
        </w:tc>
      </w:tr>
      <w:tr>
        <w:trPr>
          <w:trHeight w:val="182"/>
        </w:trPr>
        <w:tc>
          <w:tcPr>
            <w:tcW w:w="11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6"/>
              </w:rPr>
              <w:t>0.1 Plan</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participants'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contributions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0.7 0.7</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Curtailment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loss 1.5</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Actuarial</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loss 9.7 9.6</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0"/>
              </w:rPr>
              <w:t>1.5</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12.0</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r>
      <w:tr>
        <w:trPr>
          <w:trHeight w:val="182"/>
        </w:trPr>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0"/>
              </w:rPr>
              <w:t>0.2</w:t>
            </w:r>
          </w:p>
        </w:tc>
        <w:tc>
          <w:tcPr>
            <w:tcW w:w="8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Benefits</w:t>
            </w:r>
          </w:p>
        </w:tc>
      </w:tr>
      <w:tr>
        <w:trPr>
          <w:trHeight w:val="182"/>
        </w:trPr>
        <w:tc>
          <w:tcPr>
            <w:tcW w:w="114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paid (5.0)</w:t>
            </w:r>
          </w:p>
        </w:tc>
      </w:tr>
      <w:tr>
        <w:trPr>
          <w:trHeight w:val="182"/>
        </w:trPr>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(4.9)</w:t>
            </w:r>
          </w:p>
        </w:tc>
        <w:tc>
          <w:tcPr>
            <w:tcW w:w="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2"/>
        </w:trPr>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(3.1)</w:t>
            </w:r>
          </w:p>
        </w:tc>
        <w:tc>
          <w:tcPr>
            <w:tcW w:w="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(0.2)</w:t>
            </w:r>
          </w:p>
        </w:tc>
      </w:tr>
      <w:tr>
        <w:trPr>
          <w:trHeight w:val="182"/>
        </w:trPr>
        <w:tc>
          <w:tcPr>
            <w:tcW w:w="30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(0.2)</w:t>
            </w:r>
          </w:p>
        </w:tc>
        <w:tc>
          <w:tcPr>
            <w:tcW w:w="320" w:type="dxa"/>
            <w:vAlign w:val="bottom"/>
          </w:tcPr>
          <w:p>
            <w:pPr>
              <w:spacing w:after="0"/>
              <w:rPr>
                <w:sz w:val="15"/>
                <w:szCs w:val="15"/>
                <w:color w:val="auto"/>
              </w:rPr>
            </w:pPr>
          </w:p>
        </w:tc>
      </w:tr>
      <w:tr>
        <w:trPr>
          <w:trHeight w:val="182"/>
        </w:trPr>
        <w:tc>
          <w:tcPr>
            <w:tcW w:w="1140" w:type="dxa"/>
            <w:vAlign w:val="bottom"/>
            <w:gridSpan w:val="4"/>
          </w:tcPr>
          <w:p>
            <w:pPr>
              <w:jc w:val="right"/>
              <w:ind w:right="161"/>
              <w:spacing w:after="0"/>
              <w:rPr>
                <w:sz w:val="20"/>
                <w:szCs w:val="20"/>
                <w:color w:val="auto"/>
              </w:rPr>
            </w:pPr>
            <w:r>
              <w:rPr>
                <w:rFonts w:ascii="Courier New" w:cs="Courier New" w:eastAsia="Courier New" w:hAnsi="Courier New"/>
                <w:sz w:val="16"/>
                <w:szCs w:val="16"/>
                <w:color w:val="auto"/>
              </w:rPr>
              <w:t>Foreign</w:t>
            </w:r>
          </w:p>
        </w:tc>
      </w:tr>
    </w:tbl>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currency</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translation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9.6 6.4 ----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1" w:lineRule="exact"/>
        <w:rPr>
          <w:sz w:val="20"/>
          <w:szCs w:val="20"/>
          <w:color w:val="auto"/>
        </w:rPr>
      </w:pPr>
    </w:p>
    <w:p>
      <w:pPr>
        <w:ind w:left="600" w:hanging="558"/>
        <w:spacing w:after="0"/>
        <w:tabs>
          <w:tab w:leader="none" w:pos="60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Benefit</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 end of</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year $ 86.6</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$ 77.0 $</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119.0 $</w:t>
      </w:r>
    </w:p>
    <w:p>
      <w:pPr>
        <w:spacing w:after="0" w:line="4" w:lineRule="exact"/>
        <w:rPr>
          <w:rFonts w:ascii="Courier New" w:cs="Courier New" w:eastAsia="Courier New" w:hAnsi="Courier New"/>
          <w:sz w:val="16"/>
          <w:szCs w:val="16"/>
          <w:color w:val="auto"/>
        </w:rPr>
      </w:pPr>
    </w:p>
    <w:p>
      <w:pPr>
        <w:jc w:val="both"/>
        <w:ind w:left="40" w:right="9039" w:firstLine="47"/>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101.2 $ 2.1 $ 2.0 ======</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660" w:hanging="571"/>
        <w:spacing w:after="0"/>
        <w:tabs>
          <w:tab w:leader="none" w:pos="660" w:val="left"/>
        </w:tabs>
        <w:numPr>
          <w:ilvl w:val="1"/>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PLAN ASSETS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Fair value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of plan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assets at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beginning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year 49.8</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56.9 51.0</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51.8 Actual</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return 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plan assets</w:t>
      </w:r>
    </w:p>
    <w:p>
      <w:pPr>
        <w:sectPr>
          <w:pgSz w:w="11900" w:h="16864" w:orient="portrait"/>
          <w:cols w:equalWidth="0" w:num="1">
            <w:col w:w="10219"/>
          </w:cols>
          <w:pgMar w:left="240" w:top="477" w:right="1440" w:bottom="0" w:gutter="0" w:footer="0" w:header="0"/>
        </w:sectPr>
      </w:pPr>
    </w:p>
    <w:bookmarkStart w:id="102" w:name="page103"/>
    <w:bookmarkEnd w:id="102"/>
    <w:p>
      <w:pPr>
        <w:spacing w:after="0" w:line="42"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7.7</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2"/>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6.1</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bl>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Employer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contribution</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7"/>
              </w:rPr>
              <w:t>6.7</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4.0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5.2</w:t>
            </w:r>
          </w:p>
        </w:tc>
      </w:tr>
      <w:tr>
        <w:trPr>
          <w:trHeight w:val="182"/>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7"/>
              </w:rPr>
              <w:t>3.7</w:t>
            </w: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0.2</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0.1</w:t>
            </w:r>
          </w:p>
        </w:tc>
      </w:tr>
      <w:tr>
        <w:trPr>
          <w:trHeight w:val="182"/>
        </w:trPr>
        <w:tc>
          <w:tcPr>
            <w:tcW w:w="32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w w:val="98"/>
              </w:rPr>
              <w:t>Plan</w:t>
            </w:r>
          </w:p>
        </w:tc>
        <w:tc>
          <w:tcPr>
            <w:tcW w:w="300" w:type="dxa"/>
            <w:vAlign w:val="bottom"/>
          </w:tcPr>
          <w:p>
            <w:pPr>
              <w:spacing w:after="0"/>
              <w:rPr>
                <w:sz w:val="15"/>
                <w:szCs w:val="15"/>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contributions</w:t>
      </w:r>
    </w:p>
    <w:p>
      <w:pPr>
        <w:spacing w:after="0" w:line="8"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0.7</w:t>
            </w:r>
          </w:p>
        </w:tc>
        <w:tc>
          <w:tcPr>
            <w:tcW w:w="520" w:type="dxa"/>
            <w:vAlign w:val="bottom"/>
          </w:tcPr>
          <w:p>
            <w:pPr>
              <w:ind w:left="60"/>
              <w:spacing w:after="0"/>
              <w:rPr>
                <w:sz w:val="20"/>
                <w:szCs w:val="20"/>
                <w:color w:val="auto"/>
              </w:rPr>
            </w:pPr>
            <w:r>
              <w:rPr>
                <w:rFonts w:ascii="Courier New" w:cs="Courier New" w:eastAsia="Courier New" w:hAnsi="Courier New"/>
                <w:sz w:val="16"/>
                <w:szCs w:val="16"/>
                <w:color w:val="auto"/>
              </w:rPr>
              <w:t>0.7</w:t>
            </w:r>
          </w:p>
        </w:tc>
      </w:tr>
      <w:tr>
        <w:trPr>
          <w:trHeight w:val="182"/>
        </w:trPr>
        <w:tc>
          <w:tcPr>
            <w:tcW w:w="10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6"/>
              </w:rPr>
              <w:t>Benefits</w:t>
            </w:r>
          </w:p>
        </w:tc>
      </w:tr>
      <w:tr>
        <w:trPr>
          <w:trHeight w:val="182"/>
        </w:trPr>
        <w:tc>
          <w:tcPr>
            <w:tcW w:w="10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paid (5.0)</w:t>
            </w:r>
          </w:p>
        </w:tc>
      </w:tr>
      <w:tr>
        <w:trPr>
          <w:trHeight w:val="182"/>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(4.9)</w:t>
            </w:r>
          </w:p>
        </w:tc>
        <w:tc>
          <w:tcPr>
            <w:tcW w:w="520" w:type="dxa"/>
            <w:vAlign w:val="bottom"/>
          </w:tcPr>
          <w:p>
            <w:pPr>
              <w:ind w:left="60"/>
              <w:spacing w:after="0"/>
              <w:rPr>
                <w:sz w:val="20"/>
                <w:szCs w:val="20"/>
                <w:color w:val="auto"/>
              </w:rPr>
            </w:pPr>
            <w:r>
              <w:rPr>
                <w:rFonts w:ascii="Courier New" w:cs="Courier New" w:eastAsia="Courier New" w:hAnsi="Courier New"/>
                <w:sz w:val="16"/>
                <w:szCs w:val="16"/>
                <w:color w:val="auto"/>
                <w:w w:val="91"/>
              </w:rPr>
              <w:t>(3.8)</w:t>
            </w:r>
          </w:p>
        </w:tc>
      </w:tr>
      <w:tr>
        <w:trPr>
          <w:trHeight w:val="182"/>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(3.1)</w:t>
            </w:r>
          </w:p>
        </w:tc>
        <w:tc>
          <w:tcPr>
            <w:tcW w:w="520" w:type="dxa"/>
            <w:vAlign w:val="bottom"/>
          </w:tcPr>
          <w:p>
            <w:pPr>
              <w:ind w:left="60"/>
              <w:spacing w:after="0"/>
              <w:rPr>
                <w:sz w:val="20"/>
                <w:szCs w:val="20"/>
                <w:color w:val="auto"/>
              </w:rPr>
            </w:pPr>
            <w:r>
              <w:rPr>
                <w:rFonts w:ascii="Courier New" w:cs="Courier New" w:eastAsia="Courier New" w:hAnsi="Courier New"/>
                <w:sz w:val="16"/>
                <w:szCs w:val="16"/>
                <w:color w:val="auto"/>
                <w:w w:val="91"/>
              </w:rPr>
              <w:t>(0.2)</w:t>
            </w:r>
          </w:p>
        </w:tc>
      </w:tr>
    </w:tbl>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(0.1)</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Foreign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currency</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translation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4.4 3.1 ----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1" w:lineRule="exact"/>
        <w:rPr>
          <w:sz w:val="20"/>
          <w:szCs w:val="20"/>
          <w:color w:val="auto"/>
        </w:rPr>
      </w:pPr>
    </w:p>
    <w:p>
      <w:pPr>
        <w:ind w:left="600" w:hanging="558"/>
        <w:spacing w:after="0"/>
        <w:tabs>
          <w:tab w:leader="none" w:pos="600"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40" w:hanging="198"/>
        <w:spacing w:after="0"/>
        <w:tabs>
          <w:tab w:leader="none" w:pos="24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4" w:lineRule="exact"/>
        <w:rPr>
          <w:rFonts w:ascii="Courier New" w:cs="Courier New" w:eastAsia="Courier New" w:hAnsi="Courier New"/>
          <w:sz w:val="16"/>
          <w:szCs w:val="16"/>
          <w:color w:val="auto"/>
        </w:rPr>
      </w:pPr>
    </w:p>
    <w:p>
      <w:pPr>
        <w:ind w:left="280" w:right="9039" w:hanging="238"/>
        <w:spacing w:after="0" w:line="256" w:lineRule="auto"/>
        <w:tabs>
          <w:tab w:leader="none" w:pos="232"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of plan</w:t>
      </w:r>
    </w:p>
    <w:p>
      <w:pPr>
        <w:jc w:val="center"/>
        <w:ind w:right="8999"/>
        <w:spacing w:after="0" w:line="236" w:lineRule="auto"/>
        <w:rPr>
          <w:sz w:val="20"/>
          <w:szCs w:val="20"/>
          <w:color w:val="auto"/>
        </w:rPr>
      </w:pPr>
      <w:r>
        <w:rPr>
          <w:rFonts w:ascii="Courier New" w:cs="Courier New" w:eastAsia="Courier New" w:hAnsi="Courier New"/>
          <w:sz w:val="16"/>
          <w:szCs w:val="16"/>
          <w:color w:val="auto"/>
        </w:rPr>
        <w:t>assets at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end of year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$ 59.2 $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49.8 $ 63.6</w:t>
      </w:r>
    </w:p>
    <w:p>
      <w:pPr>
        <w:spacing w:after="0" w:line="1" w:lineRule="exact"/>
        <w:rPr>
          <w:sz w:val="20"/>
          <w:szCs w:val="20"/>
          <w:color w:val="auto"/>
        </w:rPr>
      </w:pPr>
    </w:p>
    <w:p>
      <w:pPr>
        <w:ind w:left="520" w:hanging="194"/>
        <w:spacing w:after="0"/>
        <w:tabs>
          <w:tab w:leader="none" w:pos="52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51.0</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AMOUNTS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RECOGNIZED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 THE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STATEMENT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FINANCIAL</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POSITION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CONSIST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Funded</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status</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(27.4)</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(27.2)</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(55.4)</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(50.2) (2.1)</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(2.0)</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Unrecognized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losses 35.6</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31.7 38.3</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39.9 0.6 0.5</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240" w:hanging="198"/>
        <w:spacing w:after="0"/>
        <w:tabs>
          <w:tab w:leader="none" w:pos="24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660" w:hanging="571"/>
        <w:spacing w:after="0"/>
        <w:tabs>
          <w:tab w:leader="none" w:pos="660"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760" w:hanging="576"/>
        <w:spacing w:after="0"/>
        <w:tabs>
          <w:tab w:leader="none" w:pos="76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amount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recognized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8.2 $ 4.5 $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(17.1)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(10.3)</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$(1.5)</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$(1.5)</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Weighted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average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assumptions: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Discount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rate 6.00%</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6.75% 5.25%</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5.5% 6.00%</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6.75%</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Expected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return 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plan assets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8.00% 8.00%</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6.0-8.0%</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7.0-8.0% n/a</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n/a Rate of</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compensation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increase n/a</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n/a 3.0-4.0%</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3.0-4.0% n/a</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n/a</w:t>
      </w:r>
    </w:p>
    <w:p>
      <w:pPr>
        <w:sectPr>
          <w:pgSz w:w="11900" w:h="16881" w:orient="portrait"/>
          <w:cols w:equalWidth="0" w:num="1">
            <w:col w:w="10219"/>
          </w:cols>
          <w:pgMar w:left="240" w:top="138" w:right="1440" w:bottom="0" w:gutter="0" w:footer="0" w:header="0"/>
        </w:sectPr>
      </w:pPr>
    </w:p>
    <w:p>
      <w:pPr>
        <w:spacing w:after="0" w:line="368" w:lineRule="exact"/>
        <w:rPr>
          <w:sz w:val="20"/>
          <w:szCs w:val="20"/>
          <w:color w:val="auto"/>
        </w:rPr>
      </w:pPr>
    </w:p>
    <w:p>
      <w:pPr>
        <w:ind w:left="140"/>
        <w:spacing w:after="0"/>
        <w:rPr>
          <w:sz w:val="20"/>
          <w:szCs w:val="20"/>
          <w:color w:val="auto"/>
        </w:rPr>
      </w:pPr>
      <w:r>
        <w:rPr>
          <w:rFonts w:ascii="Courier New" w:cs="Courier New" w:eastAsia="Courier New" w:hAnsi="Courier New"/>
          <w:sz w:val="15"/>
          <w:szCs w:val="15"/>
          <w:color w:val="auto"/>
        </w:rPr>
        <w:t>2003 2002</w:t>
      </w:r>
    </w:p>
    <w:p>
      <w:pPr>
        <w:sectPr>
          <w:pgSz w:w="11900" w:h="16881" w:orient="portrait"/>
          <w:cols w:equalWidth="0" w:num="1">
            <w:col w:w="10219"/>
          </w:cols>
          <w:pgMar w:left="240" w:top="138" w:right="1440" w:bottom="0" w:gutter="0" w:footer="0" w:header="0"/>
          <w:type w:val="continuous"/>
        </w:sectPr>
      </w:pPr>
    </w:p>
    <w:bookmarkStart w:id="103" w:name="page104"/>
    <w:bookmarkEnd w:id="103"/>
    <w:tbl>
      <w:tblPr>
        <w:tblLayout w:type="fixed"/>
        <w:tblInd w:w="140" w:type="dxa"/>
        <w:tblCellMar>
          <w:top w:w="0" w:type="dxa"/>
          <w:left w:w="0" w:type="dxa"/>
          <w:bottom w:w="0" w:type="dxa"/>
          <w:right w:w="0" w:type="dxa"/>
        </w:tblCellMar>
      </w:tblPr>
      <w:tr>
        <w:trPr>
          <w:trHeight w:val="181"/>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2001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r>
      <w:tr>
        <w:trPr>
          <w:trHeight w:val="182"/>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2002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r>
        <w:trPr>
          <w:trHeight w:val="182"/>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2003</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r>
    </w:tbl>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COMPONENTS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OF NET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PERIODIC</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BENEFIT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COST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Service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cost $ $ $</w:t>
      </w:r>
    </w:p>
    <w:p>
      <w:pPr>
        <w:spacing w:after="0" w:line="1" w:lineRule="exact"/>
        <w:rPr>
          <w:sz w:val="20"/>
          <w:szCs w:val="20"/>
          <w:color w:val="auto"/>
        </w:rPr>
      </w:pPr>
    </w:p>
    <w:p>
      <w:pPr>
        <w:ind w:left="220" w:hanging="179"/>
        <w:spacing w:after="0"/>
        <w:tabs>
          <w:tab w:leader="none" w:pos="22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4.0 $ 3.1</w:t>
      </w:r>
    </w:p>
    <w:p>
      <w:pPr>
        <w:ind w:left="240" w:hanging="199"/>
        <w:spacing w:after="0"/>
        <w:tabs>
          <w:tab w:leader="none" w:pos="24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3.6 $ $ $</w:t>
      </w:r>
    </w:p>
    <w:p>
      <w:pPr>
        <w:spacing w:after="0" w:line="4" w:lineRule="exact"/>
        <w:rPr>
          <w:rFonts w:ascii="Courier New" w:cs="Courier New" w:eastAsia="Courier New" w:hAnsi="Courier New"/>
          <w:sz w:val="16"/>
          <w:szCs w:val="16"/>
          <w:color w:val="auto"/>
        </w:rPr>
      </w:pPr>
    </w:p>
    <w:p>
      <w:pPr>
        <w:jc w:val="center"/>
        <w:ind w:left="40" w:right="9139" w:firstLine="142"/>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Interest cost 4.9 5.1 4.6 5.8</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4.5 4.0 0.1</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0.1 0.1</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Expected</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return on</w:t>
      </w:r>
    </w:p>
    <w:p>
      <w:pPr>
        <w:spacing w:after="0" w:line="4" w:lineRule="exact"/>
        <w:rPr>
          <w:rFonts w:ascii="Courier New" w:cs="Courier New" w:eastAsia="Courier New" w:hAnsi="Courier New"/>
          <w:sz w:val="16"/>
          <w:szCs w:val="16"/>
          <w:color w:val="auto"/>
        </w:rPr>
      </w:pPr>
    </w:p>
    <w:p>
      <w:pPr>
        <w:jc w:val="both"/>
        <w:ind w:left="40" w:right="913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plan assets (3.8) (4.4)</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(4.3) (4.0)</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(4.0) (4.8)</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amortization</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deferral</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1.9 0.7 0.3</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2.2 0.7</w:t>
      </w:r>
    </w:p>
    <w:p>
      <w:pPr>
        <w:spacing w:after="0" w:line="4" w:lineRule="exact"/>
        <w:rPr>
          <w:rFonts w:ascii="Courier New" w:cs="Courier New" w:eastAsia="Courier New" w:hAnsi="Courier New"/>
          <w:sz w:val="16"/>
          <w:szCs w:val="16"/>
          <w:color w:val="auto"/>
        </w:rPr>
      </w:pPr>
    </w:p>
    <w:p>
      <w:pPr>
        <w:jc w:val="both"/>
        <w:ind w:left="40" w:right="913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Curtailment loss (gain) 2.7 (0.2) -</w:t>
      </w:r>
    </w:p>
    <w:p>
      <w:pPr>
        <w:ind w:left="560" w:hanging="472"/>
        <w:spacing w:after="0"/>
        <w:tabs>
          <w:tab w:leader="none" w:pos="560"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4" w:lineRule="exact"/>
        <w:rPr>
          <w:rFonts w:ascii="Courier New" w:cs="Courier New" w:eastAsia="Courier New" w:hAnsi="Courier New"/>
          <w:sz w:val="16"/>
          <w:szCs w:val="16"/>
          <w:color w:val="auto"/>
        </w:rPr>
      </w:pPr>
    </w:p>
    <w:p>
      <w:pPr>
        <w:jc w:val="both"/>
        <w:ind w:left="180" w:right="9279" w:firstLine="2"/>
        <w:spacing w:after="0" w:line="256" w:lineRule="auto"/>
        <w:tabs>
          <w:tab w:leader="none" w:pos="653" w:val="left"/>
        </w:tabs>
        <w:numPr>
          <w:ilvl w:val="2"/>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periodic benefit</w:t>
      </w:r>
    </w:p>
    <w:p>
      <w:pPr>
        <w:jc w:val="center"/>
        <w:ind w:right="9099"/>
        <w:spacing w:after="0" w:line="237" w:lineRule="auto"/>
        <w:rPr>
          <w:sz w:val="20"/>
          <w:szCs w:val="20"/>
          <w:color w:val="auto"/>
        </w:rPr>
      </w:pPr>
      <w:r>
        <w:rPr>
          <w:rFonts w:ascii="Courier New" w:cs="Courier New" w:eastAsia="Courier New" w:hAnsi="Courier New"/>
          <w:sz w:val="16"/>
          <w:szCs w:val="16"/>
          <w:color w:val="auto"/>
        </w:rPr>
        <w:t>cost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(income)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3.0 $ 1.4 $</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3.3 $ 8.0 $</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4.3 $ 2.6 $</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0.1 $0.1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$0.1 =====</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 ====</w:t>
      </w:r>
    </w:p>
    <w:p>
      <w:pPr>
        <w:spacing w:after="0" w:line="368"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138" w:right="1440" w:bottom="1440" w:gutter="0" w:footer="0" w:header="0"/>
        </w:sectPr>
      </w:pPr>
    </w:p>
    <w:bookmarkStart w:id="104" w:name="page105"/>
    <w:bookmarkEnd w:id="104"/>
    <w:p>
      <w:pPr>
        <w:spacing w:after="0" w:line="26"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ASSOCIATE BENEFITS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Company provides comprehensive major medical benefits to certain of its retired associates and their dependents. Substantially all of the Company's domestic associates who were hired before January 1, 1998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187"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Prior to October 1, 1993, the Company effected several changes in plan provisions, primarily related to current and ultimate levels of retiree and dependent contributions. Retirees as of October 1, 1993 are entitled to benefits existing prior to these plan changes. These plan changes resulted in a reduction in unrecognized prior service cost, which is being amortized over future years.</w:t>
      </w:r>
    </w:p>
    <w:p>
      <w:pPr>
        <w:spacing w:after="0" w:line="174"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In connection with the reduction in force in fiscal 2001, the plan incurred a curtailment expense of $3.7 million which was included in restructuring expense.</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table sets forth the information about the retiree medical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w:t>
      </w:r>
    </w:p>
    <w:p>
      <w:pPr>
        <w:spacing w:after="0" w:line="183"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2003 2002 -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millions)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CHANGE IN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BENEFIT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OBLIGATION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Benefit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obligation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at beginning</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of year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20.8 $ 22.5</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Service cost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0.4 0.3</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Interest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cost 1.9 1.4</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Plan</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participants'</w:t>
      </w:r>
    </w:p>
    <w:p>
      <w:pPr>
        <w:spacing w:after="0" w:line="12"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contributions</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0.5 0.3</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Actuarial</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(gain) loss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10.4 (2.2)</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Benefits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paid (2.2)</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(1.5) ------</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Benefit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obligation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at end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year $ 31.8</w:t>
      </w:r>
    </w:p>
    <w:p>
      <w:pPr>
        <w:spacing w:after="0" w:line="1" w:lineRule="exact"/>
        <w:rPr>
          <w:sz w:val="20"/>
          <w:szCs w:val="20"/>
          <w:color w:val="auto"/>
        </w:rPr>
      </w:pPr>
    </w:p>
    <w:p>
      <w:pPr>
        <w:ind w:left="520" w:hanging="194"/>
        <w:spacing w:after="0"/>
        <w:tabs>
          <w:tab w:leader="none" w:pos="52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20.8</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CHANGE IN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PLAN ASSETS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Fair value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of plan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assets at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beginning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year $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Employer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contribution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1.7 1.2 Plan</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participants'</w:t>
      </w:r>
    </w:p>
    <w:p>
      <w:pPr>
        <w:spacing w:after="0" w:line="12"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contributions</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0.5 0.3</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Benefits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paid (2.2)</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(1.5) ------</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 Fair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value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plan assets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at end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year $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ectPr>
          <w:pgSz w:w="11900" w:h="16864" w:orient="portrait"/>
          <w:cols w:equalWidth="0" w:num="1">
            <w:col w:w="10219"/>
          </w:cols>
          <w:pgMar w:left="240" w:top="477" w:right="1440" w:bottom="0" w:gutter="0" w:footer="0" w:header="0"/>
        </w:sectPr>
      </w:pPr>
    </w:p>
    <w:bookmarkStart w:id="105" w:name="page106"/>
    <w:bookmarkEnd w:id="105"/>
    <w:p>
      <w:pPr>
        <w:jc w:val="center"/>
        <w:ind w:right="8999"/>
        <w:spacing w:after="0"/>
        <w:rPr>
          <w:sz w:val="20"/>
          <w:szCs w:val="20"/>
          <w:color w:val="auto"/>
        </w:rPr>
      </w:pPr>
      <w:r>
        <w:rPr>
          <w:rFonts w:ascii="Courier New" w:cs="Courier New" w:eastAsia="Courier New" w:hAnsi="Courier New"/>
          <w:sz w:val="16"/>
          <w:szCs w:val="16"/>
          <w:color w:val="auto"/>
        </w:rPr>
        <w:t>AMOUNTS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RECOGNIZED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 THE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STATEMENT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FINANCIAL</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POSITION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CONSIST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Funded</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status</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$(31.8)</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$(20.8)</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Unrecognized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prior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service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costs (0.4)</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(1.1)</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Unrecognized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prior (gain)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loss 7.9</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(2.3) ------</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Net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amount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recognized</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$(24.3)</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$(24.2)</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discount rates used in determining the accumulated postretirement benefit obligation were 6.00% and 6.75% in fiscal 2003 and 2002, respectively. For measurement purposes, annual rate of increase in per capita cost of covered retiree medical benefits assumed for fiscal 2003 was 8.5% for participants under 65 years of age and 9.5% for those over 65, and 9.5% for all participants in fiscal 2002. The rate was assumed to decrease gradually to 5.5% by the year 2011 and remain at that level thereafter. A 1% increase in health cost trend rate assumptions would increase the accumulated postretirement benefit obligation (APBO) as of September 30, 2003 and 2002 by $2.5 million and $1.6 million, respectively. A 1% decrease in health cost trend rate assumptions would decrease the APBO as of September 30, 2003 and 2002 by $2.2 million and $1.4 million, respectively. A 1% increase or decrease in the same rate would not have a material effect on service or interest costs.</w:t>
      </w:r>
    </w:p>
    <w:p>
      <w:pPr>
        <w:spacing w:after="0" w:line="35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19"/>
          </w:cols>
          <w:pgMar w:left="240" w:top="138" w:right="1440" w:bottom="1440" w:gutter="0" w:footer="0" w:header="0"/>
        </w:sectPr>
      </w:pPr>
    </w:p>
    <w:bookmarkStart w:id="106" w:name="page107"/>
    <w:bookmarkEnd w:id="106"/>
    <w:p>
      <w:pPr>
        <w:spacing w:after="0" w:line="25"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ind w:right="2759" w:firstLine="473"/>
        <w:spacing w:after="0" w:line="260" w:lineRule="auto"/>
        <w:rPr>
          <w:sz w:val="20"/>
          <w:szCs w:val="20"/>
          <w:color w:val="auto"/>
        </w:rPr>
      </w:pPr>
      <w:r>
        <w:rPr>
          <w:rFonts w:ascii="Courier New" w:cs="Courier New" w:eastAsia="Courier New" w:hAnsi="Courier New"/>
          <w:sz w:val="15"/>
          <w:szCs w:val="15"/>
          <w:color w:val="auto"/>
        </w:rPr>
        <w:t>The Company is self-insured for certain health benefits up to $0.2 million per occurrence per individual. The cost of such benefits is recognized as expense in the period the claim is incurred. This cost was $15.4 million, $15.8 million, and $14.7 million in fiscal 2003, 2002 and 2001, respectively.</w:t>
      </w:r>
    </w:p>
    <w:p>
      <w:pPr>
        <w:spacing w:after="0" w:line="173"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NOTE 9. DEBT</w:t>
      </w:r>
    </w:p>
    <w:p>
      <w:pPr>
        <w:spacing w:after="0" w:line="190"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30,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2003 2002 -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40" w:right="9239" w:firstLine="90"/>
        <w:spacing w:after="0" w:line="256" w:lineRule="auto"/>
        <w:tabs>
          <w:tab w:leader="none" w:pos="708"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millions) Revolving</w:t>
      </w:r>
    </w:p>
    <w:p>
      <w:pPr>
        <w:jc w:val="center"/>
        <w:ind w:right="9099"/>
        <w:spacing w:after="0" w:line="237" w:lineRule="auto"/>
        <w:rPr>
          <w:sz w:val="20"/>
          <w:szCs w:val="20"/>
          <w:color w:val="auto"/>
        </w:rPr>
      </w:pPr>
      <w:r>
        <w:rPr>
          <w:rFonts w:ascii="Courier New" w:cs="Courier New" w:eastAsia="Courier New" w:hAnsi="Courier New"/>
          <w:sz w:val="16"/>
          <w:szCs w:val="16"/>
          <w:color w:val="auto"/>
        </w:rPr>
        <w:t>loans under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credit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agreement $</w:t>
      </w:r>
    </w:p>
    <w:p>
      <w:pPr>
        <w:spacing w:after="0" w:line="1" w:lineRule="exact"/>
        <w:rPr>
          <w:sz w:val="20"/>
          <w:szCs w:val="20"/>
          <w:color w:val="auto"/>
        </w:rPr>
      </w:pPr>
    </w:p>
    <w:p>
      <w:pPr>
        <w:ind w:left="460" w:hanging="183"/>
        <w:spacing w:after="0"/>
        <w:tabs>
          <w:tab w:leader="none" w:pos="460" w:val="left"/>
        </w:tabs>
        <w:numPr>
          <w:ilvl w:val="1"/>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loans under</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credit</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326.5 375.5</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Senior</w:t>
      </w:r>
    </w:p>
    <w:p>
      <w:pPr>
        <w:spacing w:after="0" w:line="4" w:lineRule="exact"/>
        <w:rPr>
          <w:rFonts w:ascii="Courier New" w:cs="Courier New" w:eastAsia="Courier New" w:hAnsi="Courier New"/>
          <w:sz w:val="16"/>
          <w:szCs w:val="16"/>
          <w:color w:val="auto"/>
        </w:rPr>
      </w:pPr>
    </w:p>
    <w:p>
      <w:pPr>
        <w:jc w:val="center"/>
        <w:ind w:left="40" w:right="9079" w:hanging="44"/>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subordinated notes 393.1 391.8 Notes due to sellers 21.6 43.4 Foreign bank borrowings and term loans 6.3 7.0 Capital lease obligations and other 10.1 11.7 -</w:t>
      </w:r>
    </w:p>
    <w:p>
      <w:pPr>
        <w:spacing w:after="0" w:line="17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20" w:hanging="190"/>
        <w:spacing w:after="0"/>
        <w:tabs>
          <w:tab w:leader="none" w:pos="42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757.6</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829.4 Less</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current</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portions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55.4 98.2 -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280" w:right="9279" w:hanging="98"/>
        <w:spacing w:after="0" w:line="256" w:lineRule="auto"/>
        <w:tabs>
          <w:tab w:leader="none" w:pos="37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$702.2 $731.2</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Maturities of short- and long-term debt, including capital leases for the next five fiscal years and thereafter are as follows:</w:t>
      </w:r>
    </w:p>
    <w:p>
      <w:pPr>
        <w:spacing w:after="0" w:line="18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Capital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Leases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Other and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Other Debt</w:t>
      </w:r>
    </w:p>
    <w:p>
      <w:pPr>
        <w:spacing w:after="0" w:line="1" w:lineRule="exact"/>
        <w:rPr>
          <w:sz w:val="20"/>
          <w:szCs w:val="20"/>
          <w:color w:val="auto"/>
        </w:rPr>
      </w:pPr>
    </w:p>
    <w:p>
      <w:pPr>
        <w:ind w:left="220" w:hanging="179"/>
        <w:spacing w:after="0"/>
        <w:tabs>
          <w:tab w:leader="none" w:pos="22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spacing w:after="0" w:line="4" w:lineRule="exact"/>
        <w:rPr>
          <w:rFonts w:ascii="Courier New" w:cs="Courier New" w:eastAsia="Courier New" w:hAnsi="Courier New"/>
          <w:sz w:val="16"/>
          <w:szCs w:val="16"/>
          <w:color w:val="auto"/>
        </w:rPr>
      </w:pPr>
    </w:p>
    <w:p>
      <w:pPr>
        <w:jc w:val="center"/>
        <w:ind w:left="40" w:right="9139" w:firstLine="47"/>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2004 $ 3.2 $ 57.5 2005 1.4 55.2 2006 0.9 2.6 2007 0.8 179.2 2008 0.8 59.8 Thereafter</w:t>
      </w:r>
    </w:p>
    <w:p>
      <w:pPr>
        <w:sectPr>
          <w:pgSz w:w="11900" w:h="16863" w:orient="portrait"/>
          <w:cols w:equalWidth="0" w:num="1">
            <w:col w:w="10219"/>
          </w:cols>
          <w:pgMar w:left="240" w:top="477" w:right="1440" w:bottom="0" w:gutter="0" w:footer="0" w:header="0"/>
        </w:sectPr>
      </w:pPr>
    </w:p>
    <w:bookmarkStart w:id="107" w:name="page108"/>
    <w:bookmarkEnd w:id="107"/>
    <w:p>
      <w:pPr>
        <w:ind w:left="40"/>
        <w:spacing w:after="0"/>
        <w:rPr>
          <w:sz w:val="20"/>
          <w:szCs w:val="20"/>
          <w:color w:val="auto"/>
        </w:rPr>
      </w:pPr>
      <w:r>
        <w:rPr>
          <w:rFonts w:ascii="Courier New" w:cs="Courier New" w:eastAsia="Courier New" w:hAnsi="Courier New"/>
          <w:sz w:val="16"/>
          <w:szCs w:val="16"/>
          <w:color w:val="auto"/>
        </w:rPr>
        <w:t>8.6 400.3 -</w:t>
      </w:r>
    </w:p>
    <w:p>
      <w:pPr>
        <w:spacing w:after="0" w:line="1" w:lineRule="exact"/>
        <w:rPr>
          <w:sz w:val="20"/>
          <w:szCs w:val="20"/>
          <w:color w:val="auto"/>
        </w:rPr>
      </w:pPr>
    </w:p>
    <w:p>
      <w:pPr>
        <w:ind w:left="520" w:hanging="479"/>
        <w:spacing w:after="0"/>
        <w:tabs>
          <w:tab w:leader="none" w:pos="52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$15.7</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$754.6</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Less: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amounts</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representing</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future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interest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(5.6) (7.1)</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both"/>
        <w:ind w:left="280" w:right="9319" w:hanging="50"/>
        <w:spacing w:after="0" w:line="256" w:lineRule="auto"/>
        <w:tabs>
          <w:tab w:leader="none" w:pos="422"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$10.1 $747.5</w:t>
      </w:r>
    </w:p>
    <w:p>
      <w:pPr>
        <w:ind w:left="3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The revolving credit facility under the Credit Agreement ("Credit Agreement") provides for borrowings of up to $575 million, which are available on a revolving basis over a term of 6 1/2 years ending June 30, 2005. A portion of the revolving credit facility not to exceed $100 million is available for the issuance of letters of credit. A portion of the facility not to exceed $360 million is available for borrowings in optional currencies, provided that the outstanding revolving loans in other currencies do not exceed $200 million except for British Pounds Sterling, which cannot exceed $360 million. The outstanding principal amount of all revolving credit loans may not exceed $150 million for at least 30 consecutive days during any calendar year.</w:t>
      </w:r>
    </w:p>
    <w:p>
      <w:pPr>
        <w:spacing w:after="0" w:line="174"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Spreads on rates and commitment fees under the Credit Agreement vary according to the Company's leverage ratios, and interest rates also vary within tranches. The weighted-average interest rate on the Company's borrowings under the Credit Agreement for the years ended September 30, 2003 and 2002 was 4.88% and 6.26%, respectively. Administrative fees paid in fiscal 2003 for the Credit Agreement totaled $0.4 million.</w:t>
      </w:r>
    </w:p>
    <w:p>
      <w:pPr>
        <w:spacing w:after="0" w:line="190" w:lineRule="exact"/>
        <w:rPr>
          <w:sz w:val="20"/>
          <w:szCs w:val="20"/>
          <w:color w:val="auto"/>
        </w:rPr>
      </w:pPr>
    </w:p>
    <w:p>
      <w:pPr>
        <w:ind w:right="3119" w:firstLine="473"/>
        <w:spacing w:after="0" w:line="238" w:lineRule="auto"/>
        <w:rPr>
          <w:sz w:val="20"/>
          <w:szCs w:val="20"/>
          <w:color w:val="auto"/>
        </w:rPr>
      </w:pPr>
      <w:r>
        <w:rPr>
          <w:rFonts w:ascii="Courier New" w:cs="Courier New" w:eastAsia="Courier New" w:hAnsi="Courier New"/>
          <w:sz w:val="16"/>
          <w:szCs w:val="16"/>
          <w:color w:val="auto"/>
        </w:rPr>
        <w:t>Financial covenants include interest coverage and net leverage ratios. Other covenants include limitations on indebtedness, liens, mergers, consolidations, liquidations and dissolutions, sale of assets,</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10219"/>
          </w:cols>
          <w:pgMar w:left="240" w:top="138" w:right="1440" w:bottom="1440" w:gutter="0" w:footer="0" w:header="0"/>
        </w:sectPr>
      </w:pPr>
    </w:p>
    <w:bookmarkStart w:id="108" w:name="page109"/>
    <w:bookmarkEnd w:id="108"/>
    <w:p>
      <w:pPr>
        <w:spacing w:after="0" w:line="38"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ind w:right="2659"/>
        <w:spacing w:after="0" w:line="259" w:lineRule="auto"/>
        <w:rPr>
          <w:sz w:val="20"/>
          <w:szCs w:val="20"/>
          <w:color w:val="auto"/>
        </w:rPr>
      </w:pPr>
      <w:r>
        <w:rPr>
          <w:rFonts w:ascii="Courier New" w:cs="Courier New" w:eastAsia="Courier New" w:hAnsi="Courier New"/>
          <w:sz w:val="15"/>
          <w:szCs w:val="15"/>
          <w:color w:val="auto"/>
        </w:rPr>
        <w:t>leases, dividends, capital expenditures, and investments. The Scotts Company and all of its domestic subsidiaries pledged substantially all of their personal, real and intellectual property assets as collateral for the borrowings under the Credit Agreement. The Scotts Company and its subsidiaries also pledged the stock in foreign subsidiaries that borrow under the Credit Agreement.</w:t>
      </w:r>
    </w:p>
    <w:p>
      <w:pPr>
        <w:spacing w:after="0" w:line="174"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The term loan facilities under the Credit Agreement consist of two tranches. The Tranche A Term Loan Facility consists of three sub-tranches of Euros and British Pounds Sterling in the aggregate principal amount of $265 million, which are to be repaid quarterly over a 6 1/2 year period ending June 30, 2005. The Tranche B Loan Facility has an aggregate principal amount of $260 million and is to be repaid quarterly over a 6 1/2 year period ending December 31, 2007. At September 30, 2003, the outstanding balances of the Tranche A and Tranche B Term loan Facilities are $86.0 million and $240.5 million, respectively. Minimum required repayments by fiscal years are as follows:</w:t>
      </w:r>
    </w:p>
    <w:p>
      <w:pPr>
        <w:spacing w:after="0" w:line="17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fiscal</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years</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ending</w:t>
      </w:r>
    </w:p>
    <w:p>
      <w:pPr>
        <w:spacing w:after="0" w:line="5"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5"/>
          <w:szCs w:val="15"/>
          <w:color w:val="auto"/>
        </w:rPr>
        <w:t>September</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380" w:type="dxa"/>
            <w:vAlign w:val="bottom"/>
          </w:tcPr>
          <w:p>
            <w:pPr>
              <w:spacing w:after="0"/>
              <w:rPr>
                <w:sz w:val="20"/>
                <w:szCs w:val="20"/>
                <w:color w:val="auto"/>
              </w:rPr>
            </w:pPr>
            <w:r>
              <w:rPr>
                <w:rFonts w:ascii="Courier New" w:cs="Courier New" w:eastAsia="Courier New" w:hAnsi="Courier New"/>
                <w:sz w:val="16"/>
                <w:szCs w:val="16"/>
                <w:color w:val="auto"/>
              </w:rPr>
              <w:t>30,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2004</w:t>
            </w:r>
          </w:p>
        </w:tc>
      </w:tr>
      <w:tr>
        <w:trPr>
          <w:trHeight w:val="182"/>
        </w:trPr>
        <w:tc>
          <w:tcPr>
            <w:tcW w:w="7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2005</w:t>
            </w:r>
          </w:p>
        </w:tc>
      </w:tr>
      <w:tr>
        <w:trPr>
          <w:trHeight w:val="182"/>
        </w:trPr>
        <w:tc>
          <w:tcPr>
            <w:tcW w:w="7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2006</w:t>
            </w:r>
          </w:p>
        </w:tc>
      </w:tr>
      <w:tr>
        <w:trPr>
          <w:trHeight w:val="182"/>
        </w:trPr>
        <w:tc>
          <w:tcPr>
            <w:tcW w:w="7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2007</w:t>
            </w:r>
          </w:p>
        </w:tc>
      </w:tr>
      <w:tr>
        <w:trPr>
          <w:trHeight w:val="182"/>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2008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560" w:hanging="470"/>
        <w:spacing w:after="0"/>
        <w:tabs>
          <w:tab w:leader="none" w:pos="56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Tranche</w:t>
      </w:r>
    </w:p>
    <w:p>
      <w:pPr>
        <w:spacing w:after="0" w:line="4" w:lineRule="exact"/>
        <w:rPr>
          <w:rFonts w:ascii="Courier New" w:cs="Courier New" w:eastAsia="Courier New" w:hAnsi="Courier New"/>
          <w:sz w:val="16"/>
          <w:szCs w:val="16"/>
          <w:color w:val="auto"/>
        </w:rPr>
      </w:pPr>
    </w:p>
    <w:p>
      <w:pPr>
        <w:jc w:val="center"/>
        <w:ind w:left="40" w:right="941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 $ 37.7 $ 48.3 $ -- $ -- $ -- Tranche B 0.9 0.9 0.9 178.4 59.4</w:t>
      </w:r>
    </w:p>
    <w:p>
      <w:pPr>
        <w:spacing w:after="0" w:line="357"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These future payments are presented at foreign exchange rates in effect at September 30, 2003.</w:t>
      </w:r>
    </w:p>
    <w:p>
      <w:pPr>
        <w:spacing w:after="0" w:line="188"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The term loan facilities have a variable interest rate which was 3.98% at September 30, 2003.</w:t>
      </w:r>
    </w:p>
    <w:p>
      <w:pPr>
        <w:spacing w:after="0" w:line="188"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Approximately $17.3 million of financing costs associated with the Credit Agreement have been deferred as of September 30, 2003 and are being amortized over a period which ends June 30, 2005. The unamortized balance September 30, 2003 was $5.8 million.</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January 2002, The Scotts Company completed an offering of $70 million of 8 5/8% Senior Subordinated Notes due 2009. The net proceeds from the offering were used to pay down borrowings on our revolving credit facility. The notes were issued at a premium of $1.8 million. The effective interest rate for the notes is 8 3/8%. The issuance costs associated with the offering totaled $1.6 million. Both the premium and the issuance costs are being amortized over the life of the notes.</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January 1999, The Scotts Company completed an offering of $330 million of 8 5/8% Senior Subordinated Notes due 2009. The Scotts Company entered into two interest rate locks in fiscal 1998 to hedge its anticipated interest rate exposure on the 8 5/8% Notes offering. The total amount paid under the interest rate locks of $12.9 million has been recorded as a reduction of the 8 5/8% Notes' carrying value and is being amortized over the life of the 8 5/8% Notes as interest expense. Approximately $11.8 million of issuance costs associated with the 8 5/8% Notes were deferred and are being amortized over the term of the Notes. The effective interest rate for the notes including the cost of the interest rate locks is 9.24%.</w:t>
      </w:r>
    </w:p>
    <w:p>
      <w:pPr>
        <w:spacing w:after="0" w:line="188" w:lineRule="exact"/>
        <w:rPr>
          <w:sz w:val="20"/>
          <w:szCs w:val="20"/>
          <w:color w:val="auto"/>
        </w:rPr>
      </w:pPr>
    </w:p>
    <w:p>
      <w:pPr>
        <w:jc w:val="both"/>
        <w:ind w:right="2839" w:firstLine="473"/>
        <w:spacing w:after="0" w:line="262" w:lineRule="auto"/>
        <w:rPr>
          <w:sz w:val="20"/>
          <w:szCs w:val="20"/>
          <w:color w:val="auto"/>
        </w:rPr>
      </w:pPr>
      <w:r>
        <w:rPr>
          <w:rFonts w:ascii="Courier New" w:cs="Courier New" w:eastAsia="Courier New" w:hAnsi="Courier New"/>
          <w:sz w:val="15"/>
          <w:szCs w:val="15"/>
          <w:color w:val="auto"/>
        </w:rPr>
        <w:t>In October 2003, The Scotts Company completed a refinancing of its Credit Agreement and its $400 million 8 5/8% Senior Subordinated Notes in a series of transactions. See Note 23 to the Consolidated Financial Statements.</w:t>
      </w:r>
    </w:p>
    <w:p>
      <w:pPr>
        <w:spacing w:after="0" w:line="171"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5"/>
          <w:szCs w:val="15"/>
          <w:color w:val="auto"/>
        </w:rPr>
        <w:t>In conjunction with previous acquisitions, notes were issued for certain portions of the total purchase price that are to be paid in future periods. The present value of the remaining note payments is $21.6 million, of which $15.5 million pertains to lawnservice business acquisitions. The Company is imputing interest on the notes using the stated interest rate or an interest rate</w:t>
      </w:r>
    </w:p>
    <w:p>
      <w:pPr>
        <w:sectPr>
          <w:pgSz w:w="11900" w:h="16876" w:orient="portrait"/>
          <w:cols w:equalWidth="0" w:num="1">
            <w:col w:w="10219"/>
          </w:cols>
          <w:pgMar w:left="240" w:top="477" w:right="1440" w:bottom="0" w:gutter="0" w:footer="0" w:header="0"/>
        </w:sectPr>
      </w:pPr>
    </w:p>
    <w:bookmarkStart w:id="109" w:name="page110"/>
    <w:bookmarkEnd w:id="109"/>
    <w:p>
      <w:pPr>
        <w:ind w:right="2659"/>
        <w:spacing w:after="0" w:line="237" w:lineRule="auto"/>
        <w:rPr>
          <w:sz w:val="20"/>
          <w:szCs w:val="20"/>
          <w:color w:val="auto"/>
        </w:rPr>
      </w:pPr>
      <w:r>
        <w:rPr>
          <w:rFonts w:ascii="Courier New" w:cs="Courier New" w:eastAsia="Courier New" w:hAnsi="Courier New"/>
          <w:sz w:val="16"/>
          <w:szCs w:val="16"/>
          <w:color w:val="auto"/>
        </w:rPr>
        <w:t>prevalent for similar instruments at the time of acquisition on the non-interest bearing notes.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Foreign notes of $6.0 million issued on December 12, 1997, have an 8-year term and bear interest at 1% below LIBOR. The present value of these loans at September 30, 2003 and 2002 was $0.6 million and $2.6 million, respectively. The loans are denominated in British Pounds Sterling and can be redeemed, on demand, by the note holder. The foreign bank borrowings of $5.7 million at September 30, 2003 and $4.4 million at September 30, 2002 represent lines of credit for foreign operations and are primarily denominated in Euros.</w:t>
      </w: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0219"/>
          </w:cols>
          <w:pgMar w:left="240" w:top="142" w:right="1440" w:bottom="1440" w:gutter="0" w:footer="0" w:header="0"/>
        </w:sectPr>
      </w:pPr>
    </w:p>
    <w:bookmarkStart w:id="110" w:name="page111"/>
    <w:bookmarkEnd w:id="110"/>
    <w:p>
      <w:pPr>
        <w:spacing w:after="0" w:line="39"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 10. SHAREHOLDERS' EQUITY</w:t>
      </w:r>
    </w:p>
    <w:p>
      <w:pPr>
        <w:spacing w:after="0" w:line="183"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2003 2002</w:t>
      </w:r>
    </w:p>
    <w:p>
      <w:pPr>
        <w:spacing w:after="0" w:line="1" w:lineRule="exact"/>
        <w:rPr>
          <w:sz w:val="20"/>
          <w:szCs w:val="20"/>
          <w:color w:val="auto"/>
        </w:rPr>
      </w:pPr>
    </w:p>
    <w:p>
      <w:pPr>
        <w:ind w:left="183" w:hanging="183"/>
        <w:spacing w:after="0"/>
        <w:tabs>
          <w:tab w:leader="none" w:pos="183"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ind w:left="2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STOCK</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Preferred</w:t>
      </w:r>
    </w:p>
    <w:p>
      <w:pPr>
        <w:spacing w:after="0" w:line="4" w:lineRule="exact"/>
        <w:rPr>
          <w:rFonts w:ascii="Courier New" w:cs="Courier New" w:eastAsia="Courier New" w:hAnsi="Courier New"/>
          <w:sz w:val="16"/>
          <w:szCs w:val="16"/>
          <w:color w:val="auto"/>
        </w:rPr>
      </w:pPr>
    </w:p>
    <w:p>
      <w:pPr>
        <w:jc w:val="both"/>
        <w:ind w:left="3" w:right="927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shares, no par value: Authorized 0.2 shares</w:t>
      </w:r>
    </w:p>
    <w:p>
      <w:pPr>
        <w:spacing w:after="0" w:line="2" w:lineRule="exact"/>
        <w:rPr>
          <w:rFonts w:ascii="Courier New" w:cs="Courier New" w:eastAsia="Courier New" w:hAnsi="Courier New"/>
          <w:sz w:val="16"/>
          <w:szCs w:val="16"/>
          <w:color w:val="auto"/>
        </w:rPr>
      </w:pPr>
    </w:p>
    <w:p>
      <w:pPr>
        <w:jc w:val="center"/>
        <w:ind w:left="3" w:right="927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0.2 shares Issued 0.0 shares 0.0 shares Common shares, no par value Authorized 100.0 shares 100.0 shares Issued 32.0 shares 31.3 shares</w:t>
      </w:r>
    </w:p>
    <w:p>
      <w:pPr>
        <w:spacing w:after="0" w:line="362"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Class A Convertible Preferred Stock ("Preferred Shares") with a liquidation preference of $195.0 million was issued in conjunction with the 1995 Miracle-Gro merger transactions. These Preferred Shares had a 5% dividend yield and were convertible upon shareholder demand into common shares at any time and at The Scotts Company's option after May 2000 at $19.00 per common share. The conversion feature associated with the Preferred Shares issued in connection with the Miracle-Gro merger transactions was negotiated as an integral part of the overall transaction. The conversion price exceeded the fair market value of The Scotts Company's common shares on the date the two companies reached agreement and, therefore, the Preferred Shares did not provide for a beneficial conversion feature. Additionally, warrants to purchase 3.0 million common shares of The Scotts Company were issued as part of the purchase price. As of September 30, 2003, all warrants have been exercised by the issuance of 1,527,551 common shares in a series of non-cash transactions. The fair value of the warrants at issuance has been included in capital in excess of par value in the Company's Consolidated Balance Sheets.</w:t>
      </w:r>
    </w:p>
    <w:p>
      <w:pPr>
        <w:spacing w:after="0" w:line="192"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In fiscal 1999, certain of the Preferred Shares were converted into 0.2 million common shares at the holder's option. In October 1999, all of the then outstanding Preferred Shares were converted into 10.0 million common shares. In exchange for the early conversion, The Scotts Company paid the holders of the Preferred Shares $6.4 million. That amount represents the dividends on the Preferred Shares that otherwise would have been payable from the conversion date through May 2000, the month during which the Preferred Shares could first be redeemed by The Scotts Company. In addition, The Scotts Company agreed to accelerate the termination of many of the standstill provisions in the Miracle-Gro merger agreement that would otherwise have terminated in May 2000. These standstill provisions include the provisions related to the Board of Directors and voting restrictions, as well as restrictions on transfer. Therefore, the former shareholders of Stern's Miracle-Gro Products, Inc., including Hagedorn Partnership, L.P., may vote their common shares freely in the election of directors and generally on all matters brought before The Scotts Company's shareholders. Following the conversion and the termination of the standstill provisions described above, the former shareholders of Miracle-Gro owned approximately 34% as of September 30, 2003 of The Scotts Company's outstanding common shares and, thus, have the ability to significantly influence the election of directors and approval of other actions requiring the approval of The Scotts Company's shareholders.</w:t>
      </w:r>
    </w:p>
    <w:p>
      <w:pPr>
        <w:spacing w:after="0" w:line="195"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In January 2001, the Amended Articles of Incorporation of The Scotts Company were amended to change the authorized preferred stock from 195,000 shares of Class A Convertible Preferred Stock to 195,000 preferred shares, each without par value.</w:t>
      </w:r>
    </w:p>
    <w:p>
      <w:pPr>
        <w:spacing w:after="0" w:line="187" w:lineRule="exact"/>
        <w:rPr>
          <w:sz w:val="20"/>
          <w:szCs w:val="20"/>
          <w:color w:val="auto"/>
        </w:rPr>
      </w:pPr>
    </w:p>
    <w:p>
      <w:pPr>
        <w:ind w:left="3" w:right="2659" w:firstLine="473"/>
        <w:spacing w:after="0" w:line="260" w:lineRule="auto"/>
        <w:rPr>
          <w:sz w:val="20"/>
          <w:szCs w:val="20"/>
          <w:color w:val="auto"/>
        </w:rPr>
      </w:pPr>
      <w:r>
        <w:rPr>
          <w:rFonts w:ascii="Courier New" w:cs="Courier New" w:eastAsia="Courier New" w:hAnsi="Courier New"/>
          <w:sz w:val="15"/>
          <w:szCs w:val="15"/>
          <w:color w:val="auto"/>
        </w:rPr>
        <w:t>The limitations on the ability of the former shareholders of Miracle-Gro to acquire additional voting securities of The Scotts Company contained in the merger agreement terminated as of October 1, 1999, except for the restriction under which the former shareholders of Miracle-Gro may not acquire, directly or</w:t>
      </w:r>
    </w:p>
    <w:p>
      <w:pPr>
        <w:sectPr>
          <w:pgSz w:w="11900" w:h="16877" w:orient="portrait"/>
          <w:cols w:equalWidth="0" w:num="1">
            <w:col w:w="10222"/>
          </w:cols>
          <w:pgMar w:left="237" w:top="477" w:right="1440" w:bottom="0" w:gutter="0" w:footer="0" w:header="0"/>
        </w:sectPr>
      </w:pPr>
    </w:p>
    <w:bookmarkStart w:id="111" w:name="page112"/>
    <w:bookmarkEnd w:id="111"/>
    <w:p>
      <w:pPr>
        <w:ind w:right="2659"/>
        <w:spacing w:after="0"/>
        <w:rPr>
          <w:sz w:val="20"/>
          <w:szCs w:val="20"/>
          <w:color w:val="auto"/>
        </w:rPr>
      </w:pPr>
      <w:r>
        <w:rPr>
          <w:rFonts w:ascii="Courier New" w:cs="Courier New" w:eastAsia="Courier New" w:hAnsi="Courier New"/>
          <w:sz w:val="16"/>
          <w:szCs w:val="16"/>
          <w:color w:val="auto"/>
        </w:rPr>
        <w:t>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The Scotts Company other than the former shareholders of Miracle-Gro and their affiliates and associates.</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19"/>
          </w:cols>
          <w:pgMar w:left="240" w:top="141" w:right="1440" w:bottom="1440" w:gutter="0" w:footer="0" w:header="0"/>
        </w:sectPr>
      </w:pPr>
    </w:p>
    <w:bookmarkStart w:id="112" w:name="page113"/>
    <w:bookmarkEnd w:id="112"/>
    <w:p>
      <w:pPr>
        <w:spacing w:after="0" w:line="26"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Under The Scotts Company 1992 Long Term Incentive Plan (the "1992 Plan"), stock options and performance share awards were granted to officers and other key employees of the Company. The 1992 Plan also provided for the grant of stock options to non-employee directors of Scotts. The maximum number of common shares that may be issued under the 1992 Plan is 1.7 million, plus the number of common shares surrendered to exercise options (other than non-employee director options) granted under the 1992 Plan, up to a maximum of 1.0 million surrendered common shares. Vesting periods under the 1992 Plan vary and were determined by the Compensation and Organization Committee of the Board of Directors.</w:t>
      </w:r>
    </w:p>
    <w:p>
      <w:pPr>
        <w:spacing w:after="0" w:line="175"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Under The Scotts Company 1996 Stock Option Plan (the "1996 Plan"), stock awards may be granted to officers and other key employees of the Company and non-employee directors of The Scotts Company. The maximum number of common shares that may be issued under the 1996 Plan is 5.5 million. Vesting periods under the 1996 Plan vary. Generally, a 3-year cliff vesting schedule is used unless decided otherwise by the Compensation and Organization Committee of the Board of Directors. The Company also has a phantom option plan for certain management employees which is payable in cash based on the increase in the Company's share price over a three-year vesting period.</w:t>
      </w:r>
    </w:p>
    <w:p>
      <w:pPr>
        <w:spacing w:after="0" w:line="175"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Under The Scotts Company 2003 Stock Option and Incentive Equity Plan (the "2003 Plan"), which was approved by the Board Directors at the annual meeting in January 2003, stock awards may be granted to officers and other key employees of the Company and non-employee directors of The Scotts Company. The maximum number of common shares that may be issued under the 2003 Plan is 3.5 million. Vesting periods under the 2003 Plan vary. Generally a three-year cliff vesting schedule is used unless decided otherwise by the Compensation and Organization Committee of the Board of Directors.</w:t>
      </w:r>
    </w:p>
    <w:p>
      <w:pPr>
        <w:spacing w:after="0" w:line="187" w:lineRule="exact"/>
        <w:rPr>
          <w:sz w:val="20"/>
          <w:szCs w:val="20"/>
          <w:color w:val="auto"/>
        </w:rPr>
      </w:pPr>
    </w:p>
    <w:p>
      <w:pPr>
        <w:ind w:right="3419" w:firstLine="473"/>
        <w:spacing w:after="0" w:line="237" w:lineRule="auto"/>
        <w:rPr>
          <w:sz w:val="20"/>
          <w:szCs w:val="20"/>
          <w:color w:val="auto"/>
        </w:rPr>
      </w:pPr>
      <w:r>
        <w:rPr>
          <w:rFonts w:ascii="Courier New" w:cs="Courier New" w:eastAsia="Courier New" w:hAnsi="Courier New"/>
          <w:sz w:val="16"/>
          <w:szCs w:val="16"/>
          <w:color w:val="auto"/>
        </w:rPr>
        <w:t>Aggregate stock award activity consists of the following (shares in millions):</w:t>
      </w:r>
    </w:p>
    <w:p>
      <w:pPr>
        <w:spacing w:after="0" w:line="184"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Fiscal</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Year ended</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30,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2003 2002</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600" w:hanging="561"/>
        <w:spacing w:after="0"/>
        <w:tabs>
          <w:tab w:leader="none" w:pos="60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center"/>
        <w:ind w:left="40" w:right="9239" w:firstLine="95"/>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Weighted Weighted Weighted Number of Avg. Number of Avg. Number of Avg. Common Exercise Common Exercise Common Exercise Shares Price Shares Price Shares Price - --</w:t>
      </w:r>
    </w:p>
    <w:p>
      <w:pPr>
        <w:spacing w:after="0" w:line="9"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Beginning</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balance</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4.2 $31.25</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4.6 $27.94</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4.9 $26.67</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Awards</w:t>
      </w:r>
    </w:p>
    <w:p>
      <w:pPr>
        <w:sectPr>
          <w:pgSz w:w="11900" w:h="16864" w:orient="portrait"/>
          <w:cols w:equalWidth="0" w:num="1">
            <w:col w:w="10219"/>
          </w:cols>
          <w:pgMar w:left="240" w:top="477" w:right="1440" w:bottom="0" w:gutter="0" w:footer="0" w:header="0"/>
        </w:sectPr>
      </w:pPr>
    </w:p>
    <w:bookmarkStart w:id="113" w:name="page114"/>
    <w:bookmarkEnd w:id="113"/>
    <w:p>
      <w:pPr>
        <w:spacing w:after="0" w:line="5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granted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0.7</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$49.07</w:t>
            </w:r>
          </w:p>
        </w:tc>
      </w:tr>
      <w:tr>
        <w:trPr>
          <w:trHeight w:val="182"/>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0.6</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$40.69</w:t>
            </w:r>
          </w:p>
        </w:tc>
      </w:tr>
      <w:tr>
        <w:trPr>
          <w:trHeight w:val="182"/>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0.9</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$30.88</w:t>
            </w:r>
          </w:p>
        </w:tc>
      </w:tr>
    </w:tbl>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Awards</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exercised</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(0.7)</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$27.14</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(0.9)</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$21.45</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(0.8)</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$21.24</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Awards</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canceled</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(0.1)</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$36.43</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(0.1)</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$28.78</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(0.4)</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$27.96 ---</w:t>
      </w:r>
    </w:p>
    <w:p>
      <w:pPr>
        <w:spacing w:after="0" w:line="1" w:lineRule="exact"/>
        <w:rPr>
          <w:sz w:val="20"/>
          <w:szCs w:val="20"/>
          <w:color w:val="auto"/>
        </w:rPr>
      </w:pPr>
    </w:p>
    <w:p>
      <w:pPr>
        <w:ind w:left="220" w:hanging="181"/>
        <w:spacing w:after="0"/>
        <w:tabs>
          <w:tab w:leader="none" w:pos="22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320" w:hanging="186"/>
        <w:spacing w:after="0"/>
        <w:tabs>
          <w:tab w:leader="none" w:pos="320"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Ending</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balance</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4.1</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$35.00</w:t>
            </w:r>
          </w:p>
        </w:tc>
      </w:tr>
      <w:tr>
        <w:trPr>
          <w:trHeight w:val="182"/>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4.2</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$31.25</w:t>
            </w:r>
          </w:p>
        </w:tc>
      </w:tr>
      <w:tr>
        <w:trPr>
          <w:trHeight w:val="182"/>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4.6</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$27.94</w:t>
            </w:r>
          </w:p>
        </w:tc>
      </w:tr>
    </w:tbl>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Exercisable</w:t>
      </w:r>
    </w:p>
    <w:p>
      <w:pPr>
        <w:spacing w:after="0" w:line="8"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at</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ind w:left="520" w:hanging="291"/>
        <w:spacing w:after="0"/>
        <w:tabs>
          <w:tab w:leader="none" w:pos="52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w:t>
      </w:r>
    </w:p>
    <w:p>
      <w:pPr>
        <w:spacing w:after="0" w:line="4" w:lineRule="exact"/>
        <w:rPr>
          <w:rFonts w:ascii="Courier New" w:cs="Courier New" w:eastAsia="Courier New" w:hAnsi="Courier New"/>
          <w:sz w:val="16"/>
          <w:szCs w:val="16"/>
          <w:color w:val="auto"/>
        </w:rPr>
      </w:pPr>
    </w:p>
    <w:p>
      <w:pPr>
        <w:jc w:val="center"/>
        <w:ind w:left="40" w:right="92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$31.31 2.8 $29.01 3.0 $24.96</w:t>
      </w:r>
    </w:p>
    <w:p>
      <w:pPr>
        <w:spacing w:after="0" w:line="353" w:lineRule="exact"/>
        <w:rPr>
          <w:sz w:val="20"/>
          <w:szCs w:val="20"/>
          <w:color w:val="auto"/>
        </w:rPr>
      </w:pPr>
    </w:p>
    <w:p>
      <w:pPr>
        <w:ind w:right="3039" w:firstLine="473"/>
        <w:spacing w:after="0" w:line="267" w:lineRule="auto"/>
        <w:rPr>
          <w:sz w:val="20"/>
          <w:szCs w:val="20"/>
          <w:color w:val="auto"/>
        </w:rPr>
      </w:pPr>
      <w:r>
        <w:rPr>
          <w:rFonts w:ascii="Courier New" w:cs="Courier New" w:eastAsia="Courier New" w:hAnsi="Courier New"/>
          <w:sz w:val="15"/>
          <w:szCs w:val="15"/>
          <w:color w:val="auto"/>
        </w:rPr>
        <w:t>The following summarizes certain information pertaining to stock awards outstanding and exercisable at September 30, 2003 (shares in millions):</w:t>
      </w:r>
    </w:p>
    <w:p>
      <w:pPr>
        <w:spacing w:after="0" w:line="164"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Awards</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Outstanding</w:t>
      </w:r>
    </w:p>
    <w:p>
      <w:pPr>
        <w:spacing w:after="0" w:line="8"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Awards</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Exercisable</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20" w:hanging="181"/>
        <w:spacing w:after="0"/>
        <w:tabs>
          <w:tab w:leader="none" w:pos="22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60" w:hanging="279"/>
        <w:spacing w:after="0"/>
        <w:tabs>
          <w:tab w:leader="none" w:pos="460" w:val="left"/>
        </w:tabs>
        <w:numPr>
          <w:ilvl w:val="1"/>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WTD.</w:t>
      </w:r>
    </w:p>
    <w:p>
      <w:pPr>
        <w:spacing w:after="0" w:line="4" w:lineRule="exact"/>
        <w:rPr>
          <w:rFonts w:ascii="Courier New" w:cs="Courier New" w:eastAsia="Courier New" w:hAnsi="Courier New"/>
          <w:sz w:val="16"/>
          <w:szCs w:val="16"/>
          <w:color w:val="auto"/>
        </w:rPr>
      </w:pPr>
    </w:p>
    <w:p>
      <w:pPr>
        <w:jc w:val="both"/>
        <w:ind w:left="40" w:right="9239" w:firstLine="47"/>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Avg. WTD. Avg. WTD. Avg. Range of No. of Remaining</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Exercise</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 of</w:t>
      </w:r>
    </w:p>
    <w:p>
      <w:pPr>
        <w:spacing w:after="0" w:line="4" w:lineRule="exact"/>
        <w:rPr>
          <w:rFonts w:ascii="Courier New" w:cs="Courier New" w:eastAsia="Courier New" w:hAnsi="Courier New"/>
          <w:sz w:val="16"/>
          <w:szCs w:val="16"/>
          <w:color w:val="auto"/>
        </w:rPr>
      </w:pPr>
    </w:p>
    <w:p>
      <w:pPr>
        <w:jc w:val="center"/>
        <w:ind w:left="40" w:right="9239" w:firstLine="95"/>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Exercise Exercise Price Options Life Price Options Price -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$15.00 -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$20.00 0.4</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2.88</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$18.58 0.4</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$18.58</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$20.00 -</w:t>
      </w:r>
    </w:p>
    <w:p>
      <w:pPr>
        <w:spacing w:after="0" w:line="4" w:lineRule="exact"/>
        <w:rPr>
          <w:rFonts w:ascii="Courier New" w:cs="Courier New" w:eastAsia="Courier New" w:hAnsi="Courier New"/>
          <w:sz w:val="16"/>
          <w:szCs w:val="16"/>
          <w:color w:val="auto"/>
        </w:rPr>
      </w:pPr>
    </w:p>
    <w:p>
      <w:pPr>
        <w:jc w:val="center"/>
        <w:ind w:left="40" w:right="923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$25.00 0.1 2.31 21.54 0.1 21.54 $25.00 - $30.00 0.2 4.01 26.65 0.2 26.65 $30.00 - $35.00 1.3 5.99 30.92 0.7 31.12</w:t>
      </w:r>
    </w:p>
    <w:p>
      <w:pPr>
        <w:sectPr>
          <w:pgSz w:w="11900" w:h="16894" w:orient="portrait"/>
          <w:cols w:equalWidth="0" w:num="1">
            <w:col w:w="10219"/>
          </w:cols>
          <w:pgMar w:left="240" w:top="137" w:right="1440" w:bottom="0" w:gutter="0" w:footer="0" w:header="0"/>
        </w:sectPr>
      </w:pPr>
    </w:p>
    <w:bookmarkStart w:id="114" w:name="page115"/>
    <w:bookmarkEnd w:id="114"/>
    <w:p>
      <w:pPr>
        <w:jc w:val="center"/>
        <w:ind w:right="9239"/>
        <w:spacing w:after="0"/>
        <w:rPr>
          <w:sz w:val="20"/>
          <w:szCs w:val="20"/>
          <w:color w:val="auto"/>
        </w:rPr>
      </w:pPr>
      <w:r>
        <w:rPr>
          <w:rFonts w:ascii="Courier New" w:cs="Courier New" w:eastAsia="Courier New" w:hAnsi="Courier New"/>
          <w:sz w:val="16"/>
          <w:szCs w:val="16"/>
          <w:color w:val="auto"/>
        </w:rPr>
        <w:t>$35.00 -</w:t>
      </w:r>
    </w:p>
    <w:p>
      <w:pPr>
        <w:spacing w:after="0" w:line="5"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$40.00 1.3</w:t>
      </w:r>
    </w:p>
    <w:p>
      <w:pPr>
        <w:spacing w:after="0" w:line="12"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6.97 37.96</w:t>
      </w:r>
    </w:p>
    <w:p>
      <w:pPr>
        <w:spacing w:after="0" w:line="8"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6"/>
          <w:szCs w:val="16"/>
          <w:color w:val="auto"/>
        </w:rPr>
        <w:t>0.7 36.55</w:t>
      </w:r>
    </w:p>
    <w:p>
      <w:pPr>
        <w:spacing w:after="0" w:line="1"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6"/>
          <w:szCs w:val="16"/>
          <w:color w:val="auto"/>
        </w:rPr>
        <w:t>$40.00 -</w:t>
      </w:r>
    </w:p>
    <w:p>
      <w:pPr>
        <w:spacing w:after="0" w:line="5"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$45.00 0.1</w:t>
      </w:r>
    </w:p>
    <w:p>
      <w:pPr>
        <w:spacing w:after="0" w:line="12"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6.04 40.57</w:t>
      </w:r>
    </w:p>
    <w:p>
      <w:pPr>
        <w:spacing w:after="0" w:line="8"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6"/>
          <w:szCs w:val="16"/>
          <w:color w:val="auto"/>
        </w:rPr>
        <w:t>0.1 40.57</w:t>
      </w:r>
    </w:p>
    <w:p>
      <w:pPr>
        <w:spacing w:after="0" w:line="1"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6"/>
          <w:szCs w:val="16"/>
          <w:color w:val="auto"/>
        </w:rPr>
        <w:t>$45.00 -</w:t>
      </w:r>
    </w:p>
    <w:p>
      <w:pPr>
        <w:spacing w:after="0" w:line="5"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$52.15 0.7</w:t>
      </w:r>
    </w:p>
    <w:p>
      <w:pPr>
        <w:spacing w:after="0" w:line="12"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5"/>
          <w:szCs w:val="15"/>
          <w:color w:val="auto"/>
        </w:rPr>
        <w:t>9.16 48.88</w:t>
      </w:r>
    </w:p>
    <w:p>
      <w:pPr>
        <w:spacing w:after="0" w:line="8"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6"/>
          <w:szCs w:val="16"/>
          <w:color w:val="auto"/>
        </w:rPr>
        <w:t>0.2 49.24</w:t>
      </w:r>
    </w:p>
    <w:p>
      <w:pPr>
        <w:spacing w:after="0" w:line="1" w:lineRule="exact"/>
        <w:rPr>
          <w:sz w:val="20"/>
          <w:szCs w:val="20"/>
          <w:color w:val="auto"/>
        </w:rPr>
      </w:pPr>
    </w:p>
    <w:p>
      <w:pPr>
        <w:ind w:left="381" w:hanging="381"/>
        <w:spacing w:after="0"/>
        <w:tabs>
          <w:tab w:leader="none" w:pos="381"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1" w:hanging="381"/>
        <w:spacing w:after="0"/>
        <w:tabs>
          <w:tab w:leader="none" w:pos="381"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4.1 $35.00</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2.4 $31.31</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368" w:lineRule="exact"/>
        <w:rPr>
          <w:sz w:val="20"/>
          <w:szCs w:val="20"/>
          <w:color w:val="auto"/>
        </w:rPr>
      </w:pPr>
    </w:p>
    <w:p>
      <w:pPr>
        <w:ind w:left="3561"/>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180"/>
          </w:cols>
          <w:pgMar w:left="279" w:top="138" w:right="1440" w:bottom="1440" w:gutter="0" w:footer="0" w:header="0"/>
        </w:sectPr>
      </w:pPr>
    </w:p>
    <w:bookmarkStart w:id="115" w:name="page116"/>
    <w:bookmarkEnd w:id="115"/>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 October 1995, the Financial Accounting Standards Board issued SFAS No. 123, "Accounting for Stock-Based Compensation," which changes the measurement, recognition and disclosure standards for stock-based compensation. The Company, as allowable, had originally adopted SFAS No. 123 for disclosure purposes only. However, effective October 1, 2002, the Company began expensing options granted after that date in accordance with the SFAS No. 123 recognition and measurement provisions as amended by SFAS No. 148.</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fair value of each award granted has been estimated on the grant date using the Black-Scholes option-pricing model based on the following weighted average assumptions for those granted in fiscal 2003, 2002 and 2001: (1) expected market-price volatility of 30.1%, 29.7% and 29.5%, respectively; (2) risk-free interest rates of 3.5%, 3.35% and 4.4%, respectively; and (3) expected life of options of 7 years for fiscal 2003 and fiscal 2002 and 6 years for fiscal 2001. Awards are generally granted with a ten-year term. The estimated weighted-average fair value per share of options granted during fiscal 2003, 2002 and 2001 was $19.35, $15.83 and $11.74, respectively.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EARNINGS PER COMMON SHARE</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following table presents information necessary to calculate basic and diluted earnings per common share. Basic earnings per common share are computed by dividing net income by the weighted average number of common shares outstanding. Options to purchase 0.1 million, 0.1 million and 0.2 million shares of common stock for the years ended September 30, 2003, 2002 and 2001, respectively, were not included in the computation of diluted earnings per common share. These options were excluded from the calculation because the exercise price of these options was greater than the</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19"/>
          </w:cols>
          <w:pgMar w:left="240" w:top="477" w:right="1440" w:bottom="1440" w:gutter="0" w:footer="0" w:header="0"/>
        </w:sectPr>
      </w:pPr>
    </w:p>
    <w:bookmarkStart w:id="116" w:name="page117"/>
    <w:bookmarkEnd w:id="116"/>
    <w:p>
      <w:pPr>
        <w:spacing w:after="0" w:line="26"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ind w:right="3419"/>
        <w:spacing w:after="0" w:line="237" w:lineRule="auto"/>
        <w:rPr>
          <w:sz w:val="20"/>
          <w:szCs w:val="20"/>
          <w:color w:val="auto"/>
        </w:rPr>
      </w:pPr>
      <w:r>
        <w:rPr>
          <w:rFonts w:ascii="Courier New" w:cs="Courier New" w:eastAsia="Courier New" w:hAnsi="Courier New"/>
          <w:sz w:val="16"/>
          <w:szCs w:val="16"/>
          <w:color w:val="auto"/>
        </w:rPr>
        <w:t>average market price of the common shares in the respective periods, and therefore, they were anti-dilutive.</w:t>
      </w:r>
    </w:p>
    <w:p>
      <w:pPr>
        <w:spacing w:after="0" w:line="18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30,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2003 2002</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(in</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millions,</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except per</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share</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data)</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BASIC</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EARNINGS</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PER COMMON</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SHARE: Net</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income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before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cumulative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effect of</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accounting</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change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$103.8</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$101.0</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$15.5</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Cumulative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effect of</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change in</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accounting</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for</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intangible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assets,</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net of tax</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(18.5) ---</w:t>
      </w:r>
    </w:p>
    <w:p>
      <w:pPr>
        <w:spacing w:after="0" w:line="1" w:lineRule="exact"/>
        <w:rPr>
          <w:sz w:val="20"/>
          <w:szCs w:val="20"/>
          <w:color w:val="auto"/>
        </w:rPr>
      </w:pPr>
    </w:p>
    <w:p>
      <w:pPr>
        <w:ind w:left="420" w:hanging="381"/>
        <w:spacing w:after="0"/>
        <w:tabs>
          <w:tab w:leader="none" w:pos="42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660" w:hanging="573"/>
        <w:spacing w:after="0"/>
        <w:tabs>
          <w:tab w:leader="none" w:pos="660" w:val="left"/>
        </w:tabs>
        <w:numPr>
          <w:ilvl w:val="1"/>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income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103.8 82.5</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15.5</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Weighted-</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average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common</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shares</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outstanding</w:t>
      </w:r>
    </w:p>
    <w:p>
      <w:pPr>
        <w:spacing w:after="0" w:line="8"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during the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period</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30.9 29.3</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28.4 Basic</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earnings</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per common</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share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Before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cumulative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effect of</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accounting</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change $</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3.36 $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3.44 $0.55</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Cumulative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effect of</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change in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accounting</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for</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intangible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assets,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net of tax</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(0.63) ---</w:t>
      </w:r>
    </w:p>
    <w:p>
      <w:pPr>
        <w:spacing w:after="0" w:line="1" w:lineRule="exact"/>
        <w:rPr>
          <w:sz w:val="20"/>
          <w:szCs w:val="20"/>
          <w:color w:val="auto"/>
        </w:rPr>
      </w:pPr>
    </w:p>
    <w:p>
      <w:pPr>
        <w:ind w:left="420" w:hanging="381"/>
        <w:spacing w:after="0"/>
        <w:tabs>
          <w:tab w:leader="none" w:pos="42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After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cumulative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effect of</w:t>
      </w:r>
    </w:p>
    <w:p>
      <w:pPr>
        <w:sectPr>
          <w:pgSz w:w="11900" w:h="16864" w:orient="portrait"/>
          <w:cols w:equalWidth="0" w:num="1">
            <w:col w:w="10219"/>
          </w:cols>
          <w:pgMar w:left="240" w:top="477" w:right="1440" w:bottom="0" w:gutter="0" w:footer="0" w:header="0"/>
        </w:sectPr>
      </w:pPr>
    </w:p>
    <w:bookmarkStart w:id="117" w:name="page118"/>
    <w:bookmarkEnd w:id="117"/>
    <w:p>
      <w:pPr>
        <w:jc w:val="center"/>
        <w:ind w:right="9199"/>
        <w:spacing w:after="0"/>
        <w:rPr>
          <w:sz w:val="20"/>
          <w:szCs w:val="20"/>
          <w:color w:val="auto"/>
        </w:rPr>
      </w:pPr>
      <w:r>
        <w:rPr>
          <w:rFonts w:ascii="Courier New" w:cs="Courier New" w:eastAsia="Courier New" w:hAnsi="Courier New"/>
          <w:sz w:val="16"/>
          <w:szCs w:val="16"/>
          <w:color w:val="auto"/>
        </w:rPr>
        <w:t>accounting</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change $</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3.36 $</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2.81 $0.55</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DILUTED</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EARNINGS</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PER COMMON</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SHARE: Net</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income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used in</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diluted</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earnings</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per common</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share</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calculation</w:t>
      </w:r>
    </w:p>
    <w:p>
      <w:pPr>
        <w:spacing w:after="0" w:line="8"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$103.8 $</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82.5 $15.5</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Weighted-</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average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common</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shares</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outstanding</w:t>
      </w:r>
    </w:p>
    <w:p>
      <w:pPr>
        <w:spacing w:after="0" w:line="8"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during the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period</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30.9 29.3</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28.4</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Potential</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common</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shares:</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Assuming</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exercise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of options</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1.2 1.1</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0.9</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Assuming</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exercise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of</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warrants</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1.3 1.1 --</w:t>
      </w:r>
    </w:p>
    <w:p>
      <w:pPr>
        <w:spacing w:after="0" w:line="1" w:lineRule="exact"/>
        <w:rPr>
          <w:sz w:val="20"/>
          <w:szCs w:val="20"/>
          <w:color w:val="auto"/>
        </w:rPr>
      </w:pPr>
    </w:p>
    <w:p>
      <w:pPr>
        <w:ind w:left="520" w:hanging="481"/>
        <w:spacing w:after="0"/>
        <w:tabs>
          <w:tab w:leader="none" w:pos="52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Weighted-</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average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number of</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common</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shares</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outstanding</w:t>
      </w:r>
    </w:p>
    <w:p>
      <w:pPr>
        <w:spacing w:after="0" w:line="8"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and</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dilutive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potential</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common</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shares</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32.1 31.7</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30.4</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Diluted</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earnings</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per common</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share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Before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cumulative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effect of</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accounting</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change $</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3.23 $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3.19 $0.51</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Cumulative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effect of</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change in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accounting</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for</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intangible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assets,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net of tax</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(0.58) ---</w:t>
      </w:r>
    </w:p>
    <w:p>
      <w:pPr>
        <w:spacing w:after="0" w:line="1" w:lineRule="exact"/>
        <w:rPr>
          <w:sz w:val="20"/>
          <w:szCs w:val="20"/>
          <w:color w:val="auto"/>
        </w:rPr>
      </w:pPr>
    </w:p>
    <w:p>
      <w:pPr>
        <w:ind w:left="420" w:hanging="381"/>
        <w:spacing w:after="0"/>
        <w:tabs>
          <w:tab w:leader="none" w:pos="42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After</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cumulative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effect of</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accounting</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change $</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3.23 $</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2.61 $0.51</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8" w:right="1440" w:bottom="0" w:gutter="0" w:footer="0" w:header="0"/>
        </w:sectPr>
      </w:pPr>
    </w:p>
    <w:bookmarkStart w:id="118" w:name="page119"/>
    <w:bookmarkEnd w:id="118"/>
    <w:p>
      <w:pPr>
        <w:spacing w:after="0"/>
        <w:rPr>
          <w:sz w:val="20"/>
          <w:szCs w:val="20"/>
          <w:color w:val="auto"/>
        </w:rPr>
      </w:pPr>
      <w:r>
        <w:rPr>
          <w:rFonts w:ascii="Courier New" w:cs="Courier New" w:eastAsia="Courier New" w:hAnsi="Courier New"/>
          <w:sz w:val="16"/>
          <w:szCs w:val="16"/>
          <w:color w:val="auto"/>
        </w:rPr>
        <w:t>NOTE 12. INCOME TAXES</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190"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Year</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30,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2003</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2002</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2001 -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Currently</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payable:</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Federal</w:t>
      </w:r>
    </w:p>
    <w:p>
      <w:pPr>
        <w:spacing w:after="0" w:line="5" w:lineRule="exact"/>
        <w:rPr>
          <w:sz w:val="20"/>
          <w:szCs w:val="20"/>
          <w:color w:val="auto"/>
        </w:rPr>
      </w:pPr>
    </w:p>
    <w:p>
      <w:pPr>
        <w:jc w:val="both"/>
        <w:ind w:left="180" w:right="9559" w:firstLine="5"/>
        <w:spacing w:after="0" w:line="239" w:lineRule="auto"/>
        <w:tabs>
          <w:tab w:leader="none" w:pos="369"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8.2 $35.1 $29.9 State</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320" w:type="dxa"/>
            <w:vAlign w:val="bottom"/>
          </w:tcPr>
          <w:p>
            <w:pPr>
              <w:spacing w:after="0"/>
              <w:rPr>
                <w:sz w:val="20"/>
                <w:szCs w:val="20"/>
                <w:color w:val="auto"/>
              </w:rPr>
            </w:pPr>
            <w:r>
              <w:rPr>
                <w:rFonts w:ascii="Courier New" w:cs="Courier New" w:eastAsia="Courier New" w:hAnsi="Courier New"/>
                <w:sz w:val="16"/>
                <w:szCs w:val="16"/>
                <w:color w:val="auto"/>
              </w:rPr>
              <w:t>0.9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2"/>
        </w:trPr>
        <w:tc>
          <w:tcPr>
            <w:tcW w:w="6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2.9</w:t>
            </w:r>
          </w:p>
        </w:tc>
      </w:tr>
      <w:tr>
        <w:trPr>
          <w:trHeight w:val="182"/>
        </w:trPr>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Foreign</w:t>
            </w:r>
          </w:p>
        </w:tc>
      </w:tr>
      <w:tr>
        <w:trPr>
          <w:trHeight w:val="182"/>
        </w:trPr>
        <w:tc>
          <w:tcPr>
            <w:tcW w:w="320" w:type="dxa"/>
            <w:vAlign w:val="bottom"/>
          </w:tcPr>
          <w:p>
            <w:pPr>
              <w:spacing w:after="0"/>
              <w:rPr>
                <w:sz w:val="20"/>
                <w:szCs w:val="20"/>
                <w:color w:val="auto"/>
              </w:rPr>
            </w:pPr>
            <w:r>
              <w:rPr>
                <w:rFonts w:ascii="Courier New" w:cs="Courier New" w:eastAsia="Courier New" w:hAnsi="Courier New"/>
                <w:sz w:val="16"/>
                <w:szCs w:val="16"/>
                <w:color w:val="auto"/>
              </w:rPr>
              <w:t>5.3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bl>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0.3</w:t>
      </w:r>
    </w:p>
    <w:p>
      <w:pPr>
        <w:spacing w:after="0" w:line="5"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5"/>
          <w:szCs w:val="15"/>
          <w:color w:val="auto"/>
        </w:rPr>
        <w:t>Deferred:</w:t>
      </w:r>
    </w:p>
    <w:p>
      <w:pPr>
        <w:spacing w:after="0" w:line="8"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Federal</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41.3</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19.4</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(18.1)</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State</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3.8 1.8</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(1.8) --</w:t>
      </w:r>
    </w:p>
    <w:p>
      <w:pPr>
        <w:spacing w:after="0" w:line="1" w:lineRule="exact"/>
        <w:rPr>
          <w:sz w:val="20"/>
          <w:szCs w:val="20"/>
          <w:color w:val="auto"/>
        </w:rPr>
      </w:pPr>
    </w:p>
    <w:p>
      <w:pPr>
        <w:ind w:left="420" w:hanging="377"/>
        <w:spacing w:after="0"/>
        <w:tabs>
          <w:tab w:leader="none" w:pos="42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Income</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tax</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expense</w:t>
      </w:r>
    </w:p>
    <w:p>
      <w:pPr>
        <w:spacing w:after="0" w:line="4" w:lineRule="exact"/>
        <w:rPr>
          <w:rFonts w:ascii="Courier New" w:cs="Courier New" w:eastAsia="Courier New" w:hAnsi="Courier New"/>
          <w:sz w:val="16"/>
          <w:szCs w:val="16"/>
          <w:color w:val="auto"/>
        </w:rPr>
      </w:pPr>
    </w:p>
    <w:p>
      <w:pPr>
        <w:jc w:val="both"/>
        <w:ind w:left="180" w:right="95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$59.5 $61.9 $13.2</w:t>
      </w:r>
    </w:p>
    <w:p>
      <w:pPr>
        <w:spacing w:after="0" w:line="2"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219"/>
          </w:cols>
          <w:pgMar w:left="240" w:top="137" w:right="1440" w:bottom="1440" w:gutter="0" w:footer="0" w:header="0"/>
        </w:sectPr>
      </w:pPr>
    </w:p>
    <w:bookmarkStart w:id="119" w:name="page120"/>
    <w:bookmarkEnd w:id="119"/>
    <w:p>
      <w:pPr>
        <w:spacing w:after="0" w:line="26"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domestic and foreign components of income before taxes are as follows:</w:t>
      </w:r>
    </w:p>
    <w:p>
      <w:pPr>
        <w:spacing w:after="0" w:line="190"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Year</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30,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20" w:hanging="182"/>
        <w:spacing w:after="0"/>
        <w:tabs>
          <w:tab w:leader="none" w:pos="32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2003</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2002</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5"/>
          <w:szCs w:val="15"/>
          <w:color w:val="auto"/>
        </w:rPr>
        <w:t>millions)</w:t>
      </w:r>
    </w:p>
    <w:p>
      <w:pPr>
        <w:spacing w:after="0" w:line="8"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Domestic</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$151.6</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$160.8</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$30.3</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Foreign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480" w:type="dxa"/>
            <w:vAlign w:val="bottom"/>
          </w:tcPr>
          <w:p>
            <w:pPr>
              <w:spacing w:after="0"/>
              <w:rPr>
                <w:sz w:val="20"/>
                <w:szCs w:val="20"/>
                <w:color w:val="auto"/>
              </w:rPr>
            </w:pPr>
            <w:r>
              <w:rPr>
                <w:rFonts w:ascii="Courier New" w:cs="Courier New" w:eastAsia="Courier New" w:hAnsi="Courier New"/>
                <w:sz w:val="16"/>
                <w:szCs w:val="16"/>
                <w:color w:val="auto"/>
              </w:rPr>
              <w:t>11.7</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w w:val="90"/>
              </w:rPr>
              <w:t>2.1</w:t>
            </w:r>
          </w:p>
        </w:tc>
      </w:tr>
      <w:tr>
        <w:trPr>
          <w:trHeight w:val="182"/>
        </w:trPr>
        <w:tc>
          <w:tcPr>
            <w:tcW w:w="480" w:type="dxa"/>
            <w:vAlign w:val="bottom"/>
          </w:tcPr>
          <w:p>
            <w:pPr>
              <w:spacing w:after="0"/>
              <w:rPr>
                <w:sz w:val="20"/>
                <w:szCs w:val="20"/>
                <w:color w:val="auto"/>
              </w:rPr>
            </w:pPr>
            <w:r>
              <w:rPr>
                <w:rFonts w:ascii="Courier New" w:cs="Courier New" w:eastAsia="Courier New" w:hAnsi="Courier New"/>
                <w:sz w:val="16"/>
                <w:szCs w:val="16"/>
                <w:color w:val="auto"/>
                <w:w w:val="95"/>
              </w:rPr>
              <w:t>(1.6)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 w:lineRule="exact"/>
        <w:rPr>
          <w:sz w:val="20"/>
          <w:szCs w:val="20"/>
          <w:color w:val="auto"/>
        </w:rPr>
      </w:pPr>
    </w:p>
    <w:p>
      <w:pPr>
        <w:ind w:left="520" w:hanging="477"/>
        <w:spacing w:after="0"/>
        <w:tabs>
          <w:tab w:leader="none" w:pos="52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Income</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before</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taxes</w:t>
      </w:r>
    </w:p>
    <w:p>
      <w:pPr>
        <w:spacing w:after="0" w:line="4" w:lineRule="exact"/>
        <w:rPr>
          <w:rFonts w:ascii="Courier New" w:cs="Courier New" w:eastAsia="Courier New" w:hAnsi="Courier New"/>
          <w:sz w:val="16"/>
          <w:szCs w:val="16"/>
          <w:color w:val="auto"/>
        </w:rPr>
      </w:pPr>
    </w:p>
    <w:p>
      <w:pPr>
        <w:jc w:val="both"/>
        <w:ind w:left="140" w:right="951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$163.3 $162.9 $28.7</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A reconciliation of the federal corporate income tax rate and the effective tax rate on income before income taxes is summarized below:</w:t>
      </w:r>
    </w:p>
    <w:p>
      <w:pPr>
        <w:spacing w:after="0" w:line="18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Year ended</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30,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2003</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2002</w:t>
            </w:r>
          </w:p>
        </w:tc>
      </w:tr>
      <w:tr>
        <w:trPr>
          <w:trHeight w:val="182"/>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2001 -</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Statutory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income tax</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rate 35.0%</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35.0% 35.0%</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Effect of</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foreign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operations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(0.1) 0.2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2.6</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Goodwill</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amortization</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and other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effects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resulting</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from</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purchase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accounting</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7.5 State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taxes, net</w:t>
      </w:r>
    </w:p>
    <w:p>
      <w:pPr>
        <w:sectPr>
          <w:pgSz w:w="11900" w:h="16864" w:orient="portrait"/>
          <w:cols w:equalWidth="0" w:num="1">
            <w:col w:w="10219"/>
          </w:cols>
          <w:pgMar w:left="240" w:top="477" w:right="1440" w:bottom="0" w:gutter="0" w:footer="0" w:header="0"/>
        </w:sectPr>
      </w:pPr>
    </w:p>
    <w:bookmarkStart w:id="120" w:name="page121"/>
    <w:bookmarkEnd w:id="120"/>
    <w:p>
      <w:pPr>
        <w:jc w:val="center"/>
        <w:ind w:right="9099"/>
        <w:spacing w:after="0"/>
        <w:rPr>
          <w:sz w:val="20"/>
          <w:szCs w:val="20"/>
          <w:color w:val="auto"/>
        </w:rPr>
      </w:pPr>
      <w:r>
        <w:rPr>
          <w:rFonts w:ascii="Courier New" w:cs="Courier New" w:eastAsia="Courier New" w:hAnsi="Courier New"/>
          <w:sz w:val="16"/>
          <w:szCs w:val="16"/>
          <w:color w:val="auto"/>
        </w:rPr>
        <w:t>of federal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benefit 1.9</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2.2 2.5</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Change in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deferred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state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effective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tax rate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(1.8)</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Change in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valuation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allowance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0.6 Other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0.8 0.6</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(1.6) ----</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Effective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income tax</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rate 36.4%</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38.0% 46.0%</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right="3419" w:firstLine="473"/>
        <w:spacing w:after="0" w:line="267" w:lineRule="auto"/>
        <w:rPr>
          <w:sz w:val="20"/>
          <w:szCs w:val="20"/>
          <w:color w:val="auto"/>
        </w:rPr>
      </w:pPr>
      <w:r>
        <w:rPr>
          <w:rFonts w:ascii="Courier New" w:cs="Courier New" w:eastAsia="Courier New" w:hAnsi="Courier New"/>
          <w:sz w:val="15"/>
          <w:szCs w:val="15"/>
          <w:color w:val="auto"/>
        </w:rPr>
        <w:t>The net current and non-current components of deferred income taxes recognized in the Consolidated Balance Sheets at September 30 are:</w:t>
      </w:r>
    </w:p>
    <w:p>
      <w:pPr>
        <w:spacing w:after="0" w:line="16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30,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2003 2002</w:t>
      </w:r>
    </w:p>
    <w:p>
      <w:pPr>
        <w:spacing w:after="0" w:line="1" w:lineRule="exact"/>
        <w:rPr>
          <w:sz w:val="20"/>
          <w:szCs w:val="20"/>
          <w:color w:val="auto"/>
        </w:rPr>
      </w:pPr>
    </w:p>
    <w:p>
      <w:pPr>
        <w:ind w:left="220" w:hanging="181"/>
        <w:spacing w:after="0"/>
        <w:tabs>
          <w:tab w:leader="none" w:pos="22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right"/>
        <w:ind w:left="80" w:right="9279" w:firstLine="54"/>
        <w:spacing w:after="0" w:line="256" w:lineRule="auto"/>
        <w:tabs>
          <w:tab w:leader="none" w:pos="695"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millions)</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Net</w:t>
      </w: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current</w:t>
      </w:r>
    </w:p>
    <w:p>
      <w:pPr>
        <w:ind w:left="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assets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56.9 $74.6</w:t>
      </w:r>
    </w:p>
    <w:p>
      <w:pPr>
        <w:ind w:left="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Net non-</w:t>
      </w: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current</w:t>
      </w: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liabilities</w:t>
      </w:r>
    </w:p>
    <w:p>
      <w:pPr>
        <w:ind w:left="2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(33.0)</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(2.4) ----</w:t>
      </w:r>
    </w:p>
    <w:p>
      <w:pPr>
        <w:ind w:left="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Net assets</w:t>
      </w:r>
    </w:p>
    <w:p>
      <w:pPr>
        <w:ind w:left="2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$ 23.9</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$72.2</w:t>
      </w:r>
    </w:p>
    <w:p>
      <w:pPr>
        <w:ind w:left="2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19"/>
          </w:cols>
          <w:pgMar w:left="240" w:top="138" w:right="1440" w:bottom="1440" w:gutter="0" w:footer="0" w:header="0"/>
        </w:sectPr>
      </w:pPr>
    </w:p>
    <w:bookmarkStart w:id="121" w:name="page122"/>
    <w:bookmarkEnd w:id="121"/>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components of the net deferred tax asset are as follows:</w:t>
      </w:r>
    </w:p>
    <w:p>
      <w:pPr>
        <w:spacing w:after="0" w:line="18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September 30,</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2003 2002 -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660" w:hanging="191"/>
        <w:spacing w:after="0"/>
        <w:tabs>
          <w:tab w:leader="none" w:pos="66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ASSETS</w:t>
      </w:r>
    </w:p>
    <w:p>
      <w:pPr>
        <w:spacing w:after="0" w:line="18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13.3 $ 18.2</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Accrued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liabilities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32.9 44.7</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5"/>
          <w:szCs w:val="15"/>
          <w:color w:val="auto"/>
        </w:rPr>
        <w:t>Postretirement</w:t>
      </w:r>
    </w:p>
    <w:p>
      <w:pPr>
        <w:spacing w:after="0" w:line="8"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benefits 36.1</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34.7 Foreign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net operating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losses 0.2</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Accounts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receivable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10.7 11.7</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Other 15.9</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11.0 ------ -</w:t>
      </w:r>
    </w:p>
    <w:p>
      <w:pPr>
        <w:spacing w:after="0" w:line="5" w:lineRule="exact"/>
        <w:rPr>
          <w:sz w:val="20"/>
          <w:szCs w:val="20"/>
          <w:color w:val="auto"/>
        </w:rPr>
      </w:pPr>
    </w:p>
    <w:p>
      <w:pPr>
        <w:jc w:val="both"/>
        <w:ind w:left="100" w:right="8999" w:firstLine="38"/>
        <w:spacing w:after="0" w:line="256" w:lineRule="auto"/>
        <w:tabs>
          <w:tab w:leader="none" w:pos="715"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deferred tax assets 108.9</w:t>
      </w:r>
    </w:p>
    <w:p>
      <w:pPr>
        <w:ind w:left="4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120.5</w:t>
      </w:r>
    </w:p>
    <w:p>
      <w:pPr>
        <w:spacing w:after="0" w:line="4" w:lineRule="exact"/>
        <w:rPr>
          <w:rFonts w:ascii="Courier New" w:cs="Courier New" w:eastAsia="Courier New" w:hAnsi="Courier New"/>
          <w:sz w:val="15"/>
          <w:szCs w:val="15"/>
          <w:color w:val="auto"/>
        </w:rPr>
      </w:pPr>
    </w:p>
    <w:p>
      <w:pPr>
        <w:jc w:val="center"/>
        <w:ind w:left="100" w:right="8999" w:firstLine="142"/>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 allowance (1.0) ------</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5"/>
          <w:szCs w:val="15"/>
          <w:color w:val="auto"/>
        </w:rPr>
      </w:pPr>
    </w:p>
    <w:p>
      <w:pPr>
        <w:jc w:val="center"/>
        <w:ind w:left="40" w:right="8939" w:firstLine="47"/>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tax assets 107.9 120.5 LIABILITIES Property, plant and equipment (45.3) (29.7) Intangible assets (35.2) (17.7) Other (3.5) (0.9) -</w:t>
      </w:r>
    </w:p>
    <w:p>
      <w:pPr>
        <w:spacing w:after="0" w:line="3" w:lineRule="exact"/>
        <w:rPr>
          <w:rFonts w:ascii="Courier New" w:cs="Courier New" w:eastAsia="Courier New" w:hAnsi="Courier New"/>
          <w:sz w:val="15"/>
          <w:szCs w:val="15"/>
          <w:color w:val="auto"/>
        </w:rPr>
      </w:pPr>
    </w:p>
    <w:p>
      <w:pPr>
        <w:ind w:left="660" w:hanging="570"/>
        <w:spacing w:after="0"/>
        <w:tabs>
          <w:tab w:leader="none" w:pos="66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tax</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liability</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(84.0) (48.3)</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4" w:lineRule="exact"/>
        <w:rPr>
          <w:rFonts w:ascii="Courier New" w:cs="Courier New" w:eastAsia="Courier New" w:hAnsi="Courier New"/>
          <w:sz w:val="16"/>
          <w:szCs w:val="16"/>
          <w:color w:val="auto"/>
        </w:rPr>
      </w:pPr>
    </w:p>
    <w:p>
      <w:pPr>
        <w:jc w:val="both"/>
        <w:ind w:left="140" w:right="8999" w:hanging="47"/>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Net deferred tax asset $ 23.9 $ 72.2</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368"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Net operating loss carryforwards in foreign jurisdictions were $0.6 million at September 30, 2002. The use of these acquired carryforwards is subject to limitations imposed by the tax laws of each applicable country.</w:t>
      </w:r>
    </w:p>
    <w:p>
      <w:pPr>
        <w:spacing w:after="0" w:line="188"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State net operating loss carryforwards were $4.4 million and $0.5 million at September 30, 2003 and 2002, respectively. Any losses not previously utilized will begin to expire starting in fiscal 2011.</w:t>
      </w:r>
    </w:p>
    <w:p>
      <w:pPr>
        <w:spacing w:after="0" w:line="188"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State tax credits were $2.8 million at September 30, 2003. Any credits not previously utilized will begin to expire starting in fiscal 2005.</w:t>
      </w:r>
    </w:p>
    <w:p>
      <w:pPr>
        <w:spacing w:after="0" w:line="188"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A valuation allowance of $1.0 million at September 30, 2003 was established to offset the potential tax benefits of capital losses for which the benefits are not expected to be realized.</w:t>
      </w:r>
    </w:p>
    <w:p>
      <w:pPr>
        <w:spacing w:after="0" w:line="188"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Deferred taxes have not been provided on unremitted earnings of certain foreign subsidiaries and foreign corporate joint ventures that arose in fiscal years ending on or before September 30, 2003 in accordance with APB 23 since such earnings have been permanently reinvested.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FINANCIAL INSTRUMENTS</w:t>
      </w:r>
    </w:p>
    <w:p>
      <w:pPr>
        <w:spacing w:after="0" w:line="186" w:lineRule="exact"/>
        <w:rPr>
          <w:sz w:val="20"/>
          <w:szCs w:val="20"/>
          <w:color w:val="auto"/>
        </w:rPr>
      </w:pPr>
    </w:p>
    <w:p>
      <w:pPr>
        <w:ind w:right="2939" w:firstLine="473"/>
        <w:spacing w:after="0" w:line="237" w:lineRule="auto"/>
        <w:rPr>
          <w:sz w:val="20"/>
          <w:szCs w:val="20"/>
          <w:color w:val="auto"/>
        </w:rPr>
      </w:pPr>
      <w:r>
        <w:rPr>
          <w:rFonts w:ascii="Courier New" w:cs="Courier New" w:eastAsia="Courier New" w:hAnsi="Courier New"/>
          <w:sz w:val="16"/>
          <w:szCs w:val="16"/>
          <w:color w:val="auto"/>
        </w:rPr>
        <w:t>A description of the Company's financial instruments and the methods and assumptions used to estimate their fair values is as follows:</w:t>
      </w:r>
    </w:p>
    <w:p>
      <w:pPr>
        <w:sectPr>
          <w:pgSz w:w="11900" w:h="16838" w:orient="portrait"/>
          <w:cols w:equalWidth="0" w:num="1">
            <w:col w:w="10219"/>
          </w:cols>
          <w:pgMar w:left="240" w:top="477" w:right="1440" w:bottom="0" w:gutter="0" w:footer="0" w:header="0"/>
        </w:sectPr>
      </w:pPr>
    </w:p>
    <w:bookmarkStart w:id="122" w:name="page123"/>
    <w:bookmarkEnd w:id="122"/>
    <w:p>
      <w:pPr>
        <w:spacing w:after="0"/>
        <w:rPr>
          <w:sz w:val="20"/>
          <w:szCs w:val="20"/>
          <w:color w:val="auto"/>
        </w:rPr>
      </w:pPr>
      <w:r>
        <w:rPr>
          <w:rFonts w:ascii="Courier New" w:cs="Courier New" w:eastAsia="Courier New" w:hAnsi="Courier New"/>
          <w:sz w:val="16"/>
          <w:szCs w:val="16"/>
          <w:color w:val="auto"/>
        </w:rPr>
        <w:t>LONG-TERM DEBT</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At September 30, 2003 and 2002, Scotts had $400 million outstanding, of 8 5/8% Senior Subordinated Notes due 2009. The fair value of these notes was estimated based on recent trading information. Variable rate debt outstanding at September 30, 2003 and 2002 consisted of term loans under the Company's credit agreement and local bank borrowings for certain of the Company's foreign operations. The carrying amounts of these borrowings are considered to approximate their fair values.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 SWAP AGREEMENTS</w:t>
      </w:r>
    </w:p>
    <w:p>
      <w:pPr>
        <w:spacing w:after="0" w:line="186" w:lineRule="exact"/>
        <w:rPr>
          <w:sz w:val="20"/>
          <w:szCs w:val="20"/>
          <w:color w:val="auto"/>
        </w:rPr>
      </w:pPr>
    </w:p>
    <w:p>
      <w:pPr>
        <w:ind w:right="2659" w:firstLine="473"/>
        <w:spacing w:after="0" w:line="260" w:lineRule="auto"/>
        <w:rPr>
          <w:sz w:val="20"/>
          <w:szCs w:val="20"/>
          <w:color w:val="auto"/>
        </w:rPr>
      </w:pPr>
      <w:r>
        <w:rPr>
          <w:rFonts w:ascii="Courier New" w:cs="Courier New" w:eastAsia="Courier New" w:hAnsi="Courier New"/>
          <w:sz w:val="15"/>
          <w:szCs w:val="15"/>
          <w:color w:val="auto"/>
        </w:rPr>
        <w:t>At September 30, 2003 and 2002, Scotts had five and six interest rate swaps outstanding, respectively, with major financial institutions that effectively convert variable-rate debt to a fixed rate. The swaps have notional amounts between $10 million and $25 million ($75 million and $95 million in total,</w:t>
      </w:r>
    </w:p>
    <w:p>
      <w:pPr>
        <w:spacing w:after="0" w:line="16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10219"/>
          </w:cols>
          <w:pgMar w:left="240" w:top="138" w:right="1440" w:bottom="1440" w:gutter="0" w:footer="0" w:header="0"/>
        </w:sectPr>
      </w:pPr>
    </w:p>
    <w:bookmarkStart w:id="123" w:name="page124"/>
    <w:bookmarkEnd w:id="123"/>
    <w:p>
      <w:pPr>
        <w:spacing w:after="0" w:line="26"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respectively) with three, four or five-year terms commencing in January 1999. Under the terms of these swaps, the Company pays swap rates ranging from 3.75% to 5.18% plus a spread based on the pricing grid contained in the credit agreement and receives three-month LIBOR in return.</w:t>
      </w:r>
    </w:p>
    <w:p>
      <w:pPr>
        <w:spacing w:after="0" w:line="187"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Scotts enters into interest rate swap agreements as a means to hedge its interest rate exposure on debt instruments. Since the interest rate swaps have been designated as hedging instruments, their fair values are reflected in the Company's Consolidated Balance Sheets. Net amounts to be received or paid under the swap agreements are reflected as adjustments to interest expense. Unrealized gains or losses resulting from valuing these swaps at fair value are recorded in other comprehensive income. The fair value of the swap agreements was determined based on the present value of the estimated future net cash flows using implied rates in the applicable yield curve as of the valuation date.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 LOCKS</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Scotts entered into the interest rate locks to hedge its interest rate exposure on the offering of the 8 5/8% Senior Subordinated Notes due 2009. The net amount paid under the interest rate locks is reflected as an adjustment to the carrying amount of the 8 5/8% Senior Subordinated Notes.</w:t>
      </w:r>
    </w:p>
    <w:p>
      <w:pPr>
        <w:spacing w:after="0" w:line="187"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The estimated fair values of the Company's financial instruments are as follows for the fiscal years ended September 30:</w:t>
      </w:r>
    </w:p>
    <w:p>
      <w:pPr>
        <w:spacing w:after="0" w:line="18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2003 2002 -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Carrying</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Fair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Carrying</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Fair Amount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Value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Amount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Value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left="140" w:right="9239" w:firstLine="42"/>
        <w:spacing w:after="0" w:line="256" w:lineRule="auto"/>
        <w:tabs>
          <w:tab w:leader="none" w:pos="755"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millions) Revolving and term</w:t>
      </w:r>
    </w:p>
    <w:p>
      <w:pPr>
        <w:jc w:val="center"/>
        <w:ind w:right="9099"/>
        <w:spacing w:after="0" w:line="238" w:lineRule="auto"/>
        <w:rPr>
          <w:sz w:val="20"/>
          <w:szCs w:val="20"/>
          <w:color w:val="auto"/>
        </w:rPr>
      </w:pPr>
      <w:r>
        <w:rPr>
          <w:rFonts w:ascii="Courier New" w:cs="Courier New" w:eastAsia="Courier New" w:hAnsi="Courier New"/>
          <w:sz w:val="16"/>
          <w:szCs w:val="16"/>
          <w:color w:val="auto"/>
        </w:rPr>
        <w:t>loans under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Credit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$326.5</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$326.5</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$375.5</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$375.5</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Senior</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Subordinated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Notes 400.0</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393.1 400.0</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391.8</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Foreign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bank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borrowings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and term</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loans 6.3</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6.3 7.0 7.0</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Interest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rate swap</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agreements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(2.1) (2.1)</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(3.6) (3.6)</w:t>
      </w:r>
    </w:p>
    <w:p>
      <w:pPr>
        <w:spacing w:after="0" w:line="368" w:lineRule="exact"/>
        <w:rPr>
          <w:sz w:val="20"/>
          <w:szCs w:val="20"/>
          <w:color w:val="auto"/>
        </w:rPr>
      </w:pPr>
    </w:p>
    <w:p>
      <w:pPr>
        <w:ind w:right="2839" w:firstLine="473"/>
        <w:spacing w:after="0" w:line="267" w:lineRule="auto"/>
        <w:rPr>
          <w:sz w:val="20"/>
          <w:szCs w:val="20"/>
          <w:color w:val="auto"/>
        </w:rPr>
      </w:pPr>
      <w:r>
        <w:rPr>
          <w:rFonts w:ascii="Courier New" w:cs="Courier New" w:eastAsia="Courier New" w:hAnsi="Courier New"/>
          <w:sz w:val="15"/>
          <w:szCs w:val="15"/>
          <w:color w:val="auto"/>
        </w:rPr>
        <w:t>Excluded from the fair value table above are the following items that are included in the Company's total debt balances at September 30, 2003 and 2002:</w:t>
      </w:r>
    </w:p>
    <w:p>
      <w:pPr>
        <w:spacing w:after="0" w:line="16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2003 2002</w:t>
      </w:r>
    </w:p>
    <w:p>
      <w:pPr>
        <w:spacing w:after="0" w:line="1" w:lineRule="exact"/>
        <w:rPr>
          <w:sz w:val="20"/>
          <w:szCs w:val="20"/>
          <w:color w:val="auto"/>
        </w:rPr>
      </w:pPr>
    </w:p>
    <w:p>
      <w:pPr>
        <w:ind w:left="220" w:hanging="181"/>
        <w:spacing w:after="0"/>
        <w:tabs>
          <w:tab w:leader="none" w:pos="22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right"/>
        <w:ind w:left="80" w:right="9279" w:firstLine="54"/>
        <w:spacing w:after="0" w:line="256" w:lineRule="auto"/>
        <w:tabs>
          <w:tab w:leader="none" w:pos="695"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millions)</w:t>
      </w: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Amounts</w:t>
      </w:r>
    </w:p>
    <w:p>
      <w:pPr>
        <w:sectPr>
          <w:pgSz w:w="11900" w:h="16864" w:orient="portrait"/>
          <w:cols w:equalWidth="0" w:num="1">
            <w:col w:w="10219"/>
          </w:cols>
          <w:pgMar w:left="240" w:top="477" w:right="1440" w:bottom="0" w:gutter="0" w:footer="0" w:header="0"/>
        </w:sectPr>
      </w:pPr>
    </w:p>
    <w:bookmarkStart w:id="124" w:name="page125"/>
    <w:bookmarkEnd w:id="124"/>
    <w:p>
      <w:pPr>
        <w:jc w:val="center"/>
        <w:ind w:right="9199"/>
        <w:spacing w:after="0"/>
        <w:rPr>
          <w:sz w:val="20"/>
          <w:szCs w:val="20"/>
          <w:color w:val="auto"/>
        </w:rPr>
      </w:pPr>
      <w:r>
        <w:rPr>
          <w:rFonts w:ascii="Courier New" w:cs="Courier New" w:eastAsia="Courier New" w:hAnsi="Courier New"/>
          <w:sz w:val="16"/>
          <w:szCs w:val="16"/>
          <w:color w:val="auto"/>
        </w:rPr>
        <w:t>paid to</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settle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treasury</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locks</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$(6.9)</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$(8.2)</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Notes due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to sellers</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21.6 43.4</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Capital</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lease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obligations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and other</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10.1 11.7</w:t>
      </w:r>
    </w:p>
    <w:p>
      <w:pPr>
        <w:spacing w:after="0" w:line="36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fair value of the non-interest bearing notes is not considered determinable since there is no established market for notes with similar characteristics and since they represent notes that were negotiated between the Company and the seller as part of transactions to acquire businesses.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14. OPERATING LEASES</w:t>
      </w:r>
    </w:p>
    <w:p>
      <w:pPr>
        <w:spacing w:after="0" w:line="186"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The Company leases buildings, land and equipment under various noncancellable lease agreements for periods of two to fourteen years. The lease agreements generally provide that the Company pay taxes,</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10219"/>
          </w:cols>
          <w:pgMar w:left="240" w:top="137" w:right="1440" w:bottom="1440" w:gutter="0" w:footer="0" w:header="0"/>
        </w:sectPr>
      </w:pPr>
    </w:p>
    <w:bookmarkStart w:id="125" w:name="page126"/>
    <w:bookmarkEnd w:id="125"/>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insurance and maintenance expenses related to the leased assets. Certain lease agreements contain purchase options. At September 30, 2003, future minimum lease payments were as follows:</w:t>
      </w:r>
    </w:p>
    <w:p>
      <w:pPr>
        <w:spacing w:after="0" w:line="184"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millions)</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2004 $24.4</w:t>
      </w:r>
    </w:p>
    <w:p>
      <w:pPr>
        <w:spacing w:after="0" w:line="8"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2005 18.6</w:t>
      </w:r>
    </w:p>
    <w:p>
      <w:pPr>
        <w:spacing w:after="0" w:line="1"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2006 12.3</w:t>
      </w:r>
    </w:p>
    <w:p>
      <w:pPr>
        <w:spacing w:after="0" w:line="1"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2007 6.5</w:t>
      </w:r>
    </w:p>
    <w:p>
      <w:pPr>
        <w:spacing w:after="0" w:line="1"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2008 3.6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Thereafter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25.4 -----</w:t>
      </w:r>
    </w:p>
    <w:p>
      <w:pPr>
        <w:spacing w:after="0" w:line="1"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Total</w:t>
      </w:r>
    </w:p>
    <w:p>
      <w:pPr>
        <w:spacing w:after="0" w:line="1"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minimum</w:t>
      </w:r>
    </w:p>
    <w:p>
      <w:pPr>
        <w:spacing w:after="0" w:line="1"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lease</w:t>
      </w:r>
    </w:p>
    <w:p>
      <w:pPr>
        <w:spacing w:after="0" w:line="1"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payments</w:t>
      </w:r>
    </w:p>
    <w:p>
      <w:pPr>
        <w:spacing w:after="0" w:line="1"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$90.8</w:t>
      </w:r>
    </w:p>
    <w:p>
      <w:pPr>
        <w:spacing w:after="0" w:line="1"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Company also leases transportation and production equipment under various one-year operating leases, which provide for the extension of the initial term on a monthly or annual basis. Total rental expenses for operating leases were $40.8 million, $33.6 million and $22.0 million for fiscal 2003, 2002 and 2001, respectively.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15. COMMITMENTS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Company has entered into the following purchase commitments:</w:t>
      </w:r>
    </w:p>
    <w:p>
      <w:pPr>
        <w:spacing w:after="0" w:line="186" w:lineRule="exact"/>
        <w:rPr>
          <w:sz w:val="20"/>
          <w:szCs w:val="20"/>
          <w:color w:val="auto"/>
        </w:rPr>
      </w:pPr>
    </w:p>
    <w:p>
      <w:pPr>
        <w:jc w:val="both"/>
        <w:ind w:right="2839" w:firstLine="378"/>
        <w:spacing w:after="0" w:line="238" w:lineRule="auto"/>
        <w:rPr>
          <w:sz w:val="20"/>
          <w:szCs w:val="20"/>
          <w:color w:val="auto"/>
        </w:rPr>
      </w:pPr>
      <w:r>
        <w:rPr>
          <w:rFonts w:ascii="Courier New" w:cs="Courier New" w:eastAsia="Courier New" w:hAnsi="Courier New"/>
          <w:sz w:val="16"/>
          <w:szCs w:val="16"/>
          <w:color w:val="auto"/>
        </w:rPr>
        <w:t>SEED: The Company is obligated to make future purchases based on estimated yields and other market purchase commitments. At September 30, 2003, estimated annual seed purchase commitments were as follows:</w:t>
      </w:r>
    </w:p>
    <w:p>
      <w:pPr>
        <w:spacing w:after="0" w:line="184"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5"/>
          <w:szCs w:val="15"/>
          <w:color w:val="auto"/>
        </w:rPr>
        <w:t>millions)</w:t>
      </w:r>
    </w:p>
    <w:p>
      <w:pPr>
        <w:spacing w:after="0" w:line="8"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2004</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$55.4</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2005</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39.0</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2006</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19.8</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2007 8.2</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2008 3.7</w:t>
      </w:r>
    </w:p>
    <w:p>
      <w:pPr>
        <w:spacing w:after="0" w:line="368" w:lineRule="exact"/>
        <w:rPr>
          <w:sz w:val="20"/>
          <w:szCs w:val="20"/>
          <w:color w:val="auto"/>
        </w:rPr>
      </w:pPr>
    </w:p>
    <w:p>
      <w:pPr>
        <w:ind w:right="3219" w:firstLine="473"/>
        <w:spacing w:after="0" w:line="267" w:lineRule="auto"/>
        <w:rPr>
          <w:sz w:val="20"/>
          <w:szCs w:val="20"/>
          <w:color w:val="auto"/>
        </w:rPr>
      </w:pPr>
      <w:r>
        <w:rPr>
          <w:rFonts w:ascii="Courier New" w:cs="Courier New" w:eastAsia="Courier New" w:hAnsi="Courier New"/>
          <w:sz w:val="15"/>
          <w:szCs w:val="15"/>
          <w:color w:val="auto"/>
        </w:rPr>
        <w:t>The Company made purchases of $53.9 million, $51.6 million and $53.9 million under this obligation in fiscal 2003, 2002 and 2001, respectively.</w:t>
      </w:r>
    </w:p>
    <w:p>
      <w:pPr>
        <w:spacing w:after="0" w:line="168" w:lineRule="exact"/>
        <w:rPr>
          <w:sz w:val="20"/>
          <w:szCs w:val="20"/>
          <w:color w:val="auto"/>
        </w:rPr>
      </w:pPr>
    </w:p>
    <w:p>
      <w:pPr>
        <w:ind w:right="2839" w:firstLine="378"/>
        <w:spacing w:after="0" w:line="238" w:lineRule="auto"/>
        <w:rPr>
          <w:sz w:val="20"/>
          <w:szCs w:val="20"/>
          <w:color w:val="auto"/>
        </w:rPr>
      </w:pPr>
      <w:r>
        <w:rPr>
          <w:rFonts w:ascii="Courier New" w:cs="Courier New" w:eastAsia="Courier New" w:hAnsi="Courier New"/>
          <w:sz w:val="16"/>
          <w:szCs w:val="16"/>
          <w:color w:val="auto"/>
        </w:rPr>
        <w:t>MEDIA ADVERTISING. As of September 30, 2003, the Company has committed to purchase $25.3 million of airtime for both national and regional television advertising in fiscal 2004.</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16. CONTINGENCIES</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Management continually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Insurance reserves are established within an actuarially determined range.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MATTERS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 June 1997, the Ohio EPA initiated an enforcement action against us with respect to alleged surface water violations and inadequate treatment capabilities at our Marysville facility and seeking corrective action under the federal Resource Conservation and Recovery Act. The action relates to several discontinued on-site disposal areas which date back to the early operations of the Marysville facility that we had already been assessing and, in some cases, remediating, on a voluntary basis. On December 3,</w:t>
      </w: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80</w:t>
      </w:r>
    </w:p>
    <w:p>
      <w:pPr>
        <w:sectPr>
          <w:pgSz w:w="11900" w:h="16838" w:orient="portrait"/>
          <w:cols w:equalWidth="0" w:num="1">
            <w:col w:w="10219"/>
          </w:cols>
          <w:pgMar w:left="240" w:top="477" w:right="1440" w:bottom="1065" w:gutter="0" w:footer="0" w:header="0"/>
        </w:sectPr>
      </w:pPr>
    </w:p>
    <w:bookmarkStart w:id="126" w:name="page127"/>
    <w:bookmarkEnd w:id="126"/>
    <w:p>
      <w:pPr>
        <w:jc w:val="center"/>
        <w:ind w:right="26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2001, an agreed judicial Consent Order was submitted to the Union County Common Pleas Court and was entered by the court on January 25, 2002.</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Now that the Consent Order has been entered, we have paid a $275,000 fine and must satisfactorily remediate the Marysville site. We have continued our remediation activities with the knowledge and oversight of the Ohio EPA. We completed an updated evaluation of our expected liability related to this matter based on the fine paid and remediation actions that we have taken and expect to take in the future. As a result, we accrued an additional $3.0 million in the third quarter of fiscal 2002 to increase our reserve based on the latest estimates.</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addition to the dispute with the Ohio EPA, we are negotiating with the Philadelphia District of the U.S. Army Corps of Engineers regarding the terms of site remediation and the resolution of the Corps' civil penalty demand in connection with our prior peat harvesting operations at our Lafayette, New Jersey facility. We are also addressing remediation concerns raised by the Environment Agency of the United Kingdom with respect to emissions to air and groundwater at our Bramford (Suffolk), United Kingdom facility. We have reserved for our estimates of probable losses to be incurred in connection with each of these matters.</w:t>
      </w:r>
    </w:p>
    <w:p>
      <w:pPr>
        <w:spacing w:after="0" w:line="188" w:lineRule="exact"/>
        <w:rPr>
          <w:sz w:val="20"/>
          <w:szCs w:val="20"/>
          <w:color w:val="auto"/>
        </w:rPr>
      </w:pPr>
    </w:p>
    <w:p>
      <w:pPr>
        <w:ind w:right="2839" w:firstLine="473"/>
        <w:spacing w:after="0" w:line="259" w:lineRule="auto"/>
        <w:rPr>
          <w:sz w:val="20"/>
          <w:szCs w:val="20"/>
          <w:color w:val="auto"/>
        </w:rPr>
      </w:pPr>
      <w:r>
        <w:rPr>
          <w:rFonts w:ascii="Courier New" w:cs="Courier New" w:eastAsia="Courier New" w:hAnsi="Courier New"/>
          <w:sz w:val="15"/>
          <w:szCs w:val="15"/>
          <w:color w:val="auto"/>
        </w:rPr>
        <w:t>At September 30, 2003, $6.8 million was accrued for the environmental and regulatory matters described herein. The most significant component of this accrual are estimated costs for site remediation of $4.5 million. Most of the costs accrued as of September 30, 2003, are expected to be paid in fiscal 2004 and 2005; however, payments could be made for a period thereafter.</w:t>
      </w:r>
    </w:p>
    <w:p>
      <w:pPr>
        <w:spacing w:after="0" w:line="174"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We believe that the amounts accrued as of September 30, 2003 are adequate to cover our known environmental exposures based on current facts and estimates of likely outcome. However, the adequacy of these accruals is based on several significant assumptions:</w:t>
      </w:r>
    </w:p>
    <w:p>
      <w:pPr>
        <w:spacing w:after="0" w:line="187" w:lineRule="exact"/>
        <w:rPr>
          <w:sz w:val="20"/>
          <w:szCs w:val="20"/>
          <w:color w:val="auto"/>
        </w:rPr>
      </w:pPr>
    </w:p>
    <w:p>
      <w:pPr>
        <w:ind w:left="660" w:right="3419" w:hanging="190"/>
        <w:spacing w:after="0" w:line="237" w:lineRule="auto"/>
        <w:tabs>
          <w:tab w:leader="none" w:pos="66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we have identified all of the significant sites that must be remediated;</w:t>
      </w:r>
    </w:p>
    <w:p>
      <w:pPr>
        <w:spacing w:after="0" w:line="187" w:lineRule="exact"/>
        <w:rPr>
          <w:rFonts w:ascii="Courier New" w:cs="Courier New" w:eastAsia="Courier New" w:hAnsi="Courier New"/>
          <w:sz w:val="16"/>
          <w:szCs w:val="16"/>
          <w:color w:val="auto"/>
        </w:rPr>
      </w:pPr>
    </w:p>
    <w:p>
      <w:pPr>
        <w:ind w:left="660" w:right="2759" w:hanging="190"/>
        <w:spacing w:after="0" w:line="237" w:lineRule="auto"/>
        <w:tabs>
          <w:tab w:leader="none" w:pos="66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there are no significant conditions of potential contamination that are unknown to us; and</w:t>
      </w:r>
    </w:p>
    <w:p>
      <w:pPr>
        <w:spacing w:after="0" w:line="187" w:lineRule="exact"/>
        <w:rPr>
          <w:rFonts w:ascii="Courier New" w:cs="Courier New" w:eastAsia="Courier New" w:hAnsi="Courier New"/>
          <w:sz w:val="16"/>
          <w:szCs w:val="16"/>
          <w:color w:val="auto"/>
        </w:rPr>
      </w:pPr>
    </w:p>
    <w:p>
      <w:pPr>
        <w:ind w:left="660" w:right="3119" w:hanging="190"/>
        <w:spacing w:after="0" w:line="239" w:lineRule="auto"/>
        <w:tabs>
          <w:tab w:leader="none" w:pos="66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87" w:lineRule="exact"/>
        <w:rPr>
          <w:sz w:val="20"/>
          <w:szCs w:val="20"/>
          <w:color w:val="auto"/>
        </w:rPr>
      </w:pPr>
    </w:p>
    <w:p>
      <w:pPr>
        <w:ind w:right="2659" w:firstLine="473"/>
        <w:spacing w:after="0" w:line="262"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17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During fiscal 2003, we made approximately $1.5 million in environmental expenditures, compared with approximately $0.3 million in environmental capital expenditures and $5.4 million in environmental expenditures for fiscal 2002. Included in the $5.4 million is the $3.0 million increase in the accrual for future costs related to site remediation as described above.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AGREVO ENVIRONMENTAL HEALTH, INC.</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On June 3, 1999, AgrEvo Environmental Health, Inc. ("AgrEvo") (which subsequently changed its name to Aventis Environmental Health Science USA LP) filed a complaint in the U.S. District Court for the Southern District of New York (the "New York Action"), against Scotts, a subsidiary of Scotts and Monsanto seeking damages and injunctive relief for alleged antitrust violations and breach of contract by Scotts and its subsidiary and antitrust violations and tortious interference with contract by Monsanto. Scotts purchased a consumer herbicide business from AgrEvo in May 1998. AgrEvo claims in the suit that Scotts' subsequent agreement to become Monsanto's exclusive sales and marketing agent for Monsanto's consumer Roundup(R) business violated the federal antitrust laws. AgrEvo contends that Monsanto attempted to or did monopolize the market for non-selective herbicides and conspired with Scotts to eliminate the herbicide Scotts previously purchased from AgrEvo, which competed with Monsanto's Roundup(R). AgrEvo also contends that Scotts' execution of various agreements with Monsanto, including the Roundup(R) marketing agreement, as well as Scotts' subsequent actions, violated agreements between AgrEvo and Scotts.</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10219"/>
          </w:cols>
          <w:pgMar w:left="240" w:top="477" w:right="1440" w:bottom="1440" w:gutter="0" w:footer="0" w:header="0"/>
        </w:sectPr>
      </w:pPr>
    </w:p>
    <w:bookmarkStart w:id="127" w:name="page128"/>
    <w:bookmarkEnd w:id="127"/>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AgrEvo is requesting unspecified damages as well as affirmative injunctive relief, and seeking to have the court invalidate the Roundup(R) marketing agreement as violative of the federal antitrust laws. Under the indemnification provisions of the Roundup(R) marketing agreement, Monsanto and Scotts each have requested that the other indemnify against any losses arising from this lawsuit.</w:t>
      </w:r>
    </w:p>
    <w:p>
      <w:pPr>
        <w:spacing w:after="0" w:line="174"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June 29, 1999, AgrEvo also filed a complaint in the Superior Court of the State of Delaware against two of Scotts' subsidiaries seeking damages for alleged breach of contract. AgrEvo alleges that, under the contracts by which a subsidiary of Scotts purchased a herbicide business from AgrEvo in May 1998, two of Scotts' subsidiaries have failed to pay AgrEvo approximately $0.6 million. AgrEvo is requesting damages in this amount, as well as pre- and post-judgment interest and attorneys' fees and costs. Scotts' subsidiaries have moved to dismiss or stay this action. On January 31, 2000, the Delaware court stayed AgrEvo's action pending the resolution of a motion to amend the New York Action, and the resolution of the New York Action.</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On May 15, 2002, AgrEvo filed an additional, duplicative complaint that makes the same claims that are made in the amended complaint in the New York Action, described above. On June 6, 2002, Scotts moved to dismiss this duplicative complaint as procedurally improper. There has been no ruling by the court on Scotts' motion.</w:t>
      </w:r>
    </w:p>
    <w:p>
      <w:pPr>
        <w:spacing w:after="0" w:line="189"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On January 10, 2003, Scotts filed a supplemental counterclaim against AgrEvo for breach of contract. Scotts alleges that AgrEvo owes Scotts for amounts that Scotts overpaid to AgrEvo. Scotts' counterclaim is now part of the underlying litigation.</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Scotts believes that AgrEvo's claims in these matters are without merit and intends to vigorously defend against them. If the above actions are determined adversely to Scotts, the result could have a material adverse effect on Scotts' results of operations, financial position and cash flows. Any potential exposure that Scotts may face cannot be reasonably estimated. Therefore, no accrual has been established related to these matters.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CENTRAL GARDEN &amp; PET COMPANY</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SCOTTS V. CENTRAL GARDEN, SOUTHERN DISTRICT OF OHIO</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On June 30, 2000, Scotts filed suit against Central Garden &amp; Pet Company ("Central Garden") in the U.S. District Court for the Southern District of Ohio (the "Ohio Action") to recover approximately $24 million in accounts receivable and additional damages for other breaches of duty.</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Central Garden filed counterclaims including allegations that Scotts and Central Garden had entered into an oral agreement in April 1998 whereby Scotts would allegedly share with Central Garden the benefits and liabilities of any future business integration between Scotts and Monsanto. The court has dismissed a number of Central Garden's counterclaims as well as Scotts' claims that Central Garden breached other duties owed to Scotts. On April 22, 2002, a jury returned a verdict in favor of Scotts of $22.5 million and for Central Garden on its remaining counterclaims in an amount of approximately $12.1 million. Various post-trial motions were filed. As a result of those motions, the trial court has reduced Central Garden's verdict by $750,000, denied Central Garden's motion for a new trial on two of its counterclaims and granted the parties pre-judgment interest on their respective verdicts. On September 22, 2003, the court entered a final judgment, which provided for a net award to Scotts of approximately $14 million, together with interest at 2.31% through the date of payment. Central Garden has appealed and Scotts has cross-appealed from that final judgment.</w:t>
      </w:r>
    </w:p>
    <w:p>
      <w:pPr>
        <w:spacing w:after="0" w:line="181"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Two counterclaims that the court permitted Central Garden to add on the eve of trial were subsequently settled.</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CENTRAL GARDEN V. SCOTTS &amp; PHARMACIA, NORTHERN DISTRICT OF CALIFORNIA</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On July 7, 2000, Central Garden filed suit against Scotts and Pharmacia in the U.S. District Court for the Northern District of California (San Francisco Division) alleging various claims, including breach of contract and violations of federal antitrust laws, and seeking an unspecified amount of damages and injunctive relief. On April 15, 2002, Scotts and Central Garden each filed summary judgment motions in this action. On June 26, 2002, the court granted summary judgment in favor of Scotts and dismissed all of</w:t>
      </w:r>
    </w:p>
    <w:p>
      <w:pPr>
        <w:spacing w:after="0" w:line="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82</w:t>
      </w:r>
    </w:p>
    <w:p>
      <w:pPr>
        <w:sectPr>
          <w:pgSz w:w="11900" w:h="16838" w:orient="portrait"/>
          <w:cols w:equalWidth="0" w:num="1">
            <w:col w:w="10219"/>
          </w:cols>
          <w:pgMar w:left="240" w:top="477" w:right="1440" w:bottom="1440" w:gutter="0" w:footer="0" w:header="0"/>
        </w:sectPr>
      </w:pPr>
    </w:p>
    <w:bookmarkStart w:id="128" w:name="page129"/>
    <w:bookmarkEnd w:id="128"/>
    <w:p>
      <w:pPr>
        <w:spacing w:after="0" w:line="2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6"/>
          <w:szCs w:val="16"/>
          <w:color w:val="auto"/>
        </w:rPr>
        <w:t>Central Garden's then remaining claims. The case is now pending on appeal in the United States Court of Appeals.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CENTRAL GARDEN V. SCOTTS &amp; PHARMACIA, CONTRA COSTA SUPERIOR COURT</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On October 31, 2000, Central Garden filed a complaint against Scotts and Pharmacia in the California Superior Court for Contra Costa County. That complaint seeks to assert breach of contract claims and claims under Section 17200 of the California Business and Professions Code. On December 4, 2000, Scotts and Pharmacia jointly filed a motion to stay this action based on the pendency of prior lawsuits that involve the same subject matter. By order dated February 23, 2001, the Superior Court stayed the action pending before it. The Court recently granted Scotts' motion to lift the stay and is considering a motion to dismiss filed by Scotts. Central Garden and Pharmacia have settled their claims relating to this action.</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Although Scotts has prevailed consistently and extensively in the litigation with Central Garden, the decisions in Scotts' favor are subject to appeal. If, upon appeal or otherwise, the above actions are determined adversely to Scotts, the result could have a material adverse affect on Scotts' results of operations, financial position and cash flows. Scotts believes that it will continue to prevail in the Central Garden matters and that any potential exposure that Scotts may face cannot be reasonably estimated. Therefore, no accrual has been established related to the claims brought against Scotts by Central Garden, except for amounts ordered paid to Central Garden in the Ohio Action. Scotts believes it has adequate reserves recorded for the amounts it may ultimately be required to pay.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17. CONCENTRATIONS OF CREDIT RISK</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 Professional products are sold to commercial nurseries, greenhouses, landscape services, and growers of specialty agriculture crops.</w:t>
      </w:r>
    </w:p>
    <w:p>
      <w:pPr>
        <w:spacing w:after="0" w:line="192"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At September 30, 2003, 68% of the Company's accounts receivable was due in North America, with 7% related to on-going litigation documented in Note 16 to the Consolidated Financial Statements. Approximately 75% of the North American receivables were generated from the Company's North American Consumer segment. The most significant concentration of receivables within this segment was from our top 3 customers, which accounted for 79% of the total.</w:t>
      </w:r>
    </w:p>
    <w:p>
      <w:pPr>
        <w:spacing w:after="0" w:line="177" w:lineRule="exact"/>
        <w:rPr>
          <w:sz w:val="20"/>
          <w:szCs w:val="20"/>
          <w:color w:val="auto"/>
        </w:rPr>
      </w:pPr>
    </w:p>
    <w:p>
      <w:pPr>
        <w:jc w:val="both"/>
        <w:ind w:right="2659" w:firstLine="473"/>
        <w:spacing w:after="0" w:line="260" w:lineRule="auto"/>
        <w:rPr>
          <w:sz w:val="20"/>
          <w:szCs w:val="20"/>
          <w:color w:val="auto"/>
        </w:rPr>
      </w:pPr>
      <w:r>
        <w:rPr>
          <w:rFonts w:ascii="Courier New" w:cs="Courier New" w:eastAsia="Courier New" w:hAnsi="Courier New"/>
          <w:sz w:val="15"/>
          <w:szCs w:val="15"/>
          <w:color w:val="auto"/>
        </w:rPr>
        <w:t>The remaining 25% of North American accounts receivable was generated from customers of the Scotts LawnService(R) and Global Professional segments located in North America. Nearly all of the Global Professional segment's North American accounts receivable at September 30, 2003 was due from distributors.</w:t>
      </w:r>
    </w:p>
    <w:p>
      <w:pPr>
        <w:spacing w:after="0" w:line="173"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32% of accounts receivable generated outside of North America was due from retailers, distributors, nurseries and growers. No concentrations of customers or individual customers within this group account for more than 10% of the Company's accounts receivable balance at September 30, 2003.</w:t>
      </w:r>
    </w:p>
    <w:p>
      <w:pPr>
        <w:spacing w:after="0" w:line="187"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At September 30, 2003, the Company's concentrations of credit risk were similar to those existing at September 30, 2002.</w:t>
      </w:r>
    </w:p>
    <w:p>
      <w:pPr>
        <w:spacing w:after="0" w:line="188"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The Company's two largest customers accounted for the following percentage of net sales in each respective period:</w:t>
      </w:r>
    </w:p>
    <w:p>
      <w:pPr>
        <w:spacing w:after="0" w:line="184" w:lineRule="exact"/>
        <w:rPr>
          <w:sz w:val="20"/>
          <w:szCs w:val="20"/>
          <w:color w:val="auto"/>
        </w:rPr>
      </w:pPr>
    </w:p>
    <w:p>
      <w:pPr>
        <w:jc w:val="center"/>
        <w:ind w:right="9479"/>
        <w:spacing w:after="0"/>
        <w:rPr>
          <w:sz w:val="20"/>
          <w:szCs w:val="20"/>
          <w:color w:val="auto"/>
        </w:rPr>
      </w:pPr>
      <w:r>
        <w:rPr>
          <w:rFonts w:ascii="Courier New" w:cs="Courier New" w:eastAsia="Courier New" w:hAnsi="Courier New"/>
          <w:sz w:val="16"/>
          <w:szCs w:val="16"/>
          <w:color w:val="auto"/>
        </w:rPr>
        <w:t>Largest</w:t>
      </w:r>
    </w:p>
    <w:p>
      <w:pPr>
        <w:spacing w:after="0" w:line="1" w:lineRule="exact"/>
        <w:rPr>
          <w:sz w:val="20"/>
          <w:szCs w:val="20"/>
          <w:color w:val="auto"/>
        </w:rPr>
      </w:pPr>
    </w:p>
    <w:p>
      <w:pPr>
        <w:jc w:val="center"/>
        <w:ind w:right="9479"/>
        <w:spacing w:after="0"/>
        <w:rPr>
          <w:sz w:val="20"/>
          <w:szCs w:val="20"/>
          <w:color w:val="auto"/>
        </w:rPr>
      </w:pPr>
      <w:r>
        <w:rPr>
          <w:rFonts w:ascii="Courier New" w:cs="Courier New" w:eastAsia="Courier New" w:hAnsi="Courier New"/>
          <w:sz w:val="16"/>
          <w:szCs w:val="16"/>
          <w:color w:val="auto"/>
        </w:rPr>
        <w:t>2nd</w:t>
      </w:r>
    </w:p>
    <w:p>
      <w:pPr>
        <w:spacing w:after="0" w:line="1" w:lineRule="exact"/>
        <w:rPr>
          <w:sz w:val="20"/>
          <w:szCs w:val="20"/>
          <w:color w:val="auto"/>
        </w:rPr>
      </w:pPr>
    </w:p>
    <w:p>
      <w:pPr>
        <w:jc w:val="center"/>
        <w:ind w:right="9479"/>
        <w:spacing w:after="0"/>
        <w:rPr>
          <w:sz w:val="20"/>
          <w:szCs w:val="20"/>
          <w:color w:val="auto"/>
        </w:rPr>
      </w:pPr>
      <w:r>
        <w:rPr>
          <w:rFonts w:ascii="Courier New" w:cs="Courier New" w:eastAsia="Courier New" w:hAnsi="Courier New"/>
          <w:sz w:val="16"/>
          <w:szCs w:val="16"/>
          <w:color w:val="auto"/>
        </w:rPr>
        <w:t>Largest</w:t>
      </w:r>
    </w:p>
    <w:p>
      <w:pPr>
        <w:spacing w:after="0" w:line="5"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5"/>
          <w:szCs w:val="15"/>
          <w:color w:val="auto"/>
        </w:rPr>
        <w:t>Customer</w:t>
      </w:r>
    </w:p>
    <w:p>
      <w:pPr>
        <w:spacing w:after="0" w:line="12"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5"/>
          <w:szCs w:val="15"/>
          <w:color w:val="auto"/>
        </w:rPr>
        <w:t>Customer</w:t>
      </w:r>
    </w:p>
    <w:p>
      <w:pPr>
        <w:spacing w:after="0" w:line="8" w:lineRule="exact"/>
        <w:rPr>
          <w:sz w:val="20"/>
          <w:szCs w:val="20"/>
          <w:color w:val="auto"/>
        </w:rPr>
      </w:pPr>
    </w:p>
    <w:p>
      <w:pPr>
        <w:ind w:left="240" w:hanging="198"/>
        <w:spacing w:after="0"/>
        <w:tabs>
          <w:tab w:leader="none" w:pos="24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2003</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24.8%</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13.9%</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2002</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25.8%</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13.2%</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2001</w:t>
      </w:r>
    </w:p>
    <w:p>
      <w:pPr>
        <w:sectPr>
          <w:pgSz w:w="11900" w:h="16864" w:orient="portrait"/>
          <w:cols w:equalWidth="0" w:num="1">
            <w:col w:w="10219"/>
          </w:cols>
          <w:pgMar w:left="240" w:top="477" w:right="1440" w:bottom="0" w:gutter="0" w:footer="0" w:header="0"/>
        </w:sectPr>
      </w:pPr>
    </w:p>
    <w:bookmarkStart w:id="129" w:name="page130"/>
    <w:bookmarkEnd w:id="129"/>
    <w:p>
      <w:pPr>
        <w:ind w:left="140"/>
        <w:spacing w:after="0"/>
        <w:rPr>
          <w:sz w:val="20"/>
          <w:szCs w:val="20"/>
          <w:color w:val="auto"/>
        </w:rPr>
      </w:pPr>
      <w:r>
        <w:rPr>
          <w:rFonts w:ascii="Courier New" w:cs="Courier New" w:eastAsia="Courier New" w:hAnsi="Courier New"/>
          <w:sz w:val="16"/>
          <w:szCs w:val="16"/>
          <w:color w:val="auto"/>
        </w:rPr>
        <w:t>24.3%</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12.5%</w:t>
      </w:r>
    </w:p>
    <w:p>
      <w:pPr>
        <w:spacing w:after="0" w:line="368"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Sales to the Company's two largest customers are reported within Scotts' North American Consumer segment. No other customers accounted for more than 10% of fiscal 2003, 2002 or 2001 net sales.</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83</w:t>
      </w:r>
    </w:p>
    <w:p>
      <w:pPr>
        <w:sectPr>
          <w:pgSz w:w="11900" w:h="16838" w:orient="portrait"/>
          <w:cols w:equalWidth="0" w:num="1">
            <w:col w:w="10219"/>
          </w:cols>
          <w:pgMar w:left="240" w:top="138" w:right="1440" w:bottom="1440" w:gutter="0" w:footer="0" w:header="0"/>
        </w:sectPr>
      </w:pPr>
    </w:p>
    <w:bookmarkStart w:id="130" w:name="page131"/>
    <w:bookmarkEnd w:id="130"/>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18. OTHER EXPENSE (INCOME)</w:t>
      </w:r>
    </w:p>
    <w:p>
      <w:pPr>
        <w:spacing w:after="0" w:line="186" w:lineRule="exact"/>
        <w:rPr>
          <w:sz w:val="20"/>
          <w:szCs w:val="20"/>
          <w:color w:val="auto"/>
        </w:rPr>
      </w:pPr>
    </w:p>
    <w:p>
      <w:pPr>
        <w:ind w:right="3119" w:firstLine="473"/>
        <w:spacing w:after="0" w:line="237" w:lineRule="auto"/>
        <w:rPr>
          <w:sz w:val="20"/>
          <w:szCs w:val="20"/>
          <w:color w:val="auto"/>
        </w:rPr>
      </w:pPr>
      <w:r>
        <w:rPr>
          <w:rFonts w:ascii="Courier New" w:cs="Courier New" w:eastAsia="Courier New" w:hAnsi="Courier New"/>
          <w:sz w:val="16"/>
          <w:szCs w:val="16"/>
          <w:color w:val="auto"/>
        </w:rPr>
        <w:t>Other expense (income) consisted of the following for the fiscal years ended September 30:</w:t>
      </w:r>
    </w:p>
    <w:p>
      <w:pPr>
        <w:spacing w:after="0" w:line="18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2003 2002 2001 -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 ($ millions) Royalty</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income........................ $</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(3.5) $ (3.1) $(4.9) Legal and</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insurance settlements....... (3.6)</w:t>
      </w:r>
    </w:p>
    <w:p>
      <w:pPr>
        <w:spacing w:after="0" w:line="1"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Gain on sale of</w:t>
      </w:r>
    </w:p>
    <w:p>
      <w:pPr>
        <w:spacing w:after="0" w:line="1"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assets................ (0.3) Gain</w:t>
      </w:r>
    </w:p>
    <w:p>
      <w:pPr>
        <w:spacing w:after="0" w:line="1"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from peat transaction............</w:t>
      </w:r>
    </w:p>
    <w:p>
      <w:pPr>
        <w:spacing w:after="0" w:line="1"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(2.4) (6.3) Asset valuation and</w:t>
      </w:r>
    </w:p>
    <w:p>
      <w:pPr>
        <w:spacing w:after="0" w:line="1"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write-off</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charges.............................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40" w:type="dxa"/>
            <w:vAlign w:val="bottom"/>
          </w:tcPr>
          <w:p>
            <w:pPr>
              <w:jc w:val="right"/>
              <w:ind w:right="11"/>
              <w:spacing w:after="0"/>
              <w:rPr>
                <w:sz w:val="20"/>
                <w:szCs w:val="20"/>
                <w:color w:val="auto"/>
              </w:rPr>
            </w:pPr>
            <w:r>
              <w:rPr>
                <w:rFonts w:ascii="Courier New" w:cs="Courier New" w:eastAsia="Courier New" w:hAnsi="Courier New"/>
                <w:sz w:val="16"/>
                <w:szCs w:val="16"/>
                <w:color w:val="auto"/>
              </w:rPr>
              <w:t>0.1</w:t>
            </w:r>
          </w:p>
        </w:tc>
        <w:tc>
          <w:tcPr>
            <w:tcW w:w="270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w w:val="98"/>
              </w:rPr>
              <w:t>Foreign currency (gains)</w:t>
            </w:r>
          </w:p>
        </w:tc>
      </w:tr>
      <w:tr>
        <w:trPr>
          <w:trHeight w:val="182"/>
        </w:trPr>
        <w:tc>
          <w:tcPr>
            <w:tcW w:w="15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losses.......</w:t>
            </w:r>
          </w:p>
        </w:tc>
        <w:tc>
          <w:tcPr>
            <w:tcW w:w="20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(0.2) 0.2 0.5 Other,</w:t>
            </w:r>
          </w:p>
        </w:tc>
      </w:tr>
      <w:tr>
        <w:trPr>
          <w:trHeight w:val="182"/>
        </w:trPr>
        <w:tc>
          <w:tcPr>
            <w:tcW w:w="1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net............................</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2"/>
        </w:trPr>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c>
          <w:tcPr>
            <w:tcW w:w="27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9"/>
              </w:rPr>
              <w:t>(0.6) ------ ------ -----</w:t>
            </w:r>
          </w:p>
        </w:tc>
      </w:tr>
      <w:tr>
        <w:trPr>
          <w:trHeight w:val="182"/>
        </w:trPr>
        <w:tc>
          <w:tcPr>
            <w:tcW w:w="15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Total.................................</w:t>
            </w:r>
          </w:p>
        </w:tc>
        <w:tc>
          <w:tcPr>
            <w:tcW w:w="2040" w:type="dxa"/>
            <w:vAlign w:val="bottom"/>
          </w:tcPr>
          <w:p>
            <w:pPr>
              <w:spacing w:after="0"/>
              <w:rPr>
                <w:sz w:val="15"/>
                <w:szCs w:val="15"/>
                <w:color w:val="auto"/>
              </w:rPr>
            </w:pPr>
          </w:p>
        </w:tc>
      </w:tr>
      <w:tr>
        <w:trPr>
          <w:trHeight w:val="182"/>
        </w:trPr>
        <w:tc>
          <w:tcPr>
            <w:tcW w:w="840" w:type="dxa"/>
            <w:vAlign w:val="bottom"/>
          </w:tcPr>
          <w:p>
            <w:pPr>
              <w:jc w:val="right"/>
              <w:ind w:right="11"/>
              <w:spacing w:after="0"/>
              <w:rPr>
                <w:sz w:val="20"/>
                <w:szCs w:val="20"/>
                <w:color w:val="auto"/>
              </w:rPr>
            </w:pPr>
            <w:r>
              <w:rPr>
                <w:rFonts w:ascii="Courier New" w:cs="Courier New" w:eastAsia="Courier New" w:hAnsi="Courier New"/>
                <w:sz w:val="16"/>
                <w:szCs w:val="16"/>
                <w:color w:val="auto"/>
              </w:rPr>
              <w:t>$(10.8)</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$(12.0)</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$(8.5) ====== ======</w:t>
            </w:r>
          </w:p>
        </w:tc>
      </w:tr>
      <w:tr>
        <w:trPr>
          <w:trHeight w:val="182"/>
        </w:trPr>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40" w:type="dxa"/>
            <w:vAlign w:val="bottom"/>
          </w:tcPr>
          <w:p>
            <w:pPr>
              <w:jc w:val="right"/>
              <w:ind w:right="144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19. NEW ACCOUNTING STANDARDS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Financial Accounting Standards Board issued FASB Interpretation No. 46, "Consolidation of Variable Interest Entities--an interpretation of ARB No. 51" (FIN 46), in January 2003. This Interpretation explains how to identify variable interest entities and how an enterprise assesses its interests in a variable interest entity to decide whether to consolidate that entity. This Interpretation requires existing unconsolidated variable interest entities to be consolidated by their primary beneficiaries if the entities do not effectively disperse risks among parties involved. Variable interest entities that effectively disperse risks will not be consolidated unless a single party holds an interest or combination of interests that effectively recombines risks that were previously dispersed. The Company will be required to adopt this interpretation in the first quarter of fiscal 2004. The Company is still evaluating the provisions of FIN 46 and its related FASB Staff Positions for applicability to the Company's Scotts LawnService(R) franchises are currently being reviewed for application of this Interpretation. The Company has no other special purpose entities that would be applicable under this Interpretation.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20. SUPPLEMENTAL CASH FLOW INFORMATION</w:t>
      </w:r>
    </w:p>
    <w:p>
      <w:pPr>
        <w:spacing w:after="0" w:line="18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2003 2002</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40" w:right="9239" w:firstLine="90"/>
        <w:spacing w:after="0" w:line="256" w:lineRule="auto"/>
        <w:tabs>
          <w:tab w:leader="none" w:pos="708"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millions) Interest paid (net of amount</w:t>
      </w:r>
    </w:p>
    <w:p>
      <w:pPr>
        <w:spacing w:after="0" w:line="3"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capitalized)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$ 66.7 $</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68.1 $ 86.5</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Income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taxes paid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19.5 33.4</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47.2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Businesses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acquired:</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Fair value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of assets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acquired,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net of cash</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33.8 51.9</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53.5 Cash</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paid (20.4)</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(31.0)</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(26.5)</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Notes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issued to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sellers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13.4 20.9</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27.0</w:t>
      </w:r>
    </w:p>
    <w:p>
      <w:pPr>
        <w:sectPr>
          <w:pgSz w:w="11900" w:h="16838" w:orient="portrait"/>
          <w:cols w:equalWidth="0" w:num="1">
            <w:col w:w="10219"/>
          </w:cols>
          <w:pgMar w:left="240" w:top="477" w:right="1440" w:bottom="0" w:gutter="0" w:footer="0" w:header="0"/>
        </w:sectPr>
      </w:pPr>
    </w:p>
    <w:bookmarkStart w:id="131" w:name="page132"/>
    <w:bookmarkEnd w:id="131"/>
    <w:p>
      <w:pPr>
        <w:spacing w:after="0"/>
        <w:rPr>
          <w:sz w:val="20"/>
          <w:szCs w:val="20"/>
          <w:color w:val="auto"/>
        </w:rPr>
      </w:pPr>
      <w:r>
        <w:rPr>
          <w:rFonts w:ascii="Courier New" w:cs="Courier New" w:eastAsia="Courier New" w:hAnsi="Courier New"/>
          <w:sz w:val="16"/>
          <w:szCs w:val="16"/>
          <w:color w:val="auto"/>
        </w:rPr>
        <w:t>NOTE 21. SEGMENT INFORMATION</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For fiscal 2003, the Company was divided into four reportable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segments--North American Consumer, Scotts LawnService(R), Global Professional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International Consumer. The North American Consumer segment consists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Lawns, Gardening Products, Ortho(R) and Canadian business groups.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North American Consumer segment specializes in dry, granular slow-release lawn fertilizers, lawn fertilizer combination and lawn control products, grass seed, spreaders, water-soluble and controlled-release garden and indoor plant foods, plant care products and potting soils, barks, mulches and other growing media products and pesticides products. Products are marketed to mass merchandisers, home improvement centers, national hardware chains, independent hardware stores, nurseries, gardens centers, and food and drug stores.</w:t>
      </w:r>
    </w:p>
    <w:p>
      <w:pPr>
        <w:spacing w:after="0" w:line="187" w:lineRule="exact"/>
        <w:rPr>
          <w:sz w:val="20"/>
          <w:szCs w:val="20"/>
          <w:color w:val="auto"/>
        </w:rPr>
      </w:pPr>
    </w:p>
    <w:p>
      <w:pPr>
        <w:ind w:right="3219" w:firstLine="473"/>
        <w:spacing w:after="0" w:line="238" w:lineRule="auto"/>
        <w:rPr>
          <w:sz w:val="20"/>
          <w:szCs w:val="20"/>
          <w:color w:val="auto"/>
        </w:rPr>
      </w:pPr>
      <w:r>
        <w:rPr>
          <w:rFonts w:ascii="Courier New" w:cs="Courier New" w:eastAsia="Courier New" w:hAnsi="Courier New"/>
          <w:sz w:val="16"/>
          <w:szCs w:val="16"/>
          <w:color w:val="auto"/>
        </w:rPr>
        <w:t>The Scotts LawnService(R) segment provides lawn fertilization, insect control and other related services such as core aeration primarily to residential consumers through company-operated branches and</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84</w:t>
      </w:r>
    </w:p>
    <w:p>
      <w:pPr>
        <w:sectPr>
          <w:pgSz w:w="11900" w:h="16838" w:orient="portrait"/>
          <w:cols w:equalWidth="0" w:num="1">
            <w:col w:w="10219"/>
          </w:cols>
          <w:pgMar w:left="240" w:top="501" w:right="1440" w:bottom="1440" w:gutter="0" w:footer="0" w:header="0"/>
        </w:sectPr>
      </w:pPr>
    </w:p>
    <w:bookmarkStart w:id="132" w:name="page133"/>
    <w:bookmarkEnd w:id="132"/>
    <w:p>
      <w:pPr>
        <w:spacing w:after="0" w:line="2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franchises. In most Company markets, Scotts LawnService(R) also offers tree and shrub fertilization, disease and insect control treatments and, in our larger branches, we offer an exterior barrier pest control service.</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Global Professional segment is focused on a full line of horticulture products including controlled-release and water-soluble fertilizers and plant protection products, grass seed, spreaders, customer application services and growing media. Products are sold to commercial nurseries and greenhouses and specialty crop growers. Our Branded Plants business and biotechnology operations are also part of the Global Professional segment.</w:t>
      </w:r>
    </w:p>
    <w:p>
      <w:pPr>
        <w:spacing w:after="0" w:line="190" w:lineRule="exact"/>
        <w:rPr>
          <w:sz w:val="20"/>
          <w:szCs w:val="20"/>
          <w:color w:val="auto"/>
        </w:rPr>
      </w:pPr>
    </w:p>
    <w:p>
      <w:pPr>
        <w:ind w:right="3219" w:firstLine="473"/>
        <w:spacing w:after="0" w:line="238" w:lineRule="auto"/>
        <w:rPr>
          <w:sz w:val="20"/>
          <w:szCs w:val="20"/>
          <w:color w:val="auto"/>
        </w:rPr>
      </w:pPr>
      <w:r>
        <w:rPr>
          <w:rFonts w:ascii="Courier New" w:cs="Courier New" w:eastAsia="Courier New" w:hAnsi="Courier New"/>
          <w:sz w:val="16"/>
          <w:szCs w:val="16"/>
          <w:color w:val="auto"/>
        </w:rPr>
        <w:t>The International Consumer segment provides products similar to those described above for the North American Consumer segment to consumers in countries other than the United States and Canada.</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following table presents segment financial information in accordance with Statement of Financial Accounting Standards No. 131, "Disclosures about Segments of an Enterprise and Related Information". Pursuant to SFAS No. 131, the presentation of the segment financial information is consistent with the basis used by management (i.e., certain costs not allocated to business segments for internal management reporting purposes are not allocated for purposes of this presentation).</w:t>
      </w:r>
    </w:p>
    <w:p>
      <w:pPr>
        <w:spacing w:after="0" w:line="188"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N.A. 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Global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International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Consumer</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5"/>
          <w:szCs w:val="15"/>
          <w:color w:val="auto"/>
        </w:rPr>
        <w:t>LawnService(R)</w:t>
      </w:r>
    </w:p>
    <w:p>
      <w:pPr>
        <w:spacing w:after="0" w:line="8"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Professional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Consumer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Corporate</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Total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 millions)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Net Sales: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2003 $1,318.6</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$110.4 $199.8</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$281.3 $</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$1,910.1 2002</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1,242.9</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75.6</w:t>
            </w:r>
          </w:p>
        </w:tc>
      </w:tr>
      <w:tr>
        <w:trPr>
          <w:trHeight w:val="182"/>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183.4</w:t>
            </w:r>
          </w:p>
        </w:tc>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246.8</w:t>
            </w:r>
          </w:p>
        </w:tc>
      </w:tr>
      <w:tr>
        <w:trPr>
          <w:trHeight w:val="182"/>
        </w:trPr>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1,748.7</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r>
        <w:trPr>
          <w:trHeight w:val="182"/>
        </w:trPr>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1,191.4</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41.2</w:t>
            </w:r>
          </w:p>
        </w:tc>
      </w:tr>
      <w:tr>
        <w:trPr>
          <w:trHeight w:val="182"/>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185.7</w:t>
            </w:r>
          </w:p>
        </w:tc>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252.1</w:t>
            </w:r>
          </w:p>
        </w:tc>
      </w:tr>
    </w:tbl>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1,670.4</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Income (loss)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from</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Operations:</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2003 $ 276.1</w:t>
      </w:r>
    </w:p>
    <w:p>
      <w:pPr>
        <w:spacing w:after="0" w:line="5" w:lineRule="exact"/>
        <w:rPr>
          <w:sz w:val="20"/>
          <w:szCs w:val="20"/>
          <w:color w:val="auto"/>
        </w:rPr>
      </w:pPr>
    </w:p>
    <w:p>
      <w:pPr>
        <w:ind w:left="320" w:right="8999" w:hanging="230"/>
        <w:spacing w:after="0" w:line="256" w:lineRule="auto"/>
        <w:tabs>
          <w:tab w:leader="none" w:pos="273"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6.2 $ 22.4 $ 9.1 $</w:t>
      </w:r>
    </w:p>
    <w:p>
      <w:pPr>
        <w:jc w:val="center"/>
        <w:ind w:right="8899"/>
        <w:spacing w:after="0" w:line="236" w:lineRule="auto"/>
        <w:rPr>
          <w:sz w:val="20"/>
          <w:szCs w:val="20"/>
          <w:color w:val="auto"/>
        </w:rPr>
      </w:pPr>
      <w:r>
        <w:rPr>
          <w:rFonts w:ascii="Courier New" w:cs="Courier New" w:eastAsia="Courier New" w:hAnsi="Courier New"/>
          <w:sz w:val="16"/>
          <w:szCs w:val="16"/>
          <w:color w:val="auto"/>
        </w:rPr>
        <w:t>(72.7) $</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241.1 2002</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273.7 8.8</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13.4 16.3</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(67.3) 244.9</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2001 250.7</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4.7 12.7</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(4.0) (120.0)</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144.1</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Operating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Margin: 2003</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20.9% 5.6%</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11.2% 3.2% nm</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12.6% 2002</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22.0% 11.6%</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7.3% 6.6% nm</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14.0% 2001</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21.0% 11.4%</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6.8% (1.6)%</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nm 8.6%</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Depreciation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and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Amortization: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2003 $ 24.9 $</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3.5 $ 2.7 $</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6.7 $ 14.4 $</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52.2 2002</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20.5 2.1 0.4</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8.5 12.0 43.5</w:t>
      </w:r>
    </w:p>
    <w:p>
      <w:pPr>
        <w:sectPr>
          <w:pgSz w:w="11900" w:h="16864" w:orient="portrait"/>
          <w:cols w:equalWidth="0" w:num="1">
            <w:col w:w="10219"/>
          </w:cols>
          <w:pgMar w:left="240" w:top="477" w:right="1440" w:bottom="0" w:gutter="0" w:footer="0" w:header="0"/>
        </w:sectPr>
      </w:pPr>
    </w:p>
    <w:bookmarkStart w:id="133" w:name="page134"/>
    <w:bookmarkEnd w:id="133"/>
    <w:p>
      <w:pPr>
        <w:ind w:left="40"/>
        <w:spacing w:after="0"/>
        <w:rPr>
          <w:sz w:val="20"/>
          <w:szCs w:val="20"/>
          <w:color w:val="auto"/>
        </w:rPr>
      </w:pPr>
      <w:r>
        <w:rPr>
          <w:rFonts w:ascii="Courier New" w:cs="Courier New" w:eastAsia="Courier New" w:hAnsi="Courier New"/>
          <w:sz w:val="16"/>
          <w:szCs w:val="16"/>
          <w:color w:val="auto"/>
        </w:rPr>
        <w:t>2001 32.3 1.9</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5.1 14.0 10.3</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63.6 Capital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Expenditures: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2003 $ 17.6 $</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0.8 $ 8.3 $</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12.1 $ 13.0 $</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51.8 2002</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39.0 2.4 2.4</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4.2 9.0 57.0</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2001 31.7 1.1</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1.9 5.1 23.6</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63.4 Long-</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Lived Assets:</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2003 $ 684.7</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$106.5 $ 78.5</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$253.6 $ 50.4</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$1,173.7 2002</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693.8 80.8</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70.6 227.5</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48.2 1,120.9</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Total Assets: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2003 $1,178.7</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$125.2 $141.1</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$422.9 $</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160.0</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$2,027.9 2002</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1,086.7 97.2</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134.3 401.2</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182.0 1,901.4</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nm -- Not meaningful</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Income (loss) from operations reported for Scotts' four operating segments represents earnings before amortization of intangible assets, interest and taxes, since this is the measure of profitability used by management. Accordingly, the Corporate loss from operations for the fiscal years ended September 30,</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85</w:t>
      </w:r>
    </w:p>
    <w:p>
      <w:pPr>
        <w:sectPr>
          <w:pgSz w:w="11900" w:h="16838" w:orient="portrait"/>
          <w:cols w:equalWidth="0" w:num="1">
            <w:col w:w="10219"/>
          </w:cols>
          <w:pgMar w:left="240" w:top="137" w:right="1440" w:bottom="1440" w:gutter="0" w:footer="0" w:header="0"/>
        </w:sectPr>
      </w:pPr>
    </w:p>
    <w:bookmarkStart w:id="134" w:name="page135"/>
    <w:bookmarkEnd w:id="134"/>
    <w:p>
      <w:pPr>
        <w:spacing w:after="0" w:line="26"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2003, 2002 and 2001 includes amortization of certain intangible assets, unallocated corporate general and administrative expenses, certain other income/expense not allocated to the business segments and North America restructuring charges. International restructuring charges of approximately $9.1 million, $4.5 million and $10.4 million are included in International Consumer's income (loss) from operations in fiscal 2003, 2002 and 2001, respectively. Global Professional income from operations in fiscal 2001 is net of restructuring charges of $2.9 million.</w:t>
      </w:r>
    </w:p>
    <w:p>
      <w:pPr>
        <w:spacing w:after="0" w:line="187"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Long-lived assets reported for Scotts' operating segments include goodwill and intangible assets as well as property, plant and equipment within each segment.</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Total assets reported for Scotts' operating segments include the intangible assets for the acquired businesses within those segments. Corporate assets primarily include deferred financing and debt issuance costs, corporate intangible assets as well as deferred tax assets.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22. QUARTERLY CONSOLIDATED FINANCIAL INFORMATION (UNAUDITED)</w:t>
      </w:r>
    </w:p>
    <w:p>
      <w:pPr>
        <w:spacing w:after="0" w:line="186"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The following is a summary of the unaudited quarterly results of operations for fiscal 2003 and 2002.</w:t>
      </w:r>
    </w:p>
    <w:p>
      <w:pPr>
        <w:spacing w:after="0" w:line="184"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1st Qtr</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2nd Qtr</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3rd Qtr</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4th Qtr</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Full Year</w:t>
      </w:r>
    </w:p>
    <w:p>
      <w:pPr>
        <w:spacing w:after="0" w:line="1" w:lineRule="exact"/>
        <w:rPr>
          <w:sz w:val="20"/>
          <w:szCs w:val="20"/>
          <w:color w:val="auto"/>
        </w:rPr>
      </w:pPr>
    </w:p>
    <w:p>
      <w:pPr>
        <w:ind w:left="220" w:hanging="181"/>
        <w:spacing w:after="0"/>
        <w:tabs>
          <w:tab w:leader="none" w:pos="22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except per</w:t>
      </w:r>
    </w:p>
    <w:p>
      <w:pPr>
        <w:spacing w:after="0" w:line="4" w:lineRule="exact"/>
        <w:rPr>
          <w:rFonts w:ascii="Courier New" w:cs="Courier New" w:eastAsia="Courier New" w:hAnsi="Courier New"/>
          <w:sz w:val="16"/>
          <w:szCs w:val="16"/>
          <w:color w:val="auto"/>
        </w:rPr>
      </w:pPr>
    </w:p>
    <w:p>
      <w:pPr>
        <w:jc w:val="both"/>
        <w:ind w:left="280" w:right="947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share data)</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FISCAL</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2003 Net</w:t>
      </w:r>
    </w:p>
    <w:p>
      <w:pPr>
        <w:spacing w:after="0" w:line="4" w:lineRule="exact"/>
        <w:rPr>
          <w:rFonts w:ascii="Courier New" w:cs="Courier New" w:eastAsia="Courier New" w:hAnsi="Courier New"/>
          <w:sz w:val="16"/>
          <w:szCs w:val="16"/>
          <w:color w:val="auto"/>
        </w:rPr>
      </w:pPr>
    </w:p>
    <w:p>
      <w:pPr>
        <w:jc w:val="both"/>
        <w:ind w:left="180" w:right="937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sales $ 180.8 $</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676.2 $</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710.0 $</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343.1</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$1,910.1</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Gross</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profit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37.2 257.9</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280.8</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114.9</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690.8 Net</w:t>
      </w:r>
    </w:p>
    <w:p>
      <w:pPr>
        <w:spacing w:after="0" w:line="4" w:lineRule="exact"/>
        <w:rPr>
          <w:rFonts w:ascii="Courier New" w:cs="Courier New" w:eastAsia="Courier New" w:hAnsi="Courier New"/>
          <w:sz w:val="16"/>
          <w:szCs w:val="16"/>
          <w:color w:val="auto"/>
        </w:rPr>
      </w:pPr>
    </w:p>
    <w:p>
      <w:pPr>
        <w:jc w:val="both"/>
        <w:ind w:left="220" w:right="94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income (loss) (46.8)</w:t>
      </w:r>
    </w:p>
    <w:p>
      <w:pPr>
        <w:spacing w:after="0" w:line="2" w:lineRule="exact"/>
        <w:rPr>
          <w:rFonts w:ascii="Courier New" w:cs="Courier New" w:eastAsia="Courier New" w:hAnsi="Courier New"/>
          <w:sz w:val="16"/>
          <w:szCs w:val="16"/>
          <w:color w:val="auto"/>
        </w:rPr>
      </w:pP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62.5 91.2</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(3.1)</w:t>
      </w:r>
    </w:p>
    <w:p>
      <w:pPr>
        <w:spacing w:after="0" w:line="4" w:lineRule="exact"/>
        <w:rPr>
          <w:rFonts w:ascii="Courier New" w:cs="Courier New" w:eastAsia="Courier New" w:hAnsi="Courier New"/>
          <w:sz w:val="16"/>
          <w:szCs w:val="16"/>
          <w:color w:val="auto"/>
        </w:rPr>
      </w:pPr>
    </w:p>
    <w:p>
      <w:pPr>
        <w:jc w:val="center"/>
        <w:ind w:left="40" w:right="9239" w:firstLine="236"/>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103.8 Basic earnings (loss) per common share $ (1.55) $</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2.04 $</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2.93 $</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(0.10) $</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3.36</w:t>
      </w:r>
    </w:p>
    <w:p>
      <w:pPr>
        <w:spacing w:after="0" w:line="4" w:lineRule="exact"/>
        <w:rPr>
          <w:rFonts w:ascii="Courier New" w:cs="Courier New" w:eastAsia="Courier New" w:hAnsi="Courier New"/>
          <w:sz w:val="16"/>
          <w:szCs w:val="16"/>
          <w:color w:val="auto"/>
        </w:rPr>
      </w:pPr>
    </w:p>
    <w:p>
      <w:pPr>
        <w:ind w:right="9179" w:firstLine="232"/>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Common shares used in basic EPS calculation 30.2 30.7</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31.1 31.6</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30.9</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Diluted</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earnings</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(loss) per</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common</w:t>
      </w:r>
    </w:p>
    <w:p>
      <w:pPr>
        <w:sectPr>
          <w:pgSz w:w="11900" w:h="16864" w:orient="portrait"/>
          <w:cols w:equalWidth="0" w:num="1">
            <w:col w:w="10219"/>
          </w:cols>
          <w:pgMar w:left="240" w:top="477" w:right="1440" w:bottom="0" w:gutter="0" w:footer="0" w:header="0"/>
        </w:sectPr>
      </w:pPr>
    </w:p>
    <w:bookmarkStart w:id="135" w:name="page136"/>
    <w:bookmarkEnd w:id="135"/>
    <w:p>
      <w:pPr>
        <w:jc w:val="center"/>
        <w:ind w:right="9199"/>
        <w:spacing w:after="0"/>
        <w:rPr>
          <w:sz w:val="20"/>
          <w:szCs w:val="20"/>
          <w:color w:val="auto"/>
        </w:rPr>
      </w:pPr>
      <w:r>
        <w:rPr>
          <w:rFonts w:ascii="Courier New" w:cs="Courier New" w:eastAsia="Courier New" w:hAnsi="Courier New"/>
          <w:sz w:val="16"/>
          <w:szCs w:val="16"/>
          <w:color w:val="auto"/>
        </w:rPr>
        <w:t>share $</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(1.55) $</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1.94 $</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2.81 $</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(0.10) $</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3.23</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Common</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shares and</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dilutive</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potential</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common</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shares</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used in</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diluted</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EPS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calculation</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30.2 32.2</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32.4 31.6</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6"/>
          <w:szCs w:val="16"/>
          <w:color w:val="auto"/>
        </w:rPr>
        <w:t>32.1</w:t>
      </w:r>
    </w:p>
    <w:p>
      <w:pPr>
        <w:spacing w:after="0" w:line="368"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86</w:t>
      </w:r>
    </w:p>
    <w:p>
      <w:pPr>
        <w:sectPr>
          <w:pgSz w:w="11900" w:h="16838" w:orient="portrait"/>
          <w:cols w:equalWidth="0" w:num="1">
            <w:col w:w="10219"/>
          </w:cols>
          <w:pgMar w:left="240" w:top="137" w:right="1440" w:bottom="1440" w:gutter="0" w:footer="0" w:header="0"/>
        </w:sectPr>
      </w:pPr>
    </w:p>
    <w:bookmarkStart w:id="136" w:name="page137"/>
    <w:bookmarkEnd w:id="136"/>
    <w:p>
      <w:pPr>
        <w:spacing w:after="0" w:line="35"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3" w:lineRule="exact"/>
        <w:rPr>
          <w:sz w:val="20"/>
          <w:szCs w:val="20"/>
          <w:color w:val="auto"/>
        </w:rPr>
      </w:pPr>
    </w:p>
    <w:p>
      <w:pPr>
        <w:ind w:left="141"/>
        <w:spacing w:after="0"/>
        <w:rPr>
          <w:sz w:val="20"/>
          <w:szCs w:val="20"/>
          <w:color w:val="auto"/>
        </w:rPr>
      </w:pPr>
      <w:r>
        <w:rPr>
          <w:rFonts w:ascii="Courier New" w:cs="Courier New" w:eastAsia="Courier New" w:hAnsi="Courier New"/>
          <w:sz w:val="16"/>
          <w:szCs w:val="16"/>
          <w:color w:val="auto"/>
        </w:rPr>
        <w:t>Amended</w:t>
      </w:r>
    </w:p>
    <w:p>
      <w:pPr>
        <w:spacing w:after="0" w:line="1" w:lineRule="exact"/>
        <w:rPr>
          <w:sz w:val="20"/>
          <w:szCs w:val="20"/>
          <w:color w:val="auto"/>
        </w:rPr>
      </w:pPr>
    </w:p>
    <w:p>
      <w:pPr>
        <w:ind w:left="141"/>
        <w:spacing w:after="0"/>
        <w:rPr>
          <w:sz w:val="20"/>
          <w:szCs w:val="20"/>
          <w:color w:val="auto"/>
        </w:rPr>
      </w:pPr>
      <w:r>
        <w:rPr>
          <w:rFonts w:ascii="Courier New" w:cs="Courier New" w:eastAsia="Courier New" w:hAnsi="Courier New"/>
          <w:sz w:val="16"/>
          <w:szCs w:val="16"/>
          <w:color w:val="auto"/>
        </w:rPr>
        <w:t>1st Qtr</w:t>
      </w:r>
    </w:p>
    <w:p>
      <w:pPr>
        <w:spacing w:after="0" w:line="1" w:lineRule="exact"/>
        <w:rPr>
          <w:sz w:val="20"/>
          <w:szCs w:val="20"/>
          <w:color w:val="auto"/>
        </w:rPr>
      </w:pPr>
    </w:p>
    <w:p>
      <w:pPr>
        <w:ind w:left="141"/>
        <w:spacing w:after="0"/>
        <w:rPr>
          <w:sz w:val="20"/>
          <w:szCs w:val="20"/>
          <w:color w:val="auto"/>
        </w:rPr>
      </w:pPr>
      <w:r>
        <w:rPr>
          <w:rFonts w:ascii="Courier New" w:cs="Courier New" w:eastAsia="Courier New" w:hAnsi="Courier New"/>
          <w:sz w:val="16"/>
          <w:szCs w:val="16"/>
          <w:color w:val="auto"/>
        </w:rPr>
        <w:t>2nd Qtr</w:t>
      </w:r>
    </w:p>
    <w:p>
      <w:pPr>
        <w:spacing w:after="0" w:line="1" w:lineRule="exact"/>
        <w:rPr>
          <w:sz w:val="20"/>
          <w:szCs w:val="20"/>
          <w:color w:val="auto"/>
        </w:rPr>
      </w:pPr>
    </w:p>
    <w:p>
      <w:pPr>
        <w:ind w:left="141"/>
        <w:spacing w:after="0"/>
        <w:rPr>
          <w:sz w:val="20"/>
          <w:szCs w:val="20"/>
          <w:color w:val="auto"/>
        </w:rPr>
      </w:pPr>
      <w:r>
        <w:rPr>
          <w:rFonts w:ascii="Courier New" w:cs="Courier New" w:eastAsia="Courier New" w:hAnsi="Courier New"/>
          <w:sz w:val="16"/>
          <w:szCs w:val="16"/>
          <w:color w:val="auto"/>
        </w:rPr>
        <w:t>3rd Qtr</w:t>
      </w:r>
    </w:p>
    <w:p>
      <w:pPr>
        <w:spacing w:after="0" w:line="1" w:lineRule="exact"/>
        <w:rPr>
          <w:sz w:val="20"/>
          <w:szCs w:val="20"/>
          <w:color w:val="auto"/>
        </w:rPr>
      </w:pPr>
    </w:p>
    <w:p>
      <w:pPr>
        <w:ind w:left="141"/>
        <w:spacing w:after="0"/>
        <w:rPr>
          <w:sz w:val="20"/>
          <w:szCs w:val="20"/>
          <w:color w:val="auto"/>
        </w:rPr>
      </w:pPr>
      <w:r>
        <w:rPr>
          <w:rFonts w:ascii="Courier New" w:cs="Courier New" w:eastAsia="Courier New" w:hAnsi="Courier New"/>
          <w:sz w:val="16"/>
          <w:szCs w:val="16"/>
          <w:color w:val="auto"/>
        </w:rPr>
        <w:t>4th Qtr</w:t>
      </w:r>
    </w:p>
    <w:p>
      <w:pPr>
        <w:spacing w:after="0" w:line="1"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Full Year</w:t>
      </w:r>
    </w:p>
    <w:p>
      <w:pPr>
        <w:spacing w:after="0" w:line="1" w:lineRule="exact"/>
        <w:rPr>
          <w:sz w:val="20"/>
          <w:szCs w:val="20"/>
          <w:color w:val="auto"/>
        </w:rPr>
      </w:pPr>
    </w:p>
    <w:p>
      <w:pPr>
        <w:ind w:left="181" w:hanging="181"/>
        <w:spacing w:after="0"/>
        <w:tabs>
          <w:tab w:leader="none" w:pos="181"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w:t>
      </w:r>
    </w:p>
    <w:p>
      <w:pPr>
        <w:ind w:left="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except per</w:t>
      </w:r>
    </w:p>
    <w:p>
      <w:pPr>
        <w:spacing w:after="0" w:line="4" w:lineRule="exact"/>
        <w:rPr>
          <w:rFonts w:ascii="Courier New" w:cs="Courier New" w:eastAsia="Courier New" w:hAnsi="Courier New"/>
          <w:sz w:val="16"/>
          <w:szCs w:val="16"/>
          <w:color w:val="auto"/>
        </w:rPr>
      </w:pPr>
    </w:p>
    <w:p>
      <w:pPr>
        <w:jc w:val="both"/>
        <w:ind w:left="241" w:right="947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share data)</w:t>
      </w:r>
    </w:p>
    <w:p>
      <w:pPr>
        <w:ind w:left="1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FISCAL</w:t>
      </w: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2002 Net</w:t>
      </w:r>
    </w:p>
    <w:p>
      <w:pPr>
        <w:spacing w:after="0" w:line="4" w:lineRule="exact"/>
        <w:rPr>
          <w:rFonts w:ascii="Courier New" w:cs="Courier New" w:eastAsia="Courier New" w:hAnsi="Courier New"/>
          <w:sz w:val="16"/>
          <w:szCs w:val="16"/>
          <w:color w:val="auto"/>
        </w:rPr>
      </w:pPr>
    </w:p>
    <w:p>
      <w:pPr>
        <w:jc w:val="both"/>
        <w:ind w:left="141" w:right="937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sales $ 161.4 $</w:t>
      </w:r>
    </w:p>
    <w:p>
      <w:pPr>
        <w:ind w:left="1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598.5 $</w:t>
      </w:r>
    </w:p>
    <w:p>
      <w:pPr>
        <w:ind w:left="1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689.1 $</w:t>
      </w:r>
    </w:p>
    <w:p>
      <w:pPr>
        <w:ind w:left="2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299.7</w:t>
      </w: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$1,748.7</w:t>
      </w:r>
    </w:p>
    <w:p>
      <w:pPr>
        <w:ind w:left="2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Gross</w:t>
      </w:r>
    </w:p>
    <w:p>
      <w:pPr>
        <w:ind w:left="1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profit</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31.1 239.9</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270.6 93.3</w:t>
      </w:r>
    </w:p>
    <w:p>
      <w:pPr>
        <w:ind w:left="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634.9 Net</w:t>
      </w:r>
    </w:p>
    <w:p>
      <w:pPr>
        <w:spacing w:after="0" w:line="4" w:lineRule="exact"/>
        <w:rPr>
          <w:rFonts w:ascii="Courier New" w:cs="Courier New" w:eastAsia="Courier New" w:hAnsi="Courier New"/>
          <w:sz w:val="16"/>
          <w:szCs w:val="16"/>
          <w:color w:val="auto"/>
        </w:rPr>
      </w:pPr>
    </w:p>
    <w:p>
      <w:pPr>
        <w:jc w:val="center"/>
        <w:ind w:left="1" w:right="9239" w:firstLine="18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income (loss) before cumulative effect of accounting change (47.0) 64.9 95.8 (12.7) 101.0 Cumulative effect of change in accounting for intangible assets, net of tax (18.5) (18.5) ---</w:t>
      </w:r>
    </w:p>
    <w:p>
      <w:pPr>
        <w:spacing w:after="0" w:line="9"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Net</w:t>
      </w:r>
    </w:p>
    <w:p>
      <w:pPr>
        <w:spacing w:after="0" w:line="4" w:lineRule="exact"/>
        <w:rPr>
          <w:rFonts w:ascii="Courier New" w:cs="Courier New" w:eastAsia="Courier New" w:hAnsi="Courier New"/>
          <w:sz w:val="16"/>
          <w:szCs w:val="16"/>
          <w:color w:val="auto"/>
        </w:rPr>
      </w:pPr>
    </w:p>
    <w:p>
      <w:pPr>
        <w:jc w:val="both"/>
        <w:ind w:left="181" w:right="94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income (loss) (65.5)</w:t>
      </w:r>
    </w:p>
    <w:p>
      <w:pPr>
        <w:spacing w:after="0" w:line="2" w:lineRule="exact"/>
        <w:rPr>
          <w:rFonts w:ascii="Courier New" w:cs="Courier New" w:eastAsia="Courier New" w:hAnsi="Courier New"/>
          <w:sz w:val="16"/>
          <w:szCs w:val="16"/>
          <w:color w:val="auto"/>
        </w:rPr>
      </w:pPr>
    </w:p>
    <w:p>
      <w:pPr>
        <w:ind w:left="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64.9 95.8</w:t>
      </w:r>
    </w:p>
    <w:p>
      <w:pPr>
        <w:ind w:left="1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(12.7)</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82.5 Basic</w:t>
      </w: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earnings</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(loss) per</w:t>
      </w:r>
    </w:p>
    <w:p>
      <w:pPr>
        <w:ind w:left="1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common</w:t>
      </w:r>
    </w:p>
    <w:p>
      <w:pPr>
        <w:ind w:left="2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w:t>
      </w:r>
    </w:p>
    <w:p>
      <w:pPr>
        <w:ind w:left="1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before</w:t>
      </w:r>
    </w:p>
    <w:p>
      <w:pPr>
        <w:ind w:left="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w:t>
      </w:r>
    </w:p>
    <w:p>
      <w:pPr>
        <w:spacing w:after="0" w:line="4" w:lineRule="exact"/>
        <w:rPr>
          <w:rFonts w:ascii="Courier New" w:cs="Courier New" w:eastAsia="Courier New" w:hAnsi="Courier New"/>
          <w:sz w:val="16"/>
          <w:szCs w:val="16"/>
          <w:color w:val="auto"/>
        </w:rPr>
      </w:pPr>
    </w:p>
    <w:p>
      <w:pPr>
        <w:jc w:val="both"/>
        <w:ind w:left="101" w:right="931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change $ (1.63) $</w:t>
      </w:r>
    </w:p>
    <w:p>
      <w:pPr>
        <w:ind w:left="1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2.23 $</w:t>
      </w:r>
    </w:p>
    <w:p>
      <w:pPr>
        <w:ind w:left="1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3.25 $</w:t>
      </w: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(0.43) $</w:t>
      </w:r>
    </w:p>
    <w:p>
      <w:pPr>
        <w:ind w:left="2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3.44</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Cumulative</w:t>
      </w:r>
    </w:p>
    <w:p>
      <w:pPr>
        <w:spacing w:after="0" w:line="4" w:lineRule="exact"/>
        <w:rPr>
          <w:rFonts w:ascii="Courier New" w:cs="Courier New" w:eastAsia="Courier New" w:hAnsi="Courier New"/>
          <w:sz w:val="16"/>
          <w:szCs w:val="16"/>
          <w:color w:val="auto"/>
        </w:rPr>
      </w:pPr>
    </w:p>
    <w:p>
      <w:pPr>
        <w:jc w:val="center"/>
        <w:ind w:left="1" w:right="9239" w:firstLine="47"/>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effect of change in accounting for intangible assets,</w:t>
      </w:r>
    </w:p>
    <w:p>
      <w:pPr>
        <w:sectPr>
          <w:pgSz w:w="11900" w:h="16873" w:orient="portrait"/>
          <w:cols w:equalWidth="0" w:num="1">
            <w:col w:w="10180"/>
          </w:cols>
          <w:pgMar w:left="279" w:top="477" w:right="1440" w:bottom="0" w:gutter="0" w:footer="0" w:header="0"/>
        </w:sectPr>
      </w:pPr>
    </w:p>
    <w:bookmarkStart w:id="137" w:name="page138"/>
    <w:bookmarkEnd w:id="137"/>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620" w:type="dxa"/>
            <w:vAlign w:val="bottom"/>
          </w:tcPr>
          <w:p>
            <w:pPr>
              <w:spacing w:after="0"/>
              <w:rPr>
                <w:sz w:val="20"/>
                <w:szCs w:val="20"/>
                <w:color w:val="auto"/>
              </w:rPr>
            </w:pPr>
            <w:r>
              <w:rPr>
                <w:rFonts w:ascii="Courier New" w:cs="Courier New" w:eastAsia="Courier New" w:hAnsi="Courier New"/>
                <w:sz w:val="16"/>
                <w:szCs w:val="16"/>
                <w:color w:val="auto"/>
              </w:rPr>
              <w:t>net of</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tax</w:t>
            </w:r>
          </w:p>
        </w:tc>
      </w:tr>
      <w:tr>
        <w:trPr>
          <w:trHeight w:val="182"/>
        </w:trPr>
        <w:tc>
          <w:tcPr>
            <w:tcW w:w="9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(0.64)</w:t>
            </w:r>
          </w:p>
        </w:tc>
      </w:tr>
      <w:tr>
        <w:trPr>
          <w:trHeight w:val="182"/>
        </w:trPr>
        <w:tc>
          <w:tcPr>
            <w:tcW w:w="620" w:type="dxa"/>
            <w:vAlign w:val="bottom"/>
          </w:tcPr>
          <w:p>
            <w:pPr>
              <w:spacing w:after="0"/>
              <w:rPr>
                <w:sz w:val="20"/>
                <w:szCs w:val="20"/>
                <w:color w:val="auto"/>
              </w:rPr>
            </w:pPr>
            <w:r>
              <w:rPr>
                <w:rFonts w:ascii="Courier New" w:cs="Courier New" w:eastAsia="Courier New" w:hAnsi="Courier New"/>
                <w:sz w:val="16"/>
                <w:szCs w:val="16"/>
                <w:color w:val="auto"/>
              </w:rPr>
              <w:t>(0.63)</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w:t>
            </w:r>
          </w:p>
        </w:tc>
      </w:tr>
    </w:tbl>
    <w:p>
      <w:pPr>
        <w:spacing w:after="0" w:line="1" w:lineRule="exact"/>
        <w:rPr>
          <w:sz w:val="20"/>
          <w:szCs w:val="20"/>
          <w:color w:val="auto"/>
        </w:rPr>
      </w:pPr>
    </w:p>
    <w:p>
      <w:pPr>
        <w:ind w:left="520" w:hanging="481"/>
        <w:spacing w:after="0"/>
        <w:tabs>
          <w:tab w:leader="none" w:pos="52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Basic</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earnings</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(loss) per</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common</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(2.27)</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2.23 3.25</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(0.43)</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2.81</w:t>
      </w:r>
    </w:p>
    <w:p>
      <w:pPr>
        <w:spacing w:after="0" w:line="4" w:lineRule="exact"/>
        <w:rPr>
          <w:rFonts w:ascii="Courier New" w:cs="Courier New" w:eastAsia="Courier New" w:hAnsi="Courier New"/>
          <w:sz w:val="16"/>
          <w:szCs w:val="16"/>
          <w:color w:val="auto"/>
        </w:rPr>
      </w:pPr>
    </w:p>
    <w:p>
      <w:pPr>
        <w:ind w:right="9179" w:firstLine="232"/>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Common shares used in basic EPS calculation 28.8 29.1</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29.5 29.8</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29.3</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Diluted</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earnings</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(loss) per</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common</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before</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cumulative</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w:t>
      </w:r>
    </w:p>
    <w:p>
      <w:pPr>
        <w:spacing w:after="0" w:line="4" w:lineRule="exact"/>
        <w:rPr>
          <w:rFonts w:ascii="Courier New" w:cs="Courier New" w:eastAsia="Courier New" w:hAnsi="Courier New"/>
          <w:sz w:val="16"/>
          <w:szCs w:val="16"/>
          <w:color w:val="auto"/>
        </w:rPr>
      </w:pPr>
    </w:p>
    <w:p>
      <w:pPr>
        <w:jc w:val="both"/>
        <w:ind w:left="140" w:right="931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change $ (1.63) $</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2.06 $</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3.02 $</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(0.43) $</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3.19</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Cumulative</w:t>
      </w:r>
    </w:p>
    <w:p>
      <w:pPr>
        <w:spacing w:after="0" w:line="4" w:lineRule="exact"/>
        <w:rPr>
          <w:rFonts w:ascii="Courier New" w:cs="Courier New" w:eastAsia="Courier New" w:hAnsi="Courier New"/>
          <w:sz w:val="16"/>
          <w:szCs w:val="16"/>
          <w:color w:val="auto"/>
        </w:rPr>
      </w:pPr>
    </w:p>
    <w:p>
      <w:pPr>
        <w:jc w:val="center"/>
        <w:ind w:left="40" w:right="9239" w:firstLine="47"/>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effect of change in accounting for intangible assets, net of tax (0.64) (0.58) ---</w:t>
      </w:r>
    </w:p>
    <w:p>
      <w:pPr>
        <w:spacing w:after="0" w:line="1" w:lineRule="exact"/>
        <w:rPr>
          <w:rFonts w:ascii="Courier New" w:cs="Courier New" w:eastAsia="Courier New" w:hAnsi="Courier New"/>
          <w:sz w:val="16"/>
          <w:szCs w:val="16"/>
          <w:color w:val="auto"/>
        </w:rPr>
      </w:pPr>
    </w:p>
    <w:p>
      <w:pPr>
        <w:ind w:left="520" w:hanging="481"/>
        <w:spacing w:after="0"/>
        <w:tabs>
          <w:tab w:leader="none" w:pos="52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Diluted</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earnings</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(loss) per</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common</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(2.27)</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2.06 3.02</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(0.43)</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2.61</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Common</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shares and</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dilutive</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w:t>
      </w:r>
    </w:p>
    <w:p>
      <w:pPr>
        <w:spacing w:after="0" w:line="4" w:lineRule="exact"/>
        <w:rPr>
          <w:rFonts w:ascii="Courier New" w:cs="Courier New" w:eastAsia="Courier New" w:hAnsi="Courier New"/>
          <w:sz w:val="16"/>
          <w:szCs w:val="16"/>
          <w:color w:val="auto"/>
        </w:rPr>
      </w:pPr>
    </w:p>
    <w:p>
      <w:pPr>
        <w:jc w:val="both"/>
        <w:ind w:left="180" w:right="9379" w:firstLine="47"/>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common shares used in diluted</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EPS</w:t>
      </w:r>
    </w:p>
    <w:p>
      <w:pPr>
        <w:spacing w:after="0" w:line="4" w:lineRule="exact"/>
        <w:rPr>
          <w:rFonts w:ascii="Courier New" w:cs="Courier New" w:eastAsia="Courier New" w:hAnsi="Courier New"/>
          <w:sz w:val="16"/>
          <w:szCs w:val="16"/>
          <w:color w:val="auto"/>
        </w:rPr>
      </w:pPr>
    </w:p>
    <w:p>
      <w:pPr>
        <w:ind w:left="80" w:right="9179" w:hanging="90"/>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calculation 28.8 31.5</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31.8 29.8</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31.7</w:t>
      </w:r>
    </w:p>
    <w:p>
      <w:pPr>
        <w:spacing w:after="0" w:line="368"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Common stock equivalents, such as stock awards and warrants, are excluded from the diluted loss per share calculation in periods where there is a net loss because their effect is anti-dilutive.</w:t>
      </w:r>
    </w:p>
    <w:p>
      <w:pPr>
        <w:spacing w:after="0" w:line="188"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Scotts' business is highly seasonal with over 70% of sales occurring in the second and third fiscal quarters combined.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23. SUBSEQUENT EVENT</w:t>
      </w:r>
    </w:p>
    <w:p>
      <w:pPr>
        <w:spacing w:after="0" w:line="186" w:lineRule="exact"/>
        <w:rPr>
          <w:sz w:val="20"/>
          <w:szCs w:val="20"/>
          <w:color w:val="auto"/>
        </w:rPr>
      </w:pPr>
    </w:p>
    <w:p>
      <w:pPr>
        <w:ind w:right="2839" w:firstLine="473"/>
        <w:spacing w:after="0" w:line="259" w:lineRule="auto"/>
        <w:rPr>
          <w:sz w:val="20"/>
          <w:szCs w:val="20"/>
          <w:color w:val="auto"/>
        </w:rPr>
      </w:pPr>
      <w:r>
        <w:rPr>
          <w:rFonts w:ascii="Courier New" w:cs="Courier New" w:eastAsia="Courier New" w:hAnsi="Courier New"/>
          <w:sz w:val="15"/>
          <w:szCs w:val="15"/>
          <w:color w:val="auto"/>
        </w:rPr>
        <w:t>In October 2003, the Company substantially completed a refinancing of the former Credit Agreement and its $400 million 8 5/8% Senior Subordinated Notes ("8 5/8% Notes") in a series of transactions. The refinancing began on October 8, 2003 with the issuance by The Scotts Company of $200 million 6 5/8% Senior Subordinated Notes due November 15, 2013 ("6 5/8% Notes"). Next, substantially</w:t>
      </w:r>
    </w:p>
    <w:p>
      <w:pPr>
        <w:sectPr>
          <w:pgSz w:w="11900" w:h="16900" w:orient="portrait"/>
          <w:cols w:equalWidth="0" w:num="1">
            <w:col w:w="10219"/>
          </w:cols>
          <w:pgMar w:left="240" w:top="138" w:right="1440" w:bottom="0" w:gutter="0" w:footer="0" w:header="0"/>
        </w:sectPr>
      </w:pPr>
    </w:p>
    <w:bookmarkStart w:id="138" w:name="page139"/>
    <w:bookmarkEnd w:id="138"/>
    <w:p>
      <w:pPr>
        <w:ind w:right="2659"/>
        <w:spacing w:after="0" w:line="239" w:lineRule="auto"/>
        <w:rPr>
          <w:sz w:val="20"/>
          <w:szCs w:val="20"/>
          <w:color w:val="auto"/>
        </w:rPr>
      </w:pPr>
      <w:r>
        <w:rPr>
          <w:rFonts w:ascii="Courier New" w:cs="Courier New" w:eastAsia="Courier New" w:hAnsi="Courier New"/>
          <w:sz w:val="16"/>
          <w:szCs w:val="16"/>
          <w:color w:val="auto"/>
        </w:rPr>
        <w:t>all of the outstanding 8 5/8% Notes were tendered on October 21, 2003 within the terms of the original agreement. Finally, the Former Credit Agreement was replaced with a Second Amended and Restated Credit Agreement ("New Credit Agreement") on October 22, 2003 which contains less restrictive terms and conditions than the Former Agreement.</w:t>
      </w:r>
    </w:p>
    <w:p>
      <w:pPr>
        <w:spacing w:after="0" w:line="189"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6 5/8% Notes were issued in accordance with Rule 144A and Regulation S under the Securities Act of 1933. The 6 5/8% Notes were sold at par, pay interest semi-annually on May 15 and November 15, have a ten-year maturity with a five-year no-call provision, and are guaranteed by the current and future domestic restricted subsidiaries of The Scotts Company. Such guarantees are unsecured senior subordinated obligations of the Company. The covenants contained in the 6 5/8% Notes indenture are less restrictive than those contained in the 8 5/8% Notes indenture.</w:t>
      </w:r>
    </w:p>
    <w:p>
      <w:pPr>
        <w:spacing w:after="0" w:line="187" w:lineRule="exact"/>
        <w:rPr>
          <w:sz w:val="20"/>
          <w:szCs w:val="20"/>
          <w:color w:val="auto"/>
        </w:rPr>
      </w:pPr>
    </w:p>
    <w:p>
      <w:pPr>
        <w:ind w:right="3119" w:firstLine="473"/>
        <w:spacing w:after="0" w:line="238" w:lineRule="auto"/>
        <w:rPr>
          <w:sz w:val="20"/>
          <w:szCs w:val="20"/>
          <w:color w:val="auto"/>
        </w:rPr>
      </w:pPr>
      <w:r>
        <w:rPr>
          <w:rFonts w:ascii="Courier New" w:cs="Courier New" w:eastAsia="Courier New" w:hAnsi="Courier New"/>
          <w:sz w:val="16"/>
          <w:szCs w:val="16"/>
          <w:color w:val="auto"/>
        </w:rPr>
        <w:t>The Scotts Company called the 8 5/8% Notes at 106.05% per $1,000 Note resulting in a principal tendered amount of approximately $386.8 million on October 21, 2003. On November 21, 2003, the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87</w:t>
      </w:r>
    </w:p>
    <w:p>
      <w:pPr>
        <w:sectPr>
          <w:pgSz w:w="11900" w:h="16838" w:orient="portrait"/>
          <w:cols w:equalWidth="0" w:num="1">
            <w:col w:w="10219"/>
          </w:cols>
          <w:pgMar w:left="240" w:top="141" w:right="1440" w:bottom="1440" w:gutter="0" w:footer="0" w:header="0"/>
        </w:sectPr>
      </w:pPr>
    </w:p>
    <w:bookmarkStart w:id="139" w:name="page140"/>
    <w:bookmarkEnd w:id="139"/>
    <w:p>
      <w:pPr>
        <w:jc w:val="center"/>
        <w:ind w:right="26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Company delivered notice to the trustee to redeem the outstanding $13.2 million 8 5/8% Notes effective on the first call date of January 15, 2004 at 104.313% per $1,000 Note plus accrued interest. The expected loss on the extinguishment of the former Credit Agreement is $44.3 million, of which $19.4 million is related to the write-off of deferred fees, $24.0 million of premiums paid and $0.9 million in transaction fees.</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New Credit Agreement was entered into with a syndicate of commercial banks and institutional lenders on October 22, 2003. The New Credit Agreement consists of a $700 million multi-currency revolving credit commitment and a $500 million term loan B facility. Financial covenants consist of a minimum interest coverage ratio and a maximum leverage ratio along with other negative covenants similar to the previous Credit Agreement.</w:t>
      </w:r>
    </w:p>
    <w:p>
      <w:pPr>
        <w:spacing w:after="0" w:line="190"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revolving credit facilities under the New Credit Agreement provide for a five-year $700 million commitment expiring on October 22, 2008 and allow for borrowings in U.S. Dollars and optional currencies including, but not limited to, Euros, British Pounds Sterling, Canadian Dollars and Australian Dollars. A portion of the revolving credit facilities of an amount not exceeding $65 million may be used for letters of credit. Interest rate spreads under the New Credit Agreement will be determined by a pricing grid corresponding to a quarterly calculation of the Company's leverage ratio comprised of averaged components for the most recent four quarters.</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$500 million term loan B facility expires on September 30, 2010. Repayment of the term loan B commences on March 31, 2004 with minimum quarterly principal payments through June 30, 2010 followed by a balloon maturity on September 30, 2010.</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Collateral for the borrowings under the New Credit Agreement consists of pledges by the Company and all of its domestic subsidiaries of substantially all of their personal, real and intellectual property assets. The Company and its subsidiaries also pledged a majority of the stock in foreign subsidiaries that borrow under the New Credit Agreement.</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November 28, 2003, The Scotts Company entered into five new interest swaps with major financial institutions that effectively convert variable-rate debt related to the New Credit Agreement dated October 22, 2003 to a fixed rate. The swaps have notional amounts between $10 million and $50 million ($125 million in total) with three, four and five-year terms. Under the terms of these swaps, the Company pays swap rates ranging from 2.76% to 3.56%, plus a spread based on the pricing grid contained in the credit agreement and receives three-month LIBOR in return.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24. FINANCIAL INFORMATION FOR SUBSIDIARY GUARANTORS AND NON-GUARANTORS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January 1999, The Scotts Company issued $330 million of 8 5/8% Senior Subordinated Notes due 2009 to qualified institutional buyers under the provisions of Rule 144A of the Securities Act of 1933. These Notes were subsequently registered in December 2000. In January 2002, the Company issued an additional $70 million of 8 5/8% Senior Subordinated Notes due 2009 and were subsequently exchanged for Registered 8 5/8% Notes in October 2002.</w:t>
      </w:r>
    </w:p>
    <w:p>
      <w:pPr>
        <w:spacing w:after="0" w:line="190"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Notes are general obligations of The Scotts Company and are guaranteed by all of the existing wholly-owned, domestic subsidiaries and all future wholly-owned, significant (as defined in Regulation S-X of the SEC) domestic subsidiaries of The Scotts Company. These subsidiary guarantors jointly and severally guarantee The Scotts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following information presents consolidating Statements of Operations and Statements of Cash Flows for the three years ended September 30, 2003 and consolidated Balance Sheets as of September 30, 2003 and 2002. Separate audited financial statements of the individual guarantor subsidiaries have not been provided because management does not believe they would be meaningful to investors.</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88</w:t>
      </w:r>
    </w:p>
    <w:p>
      <w:pPr>
        <w:sectPr>
          <w:pgSz w:w="11900" w:h="16838" w:orient="portrait"/>
          <w:cols w:equalWidth="0" w:num="1">
            <w:col w:w="10219"/>
          </w:cols>
          <w:pgMar w:left="240" w:top="477" w:right="1440" w:bottom="1440" w:gutter="0" w:footer="0" w:header="0"/>
        </w:sectPr>
      </w:pPr>
    </w:p>
    <w:bookmarkStart w:id="140" w:name="page141"/>
    <w:bookmarkEnd w:id="140"/>
    <w:p>
      <w:pPr>
        <w:spacing w:after="0" w:line="26"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STATEMENT OF OPERATIONS</w:t>
      </w:r>
    </w:p>
    <w:p>
      <w:pPr>
        <w:spacing w:after="0" w:line="1"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6"/>
          <w:szCs w:val="16"/>
          <w:color w:val="auto"/>
        </w:rPr>
        <w:t>FOR THE FISCAL YEAR ENDED SEPTEMBER 30, 2003</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(IN MILLIONS)</w:t>
      </w:r>
    </w:p>
    <w:p>
      <w:pPr>
        <w:spacing w:after="0" w:line="18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Subsidiary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Non- Parent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Guarantors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Guarantors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Eliminations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Consolidated</w:t>
      </w:r>
    </w:p>
    <w:p>
      <w:pPr>
        <w:spacing w:after="0" w:line="1" w:lineRule="exact"/>
        <w:rPr>
          <w:sz w:val="20"/>
          <w:szCs w:val="20"/>
          <w:color w:val="auto"/>
        </w:rPr>
      </w:pPr>
    </w:p>
    <w:p>
      <w:pPr>
        <w:ind w:left="240" w:hanging="197"/>
        <w:spacing w:after="0"/>
        <w:tabs>
          <w:tab w:leader="none" w:pos="24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sales</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$1,310.8 $</w:t>
      </w:r>
    </w:p>
    <w:p>
      <w:pPr>
        <w:spacing w:after="0" w:line="4" w:lineRule="exact"/>
        <w:rPr>
          <w:rFonts w:ascii="Courier New" w:cs="Courier New" w:eastAsia="Courier New" w:hAnsi="Courier New"/>
          <w:sz w:val="16"/>
          <w:szCs w:val="16"/>
          <w:color w:val="auto"/>
        </w:rPr>
      </w:pPr>
    </w:p>
    <w:p>
      <w:pPr>
        <w:jc w:val="center"/>
        <w:ind w:left="40" w:right="893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68.7 $530.6 $ $1,910.1 Cost of sales 960.9 (75.3) 324.6 1,210.2 Restructuring and other charges 5.2 3.9 9.1 -----</w:t>
      </w:r>
    </w:p>
    <w:p>
      <w:pPr>
        <w:spacing w:after="0" w:line="1"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560" w:hanging="470"/>
        <w:spacing w:after="0"/>
        <w:tabs>
          <w:tab w:leader="none" w:pos="560" w:val="left"/>
        </w:tabs>
        <w:numPr>
          <w:ilvl w:val="1"/>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344.7 144.0</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202.1 690.8</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Gross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commission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earned from</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marketing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43.4 2.5 45.9</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Contribution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expenses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under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marketing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28.3 28.3 ---</w:t>
      </w:r>
    </w:p>
    <w:p>
      <w:pPr>
        <w:spacing w:after="0" w:line="1" w:lineRule="exact"/>
        <w:rPr>
          <w:sz w:val="20"/>
          <w:szCs w:val="20"/>
          <w:color w:val="auto"/>
        </w:rPr>
      </w:pPr>
    </w:p>
    <w:p>
      <w:pPr>
        <w:ind w:left="660" w:hanging="570"/>
        <w:spacing w:after="0"/>
        <w:tabs>
          <w:tab w:leader="none" w:pos="660" w:val="left"/>
        </w:tabs>
        <w:numPr>
          <w:ilvl w:val="1"/>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5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w:t>
      </w:r>
    </w:p>
    <w:p>
      <w:pPr>
        <w:spacing w:after="0" w:line="4" w:lineRule="exact"/>
        <w:rPr>
          <w:rFonts w:ascii="Courier New" w:cs="Courier New" w:eastAsia="Courier New" w:hAnsi="Courier New"/>
          <w:sz w:val="16"/>
          <w:szCs w:val="16"/>
          <w:color w:val="auto"/>
        </w:rPr>
      </w:pPr>
    </w:p>
    <w:p>
      <w:pPr>
        <w:jc w:val="center"/>
        <w:ind w:left="40" w:right="8939" w:firstLine="142"/>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commission earned from marketing agreement 15.1 2.5 17.6 Advertising 68.7 0.7 28.3</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97.7 Selling,</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general and</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administrative</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232.5 139.9</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372.4</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Restructuring</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 other</w:t>
      </w:r>
    </w:p>
    <w:p>
      <w:pPr>
        <w:spacing w:after="0" w:line="4" w:lineRule="exact"/>
        <w:rPr>
          <w:rFonts w:ascii="Courier New" w:cs="Courier New" w:eastAsia="Courier New" w:hAnsi="Courier New"/>
          <w:sz w:val="16"/>
          <w:szCs w:val="16"/>
          <w:color w:val="auto"/>
        </w:rPr>
      </w:pPr>
    </w:p>
    <w:p>
      <w:pPr>
        <w:jc w:val="center"/>
        <w:ind w:left="40" w:right="8939" w:firstLine="95"/>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charges 2.7 0.8 4.5 8.0 Amortization of intangible assets 0.5 1.7 6.4 8.6 Equity (income) loss in non-guarantors (100.3) 100.3 Intercompany allocations (18.6) 2.7 15.9 Other income, net (2.3) (1.7) (6.8) (10.8)</w:t>
      </w:r>
    </w:p>
    <w:p>
      <w:pPr>
        <w:spacing w:after="0" w:line="7"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320" w:hanging="277"/>
        <w:spacing w:after="0"/>
        <w:tabs>
          <w:tab w:leader="none" w:pos="32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Income (loss)</w:t>
      </w:r>
    </w:p>
    <w:p>
      <w:pPr>
        <w:sectPr>
          <w:pgSz w:w="11900" w:h="16864" w:orient="portrait"/>
          <w:cols w:equalWidth="0" w:num="1">
            <w:col w:w="10219"/>
          </w:cols>
          <w:pgMar w:left="240" w:top="659" w:right="1440" w:bottom="0" w:gutter="0" w:footer="0" w:header="0"/>
        </w:sectPr>
      </w:pPr>
    </w:p>
    <w:bookmarkStart w:id="141" w:name="page142"/>
    <w:bookmarkEnd w:id="141"/>
    <w:p>
      <w:pPr>
        <w:jc w:val="center"/>
        <w:ind w:right="8939"/>
        <w:spacing w:after="0"/>
        <w:rPr>
          <w:sz w:val="20"/>
          <w:szCs w:val="20"/>
          <w:color w:val="auto"/>
        </w:rPr>
      </w:pPr>
      <w:r>
        <w:rPr>
          <w:rFonts w:ascii="Courier New" w:cs="Courier New" w:eastAsia="Courier New" w:hAnsi="Courier New"/>
          <w:sz w:val="16"/>
          <w:szCs w:val="16"/>
          <w:color w:val="auto"/>
        </w:rPr>
        <w:t>from</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operations</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176.6 139.8</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16.4 (100.3)</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232.5</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Interest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(income)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expense 70.6</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(15.6) 14.2</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69.2 --------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520" w:hanging="375"/>
        <w:spacing w:after="0"/>
        <w:tabs>
          <w:tab w:leader="none" w:pos="520" w:val="left"/>
        </w:tabs>
        <w:numPr>
          <w:ilvl w:val="1"/>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w:t>
      </w:r>
    </w:p>
    <w:p>
      <w:pPr>
        <w:spacing w:after="0" w:line="4" w:lineRule="exact"/>
        <w:rPr>
          <w:rFonts w:ascii="Courier New" w:cs="Courier New" w:eastAsia="Courier New" w:hAnsi="Courier New"/>
          <w:sz w:val="16"/>
          <w:szCs w:val="16"/>
          <w:color w:val="auto"/>
        </w:rPr>
      </w:pPr>
    </w:p>
    <w:p>
      <w:pPr>
        <w:jc w:val="center"/>
        <w:ind w:right="893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(loss) before income taxes 106.0 155.4 2.2 (100.3) 163.3 Income taxes 2.2 56.5 0.8 59.5</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280" w:hanging="277"/>
        <w:spacing w:after="0"/>
        <w:tabs>
          <w:tab w:leader="none" w:pos="28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Income (loss)</w:t>
      </w: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before</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cumulative</w:t>
      </w: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w:t>
      </w: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change 103.8</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98.9 1.4</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(100.3) 103.8</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Cumulative</w:t>
      </w:r>
    </w:p>
    <w:p>
      <w:pPr>
        <w:spacing w:after="0" w:line="4" w:lineRule="exact"/>
        <w:rPr>
          <w:rFonts w:ascii="Courier New" w:cs="Courier New" w:eastAsia="Courier New" w:hAnsi="Courier New"/>
          <w:sz w:val="16"/>
          <w:szCs w:val="16"/>
          <w:color w:val="auto"/>
        </w:rPr>
      </w:pPr>
    </w:p>
    <w:p>
      <w:pPr>
        <w:jc w:val="center"/>
        <w:ind w:right="8939" w:firstLine="18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effect of change in accounting for intangible assets, net of tax ------</w:t>
      </w:r>
    </w:p>
    <w:p>
      <w:pPr>
        <w:ind w:left="280" w:hanging="277"/>
        <w:spacing w:after="0"/>
        <w:tabs>
          <w:tab w:leader="none" w:pos="28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Net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income (loss)</w:t>
      </w: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$ 103.8 $</w:t>
      </w:r>
    </w:p>
    <w:p>
      <w:pPr>
        <w:spacing w:after="0" w:line="4" w:lineRule="exact"/>
        <w:rPr>
          <w:rFonts w:ascii="Courier New" w:cs="Courier New" w:eastAsia="Courier New" w:hAnsi="Courier New"/>
          <w:sz w:val="16"/>
          <w:szCs w:val="16"/>
          <w:color w:val="auto"/>
        </w:rPr>
      </w:pPr>
    </w:p>
    <w:p>
      <w:pPr>
        <w:jc w:val="center"/>
        <w:ind w:left="140" w:right="907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98.9 $ 1.4 $(100.3) $ 103.8</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89</w:t>
      </w:r>
    </w:p>
    <w:p>
      <w:pPr>
        <w:sectPr>
          <w:pgSz w:w="11900" w:h="16838" w:orient="portrait"/>
          <w:cols w:equalWidth="0" w:num="1">
            <w:col w:w="10179"/>
          </w:cols>
          <w:pgMar w:left="280" w:top="137" w:right="1440" w:bottom="1440" w:gutter="0" w:footer="0" w:header="0"/>
        </w:sectPr>
      </w:pPr>
    </w:p>
    <w:bookmarkStart w:id="142" w:name="page143"/>
    <w:bookmarkEnd w:id="142"/>
    <w:p>
      <w:pPr>
        <w:spacing w:after="0" w:line="4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STATEMENT OF CASH FLOWS</w:t>
      </w:r>
    </w:p>
    <w:p>
      <w:pPr>
        <w:spacing w:after="0" w:line="1"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6"/>
          <w:szCs w:val="16"/>
          <w:color w:val="auto"/>
        </w:rPr>
        <w:t>FOR THE FISCAL YEAR ENDED SEPTEMBER 30, 2003</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(IN MILLIONS)</w:t>
      </w:r>
    </w:p>
    <w:p>
      <w:pPr>
        <w:spacing w:after="0" w:line="18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Subsidiary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Non- Parent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Guarantors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Guarantors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Eliminations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Consolidated</w:t>
      </w:r>
    </w:p>
    <w:p>
      <w:pPr>
        <w:spacing w:after="0" w:line="1" w:lineRule="exact"/>
        <w:rPr>
          <w:sz w:val="20"/>
          <w:szCs w:val="20"/>
          <w:color w:val="auto"/>
        </w:rPr>
      </w:pPr>
    </w:p>
    <w:p>
      <w:pPr>
        <w:ind w:left="240" w:hanging="198"/>
        <w:spacing w:after="0"/>
        <w:tabs>
          <w:tab w:leader="none" w:pos="24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FROM</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w:t>
      </w:r>
    </w:p>
    <w:p>
      <w:pPr>
        <w:spacing w:after="0" w:line="4" w:lineRule="exact"/>
        <w:rPr>
          <w:rFonts w:ascii="Courier New" w:cs="Courier New" w:eastAsia="Courier New" w:hAnsi="Courier New"/>
          <w:sz w:val="16"/>
          <w:szCs w:val="16"/>
          <w:color w:val="auto"/>
        </w:rPr>
      </w:pPr>
    </w:p>
    <w:p>
      <w:pPr>
        <w:jc w:val="center"/>
        <w:ind w:left="40" w:right="9039" w:firstLine="95"/>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ACTIVITIES Net income (loss) $ 103.8 $ 98.9 $ 1.4 $(100.3) $ 103.8 Adjustments to reconcile net income (loss) to net cash provided by operating activities: Cumulative effect of change in accounting for intangible assets, pre-tax Stock-based compensation expense 4.8 4.8 Depreciation 25.3 9.4 5.6 40.3 Amortization 3.8 1.7 6.4 11.9 Deferred taxes 48.3 48.3 Equity income in non-guarantors (100.3)</w:t>
      </w:r>
    </w:p>
    <w:p>
      <w:pPr>
        <w:spacing w:after="0" w:line="21"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100.3</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Restructuring</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 other</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charges</w:t>
      </w:r>
    </w:p>
    <w:p>
      <w:pPr>
        <w:spacing w:after="0" w:line="4" w:lineRule="exact"/>
        <w:rPr>
          <w:rFonts w:ascii="Courier New" w:cs="Courier New" w:eastAsia="Courier New" w:hAnsi="Courier New"/>
          <w:sz w:val="16"/>
          <w:szCs w:val="16"/>
          <w:color w:val="auto"/>
        </w:rPr>
      </w:pPr>
    </w:p>
    <w:p>
      <w:pPr>
        <w:jc w:val="center"/>
        <w:ind w:left="40" w:right="9039" w:firstLine="95"/>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Changes in assets and liabilities, net of acquired businesses: Accounts receivable (6.0) (10.4) (17.6)</w:t>
      </w:r>
    </w:p>
    <w:p>
      <w:pPr>
        <w:spacing w:after="0" w:line="2"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(34.0)</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2.1 0.1</w:t>
      </w:r>
    </w:p>
    <w:p>
      <w:pPr>
        <w:spacing w:after="0" w:line="4" w:lineRule="exact"/>
        <w:rPr>
          <w:rFonts w:ascii="Courier New" w:cs="Courier New" w:eastAsia="Courier New" w:hAnsi="Courier New"/>
          <w:sz w:val="16"/>
          <w:szCs w:val="16"/>
          <w:color w:val="auto"/>
        </w:rPr>
      </w:pPr>
    </w:p>
    <w:p>
      <w:pPr>
        <w:jc w:val="center"/>
        <w:ind w:left="80" w:right="909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(7.5) (5.3) Prepaid and other current assets 0.8 0.4 (1.1)</w:t>
      </w:r>
    </w:p>
    <w:p>
      <w:pPr>
        <w:spacing w:after="0" w:line="3" w:lineRule="exact"/>
        <w:rPr>
          <w:rFonts w:ascii="Courier New" w:cs="Courier New" w:eastAsia="Courier New" w:hAnsi="Courier New"/>
          <w:sz w:val="16"/>
          <w:szCs w:val="16"/>
          <w:color w:val="auto"/>
        </w:rPr>
      </w:pPr>
    </w:p>
    <w:p>
      <w:pPr>
        <w:jc w:val="both"/>
        <w:ind w:left="40" w:right="903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0.1 Accounts payable 10.1</w:t>
      </w:r>
    </w:p>
    <w:p>
      <w:pPr>
        <w:sectPr>
          <w:pgSz w:w="11900" w:h="16883" w:orient="portrait"/>
          <w:cols w:equalWidth="0" w:num="1">
            <w:col w:w="10219"/>
          </w:cols>
          <w:pgMar w:left="240" w:top="659" w:right="1440" w:bottom="0" w:gutter="0" w:footer="0" w:header="0"/>
        </w:sectPr>
      </w:pPr>
    </w:p>
    <w:bookmarkStart w:id="143" w:name="page144"/>
    <w:bookmarkEnd w:id="143"/>
    <w:p>
      <w:pPr>
        <w:spacing w:after="0" w:line="49"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6.3 27.4</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43.8 Accrued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taxes and</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liabilities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(0.5) (2.2)</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2.1 (0.6)</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Restructuring</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reserves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(4.0) (3.1)</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(7.1) Other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assets (3.9)</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3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0.6</w:t>
            </w:r>
          </w:p>
        </w:tc>
        <w:tc>
          <w:tcPr>
            <w:tcW w:w="380" w:type="dxa"/>
            <w:vAlign w:val="bottom"/>
          </w:tcPr>
          <w:p>
            <w:pPr>
              <w:jc w:val="center"/>
              <w:ind w:right="1"/>
              <w:spacing w:after="0"/>
              <w:rPr>
                <w:sz w:val="20"/>
                <w:szCs w:val="20"/>
                <w:color w:val="auto"/>
              </w:rPr>
            </w:pPr>
            <w:r>
              <w:rPr>
                <w:rFonts w:ascii="Courier New" w:cs="Courier New" w:eastAsia="Courier New" w:hAnsi="Courier New"/>
                <w:sz w:val="16"/>
                <w:szCs w:val="16"/>
                <w:color w:val="auto"/>
              </w:rPr>
              <w:t>7.0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w w:val="90"/>
              </w:rPr>
              <w:t>3.7</w:t>
            </w:r>
          </w:p>
        </w:tc>
      </w:tr>
      <w:tr>
        <w:trPr>
          <w:trHeight w:val="182"/>
        </w:trPr>
        <w:tc>
          <w:tcPr>
            <w:tcW w:w="760" w:type="dxa"/>
            <w:vAlign w:val="bottom"/>
            <w:gridSpan w:val="2"/>
          </w:tcPr>
          <w:p>
            <w:pPr>
              <w:jc w:val="center"/>
              <w:ind w:left="221"/>
              <w:spacing w:after="0"/>
              <w:rPr>
                <w:sz w:val="20"/>
                <w:szCs w:val="20"/>
                <w:color w:val="auto"/>
              </w:rPr>
            </w:pPr>
            <w:r>
              <w:rPr>
                <w:rFonts w:ascii="Courier New" w:cs="Courier New" w:eastAsia="Courier New" w:hAnsi="Courier New"/>
                <w:sz w:val="16"/>
                <w:szCs w:val="16"/>
                <w:color w:val="auto"/>
                <w:w w:val="95"/>
              </w:rPr>
              <w:t>Other</w:t>
            </w:r>
          </w:p>
        </w:tc>
        <w:tc>
          <w:tcPr>
            <w:tcW w:w="280" w:type="dxa"/>
            <w:vAlign w:val="bottom"/>
          </w:tcPr>
          <w:p>
            <w:pPr>
              <w:spacing w:after="0"/>
              <w:rPr>
                <w:sz w:val="15"/>
                <w:szCs w:val="15"/>
                <w:color w:val="auto"/>
              </w:rPr>
            </w:pPr>
          </w:p>
        </w:tc>
      </w:tr>
      <w:tr>
        <w:trPr>
          <w:trHeight w:val="182"/>
        </w:trPr>
        <w:tc>
          <w:tcPr>
            <w:tcW w:w="10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8"/>
              </w:rPr>
              <w:t>liabilities</w:t>
            </w:r>
          </w:p>
        </w:tc>
      </w:tr>
      <w:tr>
        <w:trPr>
          <w:trHeight w:val="182"/>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c>
          <w:tcPr>
            <w:tcW w:w="6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(1.0)</w:t>
            </w:r>
          </w:p>
        </w:tc>
      </w:tr>
    </w:tbl>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(11.1) (3.4)</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Other, net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12.4 (0.7)</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11.7 -------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Net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cash</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provided by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operating</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activities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105.4 103.8</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8.8 218.0 --</w:t>
      </w:r>
    </w:p>
    <w:p>
      <w:pPr>
        <w:spacing w:after="0" w:line="1" w:lineRule="exact"/>
        <w:rPr>
          <w:sz w:val="20"/>
          <w:szCs w:val="20"/>
          <w:color w:val="auto"/>
        </w:rPr>
      </w:pPr>
    </w:p>
    <w:p>
      <w:pPr>
        <w:ind w:left="600" w:hanging="558"/>
        <w:spacing w:after="0"/>
        <w:tabs>
          <w:tab w:leader="none" w:pos="60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FROM</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INVESTING</w:t>
      </w:r>
    </w:p>
    <w:p>
      <w:pPr>
        <w:spacing w:after="0" w:line="4" w:lineRule="exact"/>
        <w:rPr>
          <w:rFonts w:ascii="Courier New" w:cs="Courier New" w:eastAsia="Courier New" w:hAnsi="Courier New"/>
          <w:sz w:val="16"/>
          <w:szCs w:val="16"/>
          <w:color w:val="auto"/>
        </w:rPr>
      </w:pPr>
    </w:p>
    <w:p>
      <w:pPr>
        <w:jc w:val="center"/>
        <w:ind w:left="40" w:right="9039" w:firstLine="95"/>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ACTIVITIES Investment in property, plant and equipment (19.3)</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(18.4)</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(14.1)</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(51.8)</w:t>
      </w:r>
    </w:p>
    <w:p>
      <w:pPr>
        <w:spacing w:after="0" w:line="4" w:lineRule="exact"/>
        <w:rPr>
          <w:rFonts w:ascii="Courier New" w:cs="Courier New" w:eastAsia="Courier New" w:hAnsi="Courier New"/>
          <w:sz w:val="16"/>
          <w:szCs w:val="16"/>
          <w:color w:val="auto"/>
        </w:rPr>
      </w:pPr>
    </w:p>
    <w:p>
      <w:pPr>
        <w:jc w:val="center"/>
        <w:ind w:left="40" w:right="9039" w:firstLine="47"/>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Investments in acquired businesses, net of cash acquired (3.8) (16.6) (20.4) Payments on seller notes (11.5) (3.4) (21.8)</w:t>
      </w:r>
    </w:p>
    <w:p>
      <w:pPr>
        <w:spacing w:after="0" w:line="3"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(36.7)</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Other, net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cash</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used in</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investing</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activities</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(34.6)</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(21.8)</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(52.5)</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(108.9)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600" w:hanging="558"/>
        <w:spacing w:after="0"/>
        <w:tabs>
          <w:tab w:leader="none" w:pos="60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CASH FLOWS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FROM</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FINANCING</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ACTIVITIES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Net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repayments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under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revolving</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and bank</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lines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credit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(17.6)</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(17.6) Net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repayments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under term</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loans (18.0)</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(44.4)</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(62.4)</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Issuance of</w:t>
      </w:r>
    </w:p>
    <w:p>
      <w:pPr>
        <w:spacing w:after="0" w:line="5" w:lineRule="exact"/>
        <w:rPr>
          <w:sz w:val="20"/>
          <w:szCs w:val="20"/>
          <w:color w:val="auto"/>
        </w:rPr>
      </w:pPr>
    </w:p>
    <w:p>
      <w:pPr>
        <w:jc w:val="both"/>
        <w:ind w:left="320" w:right="9319" w:firstLine="6"/>
        <w:spacing w:after="0" w:line="237" w:lineRule="auto"/>
        <w:tabs>
          <w:tab w:leader="none" w:pos="509"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5/8% senior</w:t>
      </w:r>
    </w:p>
    <w:p>
      <w:pPr>
        <w:sectPr>
          <w:pgSz w:w="11900" w:h="16887" w:orient="portrait"/>
          <w:cols w:equalWidth="0" w:num="1">
            <w:col w:w="10219"/>
          </w:cols>
          <w:pgMar w:left="240" w:top="138" w:right="1440" w:bottom="0" w:gutter="0" w:footer="0" w:header="0"/>
        </w:sectPr>
      </w:pPr>
    </w:p>
    <w:bookmarkStart w:id="144" w:name="page145"/>
    <w:bookmarkEnd w:id="144"/>
    <w:p>
      <w:pPr>
        <w:jc w:val="center"/>
        <w:ind w:right="9039"/>
        <w:spacing w:after="0"/>
        <w:rPr>
          <w:sz w:val="20"/>
          <w:szCs w:val="20"/>
          <w:color w:val="auto"/>
        </w:rPr>
      </w:pPr>
      <w:r>
        <w:rPr>
          <w:rFonts w:ascii="Courier New" w:cs="Courier New" w:eastAsia="Courier New" w:hAnsi="Courier New"/>
          <w:sz w:val="15"/>
          <w:szCs w:val="15"/>
          <w:color w:val="auto"/>
        </w:rPr>
        <w:t>subordinated</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notes, net</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of issuance</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fees</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Financing</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and issuance</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fees (0.4)</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(0.4) Cash</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received</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from</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exercise of</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stock</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options 21.4</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21.4</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Intercompany</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financing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c>
          <w:tcPr>
            <w:tcW w:w="720" w:type="dxa"/>
            <w:vAlign w:val="bottom"/>
          </w:tcPr>
          <w:p>
            <w:pPr>
              <w:ind w:left="60"/>
              <w:spacing w:after="0"/>
              <w:rPr>
                <w:sz w:val="20"/>
                <w:szCs w:val="20"/>
                <w:color w:val="auto"/>
              </w:rPr>
            </w:pPr>
            <w:r>
              <w:rPr>
                <w:rFonts w:ascii="Courier New" w:cs="Courier New" w:eastAsia="Courier New" w:hAnsi="Courier New"/>
                <w:sz w:val="16"/>
                <w:szCs w:val="16"/>
                <w:color w:val="auto"/>
              </w:rPr>
              <w:t>(81.9)</w:t>
            </w:r>
          </w:p>
        </w:tc>
      </w:tr>
      <w:tr>
        <w:trPr>
          <w:trHeight w:val="182"/>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78.3</w:t>
            </w:r>
          </w:p>
        </w:tc>
        <w:tc>
          <w:tcPr>
            <w:tcW w:w="720" w:type="dxa"/>
            <w:vAlign w:val="bottom"/>
          </w:tcPr>
          <w:p>
            <w:pPr>
              <w:ind w:left="60"/>
              <w:spacing w:after="0"/>
              <w:rPr>
                <w:sz w:val="20"/>
                <w:szCs w:val="20"/>
                <w:color w:val="auto"/>
              </w:rPr>
            </w:pPr>
            <w:r>
              <w:rPr>
                <w:rFonts w:ascii="Courier New" w:cs="Courier New" w:eastAsia="Courier New" w:hAnsi="Courier New"/>
                <w:sz w:val="16"/>
                <w:szCs w:val="16"/>
                <w:color w:val="auto"/>
                <w:w w:val="95"/>
              </w:rPr>
              <w:t>-------</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200" w:hanging="198"/>
        <w:spacing w:after="0"/>
        <w:tabs>
          <w:tab w:leader="none" w:pos="20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720" w:hanging="576"/>
        <w:spacing w:after="0"/>
        <w:tabs>
          <w:tab w:leader="none" w:pos="720" w:val="left"/>
        </w:tabs>
        <w:numPr>
          <w:ilvl w:val="1"/>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cash</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provided by</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(used in)</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financing</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activities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6.6</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(81.9)</w:t>
            </w:r>
          </w:p>
        </w:tc>
      </w:tr>
      <w:tr>
        <w:trPr>
          <w:trHeight w:val="182"/>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16.3</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(59.0)</w:t>
            </w:r>
          </w:p>
        </w:tc>
      </w:tr>
      <w:tr>
        <w:trPr>
          <w:trHeight w:val="182"/>
        </w:trPr>
        <w:tc>
          <w:tcPr>
            <w:tcW w:w="1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Effect of</w:t>
            </w:r>
          </w:p>
        </w:tc>
      </w:tr>
    </w:tbl>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exchange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rate changes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on cash 6.1</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6.1 -------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200" w:hanging="198"/>
        <w:spacing w:after="0"/>
        <w:tabs>
          <w:tab w:leader="none" w:pos="20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4" w:lineRule="exact"/>
        <w:rPr>
          <w:rFonts w:ascii="Courier New" w:cs="Courier New" w:eastAsia="Courier New" w:hAnsi="Courier New"/>
          <w:sz w:val="16"/>
          <w:szCs w:val="16"/>
          <w:color w:val="auto"/>
        </w:rPr>
      </w:pPr>
    </w:p>
    <w:p>
      <w:pPr>
        <w:jc w:val="right"/>
        <w:ind w:left="200" w:right="9179" w:hanging="56"/>
        <w:spacing w:after="0" w:line="256" w:lineRule="auto"/>
        <w:tabs>
          <w:tab w:leader="none" w:pos="720"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increase</w:t>
      </w:r>
    </w:p>
    <w:p>
      <w:pPr>
        <w:jc w:val="center"/>
        <w:ind w:right="9039"/>
        <w:spacing w:after="0" w:line="236" w:lineRule="auto"/>
        <w:rPr>
          <w:sz w:val="20"/>
          <w:szCs w:val="20"/>
          <w:color w:val="auto"/>
        </w:rPr>
      </w:pPr>
      <w:r>
        <w:rPr>
          <w:rFonts w:ascii="Courier New" w:cs="Courier New" w:eastAsia="Courier New" w:hAnsi="Courier New"/>
          <w:sz w:val="16"/>
          <w:szCs w:val="16"/>
          <w:color w:val="auto"/>
        </w:rPr>
        <w:t>(decrease)</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in cash 77.4</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0.1 (21.3)</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56.2 Cash</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and cash</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equivalents,</w:t>
      </w:r>
    </w:p>
    <w:p>
      <w:pPr>
        <w:spacing w:after="0" w:line="1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beginning of</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period 54.7</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0.2 44.8</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99.7 -------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200" w:hanging="198"/>
        <w:spacing w:after="0"/>
        <w:tabs>
          <w:tab w:leader="none" w:pos="20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660" w:hanging="564"/>
        <w:spacing w:after="0"/>
        <w:tabs>
          <w:tab w:leader="none" w:pos="660" w:val="left"/>
        </w:tabs>
        <w:numPr>
          <w:ilvl w:val="1"/>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w:t>
      </w: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 cash</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equivalents,</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end of</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period $</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132.1 $ 0.3</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$ 23.5 $ $</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155.9</w:t>
      </w:r>
    </w:p>
    <w:p>
      <w:pPr>
        <w:spacing w:after="0" w:line="1"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90</w:t>
      </w:r>
    </w:p>
    <w:p>
      <w:pPr>
        <w:sectPr>
          <w:pgSz w:w="11900" w:h="16838" w:orient="portrait"/>
          <w:cols w:equalWidth="0" w:num="1">
            <w:col w:w="10179"/>
          </w:cols>
          <w:pgMar w:left="280" w:top="141" w:right="1440" w:bottom="1440" w:gutter="0" w:footer="0" w:header="0"/>
        </w:sectPr>
      </w:pPr>
    </w:p>
    <w:bookmarkStart w:id="145" w:name="page146"/>
    <w:bookmarkEnd w:id="145"/>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BALANCE SHEET</w:t>
      </w:r>
    </w:p>
    <w:p>
      <w:pPr>
        <w:spacing w:after="0" w:line="1" w:lineRule="exact"/>
        <w:rPr>
          <w:sz w:val="20"/>
          <w:szCs w:val="20"/>
          <w:color w:val="auto"/>
        </w:rPr>
      </w:pPr>
    </w:p>
    <w:p>
      <w:pPr>
        <w:jc w:val="right"/>
        <w:ind w:right="5299"/>
        <w:spacing w:after="0"/>
        <w:rPr>
          <w:sz w:val="20"/>
          <w:szCs w:val="20"/>
          <w:color w:val="auto"/>
        </w:rPr>
      </w:pPr>
      <w:r>
        <w:rPr>
          <w:rFonts w:ascii="Courier New" w:cs="Courier New" w:eastAsia="Courier New" w:hAnsi="Courier New"/>
          <w:sz w:val="16"/>
          <w:szCs w:val="16"/>
          <w:color w:val="auto"/>
        </w:rPr>
        <w:t>AS OF SEPTEMBER 30, 2003</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(IN MILLIONS)</w:t>
      </w:r>
    </w:p>
    <w:p>
      <w:pPr>
        <w:spacing w:after="0" w:line="18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Subsidiary</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Non- Parent</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Guarantors</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Guarantors</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Eliminations</w:t>
      </w:r>
    </w:p>
    <w:p>
      <w:pPr>
        <w:spacing w:after="0" w:line="1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Consolidated</w:t>
      </w:r>
    </w:p>
    <w:p>
      <w:pPr>
        <w:spacing w:after="0" w:line="8" w:lineRule="exact"/>
        <w:rPr>
          <w:sz w:val="20"/>
          <w:szCs w:val="20"/>
          <w:color w:val="auto"/>
        </w:rPr>
      </w:pPr>
    </w:p>
    <w:p>
      <w:pPr>
        <w:ind w:left="200" w:hanging="198"/>
        <w:spacing w:after="0"/>
        <w:tabs>
          <w:tab w:leader="none" w:pos="20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ASSETS</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Current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Assets: Cash</w:t>
      </w: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 cash</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equivalents</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$ 132.1 $</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0.3 $ 23.5 $</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$ 155.9</w:t>
      </w: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Accounts</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receivable,</w:t>
      </w:r>
    </w:p>
    <w:p>
      <w:pPr>
        <w:spacing w:after="0" w:line="4" w:lineRule="exact"/>
        <w:rPr>
          <w:rFonts w:ascii="Courier New" w:cs="Courier New" w:eastAsia="Courier New" w:hAnsi="Courier New"/>
          <w:sz w:val="16"/>
          <w:szCs w:val="16"/>
          <w:color w:val="auto"/>
        </w:rPr>
      </w:pPr>
    </w:p>
    <w:p>
      <w:pPr>
        <w:jc w:val="center"/>
        <w:ind w:right="9039" w:firstLine="142"/>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net 103.3 85.4 96.0 284.7 Inventories, net 143.6 48.8 83.7 276.1 Current deferred tax asset 56.8 0.4 (0.3) 56.9 Prepaid and other assets 16.2 1.5 18.9 36.6 -------</w:t>
      </w:r>
    </w:p>
    <w:p>
      <w:pPr>
        <w:spacing w:after="0" w:line="6"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80" w:hanging="478"/>
        <w:spacing w:after="0"/>
        <w:tabs>
          <w:tab w:leader="none" w:pos="480" w:val="left"/>
        </w:tabs>
        <w:numPr>
          <w:ilvl w:val="1"/>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both"/>
        <w:ind w:left="240" w:right="927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 Total current</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assets 452.0</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136.4 221.8</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810.2</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Property,</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plant and</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equipment,</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net 206.8</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87.3 44.1</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338.2</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Goodwill and</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intangible</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assets, net</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26.3</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473.0</w:t>
            </w:r>
          </w:p>
        </w:tc>
      </w:tr>
      <w:tr>
        <w:trPr>
          <w:trHeight w:val="182"/>
        </w:trPr>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336.2 835.5</w:t>
            </w:r>
          </w:p>
        </w:tc>
      </w:tr>
    </w:tbl>
    <w:p>
      <w:pPr>
        <w:spacing w:after="0" w:line="183"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44.8</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1.5</w:t>
            </w:r>
          </w:p>
        </w:tc>
      </w:tr>
      <w:tr>
        <w:trPr>
          <w:trHeight w:val="182"/>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1"/>
              </w:rPr>
              <w:t>(2.3)</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44.0</w:t>
            </w:r>
          </w:p>
        </w:tc>
      </w:tr>
      <w:tr>
        <w:trPr>
          <w:trHeight w:val="182"/>
        </w:trPr>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w w:val="95"/>
              </w:rPr>
              <w:t>Investment</w:t>
            </w:r>
          </w:p>
        </w:tc>
      </w:tr>
    </w:tbl>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in</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affiliates</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1,066.3</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(1,066.3)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Intracompany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assets 359.6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(359.6) ----</w:t>
      </w:r>
    </w:p>
    <w:p>
      <w:pPr>
        <w:spacing w:after="0" w:line="1" w:lineRule="exact"/>
        <w:rPr>
          <w:sz w:val="20"/>
          <w:szCs w:val="20"/>
          <w:color w:val="auto"/>
        </w:rPr>
      </w:pPr>
    </w:p>
    <w:p>
      <w:pPr>
        <w:ind w:left="480" w:hanging="478"/>
        <w:spacing w:after="0"/>
        <w:tabs>
          <w:tab w:leader="none" w:pos="48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560" w:hanging="464"/>
        <w:spacing w:after="0"/>
        <w:tabs>
          <w:tab w:leader="none" w:pos="560" w:val="left"/>
        </w:tabs>
        <w:numPr>
          <w:ilvl w:val="1"/>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assets</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$1,796.2</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$1,057.8 $</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599.8</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$(1,425.9)</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$2,027.9</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w:t>
      </w:r>
    </w:p>
    <w:p>
      <w:pPr>
        <w:sectPr>
          <w:pgSz w:w="11900" w:h="16864" w:orient="portrait"/>
          <w:cols w:equalWidth="0" w:num="1">
            <w:col w:w="10179"/>
          </w:cols>
          <w:pgMar w:left="280" w:top="659" w:right="1440" w:bottom="0" w:gutter="0" w:footer="0" w:header="0"/>
        </w:sectPr>
      </w:pPr>
    </w:p>
    <w:bookmarkStart w:id="146" w:name="page147"/>
    <w:bookmarkEnd w:id="146"/>
    <w:p>
      <w:pPr>
        <w:spacing w:after="0" w:line="50"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LIABILITIES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AND</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SHAREHOLDERS'</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EQUITY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Current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Liabilities: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Current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portion of</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debt $ 38.9</w:t>
      </w:r>
    </w:p>
    <w:p>
      <w:pPr>
        <w:spacing w:after="0" w:line="5" w:lineRule="exact"/>
        <w:rPr>
          <w:sz w:val="20"/>
          <w:szCs w:val="20"/>
          <w:color w:val="auto"/>
        </w:rPr>
      </w:pPr>
    </w:p>
    <w:p>
      <w:pPr>
        <w:ind w:left="240" w:right="9039" w:hanging="198"/>
        <w:spacing w:after="0" w:line="256" w:lineRule="auto"/>
        <w:tabs>
          <w:tab w:leader="none" w:pos="24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1.4 $ 15.1 $ $ 55.4</w:t>
      </w:r>
    </w:p>
    <w:p>
      <w:pPr>
        <w:jc w:val="center"/>
        <w:ind w:right="8999"/>
        <w:spacing w:after="0" w:line="236" w:lineRule="auto"/>
        <w:rPr>
          <w:sz w:val="20"/>
          <w:szCs w:val="20"/>
          <w:color w:val="auto"/>
        </w:rPr>
      </w:pPr>
      <w:r>
        <w:rPr>
          <w:rFonts w:ascii="Courier New" w:cs="Courier New" w:eastAsia="Courier New" w:hAnsi="Courier New"/>
          <w:sz w:val="16"/>
          <w:szCs w:val="16"/>
          <w:color w:val="auto"/>
        </w:rPr>
        <w:t>Accounts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payable 70.0</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23.7 84.1</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177.8</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Accrued</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liabilities</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111.4 19.1</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72.6 203.1</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Accrued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taxes 7.6</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1.8 0.1 9.5</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600" w:hanging="558"/>
        <w:spacing w:after="0"/>
        <w:tabs>
          <w:tab w:leader="none" w:pos="600" w:val="left"/>
        </w:tabs>
        <w:numPr>
          <w:ilvl w:val="1"/>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current</w:t>
      </w:r>
    </w:p>
    <w:p>
      <w:pPr>
        <w:spacing w:after="0" w:line="4" w:lineRule="exact"/>
        <w:rPr>
          <w:rFonts w:ascii="Courier New" w:cs="Courier New" w:eastAsia="Courier New" w:hAnsi="Courier New"/>
          <w:sz w:val="16"/>
          <w:szCs w:val="16"/>
          <w:color w:val="auto"/>
        </w:rPr>
      </w:pPr>
    </w:p>
    <w:p>
      <w:pPr>
        <w:jc w:val="center"/>
        <w:ind w:left="40" w:right="9039" w:firstLine="47"/>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liabilities 227.9 46.0 171.9 445.8 Long-term debt 603.8 2.2 96.2 702.2 Other liabilities 137.2 0.7 13.8 151.7 Intracompany liabilities 99.1 260.5 (359.6) ----</w:t>
      </w:r>
    </w:p>
    <w:p>
      <w:pPr>
        <w:spacing w:after="0" w:line="4"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4" w:lineRule="exact"/>
        <w:rPr>
          <w:rFonts w:ascii="Courier New" w:cs="Courier New" w:eastAsia="Courier New" w:hAnsi="Courier New"/>
          <w:sz w:val="16"/>
          <w:szCs w:val="16"/>
          <w:color w:val="auto"/>
        </w:rPr>
      </w:pPr>
    </w:p>
    <w:p>
      <w:pPr>
        <w:jc w:val="center"/>
        <w:ind w:left="40" w:right="9039" w:firstLine="95"/>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Total liabilities 1,068.0 48.9 542.4</w:t>
      </w:r>
    </w:p>
    <w:p>
      <w:pPr>
        <w:spacing w:after="0" w:line="1"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(359.6)</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1,299.7</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Shareholders'</w:t>
      </w:r>
    </w:p>
    <w:p>
      <w:pPr>
        <w:spacing w:after="0" w:line="8"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Equity:</w:t>
      </w:r>
    </w:p>
    <w:p>
      <w:pPr>
        <w:spacing w:after="0" w:line="4" w:lineRule="exact"/>
        <w:rPr>
          <w:rFonts w:ascii="Courier New" w:cs="Courier New" w:eastAsia="Courier New" w:hAnsi="Courier New"/>
          <w:sz w:val="16"/>
          <w:szCs w:val="16"/>
          <w:color w:val="auto"/>
        </w:rPr>
      </w:pPr>
    </w:p>
    <w:p>
      <w:pPr>
        <w:jc w:val="center"/>
        <w:ind w:left="40" w:right="9039" w:firstLine="95"/>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Investment from parent 488.0 87.8 (575.8) Common shares, no par value per share, $.01 stated value per share, issued 32.0 shares in 2003 0.3 0.3 Capital in excess of stated value 390.1 390.1 Retained earnings 398.6 522.7 (4.9) (517.8)</w:t>
      </w:r>
    </w:p>
    <w:p>
      <w:pPr>
        <w:spacing w:after="0" w:line="10"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398.6</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Treasury</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stock</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Accumulated</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other</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comprehensive</w:t>
      </w:r>
    </w:p>
    <w:p>
      <w:pPr>
        <w:spacing w:after="0" w:line="8"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income</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(60.8) (1.8)</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(25.5) 27.3</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(60.8) -----</w:t>
      </w:r>
    </w:p>
    <w:p>
      <w:pPr>
        <w:ind w:left="420" w:hanging="378"/>
        <w:spacing w:after="0"/>
        <w:tabs>
          <w:tab w:leader="none" w:pos="42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ectPr>
          <w:pgSz w:w="11900" w:h="16888" w:orient="portrait"/>
          <w:cols w:equalWidth="0" w:num="1">
            <w:col w:w="10219"/>
          </w:cols>
          <w:pgMar w:left="240" w:top="137" w:right="1440" w:bottom="0" w:gutter="0" w:footer="0" w:header="0"/>
        </w:sectPr>
      </w:pPr>
    </w:p>
    <w:bookmarkStart w:id="147" w:name="page148"/>
    <w:bookmarkEnd w:id="147"/>
    <w:p>
      <w:pPr>
        <w:ind w:left="600" w:hanging="558"/>
        <w:spacing w:after="0"/>
        <w:tabs>
          <w:tab w:leader="none" w:pos="60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Total</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shareholders'</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equity 728.2</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1,008.9 57.4</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(1,066.3)</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728.2 ------</w:t>
      </w:r>
    </w:p>
    <w:p>
      <w:pPr>
        <w:spacing w:after="0" w:line="1" w:lineRule="exact"/>
        <w:rPr>
          <w:sz w:val="20"/>
          <w:szCs w:val="20"/>
          <w:color w:val="auto"/>
        </w:rPr>
      </w:pPr>
    </w:p>
    <w:p>
      <w:pPr>
        <w:ind w:left="380" w:hanging="291"/>
        <w:spacing w:after="0"/>
        <w:tabs>
          <w:tab w:leader="none" w:pos="38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520" w:hanging="289"/>
        <w:spacing w:after="0"/>
        <w:tabs>
          <w:tab w:leader="none" w:pos="520" w:val="left"/>
        </w:tabs>
        <w:numPr>
          <w:ilvl w:val="1"/>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w:t>
      </w:r>
    </w:p>
    <w:p>
      <w:pPr>
        <w:ind w:left="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shareholders'</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equity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$1,796.2</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$1,057.8 $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599.8</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$(1,425.9)</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$2,027.9</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91</w:t>
      </w:r>
    </w:p>
    <w:p>
      <w:pPr>
        <w:sectPr>
          <w:pgSz w:w="11900" w:h="16838" w:orient="portrait"/>
          <w:cols w:equalWidth="0" w:num="1">
            <w:col w:w="10219"/>
          </w:cols>
          <w:pgMar w:left="240" w:top="138" w:right="1440" w:bottom="1440" w:gutter="0" w:footer="0" w:header="0"/>
        </w:sectPr>
      </w:pPr>
    </w:p>
    <w:bookmarkStart w:id="148" w:name="page149"/>
    <w:bookmarkEnd w:id="148"/>
    <w:p>
      <w:pPr>
        <w:spacing w:after="0" w:line="25"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STATEMENT OF OPERATIONS</w:t>
      </w:r>
    </w:p>
    <w:p>
      <w:pPr>
        <w:spacing w:after="0" w:line="1"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6"/>
          <w:szCs w:val="16"/>
          <w:color w:val="auto"/>
        </w:rPr>
        <w:t>FOR THE FISCAL YEAR ENDED SEPTEMBER 30, 2002</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(IN MILLIONS)</w:t>
      </w:r>
    </w:p>
    <w:p>
      <w:pPr>
        <w:spacing w:after="0" w:line="18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Subsidiary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Non- Parent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Guarantors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Guarantors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Eliminations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Consolidated</w:t>
      </w:r>
    </w:p>
    <w:p>
      <w:pPr>
        <w:spacing w:after="0" w:line="1" w:lineRule="exact"/>
        <w:rPr>
          <w:sz w:val="20"/>
          <w:szCs w:val="20"/>
          <w:color w:val="auto"/>
        </w:rPr>
      </w:pPr>
    </w:p>
    <w:p>
      <w:pPr>
        <w:ind w:left="240" w:hanging="197"/>
        <w:spacing w:after="0"/>
        <w:tabs>
          <w:tab w:leader="none" w:pos="24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center"/>
        <w:ind w:left="40" w:right="8939" w:firstLine="47"/>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 Net sales $982.2 $335.2 $431.3 $ $1,748.7 Cost of sales 693.8 151.9 266.4 1,112.1 Restructuring and other charges 1.5 0.2 1.7 -----</w:t>
      </w:r>
    </w:p>
    <w:p>
      <w:pPr>
        <w:spacing w:after="0" w:line="3" w:lineRule="exact"/>
        <w:rPr>
          <w:rFonts w:ascii="Courier New" w:cs="Courier New" w:eastAsia="Courier New" w:hAnsi="Courier New"/>
          <w:sz w:val="16"/>
          <w:szCs w:val="16"/>
          <w:color w:val="auto"/>
        </w:rPr>
      </w:pPr>
    </w:p>
    <w:p>
      <w:pPr>
        <w:ind w:left="240" w:hanging="197"/>
        <w:spacing w:after="0"/>
        <w:tabs>
          <w:tab w:leader="none" w:pos="24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320" w:hanging="277"/>
        <w:spacing w:after="0"/>
        <w:tabs>
          <w:tab w:leader="none" w:pos="320" w:val="left"/>
        </w:tabs>
        <w:numPr>
          <w:ilvl w:val="1"/>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4" w:lineRule="exact"/>
        <w:rPr>
          <w:rFonts w:ascii="Courier New" w:cs="Courier New" w:eastAsia="Courier New" w:hAnsi="Courier New"/>
          <w:sz w:val="16"/>
          <w:szCs w:val="16"/>
          <w:color w:val="auto"/>
        </w:rPr>
      </w:pPr>
    </w:p>
    <w:p>
      <w:pPr>
        <w:jc w:val="both"/>
        <w:ind w:left="100" w:right="8999" w:firstLine="38"/>
        <w:spacing w:after="0" w:line="256" w:lineRule="auto"/>
        <w:tabs>
          <w:tab w:leader="none" w:pos="715" w:val="left"/>
        </w:tabs>
        <w:numPr>
          <w:ilvl w:val="2"/>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profit 286.9 183.3 164.7</w:t>
      </w:r>
    </w:p>
    <w:p>
      <w:pPr>
        <w:ind w:left="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634.9 Gross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commission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earned from</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marketing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37.2 2.4 39.6</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Contribution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expenses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under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marketing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23.4 23.4 ---</w:t>
      </w:r>
    </w:p>
    <w:p>
      <w:pPr>
        <w:spacing w:after="0" w:line="1" w:lineRule="exact"/>
        <w:rPr>
          <w:sz w:val="20"/>
          <w:szCs w:val="20"/>
          <w:color w:val="auto"/>
        </w:rPr>
      </w:pPr>
    </w:p>
    <w:p>
      <w:pPr>
        <w:ind w:left="420" w:hanging="377"/>
        <w:spacing w:after="0"/>
        <w:tabs>
          <w:tab w:leader="none" w:pos="42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4" w:lineRule="exact"/>
        <w:rPr>
          <w:rFonts w:ascii="Courier New" w:cs="Courier New" w:eastAsia="Courier New" w:hAnsi="Courier New"/>
          <w:sz w:val="16"/>
          <w:szCs w:val="16"/>
          <w:color w:val="auto"/>
        </w:rPr>
      </w:pPr>
    </w:p>
    <w:p>
      <w:pPr>
        <w:jc w:val="center"/>
        <w:ind w:left="40" w:right="8939" w:firstLine="95"/>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 Net commission earned from marketing agreement 13.8 2.4 16.2 Advertising 47.1 11.4</w:t>
      </w:r>
    </w:p>
    <w:p>
      <w:pPr>
        <w:spacing w:after="0" w:line="1"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23.7 82.2</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Selling,</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general and</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administrative</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198.9 16.7</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114.0 329.6</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Restructuring</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 other</w:t>
      </w:r>
    </w:p>
    <w:p>
      <w:pPr>
        <w:spacing w:after="0" w:line="4" w:lineRule="exact"/>
        <w:rPr>
          <w:rFonts w:ascii="Courier New" w:cs="Courier New" w:eastAsia="Courier New" w:hAnsi="Courier New"/>
          <w:sz w:val="16"/>
          <w:szCs w:val="16"/>
          <w:color w:val="auto"/>
        </w:rPr>
      </w:pPr>
    </w:p>
    <w:p>
      <w:pPr>
        <w:jc w:val="center"/>
        <w:ind w:left="40" w:right="8939" w:firstLine="95"/>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charges 1.9 0.6 3.9 6.4 Amortization of intangible assets 0.4 0.6 4.7 5.7 Equity (income) loss in non-guarantors (67.8) 67.8 Intercompany allocations (24.9) 13.7 11.2 Other income, net (1.2) (2.7) (8.1) (12.0)</w:t>
      </w:r>
    </w:p>
    <w:p>
      <w:pPr>
        <w:spacing w:after="0" w:line="7"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Income (loss)</w:t>
      </w:r>
    </w:p>
    <w:p>
      <w:pPr>
        <w:ind w:left="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from</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operations</w:t>
      </w:r>
    </w:p>
    <w:p>
      <w:pPr>
        <w:sectPr>
          <w:pgSz w:w="11900" w:h="16864" w:orient="portrait"/>
          <w:cols w:equalWidth="0" w:num="1">
            <w:col w:w="10219"/>
          </w:cols>
          <w:pgMar w:left="240" w:top="659" w:right="1440" w:bottom="0" w:gutter="0" w:footer="0" w:header="0"/>
        </w:sectPr>
      </w:pPr>
    </w:p>
    <w:bookmarkStart w:id="149" w:name="page150"/>
    <w:bookmarkEnd w:id="149"/>
    <w:tbl>
      <w:tblPr>
        <w:tblLayout w:type="fixed"/>
        <w:tblInd w:w="100" w:type="dxa"/>
        <w:tblCellMar>
          <w:top w:w="0" w:type="dxa"/>
          <w:left w:w="0" w:type="dxa"/>
          <w:bottom w:w="0" w:type="dxa"/>
          <w:right w:w="0" w:type="dxa"/>
        </w:tblCellMar>
      </w:tblPr>
      <w:tr>
        <w:trPr>
          <w:trHeight w:val="181"/>
        </w:trPr>
        <w:tc>
          <w:tcPr>
            <w:tcW w:w="480" w:type="dxa"/>
            <w:vAlign w:val="bottom"/>
          </w:tcPr>
          <w:p>
            <w:pPr>
              <w:spacing w:after="0"/>
              <w:rPr>
                <w:sz w:val="20"/>
                <w:szCs w:val="20"/>
                <w:color w:val="auto"/>
              </w:rPr>
            </w:pPr>
            <w:r>
              <w:rPr>
                <w:rFonts w:ascii="Courier New" w:cs="Courier New" w:eastAsia="Courier New" w:hAnsi="Courier New"/>
                <w:sz w:val="16"/>
                <w:szCs w:val="16"/>
                <w:color w:val="auto"/>
                <w:w w:val="95"/>
              </w:rPr>
              <w:t>146.3</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143.0</w:t>
            </w:r>
          </w:p>
        </w:tc>
      </w:tr>
      <w:tr>
        <w:trPr>
          <w:trHeight w:val="182"/>
        </w:trPr>
        <w:tc>
          <w:tcPr>
            <w:tcW w:w="480" w:type="dxa"/>
            <w:vAlign w:val="bottom"/>
          </w:tcPr>
          <w:p>
            <w:pPr>
              <w:spacing w:after="0"/>
              <w:rPr>
                <w:sz w:val="20"/>
                <w:szCs w:val="20"/>
                <w:color w:val="auto"/>
              </w:rPr>
            </w:pPr>
            <w:r>
              <w:rPr>
                <w:rFonts w:ascii="Courier New" w:cs="Courier New" w:eastAsia="Courier New" w:hAnsi="Courier New"/>
                <w:sz w:val="16"/>
                <w:szCs w:val="16"/>
                <w:color w:val="auto"/>
              </w:rPr>
              <w:t>17.7</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(67.8)</w:t>
            </w:r>
          </w:p>
        </w:tc>
      </w:tr>
      <w:tr>
        <w:trPr>
          <w:trHeight w:val="182"/>
        </w:trPr>
        <w:tc>
          <w:tcPr>
            <w:tcW w:w="10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239.2</w:t>
            </w:r>
          </w:p>
        </w:tc>
      </w:tr>
    </w:tbl>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Interest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(income)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expense 73.0</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(14.6) 17.9</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76.3 ------ -</w:t>
      </w:r>
    </w:p>
    <w:p>
      <w:pPr>
        <w:spacing w:after="0" w:line="8" w:lineRule="exact"/>
        <w:rPr>
          <w:sz w:val="20"/>
          <w:szCs w:val="20"/>
          <w:color w:val="auto"/>
        </w:rPr>
      </w:pPr>
    </w:p>
    <w:p>
      <w:pPr>
        <w:ind w:left="620" w:hanging="570"/>
        <w:spacing w:after="0"/>
        <w:tabs>
          <w:tab w:leader="none" w:pos="620"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Income</w:t>
      </w:r>
    </w:p>
    <w:p>
      <w:pPr>
        <w:spacing w:after="0" w:line="4" w:lineRule="exact"/>
        <w:rPr>
          <w:rFonts w:ascii="Courier New" w:cs="Courier New" w:eastAsia="Courier New" w:hAnsi="Courier New"/>
          <w:sz w:val="16"/>
          <w:szCs w:val="16"/>
          <w:color w:val="auto"/>
        </w:rPr>
      </w:pPr>
    </w:p>
    <w:p>
      <w:pPr>
        <w:jc w:val="center"/>
        <w:ind w:right="893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(loss) before income taxes 73.3 157.6 (0.2) (67.8) 162.9 Income taxes 2.1 59.8 61.9 ---</w:t>
      </w:r>
    </w:p>
    <w:p>
      <w:pPr>
        <w:ind w:left="380" w:hanging="377"/>
        <w:spacing w:after="0"/>
        <w:tabs>
          <w:tab w:leader="none" w:pos="38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Income (loss)</w:t>
      </w: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before</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cumulative</w:t>
      </w: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w:t>
      </w:r>
    </w:p>
    <w:p>
      <w:pPr>
        <w:spacing w:after="0" w:line="4" w:lineRule="exact"/>
        <w:rPr>
          <w:rFonts w:ascii="Courier New" w:cs="Courier New" w:eastAsia="Courier New" w:hAnsi="Courier New"/>
          <w:sz w:val="16"/>
          <w:szCs w:val="16"/>
          <w:color w:val="auto"/>
        </w:rPr>
      </w:pPr>
    </w:p>
    <w:p>
      <w:pPr>
        <w:jc w:val="both"/>
        <w:ind w:left="100" w:right="9039" w:firstLine="47"/>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accounting change 71.2 97.8 (0.2)</w:t>
      </w: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(67.8) 101.0</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Cumulative</w:t>
      </w:r>
    </w:p>
    <w:p>
      <w:pPr>
        <w:spacing w:after="0" w:line="4" w:lineRule="exact"/>
        <w:rPr>
          <w:rFonts w:ascii="Courier New" w:cs="Courier New" w:eastAsia="Courier New" w:hAnsi="Courier New"/>
          <w:sz w:val="16"/>
          <w:szCs w:val="16"/>
          <w:color w:val="auto"/>
        </w:rPr>
      </w:pPr>
    </w:p>
    <w:p>
      <w:pPr>
        <w:jc w:val="center"/>
        <w:ind w:right="8939" w:firstLine="18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effect of change in accounting for intangible assets, net of tax 11.3 (3.3) (26.5) (18.5) ------</w:t>
      </w:r>
    </w:p>
    <w:p>
      <w:pPr>
        <w:spacing w:after="0" w:line="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4" w:lineRule="exact"/>
        <w:rPr>
          <w:rFonts w:ascii="Courier New" w:cs="Courier New" w:eastAsia="Courier New" w:hAnsi="Courier New"/>
          <w:sz w:val="16"/>
          <w:szCs w:val="16"/>
          <w:color w:val="auto"/>
        </w:rPr>
      </w:pPr>
    </w:p>
    <w:p>
      <w:pPr>
        <w:jc w:val="center"/>
        <w:ind w:right="893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 Net income (loss) $ 82.5 $ 94.5 $(26.7) $(67.8) $ 82.5 ======</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92</w:t>
      </w:r>
    </w:p>
    <w:p>
      <w:pPr>
        <w:sectPr>
          <w:pgSz w:w="11900" w:h="16838" w:orient="portrait"/>
          <w:cols w:equalWidth="0" w:num="1">
            <w:col w:w="10179"/>
          </w:cols>
          <w:pgMar w:left="280" w:top="138" w:right="1440" w:bottom="1440" w:gutter="0" w:footer="0" w:header="0"/>
        </w:sectPr>
      </w:pPr>
    </w:p>
    <w:bookmarkStart w:id="150" w:name="page151"/>
    <w:bookmarkEnd w:id="150"/>
    <w:p>
      <w:pPr>
        <w:spacing w:after="0" w:line="26"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STATEMENT OF CASH FLOWS</w:t>
      </w:r>
    </w:p>
    <w:p>
      <w:pPr>
        <w:spacing w:after="0" w:line="1"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6"/>
          <w:szCs w:val="16"/>
          <w:color w:val="auto"/>
        </w:rPr>
        <w:t>FOR THE FISCAL YEAR ENDED SEPTEMBER 30, 2002</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(IN MILLIONS)</w:t>
      </w:r>
    </w:p>
    <w:p>
      <w:pPr>
        <w:spacing w:after="0" w:line="18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Subsidiary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Non- Parent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Guarantors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Guarantors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Eliminations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Consolidated</w:t>
      </w:r>
    </w:p>
    <w:p>
      <w:pPr>
        <w:spacing w:after="0" w:line="1" w:lineRule="exact"/>
        <w:rPr>
          <w:sz w:val="20"/>
          <w:szCs w:val="20"/>
          <w:color w:val="auto"/>
        </w:rPr>
      </w:pPr>
    </w:p>
    <w:p>
      <w:pPr>
        <w:ind w:left="240" w:hanging="198"/>
        <w:spacing w:after="0"/>
        <w:tabs>
          <w:tab w:leader="none" w:pos="24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FROM</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w:t>
      </w:r>
    </w:p>
    <w:p>
      <w:pPr>
        <w:spacing w:after="0" w:line="4" w:lineRule="exact"/>
        <w:rPr>
          <w:rFonts w:ascii="Courier New" w:cs="Courier New" w:eastAsia="Courier New" w:hAnsi="Courier New"/>
          <w:sz w:val="16"/>
          <w:szCs w:val="16"/>
          <w:color w:val="auto"/>
        </w:rPr>
      </w:pPr>
    </w:p>
    <w:p>
      <w:pPr>
        <w:jc w:val="center"/>
        <w:ind w:right="8999" w:firstLine="13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ACTIVITIES Net income (loss) $ 82.5 $ 94.5 $(26.7) $(67.8) $ 82.5 Adjustments to reconcile net income (loss) to net cash provided by operating activities: Cumulative effect of change in accounting for intangible assets, pre-tax 3.3 26.5 29.8 Stock-based compensation expense Depreciation 18.3 9.7 6.4 34.4 Amortization 3.8 0.6 4.7 9.1 Deferred taxes 21.2 21.2 Equity income in non-guarantors (67.8) 67.8 Restructuring and other charges Changes in assets and liabilities, net of acquired businesses: Accounts receivable (3.9) (21.9)</w:t>
      </w:r>
    </w:p>
    <w:p>
      <w:pPr>
        <w:spacing w:after="0" w:line="178" w:lineRule="exact"/>
        <w:rPr>
          <w:rFonts w:ascii="Courier New" w:cs="Courier New" w:eastAsia="Courier New" w:hAnsi="Courier New"/>
          <w:sz w:val="16"/>
          <w:szCs w:val="16"/>
          <w:color w:val="auto"/>
        </w:rPr>
      </w:pPr>
    </w:p>
    <w:p>
      <w:pPr>
        <w:jc w:val="both"/>
        <w:ind w:left="40" w:right="903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(3.2) (29.0) Inventories 92.8 5.1 1.5</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99.4 Prepaid</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 other</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current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assets (0.3)</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0.7 (3.1)</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(2.7)</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Accounts</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payable</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(15.3) (3.1)</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1.4 (17.0)</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Accrued</w:t>
      </w:r>
    </w:p>
    <w:p>
      <w:pPr>
        <w:sectPr>
          <w:pgSz w:w="11900" w:h="16864" w:orient="portrait"/>
          <w:cols w:equalWidth="0" w:num="1">
            <w:col w:w="10219"/>
          </w:cols>
          <w:pgMar w:left="240" w:top="659" w:right="1440" w:bottom="0" w:gutter="0" w:footer="0" w:header="0"/>
        </w:sectPr>
      </w:pPr>
    </w:p>
    <w:bookmarkStart w:id="151" w:name="page152"/>
    <w:bookmarkEnd w:id="151"/>
    <w:p>
      <w:pPr>
        <w:spacing w:after="0" w:line="62"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taxes and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liabilities</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7"/>
              </w:rPr>
              <w:t>1.3</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0.9</w:t>
            </w:r>
          </w:p>
        </w:tc>
      </w:tr>
      <w:tr>
        <w:trPr>
          <w:trHeight w:val="182"/>
        </w:trPr>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8"/>
              </w:rPr>
              <w:t>11.7</w:t>
            </w:r>
          </w:p>
        </w:tc>
        <w:tc>
          <w:tcPr>
            <w:tcW w:w="300" w:type="dxa"/>
            <w:vAlign w:val="bottom"/>
          </w:tcPr>
          <w:p>
            <w:pPr>
              <w:spacing w:after="0"/>
              <w:rPr>
                <w:sz w:val="15"/>
                <w:szCs w:val="15"/>
                <w:color w:val="auto"/>
              </w:rPr>
            </w:pPr>
          </w:p>
        </w:tc>
      </w:tr>
    </w:tbl>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Restructuring</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reserves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(20.5)</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0.7</w:t>
            </w:r>
          </w:p>
        </w:tc>
      </w:tr>
      <w:tr>
        <w:trPr>
          <w:trHeight w:val="182"/>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(8.1)</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(27.9)</w:t>
            </w:r>
          </w:p>
        </w:tc>
      </w:tr>
    </w:tbl>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Other assets</w:t>
      </w:r>
    </w:p>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81"/>
        </w:trPr>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(14.9)</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2"/>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(4.5)</w:t>
            </w:r>
          </w:p>
        </w:tc>
      </w:tr>
    </w:tbl>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Other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liabilities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32.4</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0.2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w w:val="90"/>
              </w:rPr>
              <w:t>1.0</w:t>
            </w:r>
          </w:p>
        </w:tc>
      </w:tr>
      <w:tr>
        <w:trPr>
          <w:trHeight w:val="182"/>
        </w:trPr>
        <w:tc>
          <w:tcPr>
            <w:tcW w:w="11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33.6 Other,</w:t>
            </w:r>
          </w:p>
        </w:tc>
      </w:tr>
      <w:tr>
        <w:trPr>
          <w:trHeight w:val="182"/>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net</w:t>
            </w:r>
          </w:p>
        </w:tc>
        <w:tc>
          <w:tcPr>
            <w:tcW w:w="7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(10.6)</w:t>
            </w:r>
          </w:p>
        </w:tc>
      </w:tr>
      <w:tr>
        <w:trPr>
          <w:trHeight w:val="182"/>
        </w:trPr>
        <w:tc>
          <w:tcPr>
            <w:tcW w:w="11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(0.4) (5.3)</w:t>
            </w:r>
          </w:p>
        </w:tc>
      </w:tr>
      <w:tr>
        <w:trPr>
          <w:trHeight w:val="182"/>
        </w:trPr>
        <w:tc>
          <w:tcPr>
            <w:tcW w:w="11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(16.3) -----</w:t>
            </w:r>
          </w:p>
        </w:tc>
      </w:tr>
    </w:tbl>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1" w:lineRule="exact"/>
        <w:rPr>
          <w:sz w:val="20"/>
          <w:szCs w:val="20"/>
          <w:color w:val="auto"/>
        </w:rPr>
      </w:pPr>
    </w:p>
    <w:p>
      <w:pPr>
        <w:ind w:left="560" w:hanging="471"/>
        <w:spacing w:after="0"/>
        <w:tabs>
          <w:tab w:leader="none" w:pos="560" w:val="left"/>
        </w:tabs>
        <w:numPr>
          <w:ilvl w:val="1"/>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Net</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cash</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by</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w:t>
      </w:r>
    </w:p>
    <w:p>
      <w:pPr>
        <w:spacing w:after="0" w:line="4" w:lineRule="exact"/>
        <w:rPr>
          <w:rFonts w:ascii="Courier New" w:cs="Courier New" w:eastAsia="Courier New" w:hAnsi="Courier New"/>
          <w:sz w:val="16"/>
          <w:szCs w:val="16"/>
          <w:color w:val="auto"/>
        </w:rPr>
      </w:pPr>
    </w:p>
    <w:p>
      <w:pPr>
        <w:jc w:val="both"/>
        <w:ind w:left="40" w:right="9039" w:firstLine="94"/>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activities 119.0 103.0 2.3 224.3 --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FROM</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INVESTING</w:t>
      </w:r>
    </w:p>
    <w:p>
      <w:pPr>
        <w:spacing w:after="0" w:line="4" w:lineRule="exact"/>
        <w:rPr>
          <w:rFonts w:ascii="Courier New" w:cs="Courier New" w:eastAsia="Courier New" w:hAnsi="Courier New"/>
          <w:sz w:val="16"/>
          <w:szCs w:val="16"/>
          <w:color w:val="auto"/>
        </w:rPr>
      </w:pPr>
    </w:p>
    <w:p>
      <w:pPr>
        <w:jc w:val="center"/>
        <w:ind w:left="40" w:right="9039" w:firstLine="95"/>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ACTIVITIES Investment in property, plant and equipment (34.1) (16.3) (6.6) (57.0) Investments in acquired businesses, net of cash acquired (0.5) (30.5) (31.0) Payments on seller notes (2.1) (13.5) (16.4)</w:t>
      </w:r>
    </w:p>
    <w:p>
      <w:pPr>
        <w:spacing w:after="0" w:line="8"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(32.0)</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Other, net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7.0 7.0 ----</w:t>
      </w:r>
    </w:p>
    <w:p>
      <w:pPr>
        <w:ind w:left="420" w:hanging="378"/>
        <w:spacing w:after="0"/>
        <w:tabs>
          <w:tab w:leader="none" w:pos="42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4" w:lineRule="exact"/>
        <w:rPr>
          <w:rFonts w:ascii="Courier New" w:cs="Courier New" w:eastAsia="Courier New" w:hAnsi="Courier New"/>
          <w:sz w:val="16"/>
          <w:szCs w:val="16"/>
          <w:color w:val="auto"/>
        </w:rPr>
      </w:pPr>
    </w:p>
    <w:p>
      <w:pPr>
        <w:jc w:val="center"/>
        <w:ind w:left="40" w:right="9039" w:firstLine="47"/>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 Net cash used in investing activities (36.2)</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(30.3)</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(46.5)</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(113.0) ----</w:t>
      </w:r>
    </w:p>
    <w:p>
      <w:pPr>
        <w:ind w:left="420" w:hanging="378"/>
        <w:spacing w:after="0"/>
        <w:tabs>
          <w:tab w:leader="none" w:pos="42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CASH</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FLOWS FROM</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FINANCING</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ACTIVITIES</w:t>
      </w:r>
    </w:p>
    <w:p>
      <w:pPr>
        <w:ind w:left="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repayments</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under</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revolving</w:t>
      </w:r>
    </w:p>
    <w:p>
      <w:pPr>
        <w:spacing w:after="0" w:line="4" w:lineRule="exact"/>
        <w:rPr>
          <w:rFonts w:ascii="Courier New" w:cs="Courier New" w:eastAsia="Courier New" w:hAnsi="Courier New"/>
          <w:sz w:val="16"/>
          <w:szCs w:val="16"/>
          <w:color w:val="auto"/>
        </w:rPr>
      </w:pPr>
    </w:p>
    <w:p>
      <w:pPr>
        <w:jc w:val="center"/>
        <w:ind w:left="40" w:right="9039" w:firstLine="18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and bank lines of credit (1.8) (95.8) (97.6) Net repayments under term loans (1.0) (30.9)</w:t>
      </w:r>
    </w:p>
    <w:p>
      <w:pPr>
        <w:spacing w:after="0" w:line="1"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(31.9)</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w:t>
      </w:r>
    </w:p>
    <w:p>
      <w:pPr>
        <w:spacing w:after="0" w:line="4" w:lineRule="exact"/>
        <w:rPr>
          <w:rFonts w:ascii="Courier New" w:cs="Courier New" w:eastAsia="Courier New" w:hAnsi="Courier New"/>
          <w:sz w:val="16"/>
          <w:szCs w:val="16"/>
          <w:color w:val="auto"/>
        </w:rPr>
      </w:pPr>
    </w:p>
    <w:p>
      <w:pPr>
        <w:jc w:val="center"/>
        <w:ind w:left="40" w:right="9039" w:firstLine="284"/>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8 5/8% senior subordinated notes, net of issuance</w:t>
      </w:r>
    </w:p>
    <w:p>
      <w:pPr>
        <w:sectPr>
          <w:pgSz w:w="11900" w:h="16900" w:orient="portrait"/>
          <w:cols w:equalWidth="0" w:num="1">
            <w:col w:w="10219"/>
          </w:cols>
          <w:pgMar w:left="240" w:top="138" w:right="1440" w:bottom="0" w:gutter="0" w:footer="0" w:header="0"/>
        </w:sectPr>
      </w:pPr>
    </w:p>
    <w:bookmarkStart w:id="152" w:name="page153"/>
    <w:bookmarkEnd w:id="152"/>
    <w:p>
      <w:pPr>
        <w:jc w:val="center"/>
        <w:ind w:right="9039"/>
        <w:spacing w:after="0"/>
        <w:rPr>
          <w:sz w:val="20"/>
          <w:szCs w:val="20"/>
          <w:color w:val="auto"/>
        </w:rPr>
      </w:pPr>
      <w:r>
        <w:rPr>
          <w:rFonts w:ascii="Courier New" w:cs="Courier New" w:eastAsia="Courier New" w:hAnsi="Courier New"/>
          <w:sz w:val="16"/>
          <w:szCs w:val="16"/>
          <w:color w:val="auto"/>
        </w:rPr>
        <w:t>fees 70.2</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70.2</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Financing</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and issuance</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fees (2.2)</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(2.2) Cash</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received</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from</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exercise of</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stock</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options 19.7</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19.7</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Intercompany</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financing</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(116.4)</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(73.1) 189.5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 w:lineRule="exact"/>
        <w:rPr>
          <w:sz w:val="20"/>
          <w:szCs w:val="20"/>
          <w:color w:val="auto"/>
        </w:rPr>
      </w:pPr>
    </w:p>
    <w:p>
      <w:pPr>
        <w:ind w:left="480" w:hanging="478"/>
        <w:spacing w:after="0"/>
        <w:tabs>
          <w:tab w:leader="none" w:pos="48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cash</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provided by</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(used in)</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financing</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activities</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(31.5)</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(73.1) 62.8</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(41.8)</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Effect of</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exchange</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rate changes</w:t>
      </w:r>
    </w:p>
    <w:p>
      <w:pPr>
        <w:spacing w:after="0" w:line="1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on cash 11.5</w:t>
      </w:r>
    </w:p>
    <w:p>
      <w:pPr>
        <w:spacing w:after="0" w:line="1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11.5 -------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5" w:lineRule="exact"/>
        <w:rPr>
          <w:sz w:val="20"/>
          <w:szCs w:val="20"/>
          <w:color w:val="auto"/>
        </w:rPr>
      </w:pPr>
    </w:p>
    <w:p>
      <w:pPr>
        <w:jc w:val="right"/>
        <w:ind w:left="200" w:right="9239" w:hanging="9"/>
        <w:spacing w:after="0" w:line="275" w:lineRule="auto"/>
        <w:tabs>
          <w:tab w:leader="none" w:pos="673"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increase</w:t>
      </w:r>
    </w:p>
    <w:p>
      <w:pPr>
        <w:jc w:val="center"/>
        <w:ind w:right="9039"/>
        <w:spacing w:after="0" w:line="235" w:lineRule="auto"/>
        <w:rPr>
          <w:sz w:val="20"/>
          <w:szCs w:val="20"/>
          <w:color w:val="auto"/>
        </w:rPr>
      </w:pPr>
      <w:r>
        <w:rPr>
          <w:rFonts w:ascii="Courier New" w:cs="Courier New" w:eastAsia="Courier New" w:hAnsi="Courier New"/>
          <w:sz w:val="16"/>
          <w:szCs w:val="16"/>
          <w:color w:val="auto"/>
        </w:rPr>
        <w:t>(decrease)</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in cash 51.3</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(0.4) 30.1</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81.0 Cash</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and cash</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equivalents,</w:t>
      </w:r>
    </w:p>
    <w:p>
      <w:pPr>
        <w:spacing w:after="0" w:line="1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beginning of</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period 3.4</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0.6 14.7</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18.7 -------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200" w:hanging="198"/>
        <w:spacing w:after="0"/>
        <w:tabs>
          <w:tab w:leader="none" w:pos="200"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4" w:lineRule="exact"/>
        <w:rPr>
          <w:rFonts w:ascii="Courier New" w:cs="Courier New" w:eastAsia="Courier New" w:hAnsi="Courier New"/>
          <w:sz w:val="16"/>
          <w:szCs w:val="16"/>
          <w:color w:val="auto"/>
        </w:rPr>
      </w:pPr>
    </w:p>
    <w:p>
      <w:pPr>
        <w:jc w:val="right"/>
        <w:ind w:left="200" w:right="9179" w:hanging="56"/>
        <w:spacing w:after="0" w:line="256" w:lineRule="auto"/>
        <w:tabs>
          <w:tab w:leader="none" w:pos="625"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equivalents,</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end of</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period $</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54.7 $ 0.2 $</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44.8 $ $</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99.7 =======</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93</w:t>
      </w:r>
    </w:p>
    <w:p>
      <w:pPr>
        <w:sectPr>
          <w:pgSz w:w="11900" w:h="16838" w:orient="portrait"/>
          <w:cols w:equalWidth="0" w:num="1">
            <w:col w:w="10179"/>
          </w:cols>
          <w:pgMar w:left="280" w:top="138" w:right="1440" w:bottom="1440" w:gutter="0" w:footer="0" w:header="0"/>
        </w:sectPr>
      </w:pPr>
    </w:p>
    <w:bookmarkStart w:id="153" w:name="page154"/>
    <w:bookmarkEnd w:id="153"/>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BALANCE SHEET</w:t>
      </w:r>
    </w:p>
    <w:p>
      <w:pPr>
        <w:spacing w:after="0" w:line="1" w:lineRule="exact"/>
        <w:rPr>
          <w:sz w:val="20"/>
          <w:szCs w:val="20"/>
          <w:color w:val="auto"/>
        </w:rPr>
      </w:pPr>
    </w:p>
    <w:p>
      <w:pPr>
        <w:jc w:val="right"/>
        <w:ind w:right="5299"/>
        <w:spacing w:after="0"/>
        <w:rPr>
          <w:sz w:val="20"/>
          <w:szCs w:val="20"/>
          <w:color w:val="auto"/>
        </w:rPr>
      </w:pPr>
      <w:r>
        <w:rPr>
          <w:rFonts w:ascii="Courier New" w:cs="Courier New" w:eastAsia="Courier New" w:hAnsi="Courier New"/>
          <w:sz w:val="16"/>
          <w:szCs w:val="16"/>
          <w:color w:val="auto"/>
        </w:rPr>
        <w:t>AS OF SEPTEMBER 30, 2002</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(IN MILLIONS)</w:t>
      </w:r>
    </w:p>
    <w:p>
      <w:pPr>
        <w:spacing w:after="0" w:line="18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Subsidiary</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Non- Parent</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Guarantors</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Guarantors</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Eliminations</w:t>
      </w:r>
    </w:p>
    <w:p>
      <w:pPr>
        <w:spacing w:after="0" w:line="1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Consolidated</w:t>
      </w:r>
    </w:p>
    <w:p>
      <w:pPr>
        <w:spacing w:after="0" w:line="8" w:lineRule="exact"/>
        <w:rPr>
          <w:sz w:val="20"/>
          <w:szCs w:val="20"/>
          <w:color w:val="auto"/>
        </w:rPr>
      </w:pPr>
    </w:p>
    <w:p>
      <w:pPr>
        <w:ind w:left="200" w:hanging="198"/>
        <w:spacing w:after="0"/>
        <w:tabs>
          <w:tab w:leader="none" w:pos="200"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ASSETS</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Current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Assets: Cash</w:t>
      </w: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 cash</w:t>
      </w:r>
    </w:p>
    <w:p>
      <w:pPr>
        <w:spacing w:after="0" w:line="4" w:lineRule="exact"/>
        <w:rPr>
          <w:rFonts w:ascii="Courier New" w:cs="Courier New" w:eastAsia="Courier New" w:hAnsi="Courier New"/>
          <w:sz w:val="16"/>
          <w:szCs w:val="16"/>
          <w:color w:val="auto"/>
        </w:rPr>
      </w:pPr>
    </w:p>
    <w:p>
      <w:pPr>
        <w:jc w:val="center"/>
        <w:ind w:right="9039" w:firstLine="47"/>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equivalents $ 54.7 $ 0.2 $ 44.8 $ $ 99.7 Accounts receivable, net 97.3 75.0 77.6 249.9 Inventories, net 144.1 48.9 76.1 269.1 Current deferred tax asset 74.6 0.4 (0.4) 74.6 Prepaid and other assets 17.0 1.9 17.9 36.8 -------</w:t>
      </w:r>
    </w:p>
    <w:p>
      <w:pPr>
        <w:spacing w:after="0" w:line="9"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280" w:hanging="184"/>
        <w:spacing w:after="0"/>
        <w:tabs>
          <w:tab w:leader="none" w:pos="280" w:val="left"/>
        </w:tabs>
        <w:numPr>
          <w:ilvl w:val="1"/>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current</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assets 387.7</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126.4 216.0</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730.1</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Property,</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plant and</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equipment,</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net 212.7</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80.4 36.1</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329.2</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Goodwill and</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intangible</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assets, net</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26.4</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474.7</w:t>
            </w:r>
          </w:p>
        </w:tc>
      </w:tr>
      <w:tr>
        <w:trPr>
          <w:trHeight w:val="182"/>
        </w:trPr>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290.6 791.7</w:t>
            </w:r>
          </w:p>
        </w:tc>
      </w:tr>
    </w:tbl>
    <w:p>
      <w:pPr>
        <w:spacing w:after="0" w:line="186"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43.6 2.1 4.7</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50.4</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Investment</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in</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affiliates</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941.6</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(941.6)</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Intracompany</w:t>
      </w:r>
    </w:p>
    <w:p>
      <w:pPr>
        <w:spacing w:after="0" w:line="1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assets 182.1</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273.9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(456.0) ----</w:t>
      </w:r>
    </w:p>
    <w:p>
      <w:pPr>
        <w:spacing w:after="0" w:line="1" w:lineRule="exact"/>
        <w:rPr>
          <w:sz w:val="20"/>
          <w:szCs w:val="20"/>
          <w:color w:val="auto"/>
        </w:rPr>
      </w:pPr>
    </w:p>
    <w:p>
      <w:pPr>
        <w:ind w:left="520" w:hanging="471"/>
        <w:spacing w:after="0"/>
        <w:tabs>
          <w:tab w:leader="none" w:pos="520" w:val="left"/>
        </w:tabs>
        <w:numPr>
          <w:ilvl w:val="1"/>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80" w:hanging="478"/>
        <w:spacing w:after="0"/>
        <w:tabs>
          <w:tab w:leader="none" w:pos="480"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Total</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assets</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$1,794.1</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$957.5</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$547.4</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$(1,397.6)</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$1,901.4</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ectPr>
          <w:pgSz w:w="11900" w:h="16864" w:orient="portrait"/>
          <w:cols w:equalWidth="0" w:num="1">
            <w:col w:w="10179"/>
          </w:cols>
          <w:pgMar w:left="280" w:top="659" w:right="1440" w:bottom="0" w:gutter="0" w:footer="0" w:header="0"/>
        </w:sectPr>
      </w:pPr>
    </w:p>
    <w:bookmarkStart w:id="154" w:name="page155"/>
    <w:bookmarkEnd w:id="154"/>
    <w:p>
      <w:pPr>
        <w:spacing w:after="0" w:line="50"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LIABILITIES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AND</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SHAREHOLDERS'</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EQUITY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Current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Liabilities: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Current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portion of</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debt $ 65.1</w:t>
      </w:r>
    </w:p>
    <w:p>
      <w:pPr>
        <w:spacing w:after="0" w:line="5" w:lineRule="exact"/>
        <w:rPr>
          <w:sz w:val="20"/>
          <w:szCs w:val="20"/>
          <w:color w:val="auto"/>
        </w:rPr>
      </w:pPr>
    </w:p>
    <w:p>
      <w:pPr>
        <w:ind w:left="240" w:right="9039" w:hanging="198"/>
        <w:spacing w:after="0" w:line="256" w:lineRule="auto"/>
        <w:tabs>
          <w:tab w:leader="none" w:pos="24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3.7 $ 29.4 $ $ 98.2</w:t>
      </w:r>
    </w:p>
    <w:p>
      <w:pPr>
        <w:jc w:val="center"/>
        <w:ind w:right="8999"/>
        <w:spacing w:after="0" w:line="236" w:lineRule="auto"/>
        <w:rPr>
          <w:sz w:val="20"/>
          <w:szCs w:val="20"/>
          <w:color w:val="auto"/>
        </w:rPr>
      </w:pPr>
      <w:r>
        <w:rPr>
          <w:rFonts w:ascii="Courier New" w:cs="Courier New" w:eastAsia="Courier New" w:hAnsi="Courier New"/>
          <w:sz w:val="16"/>
          <w:szCs w:val="16"/>
          <w:color w:val="auto"/>
        </w:rPr>
        <w:t>Accounts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payable 59.9</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17.4 56.7</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134.0</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Accrued</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liabilities</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111.7 21.2</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73.5</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206.4</w:t>
            </w:r>
          </w:p>
        </w:tc>
      </w:tr>
      <w:tr>
        <w:trPr>
          <w:trHeight w:val="182"/>
        </w:trPr>
        <w:tc>
          <w:tcPr>
            <w:tcW w:w="11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Accrued</w:t>
            </w:r>
          </w:p>
        </w:tc>
      </w:tr>
      <w:tr>
        <w:trPr>
          <w:trHeight w:val="182"/>
        </w:trPr>
        <w:tc>
          <w:tcPr>
            <w:tcW w:w="11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taxes 14.2</w:t>
            </w:r>
          </w:p>
        </w:tc>
      </w:tr>
      <w:tr>
        <w:trPr>
          <w:trHeight w:val="182"/>
        </w:trPr>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w:t>
            </w:r>
          </w:p>
        </w:tc>
      </w:tr>
      <w:tr>
        <w:trPr>
          <w:trHeight w:val="182"/>
        </w:trPr>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13.2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r>
    </w:tbl>
    <w:p>
      <w:pPr>
        <w:spacing w:after="0" w:line="1" w:lineRule="exact"/>
        <w:rPr>
          <w:sz w:val="20"/>
          <w:szCs w:val="20"/>
          <w:color w:val="auto"/>
        </w:rPr>
      </w:pPr>
    </w:p>
    <w:p>
      <w:pPr>
        <w:ind w:left="240" w:hanging="198"/>
        <w:spacing w:after="0"/>
        <w:tabs>
          <w:tab w:leader="none" w:pos="240"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320" w:hanging="184"/>
        <w:spacing w:after="0"/>
        <w:tabs>
          <w:tab w:leader="none" w:pos="320"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current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liabilities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250.9 44.2</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156.7 451.8</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Long-term</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debt 606.0</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520" w:type="dxa"/>
            <w:vAlign w:val="bottom"/>
          </w:tcPr>
          <w:p>
            <w:pPr>
              <w:jc w:val="center"/>
              <w:spacing w:after="0"/>
              <w:rPr>
                <w:sz w:val="20"/>
                <w:szCs w:val="20"/>
                <w:color w:val="auto"/>
              </w:rPr>
            </w:pPr>
            <w:r>
              <w:rPr>
                <w:rFonts w:ascii="Courier New" w:cs="Courier New" w:eastAsia="Courier New" w:hAnsi="Courier New"/>
                <w:sz w:val="16"/>
                <w:szCs w:val="16"/>
                <w:color w:val="auto"/>
                <w:w w:val="97"/>
              </w:rPr>
              <w:t>3.4</w:t>
            </w:r>
          </w:p>
        </w:tc>
        <w:tc>
          <w:tcPr>
            <w:tcW w:w="6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5"/>
              </w:rPr>
              <w:t>121.8</w:t>
            </w:r>
          </w:p>
        </w:tc>
      </w:tr>
      <w:tr>
        <w:trPr>
          <w:trHeight w:val="182"/>
        </w:trPr>
        <w:tc>
          <w:tcPr>
            <w:tcW w:w="520" w:type="dxa"/>
            <w:vAlign w:val="bottom"/>
          </w:tcPr>
          <w:p>
            <w:pPr>
              <w:jc w:val="center"/>
              <w:spacing w:after="0"/>
              <w:rPr>
                <w:sz w:val="20"/>
                <w:szCs w:val="20"/>
                <w:color w:val="auto"/>
              </w:rPr>
            </w:pPr>
            <w:r>
              <w:rPr>
                <w:rFonts w:ascii="Courier New" w:cs="Courier New" w:eastAsia="Courier New" w:hAnsi="Courier New"/>
                <w:sz w:val="16"/>
                <w:szCs w:val="16"/>
                <w:color w:val="auto"/>
                <w:w w:val="99"/>
              </w:rPr>
              <w:t>731.2</w:t>
            </w:r>
          </w:p>
        </w:tc>
        <w:tc>
          <w:tcPr>
            <w:tcW w:w="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r>
      <w:tr>
        <w:trPr>
          <w:trHeight w:val="182"/>
        </w:trPr>
        <w:tc>
          <w:tcPr>
            <w:tcW w:w="11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liabilities</w:t>
            </w:r>
          </w:p>
        </w:tc>
      </w:tr>
      <w:tr>
        <w:trPr>
          <w:trHeight w:val="182"/>
        </w:trPr>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97.9</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w:t>
            </w:r>
          </w:p>
        </w:tc>
      </w:tr>
      <w:tr>
        <w:trPr>
          <w:trHeight w:val="182"/>
        </w:trPr>
        <w:tc>
          <w:tcPr>
            <w:tcW w:w="520" w:type="dxa"/>
            <w:vAlign w:val="bottom"/>
          </w:tcPr>
          <w:p>
            <w:pPr>
              <w:jc w:val="center"/>
              <w:spacing w:after="0"/>
              <w:rPr>
                <w:sz w:val="20"/>
                <w:szCs w:val="20"/>
                <w:color w:val="auto"/>
              </w:rPr>
            </w:pPr>
            <w:r>
              <w:rPr>
                <w:rFonts w:ascii="Courier New" w:cs="Courier New" w:eastAsia="Courier New" w:hAnsi="Courier New"/>
                <w:sz w:val="16"/>
                <w:szCs w:val="16"/>
                <w:color w:val="auto"/>
                <w:w w:val="98"/>
              </w:rPr>
              <w:t>24.9</w:t>
            </w:r>
          </w:p>
        </w:tc>
        <w:tc>
          <w:tcPr>
            <w:tcW w:w="40" w:type="dxa"/>
            <w:vAlign w:val="bottom"/>
          </w:tcPr>
          <w:p>
            <w:pPr>
              <w:spacing w:after="0"/>
              <w:rPr>
                <w:sz w:val="15"/>
                <w:szCs w:val="15"/>
                <w:color w:val="auto"/>
              </w:rPr>
            </w:pP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124.5</w:t>
            </w:r>
          </w:p>
        </w:tc>
      </w:tr>
      <w:tr>
        <w:trPr>
          <w:trHeight w:val="182"/>
        </w:trPr>
        <w:tc>
          <w:tcPr>
            <w:tcW w:w="11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Intracompany</w:t>
            </w:r>
          </w:p>
        </w:tc>
      </w:tr>
      <w:tr>
        <w:trPr>
          <w:trHeight w:val="182"/>
        </w:trPr>
        <w:tc>
          <w:tcPr>
            <w:tcW w:w="11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liabilities</w:t>
            </w:r>
          </w:p>
        </w:tc>
      </w:tr>
      <w:tr>
        <w:trPr>
          <w:trHeight w:val="182"/>
        </w:trPr>
        <w:tc>
          <w:tcPr>
            <w:tcW w:w="520" w:type="dxa"/>
            <w:vAlign w:val="bottom"/>
          </w:tcPr>
          <w:p>
            <w:pPr>
              <w:jc w:val="center"/>
              <w:spacing w:after="0"/>
              <w:rPr>
                <w:sz w:val="20"/>
                <w:szCs w:val="20"/>
                <w:color w:val="auto"/>
              </w:rPr>
            </w:pPr>
            <w:r>
              <w:rPr>
                <w:rFonts w:ascii="Courier New" w:cs="Courier New" w:eastAsia="Courier New" w:hAnsi="Courier New"/>
                <w:sz w:val="16"/>
                <w:szCs w:val="16"/>
                <w:color w:val="auto"/>
                <w:w w:val="99"/>
              </w:rPr>
              <w:t>245.4</w:t>
            </w:r>
          </w:p>
        </w:tc>
        <w:tc>
          <w:tcPr>
            <w:tcW w:w="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210.6</w:t>
            </w:r>
          </w:p>
        </w:tc>
      </w:tr>
    </w:tbl>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(456.0) ----</w:t>
      </w:r>
    </w:p>
    <w:p>
      <w:pPr>
        <w:spacing w:after="0" w:line="1" w:lineRule="exact"/>
        <w:rPr>
          <w:sz w:val="20"/>
          <w:szCs w:val="20"/>
          <w:color w:val="auto"/>
        </w:rPr>
      </w:pPr>
    </w:p>
    <w:p>
      <w:pPr>
        <w:ind w:left="560" w:hanging="471"/>
        <w:spacing w:after="0"/>
        <w:tabs>
          <w:tab w:leader="none" w:pos="560" w:val="left"/>
        </w:tabs>
        <w:numPr>
          <w:ilvl w:val="1"/>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520" w:hanging="478"/>
        <w:spacing w:after="0"/>
        <w:tabs>
          <w:tab w:leader="none" w:pos="52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Total</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liabilities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1,200.2 49.3</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514.0</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(456.0)</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1,307.5</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Shareholders'</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Equity: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Investment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from parent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486.8 61.6</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(548.4)</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Common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shares, no</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par value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per share,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$.01 stated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value per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share,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issued 31.3</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shares in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2002 0.3 0.3</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Capital in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excess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stated value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398.6 398.6</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Retained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earnings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294.8 423.8</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(6.3)</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(417.5)</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294.8</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Treasury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stock (41.8)</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(41.8)</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Accumulated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other</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comprehensive</w:t>
      </w:r>
    </w:p>
    <w:p>
      <w:pPr>
        <w:spacing w:after="0" w:line="8"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income</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(loss)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(58.0) (2.4)</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(21.9) 24.3</w:t>
      </w:r>
    </w:p>
    <w:p>
      <w:pPr>
        <w:sectPr>
          <w:pgSz w:w="11900" w:h="16888" w:orient="portrait"/>
          <w:cols w:equalWidth="0" w:num="1">
            <w:col w:w="10219"/>
          </w:cols>
          <w:pgMar w:left="240" w:top="138" w:right="1440" w:bottom="0" w:gutter="0" w:footer="0" w:header="0"/>
        </w:sectPr>
      </w:pPr>
    </w:p>
    <w:bookmarkStart w:id="155" w:name="page156"/>
    <w:bookmarkEnd w:id="155"/>
    <w:p>
      <w:pPr>
        <w:ind w:left="40"/>
        <w:spacing w:after="0"/>
        <w:rPr>
          <w:sz w:val="20"/>
          <w:szCs w:val="20"/>
          <w:color w:val="auto"/>
        </w:rPr>
      </w:pPr>
      <w:r>
        <w:rPr>
          <w:rFonts w:ascii="Courier New" w:cs="Courier New" w:eastAsia="Courier New" w:hAnsi="Courier New"/>
          <w:sz w:val="16"/>
          <w:szCs w:val="16"/>
          <w:color w:val="auto"/>
        </w:rPr>
        <w:t>(58.0) -----</w:t>
      </w:r>
    </w:p>
    <w:p>
      <w:pPr>
        <w:spacing w:after="0" w:line="1" w:lineRule="exact"/>
        <w:rPr>
          <w:sz w:val="20"/>
          <w:szCs w:val="20"/>
          <w:color w:val="auto"/>
        </w:rPr>
      </w:pPr>
    </w:p>
    <w:p>
      <w:pPr>
        <w:ind w:left="420" w:hanging="378"/>
        <w:spacing w:after="0"/>
        <w:tabs>
          <w:tab w:leader="none" w:pos="420"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20" w:hanging="378"/>
        <w:spacing w:after="0"/>
        <w:tabs>
          <w:tab w:leader="none" w:pos="420"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560" w:type="dxa"/>
            <w:vAlign w:val="bottom"/>
          </w:tcPr>
          <w:p>
            <w:pPr>
              <w:spacing w:after="0"/>
              <w:rPr>
                <w:sz w:val="20"/>
                <w:szCs w:val="20"/>
                <w:color w:val="auto"/>
              </w:rPr>
            </w:pPr>
            <w:r>
              <w:rPr>
                <w:rFonts w:ascii="Courier New" w:cs="Courier New" w:eastAsia="Courier New" w:hAnsi="Courier New"/>
                <w:sz w:val="16"/>
                <w:szCs w:val="16"/>
                <w:color w:val="auto"/>
                <w:w w:val="93"/>
              </w:rPr>
              <w:t>equity</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593.9</w:t>
            </w:r>
          </w:p>
        </w:tc>
      </w:tr>
      <w:tr>
        <w:trPr>
          <w:trHeight w:val="182"/>
        </w:trPr>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908.2</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33.4</w:t>
            </w:r>
          </w:p>
        </w:tc>
      </w:tr>
      <w:tr>
        <w:trPr>
          <w:trHeight w:val="182"/>
        </w:trPr>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(941.6)</w:t>
            </w:r>
          </w:p>
        </w:tc>
      </w:tr>
      <w:tr>
        <w:trPr>
          <w:trHeight w:val="182"/>
        </w:trPr>
        <w:tc>
          <w:tcPr>
            <w:tcW w:w="560" w:type="dxa"/>
            <w:vAlign w:val="bottom"/>
          </w:tcPr>
          <w:p>
            <w:pPr>
              <w:spacing w:after="0"/>
              <w:rPr>
                <w:sz w:val="20"/>
                <w:szCs w:val="20"/>
                <w:color w:val="auto"/>
              </w:rPr>
            </w:pPr>
            <w:r>
              <w:rPr>
                <w:rFonts w:ascii="Courier New" w:cs="Courier New" w:eastAsia="Courier New" w:hAnsi="Courier New"/>
                <w:sz w:val="16"/>
                <w:szCs w:val="16"/>
                <w:color w:val="auto"/>
              </w:rPr>
              <w:t>593.9</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bl>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1" w:lineRule="exact"/>
        <w:rPr>
          <w:sz w:val="20"/>
          <w:szCs w:val="20"/>
          <w:color w:val="auto"/>
        </w:rPr>
      </w:pPr>
    </w:p>
    <w:p>
      <w:pPr>
        <w:ind w:left="520" w:hanging="478"/>
        <w:spacing w:after="0"/>
        <w:tabs>
          <w:tab w:leader="none" w:pos="52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and</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shareholders'</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equity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$1,794.1</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$957.5</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$547.4</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$(1,397.6)</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$1,901.4</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94</w:t>
      </w:r>
    </w:p>
    <w:p>
      <w:pPr>
        <w:sectPr>
          <w:pgSz w:w="11900" w:h="16838" w:orient="portrait"/>
          <w:cols w:equalWidth="0" w:num="1">
            <w:col w:w="10219"/>
          </w:cols>
          <w:pgMar w:left="240" w:top="138" w:right="1440" w:bottom="1440" w:gutter="0" w:footer="0" w:header="0"/>
        </w:sectPr>
      </w:pPr>
    </w:p>
    <w:bookmarkStart w:id="156" w:name="page157"/>
    <w:bookmarkEnd w:id="156"/>
    <w:p>
      <w:pPr>
        <w:spacing w:after="0" w:line="26"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STATEMENT OF OPERATIONS</w:t>
      </w:r>
    </w:p>
    <w:p>
      <w:pPr>
        <w:spacing w:after="0" w:line="1"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6"/>
          <w:szCs w:val="16"/>
          <w:color w:val="auto"/>
        </w:rPr>
        <w:t>FOR THE FISCAL YEAR ENDED SEPTEMBER 30, 2001</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(IN MILLIONS)</w:t>
      </w:r>
    </w:p>
    <w:p>
      <w:pPr>
        <w:spacing w:after="0" w:line="18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Subsidiary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Non- Parent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Guarantors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Guarantors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Eliminations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Consolidated</w:t>
      </w:r>
    </w:p>
    <w:p>
      <w:pPr>
        <w:spacing w:after="0" w:line="1" w:lineRule="exact"/>
        <w:rPr>
          <w:sz w:val="20"/>
          <w:szCs w:val="20"/>
          <w:color w:val="auto"/>
        </w:rPr>
      </w:pPr>
    </w:p>
    <w:p>
      <w:pPr>
        <w:ind w:left="240" w:hanging="197"/>
        <w:spacing w:after="0"/>
        <w:tabs>
          <w:tab w:leader="none" w:pos="240"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sales</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$894.2 $380.2</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$396.0 $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$1,670.4 Cost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 sales</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608.4 216.4</w:t>
      </w:r>
    </w:p>
    <w:p>
      <w:pPr>
        <w:spacing w:after="0" w:line="4" w:lineRule="exact"/>
        <w:rPr>
          <w:rFonts w:ascii="Courier New" w:cs="Courier New" w:eastAsia="Courier New" w:hAnsi="Courier New"/>
          <w:sz w:val="16"/>
          <w:szCs w:val="16"/>
          <w:color w:val="auto"/>
        </w:rPr>
      </w:pPr>
    </w:p>
    <w:p>
      <w:pPr>
        <w:jc w:val="center"/>
        <w:ind w:left="40" w:right="893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241.9 1,066.7 Restructuring and other charges 2.5 1.4 3.4 7.3 -</w:t>
      </w:r>
    </w:p>
    <w:p>
      <w:pPr>
        <w:ind w:left="660" w:hanging="570"/>
        <w:spacing w:after="0"/>
        <w:tabs>
          <w:tab w:leader="none" w:pos="660" w:val="left"/>
        </w:tabs>
        <w:numPr>
          <w:ilvl w:val="1"/>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both"/>
        <w:ind w:left="140" w:right="8999" w:hanging="47"/>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Gross profit 283.3 162.4</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150.7 596.4</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Gross</w:t>
      </w:r>
    </w:p>
    <w:p>
      <w:pPr>
        <w:spacing w:after="0" w:line="4" w:lineRule="exact"/>
        <w:rPr>
          <w:rFonts w:ascii="Courier New" w:cs="Courier New" w:eastAsia="Courier New" w:hAnsi="Courier New"/>
          <w:sz w:val="16"/>
          <w:szCs w:val="16"/>
          <w:color w:val="auto"/>
        </w:rPr>
      </w:pPr>
    </w:p>
    <w:p>
      <w:pPr>
        <w:jc w:val="center"/>
        <w:ind w:left="40" w:right="8939" w:firstLine="142"/>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commission earned from marketing agreement 34.6 4.5 39.1 Contribution expenses under marketing agreement 16.9 1.4 18.3</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Net</w:t>
      </w:r>
    </w:p>
    <w:p>
      <w:pPr>
        <w:spacing w:after="0" w:line="4" w:lineRule="exact"/>
        <w:rPr>
          <w:rFonts w:ascii="Courier New" w:cs="Courier New" w:eastAsia="Courier New" w:hAnsi="Courier New"/>
          <w:sz w:val="16"/>
          <w:szCs w:val="16"/>
          <w:color w:val="auto"/>
        </w:rPr>
      </w:pPr>
    </w:p>
    <w:p>
      <w:pPr>
        <w:jc w:val="center"/>
        <w:ind w:left="40" w:right="8939" w:firstLine="142"/>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commission earned from marketing agreement 17.7 3.1 20.8 Advertising 59.9 0.3 28.9</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89.1 Selling,</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general and</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administrative</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194.5 21.6</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108.0 324.1</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Restructuring</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 other</w:t>
      </w:r>
    </w:p>
    <w:p>
      <w:pPr>
        <w:spacing w:after="0" w:line="4" w:lineRule="exact"/>
        <w:rPr>
          <w:rFonts w:ascii="Courier New" w:cs="Courier New" w:eastAsia="Courier New" w:hAnsi="Courier New"/>
          <w:sz w:val="16"/>
          <w:szCs w:val="16"/>
          <w:color w:val="auto"/>
        </w:rPr>
      </w:pPr>
    </w:p>
    <w:p>
      <w:pPr>
        <w:jc w:val="center"/>
        <w:ind w:left="40" w:right="8939" w:firstLine="47"/>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charges 47.5 11.0 9.9 68.4 Amortization of intangible assets 1.7 15.8 10.2 27.7 Equity (income) loss in non-guarantors (61.7) 61.7 Intercompany allocations 1.0 (9.1) 8.1 Other (income) expense, net (3.5) (5.4) 0.4 (8.5) ---</w:t>
      </w:r>
    </w:p>
    <w:p>
      <w:pPr>
        <w:spacing w:after="0" w:line="8"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Income (loss)</w:t>
      </w:r>
    </w:p>
    <w:p>
      <w:pPr>
        <w:sectPr>
          <w:pgSz w:w="11900" w:h="16864" w:orient="portrait"/>
          <w:cols w:equalWidth="0" w:num="1">
            <w:col w:w="10219"/>
          </w:cols>
          <w:pgMar w:left="240" w:top="659" w:right="1440" w:bottom="0" w:gutter="0" w:footer="0" w:header="0"/>
        </w:sectPr>
      </w:pPr>
    </w:p>
    <w:bookmarkStart w:id="157" w:name="page158"/>
    <w:bookmarkEnd w:id="157"/>
    <w:p>
      <w:pPr>
        <w:jc w:val="center"/>
        <w:ind w:right="8939"/>
        <w:spacing w:after="0"/>
        <w:rPr>
          <w:sz w:val="20"/>
          <w:szCs w:val="20"/>
          <w:color w:val="auto"/>
        </w:rPr>
      </w:pPr>
      <w:r>
        <w:rPr>
          <w:rFonts w:ascii="Courier New" w:cs="Courier New" w:eastAsia="Courier New" w:hAnsi="Courier New"/>
          <w:sz w:val="16"/>
          <w:szCs w:val="16"/>
          <w:color w:val="auto"/>
        </w:rPr>
        <w:t>from</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0" w:type="dxa"/>
            <w:vAlign w:val="bottom"/>
          </w:tcPr>
          <w:p>
            <w:pPr>
              <w:jc w:val="right"/>
              <w:ind w:right="1"/>
              <w:spacing w:after="0"/>
              <w:rPr>
                <w:sz w:val="20"/>
                <w:szCs w:val="20"/>
                <w:color w:val="auto"/>
              </w:rPr>
            </w:pPr>
            <w:r>
              <w:rPr>
                <w:rFonts w:ascii="Courier New" w:cs="Courier New" w:eastAsia="Courier New" w:hAnsi="Courier New"/>
                <w:sz w:val="16"/>
                <w:szCs w:val="16"/>
                <w:color w:val="auto"/>
              </w:rPr>
              <w:t>61.6</w:t>
            </w:r>
          </w:p>
        </w:tc>
        <w:tc>
          <w:tcPr>
            <w:tcW w:w="6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128.2</w:t>
            </w:r>
          </w:p>
        </w:tc>
      </w:tr>
      <w:tr>
        <w:trPr>
          <w:trHeight w:val="182"/>
        </w:trPr>
        <w:tc>
          <w:tcPr>
            <w:tcW w:w="600" w:type="dxa"/>
            <w:vAlign w:val="bottom"/>
          </w:tcPr>
          <w:p>
            <w:pPr>
              <w:jc w:val="right"/>
              <w:spacing w:after="0"/>
              <w:rPr>
                <w:sz w:val="20"/>
                <w:szCs w:val="20"/>
                <w:color w:val="auto"/>
              </w:rPr>
            </w:pPr>
            <w:r>
              <w:rPr>
                <w:rFonts w:ascii="Courier New" w:cs="Courier New" w:eastAsia="Courier New" w:hAnsi="Courier New"/>
                <w:sz w:val="16"/>
                <w:szCs w:val="16"/>
                <w:color w:val="auto"/>
                <w:w w:val="97"/>
              </w:rPr>
              <w:t>(11.7)</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(61.7)</w:t>
            </w:r>
          </w:p>
        </w:tc>
      </w:tr>
    </w:tbl>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116.4</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Interest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(income)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expense 78.4</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(14.3) 23.6</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87.7 ------ -</w:t>
      </w:r>
    </w:p>
    <w:p>
      <w:pPr>
        <w:spacing w:after="0" w:line="8" w:lineRule="exact"/>
        <w:rPr>
          <w:sz w:val="20"/>
          <w:szCs w:val="20"/>
          <w:color w:val="auto"/>
        </w:rPr>
      </w:pPr>
    </w:p>
    <w:p>
      <w:pPr>
        <w:ind w:left="620" w:hanging="570"/>
        <w:spacing w:after="0"/>
        <w:tabs>
          <w:tab w:leader="none" w:pos="620" w:val="left"/>
        </w:tabs>
        <w:numPr>
          <w:ilvl w:val="1"/>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Income</w:t>
      </w:r>
    </w:p>
    <w:p>
      <w:pPr>
        <w:spacing w:after="0" w:line="4" w:lineRule="exact"/>
        <w:rPr>
          <w:rFonts w:ascii="Courier New" w:cs="Courier New" w:eastAsia="Courier New" w:hAnsi="Courier New"/>
          <w:sz w:val="16"/>
          <w:szCs w:val="16"/>
          <w:color w:val="auto"/>
        </w:rPr>
      </w:pPr>
    </w:p>
    <w:p>
      <w:pPr>
        <w:jc w:val="both"/>
        <w:ind w:right="893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(loss) before income taxes (16.8) 142.5 (35.3) (61.7)</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28.7 Income</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taxes</w:t>
      </w: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(benefit)</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(32.3) 60.5</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(15.0) 13.2 -</w:t>
      </w:r>
    </w:p>
    <w:p>
      <w:pPr>
        <w:ind w:left="620" w:hanging="570"/>
        <w:spacing w:after="0"/>
        <w:tabs>
          <w:tab w:leader="none" w:pos="620" w:val="left"/>
        </w:tabs>
        <w:numPr>
          <w:ilvl w:val="1"/>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Income (loss)</w:t>
      </w: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before</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cumulative</w:t>
      </w: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w:t>
      </w:r>
    </w:p>
    <w:p>
      <w:pPr>
        <w:spacing w:after="0" w:line="4" w:lineRule="exact"/>
        <w:rPr>
          <w:rFonts w:ascii="Courier New" w:cs="Courier New" w:eastAsia="Courier New" w:hAnsi="Courier New"/>
          <w:sz w:val="16"/>
          <w:szCs w:val="16"/>
          <w:color w:val="auto"/>
        </w:rPr>
      </w:pPr>
    </w:p>
    <w:p>
      <w:pPr>
        <w:jc w:val="both"/>
        <w:ind w:left="100" w:right="9039" w:firstLine="47"/>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accounting change 15.5 82.0 (20.3) (61.7) 15.5 Cumulative</w:t>
      </w:r>
    </w:p>
    <w:p>
      <w:pPr>
        <w:spacing w:after="0" w:line="3" w:lineRule="exact"/>
        <w:rPr>
          <w:rFonts w:ascii="Courier New" w:cs="Courier New" w:eastAsia="Courier New" w:hAnsi="Courier New"/>
          <w:sz w:val="16"/>
          <w:szCs w:val="16"/>
          <w:color w:val="auto"/>
        </w:rPr>
      </w:pPr>
    </w:p>
    <w:p>
      <w:pPr>
        <w:jc w:val="center"/>
        <w:ind w:right="8939" w:firstLine="18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effect of change in accounting for intangible assets, net of tax ------</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4" w:lineRule="exact"/>
        <w:rPr>
          <w:rFonts w:ascii="Courier New" w:cs="Courier New" w:eastAsia="Courier New" w:hAnsi="Courier New"/>
          <w:sz w:val="16"/>
          <w:szCs w:val="16"/>
          <w:color w:val="auto"/>
        </w:rPr>
      </w:pPr>
    </w:p>
    <w:p>
      <w:pPr>
        <w:jc w:val="both"/>
        <w:ind w:right="8939" w:firstLine="3"/>
        <w:spacing w:after="0" w:line="256" w:lineRule="auto"/>
        <w:tabs>
          <w:tab w:leader="none" w:pos="284"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(loss) $ 15.5</w:t>
      </w:r>
    </w:p>
    <w:p>
      <w:pPr>
        <w:ind w:left="3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$ 82.0</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$(20.3)</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$(61.7) $</w:t>
      </w:r>
    </w:p>
    <w:p>
      <w:pPr>
        <w:ind w:left="1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15.5 ======</w:t>
      </w: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w:t>
      </w:r>
    </w:p>
    <w:p>
      <w:pPr>
        <w:ind w:left="3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2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95</w:t>
      </w:r>
    </w:p>
    <w:p>
      <w:pPr>
        <w:sectPr>
          <w:pgSz w:w="11900" w:h="16838" w:orient="portrait"/>
          <w:cols w:equalWidth="0" w:num="1">
            <w:col w:w="10179"/>
          </w:cols>
          <w:pgMar w:left="280" w:top="138" w:right="1440" w:bottom="1440" w:gutter="0" w:footer="0" w:header="0"/>
        </w:sectPr>
      </w:pPr>
    </w:p>
    <w:bookmarkStart w:id="158" w:name="page159"/>
    <w:bookmarkEnd w:id="158"/>
    <w:p>
      <w:pPr>
        <w:spacing w:after="0" w:line="26"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STATEMENT OF CASH FLOWS</w:t>
      </w:r>
    </w:p>
    <w:p>
      <w:pPr>
        <w:spacing w:after="0" w:line="1"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6"/>
          <w:szCs w:val="16"/>
          <w:color w:val="auto"/>
        </w:rPr>
        <w:t>FOR THE FISCAL YEAR ENDED SEPTEMBER 30, 2001</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(IN MILLIONS)</w:t>
      </w:r>
    </w:p>
    <w:p>
      <w:pPr>
        <w:spacing w:after="0" w:line="18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Subsidiary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Non- Parent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Guarantors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Guarantors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Eliminations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Consolidated</w:t>
      </w:r>
    </w:p>
    <w:p>
      <w:pPr>
        <w:spacing w:after="0" w:line="1" w:lineRule="exact"/>
        <w:rPr>
          <w:sz w:val="20"/>
          <w:szCs w:val="20"/>
          <w:color w:val="auto"/>
        </w:rPr>
      </w:pPr>
    </w:p>
    <w:p>
      <w:pPr>
        <w:ind w:left="240" w:hanging="198"/>
        <w:spacing w:after="0"/>
        <w:tabs>
          <w:tab w:leader="none" w:pos="240"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FROM</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w:t>
      </w:r>
    </w:p>
    <w:p>
      <w:pPr>
        <w:spacing w:after="0" w:line="4" w:lineRule="exact"/>
        <w:rPr>
          <w:rFonts w:ascii="Courier New" w:cs="Courier New" w:eastAsia="Courier New" w:hAnsi="Courier New"/>
          <w:sz w:val="16"/>
          <w:szCs w:val="16"/>
          <w:color w:val="auto"/>
        </w:rPr>
      </w:pPr>
    </w:p>
    <w:p>
      <w:pPr>
        <w:jc w:val="center"/>
        <w:ind w:right="8999" w:firstLine="13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ACTIVITIES Net income (loss) $15.5 $ 82.0 $(20.3) $(61.7) $ 15.5 Adjustments to reconcile net income (loss) to net cash (used in) provided by operating activities: Cumulative effect of change in accounting for intangible assets, pre-tax Stock-based compensation Depreciation 15.5 10.2 6.9 32.6 Amortization 1.9 15.7 13.4 31.0 Deferred taxes (19.9) (19.9) Equity income in non-guarantors (61.7) 61.7 Restructuring and other charges 13.2 14.5 27.7 Changes in assets and liabilities, net of acquired businesses: Accounts receivable 0.4 (10.3)</w:t>
      </w:r>
    </w:p>
    <w:p>
      <w:pPr>
        <w:spacing w:after="0" w:line="200" w:lineRule="exact"/>
        <w:rPr>
          <w:rFonts w:ascii="Courier New" w:cs="Courier New" w:eastAsia="Courier New" w:hAnsi="Courier New"/>
          <w:sz w:val="16"/>
          <w:szCs w:val="16"/>
          <w:color w:val="auto"/>
        </w:rPr>
      </w:pPr>
    </w:p>
    <w:p>
      <w:pPr>
        <w:spacing w:after="0" w:line="341" w:lineRule="exact"/>
        <w:rPr>
          <w:rFonts w:ascii="Courier New" w:cs="Courier New" w:eastAsia="Courier New" w:hAnsi="Courier New"/>
          <w:sz w:val="16"/>
          <w:szCs w:val="16"/>
          <w:color w:val="auto"/>
        </w:rPr>
      </w:pPr>
    </w:p>
    <w:p>
      <w:pPr>
        <w:jc w:val="both"/>
        <w:ind w:left="40" w:right="903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(4.3) (14.2) Inventories (48.9) (5.2)</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(14.4)</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(68.5)</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Prepaid and</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other</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current</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assets 28.7</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(1.5) 4.2</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31.4</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Accounts</w:t>
      </w:r>
    </w:p>
    <w:p>
      <w:pPr>
        <w:sectPr>
          <w:pgSz w:w="11900" w:h="16864" w:orient="portrait"/>
          <w:cols w:equalWidth="0" w:num="1">
            <w:col w:w="10219"/>
          </w:cols>
          <w:pgMar w:left="240" w:top="659" w:right="1440" w:bottom="0" w:gutter="0" w:footer="0" w:header="0"/>
        </w:sectPr>
      </w:pPr>
    </w:p>
    <w:bookmarkStart w:id="159" w:name="page160"/>
    <w:bookmarkEnd w:id="159"/>
    <w:p>
      <w:pPr>
        <w:spacing w:after="0" w:line="5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payable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(6.5) (2.9)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(2.8)</w:t>
            </w:r>
          </w:p>
        </w:tc>
      </w:tr>
      <w:tr>
        <w:trPr>
          <w:trHeight w:val="182"/>
        </w:trPr>
        <w:tc>
          <w:tcPr>
            <w:tcW w:w="12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Accrued</w:t>
            </w:r>
          </w:p>
        </w:tc>
      </w:tr>
      <w:tr>
        <w:trPr>
          <w:trHeight w:val="182"/>
        </w:trPr>
        <w:tc>
          <w:tcPr>
            <w:tcW w:w="12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taxes and</w:t>
            </w:r>
          </w:p>
        </w:tc>
      </w:tr>
      <w:tr>
        <w:trPr>
          <w:trHeight w:val="182"/>
        </w:trPr>
        <w:tc>
          <w:tcPr>
            <w:tcW w:w="12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liabilities</w:t>
            </w:r>
          </w:p>
        </w:tc>
      </w:tr>
      <w:tr>
        <w:trPr>
          <w:trHeight w:val="182"/>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32.6</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(72.1)</w:t>
            </w:r>
          </w:p>
        </w:tc>
      </w:tr>
      <w:tr>
        <w:trPr>
          <w:trHeight w:val="182"/>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16.8</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(22.7)</w:t>
            </w:r>
          </w:p>
        </w:tc>
      </w:tr>
      <w:tr>
        <w:trPr>
          <w:trHeight w:val="182"/>
        </w:trPr>
        <w:tc>
          <w:tcPr>
            <w:tcW w:w="12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Restructuring</w:t>
            </w:r>
          </w:p>
        </w:tc>
      </w:tr>
      <w:tr>
        <w:trPr>
          <w:trHeight w:val="182"/>
        </w:trPr>
        <w:tc>
          <w:tcPr>
            <w:tcW w:w="12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6"/>
              </w:rPr>
              <w:t>reserves</w:t>
            </w:r>
          </w:p>
        </w:tc>
      </w:tr>
    </w:tbl>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13.3</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11.4</w:t>
            </w:r>
          </w:p>
        </w:tc>
      </w:tr>
      <w:tr>
        <w:trPr>
          <w:trHeight w:val="182"/>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12.6</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37.3</w:t>
            </w:r>
          </w:p>
        </w:tc>
      </w:tr>
    </w:tbl>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Other assets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(3.9) 13.3</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(3.3) 6.1</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Other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liabilities</w:t>
      </w:r>
    </w:p>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81"/>
        </w:trPr>
        <w:tc>
          <w:tcPr>
            <w:tcW w:w="320" w:type="dxa"/>
            <w:vAlign w:val="bottom"/>
          </w:tcPr>
          <w:p>
            <w:pPr>
              <w:spacing w:after="0"/>
              <w:rPr>
                <w:sz w:val="20"/>
                <w:szCs w:val="20"/>
                <w:color w:val="auto"/>
              </w:rPr>
            </w:pPr>
            <w:r>
              <w:rPr>
                <w:rFonts w:ascii="Courier New" w:cs="Courier New" w:eastAsia="Courier New" w:hAnsi="Courier New"/>
                <w:sz w:val="16"/>
                <w:szCs w:val="16"/>
                <w:color w:val="auto"/>
              </w:rPr>
              <w:t>1.6</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(10.8)</w:t>
            </w:r>
          </w:p>
        </w:tc>
      </w:tr>
      <w:tr>
        <w:trPr>
          <w:trHeight w:val="182"/>
        </w:trPr>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16.8</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w:t>
            </w:r>
          </w:p>
        </w:tc>
      </w:tr>
      <w:tr>
        <w:trPr>
          <w:trHeight w:val="182"/>
        </w:trPr>
        <w:tc>
          <w:tcPr>
            <w:tcW w:w="940" w:type="dxa"/>
            <w:vAlign w:val="bottom"/>
            <w:gridSpan w:val="3"/>
          </w:tcPr>
          <w:p>
            <w:pPr>
              <w:spacing w:after="0"/>
              <w:rPr>
                <w:sz w:val="20"/>
                <w:szCs w:val="20"/>
                <w:color w:val="auto"/>
              </w:rPr>
            </w:pPr>
            <w:r>
              <w:rPr>
                <w:rFonts w:ascii="Courier New" w:cs="Courier New" w:eastAsia="Courier New" w:hAnsi="Courier New"/>
                <w:sz w:val="16"/>
                <w:szCs w:val="16"/>
                <w:color w:val="auto"/>
                <w:w w:val="95"/>
              </w:rPr>
              <w:t>Other, net</w:t>
            </w:r>
          </w:p>
        </w:tc>
      </w:tr>
      <w:tr>
        <w:trPr>
          <w:trHeight w:val="182"/>
        </w:trPr>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10.4</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0.4</w:t>
            </w:r>
          </w:p>
        </w:tc>
      </w:tr>
    </w:tbl>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(6.2) 4.6 --</w:t>
      </w:r>
    </w:p>
    <w:p>
      <w:pPr>
        <w:spacing w:after="0" w:line="1" w:lineRule="exact"/>
        <w:rPr>
          <w:sz w:val="20"/>
          <w:szCs w:val="20"/>
          <w:color w:val="auto"/>
        </w:rPr>
      </w:pPr>
    </w:p>
    <w:p>
      <w:pPr>
        <w:ind w:left="560" w:hanging="471"/>
        <w:spacing w:after="0"/>
        <w:tabs>
          <w:tab w:leader="none" w:pos="560" w:val="left"/>
        </w:tabs>
        <w:numPr>
          <w:ilvl w:val="1"/>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4" w:lineRule="exact"/>
        <w:rPr>
          <w:rFonts w:ascii="Courier New" w:cs="Courier New" w:eastAsia="Courier New" w:hAnsi="Courier New"/>
          <w:sz w:val="16"/>
          <w:szCs w:val="16"/>
          <w:color w:val="auto"/>
        </w:rPr>
      </w:pPr>
    </w:p>
    <w:p>
      <w:pPr>
        <w:ind w:left="140" w:right="9039" w:hanging="98"/>
        <w:spacing w:after="0" w:line="256" w:lineRule="auto"/>
        <w:tabs>
          <w:tab w:leader="none" w:pos="235"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Net cash (used</w:t>
      </w:r>
    </w:p>
    <w:p>
      <w:pPr>
        <w:ind w:left="40"/>
        <w:spacing w:after="0" w:line="236" w:lineRule="auto"/>
        <w:rPr>
          <w:sz w:val="20"/>
          <w:szCs w:val="20"/>
          <w:color w:val="auto"/>
        </w:rPr>
      </w:pPr>
      <w:r>
        <w:rPr>
          <w:rFonts w:ascii="Courier New" w:cs="Courier New" w:eastAsia="Courier New" w:hAnsi="Courier New"/>
          <w:sz w:val="16"/>
          <w:szCs w:val="16"/>
          <w:color w:val="auto"/>
        </w:rPr>
        <w:t>in) provided</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by operating</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activities</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(7.8) 44.7</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28.8 65.7 --</w:t>
      </w:r>
    </w:p>
    <w:p>
      <w:pPr>
        <w:spacing w:after="0" w:line="1" w:lineRule="exact"/>
        <w:rPr>
          <w:sz w:val="20"/>
          <w:szCs w:val="20"/>
          <w:color w:val="auto"/>
        </w:rPr>
      </w:pPr>
    </w:p>
    <w:p>
      <w:pPr>
        <w:ind w:left="560" w:hanging="471"/>
        <w:spacing w:after="0"/>
        <w:tabs>
          <w:tab w:leader="none" w:pos="560" w:val="left"/>
        </w:tabs>
        <w:numPr>
          <w:ilvl w:val="1"/>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FROM</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INVESTING</w:t>
      </w:r>
    </w:p>
    <w:p>
      <w:pPr>
        <w:spacing w:after="0" w:line="4" w:lineRule="exact"/>
        <w:rPr>
          <w:rFonts w:ascii="Courier New" w:cs="Courier New" w:eastAsia="Courier New" w:hAnsi="Courier New"/>
          <w:sz w:val="16"/>
          <w:szCs w:val="16"/>
          <w:color w:val="auto"/>
        </w:rPr>
      </w:pPr>
    </w:p>
    <w:p>
      <w:pPr>
        <w:jc w:val="center"/>
        <w:ind w:left="40" w:right="9039" w:firstLine="95"/>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ACTIVITIES Investment in property, plant and equipment (41.8) (13.9) (7.7) (63.4) Investments in acquired businesses, net of cash acquired (13.5)</w:t>
      </w:r>
    </w:p>
    <w:p>
      <w:pPr>
        <w:spacing w:after="0" w:line="4"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(13.0)</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(26.5)</w:t>
      </w:r>
    </w:p>
    <w:p>
      <w:pPr>
        <w:spacing w:after="0" w:line="4" w:lineRule="exact"/>
        <w:rPr>
          <w:rFonts w:ascii="Courier New" w:cs="Courier New" w:eastAsia="Courier New" w:hAnsi="Courier New"/>
          <w:sz w:val="16"/>
          <w:szCs w:val="16"/>
          <w:color w:val="auto"/>
        </w:rPr>
      </w:pPr>
    </w:p>
    <w:p>
      <w:pPr>
        <w:jc w:val="both"/>
        <w:ind w:left="40" w:right="9039" w:firstLine="47"/>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Payments on seller notes (1.2) (9.9) (11.1) -----</w:t>
      </w:r>
    </w:p>
    <w:p>
      <w:pPr>
        <w:ind w:left="240" w:hanging="198"/>
        <w:spacing w:after="0"/>
        <w:tabs>
          <w:tab w:leader="none" w:pos="240"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760" w:hanging="576"/>
        <w:spacing w:after="0"/>
        <w:tabs>
          <w:tab w:leader="none" w:pos="760" w:val="left"/>
        </w:tabs>
        <w:numPr>
          <w:ilvl w:val="2"/>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cash used in</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investing</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activities</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(41.8)</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(28.6)</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(30.6)</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(101.0)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560" w:hanging="471"/>
        <w:spacing w:after="0"/>
        <w:tabs>
          <w:tab w:leader="none" w:pos="560" w:val="left"/>
        </w:tabs>
        <w:numPr>
          <w:ilvl w:val="1"/>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center"/>
        <w:ind w:left="40" w:right="9039" w:firstLine="47"/>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 CASH FLOWS FROM FINANCING ACTIVITIES Net borrowings under revolving and bank lines of credit 59.5 2.2 61.7 Net repayments under term loans (55.7) (55.7) Issuance of 8 5/8% senior subordinated notes, net of issuance</w:t>
      </w:r>
    </w:p>
    <w:p>
      <w:pPr>
        <w:sectPr>
          <w:pgSz w:w="11900" w:h="16895" w:orient="portrait"/>
          <w:cols w:equalWidth="0" w:num="1">
            <w:col w:w="10219"/>
          </w:cols>
          <w:pgMar w:left="240" w:top="138" w:right="1440" w:bottom="0" w:gutter="0" w:footer="0" w:header="0"/>
        </w:sectPr>
      </w:pPr>
    </w:p>
    <w:bookmarkStart w:id="160" w:name="page161"/>
    <w:bookmarkEnd w:id="160"/>
    <w:p>
      <w:pPr>
        <w:jc w:val="center"/>
        <w:ind w:right="9039"/>
        <w:spacing w:after="0"/>
        <w:rPr>
          <w:sz w:val="20"/>
          <w:szCs w:val="20"/>
          <w:color w:val="auto"/>
        </w:rPr>
      </w:pPr>
      <w:r>
        <w:rPr>
          <w:rFonts w:ascii="Courier New" w:cs="Courier New" w:eastAsia="Courier New" w:hAnsi="Courier New"/>
          <w:sz w:val="16"/>
          <w:szCs w:val="16"/>
          <w:color w:val="auto"/>
        </w:rPr>
        <w:t>fees</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Financing</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and issuance</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fees (1.6)</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(1.6) Cash</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received</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from</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exercise of</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stock</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options 17.0</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17.0</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Intercompany</w:t>
      </w:r>
    </w:p>
    <w:p>
      <w:pPr>
        <w:spacing w:after="0" w:line="8"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financing</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17.8 (14.9)</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(2.9)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200" w:hanging="198"/>
        <w:spacing w:after="0"/>
        <w:tabs>
          <w:tab w:leader="none" w:pos="200"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4" w:lineRule="exact"/>
        <w:rPr>
          <w:rFonts w:ascii="Courier New" w:cs="Courier New" w:eastAsia="Courier New" w:hAnsi="Courier New"/>
          <w:sz w:val="16"/>
          <w:szCs w:val="16"/>
          <w:color w:val="auto"/>
        </w:rPr>
      </w:pPr>
    </w:p>
    <w:p>
      <w:pPr>
        <w:jc w:val="center"/>
        <w:ind w:right="903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 Net cash provided by (used in) financing activities 37.0 (14.9) (0.7) 21.4 Effect of exchange rate changes on cash (0.4) (0.4)</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200" w:hanging="198"/>
        <w:spacing w:after="0"/>
        <w:tabs>
          <w:tab w:leader="none" w:pos="200"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80" w:hanging="384"/>
        <w:spacing w:after="0"/>
        <w:tabs>
          <w:tab w:leader="none" w:pos="480" w:val="left"/>
        </w:tabs>
        <w:numPr>
          <w:ilvl w:val="1"/>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increase</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(decrease)</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cash</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(12.6) 1.2</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(2.9) (14.3)</w:t>
      </w: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Cash and</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cash</w:t>
      </w:r>
    </w:p>
    <w:p>
      <w:pPr>
        <w:spacing w:after="0" w:line="4" w:lineRule="exact"/>
        <w:rPr>
          <w:rFonts w:ascii="Courier New" w:cs="Courier New" w:eastAsia="Courier New" w:hAnsi="Courier New"/>
          <w:sz w:val="16"/>
          <w:szCs w:val="16"/>
          <w:color w:val="auto"/>
        </w:rPr>
      </w:pPr>
    </w:p>
    <w:p>
      <w:pPr>
        <w:jc w:val="both"/>
        <w:ind w:right="903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equivalents, beginning of period 16.0 (0.6) 17.6 33.0 ------</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200" w:hanging="198"/>
        <w:spacing w:after="0"/>
        <w:tabs>
          <w:tab w:leader="none" w:pos="200"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Cash and</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cash</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equivalents,</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end of</w:t>
      </w:r>
    </w:p>
    <w:p>
      <w:pPr>
        <w:spacing w:after="0" w:line="4" w:lineRule="exact"/>
        <w:rPr>
          <w:rFonts w:ascii="Courier New" w:cs="Courier New" w:eastAsia="Courier New" w:hAnsi="Courier New"/>
          <w:sz w:val="16"/>
          <w:szCs w:val="16"/>
          <w:color w:val="auto"/>
        </w:rPr>
      </w:pPr>
    </w:p>
    <w:p>
      <w:pPr>
        <w:jc w:val="center"/>
        <w:ind w:right="903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period $ 3.4 $ 0.6 $ 14.7 $ $ 18.7</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96</w:t>
      </w:r>
    </w:p>
    <w:p>
      <w:pPr>
        <w:sectPr>
          <w:pgSz w:w="11900" w:h="16838" w:orient="portrait"/>
          <w:cols w:equalWidth="0" w:num="1">
            <w:col w:w="10179"/>
          </w:cols>
          <w:pgMar w:left="280" w:top="138" w:right="1440" w:bottom="1440" w:gutter="0" w:footer="0" w:header="0"/>
        </w:sectPr>
      </w:pPr>
    </w:p>
    <w:bookmarkStart w:id="161" w:name="page162"/>
    <w:bookmarkEnd w:id="161"/>
    <w:p>
      <w:pPr>
        <w:ind w:left="840"/>
        <w:spacing w:after="0"/>
        <w:rPr>
          <w:sz w:val="20"/>
          <w:szCs w:val="20"/>
          <w:color w:val="auto"/>
        </w:rPr>
      </w:pPr>
      <w:r>
        <w:rPr>
          <w:rFonts w:ascii="Courier New" w:cs="Courier New" w:eastAsia="Courier New" w:hAnsi="Courier New"/>
          <w:sz w:val="16"/>
          <w:szCs w:val="16"/>
          <w:color w:val="auto"/>
        </w:rPr>
        <w:t>REPORT OF INDEPENDENT AUDITORS ON FINANCIAL STATEMENT SCHEDULE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Shareholders of The Scotts Company</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Our audits of the consolidated financial statements referred to in our report dated December 5, 2003 appearing in Item 15(a)(1) of this Annual Report on Form 10-K, also included an audit of the financial statement schedule listed in Item 15(a)(2) of this Form 10-K. In our opinion, this financial statement schedule presents fairly, in all material respects, the information set forth therein when read in conjunction with the related consolidated financial statements.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PRICEWATERHOUSECOOPERS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Columbus, Ohio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5, 2003</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97</w:t>
      </w:r>
    </w:p>
    <w:p>
      <w:pPr>
        <w:sectPr>
          <w:pgSz w:w="11900" w:h="16838" w:orient="portrait"/>
          <w:cols w:equalWidth="0" w:num="1">
            <w:col w:w="10219"/>
          </w:cols>
          <w:pgMar w:left="240" w:top="659" w:right="1440" w:bottom="1440" w:gutter="0" w:footer="0" w:header="0"/>
        </w:sectPr>
      </w:pPr>
    </w:p>
    <w:bookmarkStart w:id="162" w:name="page163"/>
    <w:bookmarkEnd w:id="162"/>
    <w:p>
      <w:pPr>
        <w:spacing w:after="0" w:line="2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SCOTTS COMPANY</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8"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FOR THE FISCAL YEAR ENDED SEPTEMBER 30, 2003</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(IN MILLIONS)</w:t>
      </w:r>
    </w:p>
    <w:p>
      <w:pPr>
        <w:spacing w:after="0" w:line="18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Column A</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Column B</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Column C</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Column 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Column 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Column F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460" w:hanging="370"/>
        <w:spacing w:after="0"/>
        <w:tabs>
          <w:tab w:leader="none" w:pos="460"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560" w:hanging="470"/>
        <w:spacing w:after="0"/>
        <w:tabs>
          <w:tab w:leader="none" w:pos="560" w:val="left"/>
        </w:tabs>
        <w:numPr>
          <w:ilvl w:val="1"/>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Balance</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Additions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Deductions at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Charged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Credited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Balance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Beginning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Reserves to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and at End</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5"/>
          <w:szCs w:val="15"/>
          <w:color w:val="auto"/>
        </w:rPr>
        <w:t>Classification</w:t>
      </w:r>
    </w:p>
    <w:p>
      <w:pPr>
        <w:spacing w:after="0" w:line="8"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 Period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Acquired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Expense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Write-Offs of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Period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Valuation and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qualifying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accounts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deducted from</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assets to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which they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apply: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Inventory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reserve $25.9</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 $5.1</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$(31.0) $22.0</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Allowance for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doubtful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accounts 33.2</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3.2 (16.4)</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20.0 Income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tax valuation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allowance 1.0</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1.0</w:t>
      </w:r>
    </w:p>
    <w:p>
      <w:pPr>
        <w:spacing w:after="0" w:line="368"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8"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FOR THE FISCAL YEAR ENDED SEPTEMBER 30, 2002</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(IN MILLIONS)</w:t>
      </w:r>
    </w:p>
    <w:p>
      <w:pPr>
        <w:spacing w:after="0" w:line="18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Column A</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Column B</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Column C</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Column 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Column 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Column F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460" w:hanging="370"/>
        <w:spacing w:after="0"/>
        <w:tabs>
          <w:tab w:leader="none" w:pos="460"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560" w:hanging="470"/>
        <w:spacing w:after="0"/>
        <w:tabs>
          <w:tab w:leader="none" w:pos="560" w:val="left"/>
        </w:tabs>
        <w:numPr>
          <w:ilvl w:val="1"/>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Balance</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Additions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Deductions at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Charged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Credited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Balance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Beginning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Reserves to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and at End</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5"/>
          <w:szCs w:val="15"/>
          <w:color w:val="auto"/>
        </w:rPr>
        <w:t>Classification</w:t>
      </w:r>
    </w:p>
    <w:p>
      <w:pPr>
        <w:spacing w:after="0" w:line="8"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 Period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Acquired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Expense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Write-Offs of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Period - ----</w:t>
      </w:r>
    </w:p>
    <w:p>
      <w:pPr>
        <w:sectPr>
          <w:pgSz w:w="11900" w:h="16864" w:orient="portrait"/>
          <w:cols w:equalWidth="0" w:num="1">
            <w:col w:w="10219"/>
          </w:cols>
          <w:pgMar w:left="240" w:top="659" w:right="1440" w:bottom="0" w:gutter="0" w:footer="0" w:header="0"/>
        </w:sectPr>
      </w:pPr>
    </w:p>
    <w:bookmarkStart w:id="163" w:name="page164"/>
    <w:bookmarkEnd w:id="163"/>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Valuation and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qualifying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accounts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deducted from</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assets to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which they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apply: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Inventory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reserve $22.3</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 $17.4</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$(13.8) $25.9</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Allowance for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doubtful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accounts 27.4</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12.0 (6.2)</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33.2</w:t>
      </w:r>
    </w:p>
    <w:p>
      <w:pPr>
        <w:spacing w:after="0" w:line="368"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8"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FOR THE FISCAL YEAR ENDED SEPTEMBER 30, 2001</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(IN MILLIONS)</w:t>
      </w:r>
    </w:p>
    <w:p>
      <w:pPr>
        <w:spacing w:after="0" w:line="18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Column A</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Column B</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Column C</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Column 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Column 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Column F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460" w:hanging="370"/>
        <w:spacing w:after="0"/>
        <w:tabs>
          <w:tab w:leader="none" w:pos="460"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560" w:hanging="470"/>
        <w:spacing w:after="0"/>
        <w:tabs>
          <w:tab w:leader="none" w:pos="560" w:val="left"/>
        </w:tabs>
        <w:numPr>
          <w:ilvl w:val="1"/>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Balance</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Additions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Deductions at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Charged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Credited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Balance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Beginning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Reserves to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and at End</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5"/>
          <w:szCs w:val="15"/>
          <w:color w:val="auto"/>
        </w:rPr>
        <w:t>Classification</w:t>
      </w:r>
    </w:p>
    <w:p>
      <w:pPr>
        <w:spacing w:after="0" w:line="8"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 Period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Acquired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Expense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Write-Offs of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Period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Valuation and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qualifying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accounts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deducted from</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assets to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which they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apply: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Inventory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reserve $20.1</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 $10.5</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$(8.3) $22.3</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Allowance for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doubtful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accounts 11.7</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0.2 24.4</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(8.9) 27.4</w:t>
      </w:r>
    </w:p>
    <w:p>
      <w:pPr>
        <w:spacing w:after="0" w:line="36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98</w:t>
      </w:r>
    </w:p>
    <w:p>
      <w:pPr>
        <w:sectPr>
          <w:pgSz w:w="11900" w:h="16838" w:orient="portrait"/>
          <w:cols w:equalWidth="0" w:num="1">
            <w:col w:w="10219"/>
          </w:cols>
          <w:pgMar w:left="240" w:top="138" w:right="1440" w:bottom="1040" w:gutter="0" w:footer="0" w:header="0"/>
        </w:sectPr>
      </w:pPr>
    </w:p>
    <w:bookmarkStart w:id="164" w:name="page165"/>
    <w:bookmarkEnd w:id="164"/>
    <w:p>
      <w:pPr>
        <w:spacing w:after="0" w:line="2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THE SCOTTS COMPANY</w:t>
      </w:r>
    </w:p>
    <w:p>
      <w:pPr>
        <w:spacing w:after="0" w:line="190"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INDEX TO EXHIBITS</w:t>
      </w:r>
    </w:p>
    <w:p>
      <w:pPr>
        <w:spacing w:after="0" w:line="183"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Exhibit No.</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Description Location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---------------- 2(a)</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Amended and Restated</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Agreement and Plan of</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Merger, Incorporated</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herein by reference to</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the dated as of May</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19, 1995, among</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Stern's Miracle-Gro</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Registrant's Current</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Report on Form 8-K</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Products, Inc.,</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Stern's Nurseries,</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Inc., dated May 31,</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1995 (File No. 0-</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19768) Miracle-Gro</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Lawn Products Inc.,</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Miracle-Gro [Exhibit</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2(b)] Products</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Limited, Hagedorn</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Partnership, L.P., the</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general partners of</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Hagedorn Partnership,</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L.P., Horace Hagedorn,</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Community Funds, Inc.,</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and John Kenlon, The</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Scotts Company (the</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"Registrant"), and ZYX</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Corporation 2(b) First</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Amendment to Amended</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and Restated Agreement</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Incorporated herein by</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reference to the and</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Plan of Merger, made</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and entered into as of</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Registrant's Current</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Report on Form 8-K</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October 1, 1999, among</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the Registrant, Scotts</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dated October 4, 1999</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(File No. 1-11593)</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Miracle-Gro Products,</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Inc. (as successor to</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ZYX [Exhibit 2]</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Corporation and</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Stern's Miracle-Gro</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Products, Inc.),</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Miracle-Gro Lawn</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Products Inc.,</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Miracle-Gro Products</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Limited, Hagedorn</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Partnership, L.P.,</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Community Funds, Inc.,</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Horace Hagedorn and</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John Kenlon, and James</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Hagedorn, Katherine</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Hagedorn Littlefield,</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Paul Hagedorn, Peter</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Hagedorn, Robert</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Hagedorn and Susan</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Hagedorn 2(c) Master</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Contract, dated</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September 30, 1998, by</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and Incorporated</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herein by reference to</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the between Rhone-</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Poulenc Agro; the</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Registrant; Scotts</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Registrant's Current</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Report on Form 8-K</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Celaflor GmbH &amp; Co.</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K.G.; "David" dated</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October 22, 1998 (File</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No. 1-11593)</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Sechsundfunfzigste</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Beteiligungs und</w:t>
      </w:r>
    </w:p>
    <w:p>
      <w:pPr>
        <w:spacing w:after="0" w:line="1"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[Exhibit 2]</w:t>
      </w:r>
    </w:p>
    <w:p>
      <w:pPr>
        <w:spacing w:after="0" w:line="5" w:lineRule="exact"/>
        <w:rPr>
          <w:sz w:val="20"/>
          <w:szCs w:val="20"/>
          <w:color w:val="auto"/>
        </w:rPr>
      </w:pPr>
    </w:p>
    <w:p>
      <w:pPr>
        <w:jc w:val="center"/>
        <w:ind w:right="8039"/>
        <w:spacing w:after="0"/>
        <w:rPr>
          <w:sz w:val="20"/>
          <w:szCs w:val="20"/>
          <w:color w:val="auto"/>
        </w:rPr>
      </w:pPr>
      <w:r>
        <w:rPr>
          <w:rFonts w:ascii="Courier New" w:cs="Courier New" w:eastAsia="Courier New" w:hAnsi="Courier New"/>
          <w:sz w:val="15"/>
          <w:szCs w:val="15"/>
          <w:color w:val="auto"/>
        </w:rPr>
        <w:t>Verwaltungsgesellschaft</w:t>
      </w:r>
    </w:p>
    <w:p>
      <w:pPr>
        <w:spacing w:after="0" w:line="8"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6"/>
          <w:szCs w:val="16"/>
          <w:color w:val="auto"/>
        </w:rPr>
        <w:t>GmbH; Rhone-Poulenc</w:t>
      </w:r>
    </w:p>
    <w:p>
      <w:pPr>
        <w:sectPr>
          <w:pgSz w:w="11900" w:h="16864" w:orient="portrait"/>
          <w:cols w:equalWidth="0" w:num="1">
            <w:col w:w="10219"/>
          </w:cols>
          <w:pgMar w:left="240" w:top="663" w:right="1440" w:bottom="0" w:gutter="0" w:footer="0" w:header="0"/>
        </w:sectPr>
      </w:pPr>
    </w:p>
    <w:bookmarkStart w:id="165" w:name="page166"/>
    <w:bookmarkEnd w:id="165"/>
    <w:p>
      <w:pPr>
        <w:spacing w:after="0" w:line="50"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Agro Europe GmbH;</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Scotts France Holdings</w:t>
      </w:r>
    </w:p>
    <w:p>
      <w:pPr>
        <w:spacing w:after="0" w:line="8"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S.A.R.L.; Scotts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France S.A.R.L.; and</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Scotts Belgium 2</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B.V.B.A. 2(d)(1) U.S.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Asset Purchase</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Agreement, dated as of</w:t>
      </w:r>
    </w:p>
    <w:p>
      <w:pPr>
        <w:spacing w:after="0" w:line="8"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March Incorporated</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herein by reference to</w:t>
      </w:r>
    </w:p>
    <w:p>
      <w:pPr>
        <w:spacing w:after="0" w:line="8"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the 29, 2000, by and</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among The Andersons,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Inc. and The</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Registrant's Quarterly</w:t>
      </w:r>
    </w:p>
    <w:p>
      <w:pPr>
        <w:spacing w:after="0" w:line="8"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Report on Form 10-Q</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Andersons</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Agriservices, Inc., as</w:t>
      </w:r>
    </w:p>
    <w:p>
      <w:pPr>
        <w:spacing w:after="0" w:line="8"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buyers, and the for</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the quarterly period</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ended July 1,</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Registrant and OMS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Investments, Inc., as</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sellers 2000 (File No.</w:t>
      </w:r>
    </w:p>
    <w:p>
      <w:pPr>
        <w:spacing w:after="0" w:line="12"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1-13292) [Exhibit 2(e)</w:t>
      </w:r>
    </w:p>
    <w:p>
      <w:pPr>
        <w:spacing w:after="0" w:line="8"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(i)] 2(d)(2) Canadian</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Asset Purchase</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Agreement, dated as of</w:t>
      </w:r>
    </w:p>
    <w:p>
      <w:pPr>
        <w:spacing w:after="0" w:line="12"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Incorporated herein by</w:t>
      </w:r>
    </w:p>
    <w:p>
      <w:pPr>
        <w:spacing w:after="0" w:line="12"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reference to the March</w:t>
      </w:r>
    </w:p>
    <w:p>
      <w:pPr>
        <w:spacing w:after="0" w:line="12"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29, 2000, by and among</w:t>
      </w:r>
    </w:p>
    <w:p>
      <w:pPr>
        <w:spacing w:after="0" w:line="8"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The Nu-Gro</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Registrant's Quarterly</w:t>
      </w:r>
    </w:p>
    <w:p>
      <w:pPr>
        <w:spacing w:after="0" w:line="8"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Report on Form 10-Q</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Corporation, as buyer,</w:t>
      </w:r>
    </w:p>
    <w:p>
      <w:pPr>
        <w:spacing w:after="0" w:line="12"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and the Registrant and</w:t>
      </w:r>
    </w:p>
    <w:p>
      <w:pPr>
        <w:spacing w:after="0" w:line="8"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OMS for the quarterly</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period ended July 1,</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Investments Inc., as</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sellers 2000 (File No.</w:t>
      </w:r>
    </w:p>
    <w:p>
      <w:pPr>
        <w:spacing w:after="0" w:line="12"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1-13292) [Exhibit 2(e)</w:t>
      </w:r>
    </w:p>
    <w:p>
      <w:pPr>
        <w:spacing w:after="0" w:line="8"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(ii)] 3(a)(1)</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Certificate of</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Amendment by</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Shareholders to</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Incorporated herein by</w:t>
      </w:r>
    </w:p>
    <w:p>
      <w:pPr>
        <w:spacing w:after="0" w:line="8"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reference to the</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Articles of The Scotts</w:t>
      </w:r>
    </w:p>
    <w:p>
      <w:pPr>
        <w:spacing w:after="0" w:line="8"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Company reflecting</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adoption Registrant's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Quarterly Report on</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Form 10-Q of amendment</w:t>
      </w:r>
    </w:p>
    <w:p>
      <w:pPr>
        <w:spacing w:after="0" w:line="8"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to Article FOURTH of</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Amended Articles for</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the quarterly period</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ended December of</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Incorporation by the</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shareholders of The</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Scotts 30, 2000 (File</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No. 1-13292) [Exhibit</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Company on January 18,</w:t>
      </w:r>
    </w:p>
    <w:p>
      <w:pPr>
        <w:spacing w:after="0" w:line="8"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2001, as filed with</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Ohio 3(a)(1)]</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Secretary of State on</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January 18, 2001 3(a)</w:t>
      </w:r>
    </w:p>
    <w:p>
      <w:pPr>
        <w:spacing w:after="0" w:line="5" w:lineRule="exact"/>
        <w:rPr>
          <w:sz w:val="20"/>
          <w:szCs w:val="20"/>
          <w:color w:val="auto"/>
        </w:rPr>
      </w:pPr>
    </w:p>
    <w:p>
      <w:pPr>
        <w:ind w:right="8099" w:firstLine="191"/>
        <w:spacing w:after="0" w:line="256" w:lineRule="auto"/>
        <w:tabs>
          <w:tab w:leader="none" w:pos="568"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Amendment by Directors</w:t>
      </w:r>
    </w:p>
    <w:p>
      <w:pPr>
        <w:ind w:left="4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of The Scotts</w:t>
      </w: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Incorporated herein by</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reference to the</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Company reflecting</w:t>
      </w:r>
    </w:p>
    <w:p>
      <w:pPr>
        <w:ind w:left="1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adoption of Restated</w:t>
      </w:r>
    </w:p>
    <w:p>
      <w:pPr>
        <w:ind w:left="5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Articles of</w:t>
      </w: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Registrant's Quarterly</w:t>
      </w:r>
    </w:p>
    <w:p>
      <w:pPr>
        <w:ind w:left="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Report on Form 10-Q</w:t>
      </w:r>
    </w:p>
    <w:p>
      <w:pPr>
        <w:spacing w:after="0" w:line="4" w:lineRule="exact"/>
        <w:rPr>
          <w:rFonts w:ascii="Courier New" w:cs="Courier New" w:eastAsia="Courier New" w:hAnsi="Courier New"/>
          <w:sz w:val="15"/>
          <w:szCs w:val="15"/>
          <w:color w:val="auto"/>
        </w:rPr>
      </w:pPr>
    </w:p>
    <w:p>
      <w:pPr>
        <w:jc w:val="center"/>
        <w:ind w:left="40" w:right="8099" w:hanging="47"/>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Incorporation attached thereto, by the Board of for the quarterly period ended December Directors of The Scotts Company on January 18, 30, 2000 (File No. 1-13292) [Exhibit 2001, as filed with Ohio Secretary of State on 3(a)(2)] January 29, 2001</w:t>
      </w:r>
    </w:p>
    <w:p>
      <w:pPr>
        <w:spacing w:after="0" w:line="363"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99</w:t>
      </w:r>
    </w:p>
    <w:p>
      <w:pPr>
        <w:sectPr>
          <w:pgSz w:w="11900" w:h="16888" w:orient="portrait"/>
          <w:cols w:equalWidth="0" w:num="1">
            <w:col w:w="10179"/>
          </w:cols>
          <w:pgMar w:left="280" w:top="138" w:right="1440" w:bottom="0" w:gutter="0" w:footer="0" w:header="0"/>
        </w:sectPr>
      </w:pPr>
    </w:p>
    <w:bookmarkStart w:id="166" w:name="page167"/>
    <w:bookmarkEnd w:id="166"/>
    <w:p>
      <w:pPr>
        <w:spacing w:after="0" w:line="26"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Exhibit No.</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Description</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Location -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3(b)(1)</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Certificate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regarding</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Adoption of</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Amendments to</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the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Incorporated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reference to</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the Code of</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Regulations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of The Scotts</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Company by</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the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Registrant's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Shareholders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on January</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18, 2001 for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the quarterly</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period ended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December 30,</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2000 (File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No. 1-13292)</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[Exhibit 3(b)</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 3(b)(2)</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Code of</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Regulations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of The Scotts</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Incorporated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reference to</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the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(reflecting</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amendments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through</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January 18,</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2001)</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Registrant's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[for SEC</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reporting</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compliance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purposes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only] for the</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period ended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December 30,</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2000 (File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No. 1-13292)</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[Exhibit 3(b)</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(2)] 4(a)</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Form of</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Series A</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Warrant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Included in</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Exhibit 2(a)</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above 4(b)</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Form of</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Series B</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Warrant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Included in</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Exhibit 2(a)</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above 4(c)</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Form of</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Series C</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Warrant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Included in</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Exhibit 2(a)</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above 4(d)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Credit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Agreement,</w:t>
      </w:r>
    </w:p>
    <w:p>
      <w:pPr>
        <w:sectPr>
          <w:pgSz w:w="11900" w:h="16864" w:orient="portrait"/>
          <w:cols w:equalWidth="0" w:num="1">
            <w:col w:w="10179"/>
          </w:cols>
          <w:pgMar w:left="280" w:top="659" w:right="1440" w:bottom="0" w:gutter="0" w:footer="0" w:header="0"/>
        </w:sectPr>
      </w:pPr>
    </w:p>
    <w:bookmarkStart w:id="167" w:name="page168"/>
    <w:bookmarkEnd w:id="167"/>
    <w:p>
      <w:pPr>
        <w:jc w:val="center"/>
        <w:ind w:right="889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December 4,</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1998, by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Incorporated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reference to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and among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OM Scott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International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Registrant's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Current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Form 8-K</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Investments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Ltd., Miracle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Garden Care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Limited,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dated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December 11,</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1998 (File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No. 1-11593)</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Holdings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Limited,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Hyponex</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Corporation,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[Exhibit 4]</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Miracle-Gro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Products,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 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Sierra</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Horticultural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Products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Republic Tool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&amp;</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Manufacturing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Corp.,</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Scotts-Sierra</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Investments,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 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France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Holdings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SARL, 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Holding GmbH,</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Celaflor GmbH</w:t>
      </w:r>
    </w:p>
    <w:p>
      <w:pPr>
        <w:spacing w:after="0" w:line="5" w:lineRule="exact"/>
        <w:rPr>
          <w:sz w:val="20"/>
          <w:szCs w:val="20"/>
          <w:color w:val="auto"/>
        </w:rPr>
      </w:pPr>
    </w:p>
    <w:p>
      <w:pPr>
        <w:ind w:right="8899" w:firstLine="232"/>
        <w:spacing w:after="0" w:line="257" w:lineRule="auto"/>
        <w:tabs>
          <w:tab w:leader="none" w:pos="424"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KG, Scotts France SARL, Scotts Belgium 2 BVBA and The Scotts Company (UK) Ltd. and other subsidiaries of the Registrant who are also borrowers from time to time; the lenders party thereto; The Chase Manhattan Bank as Administrative Agent; Salomon Smith Barney, Inc. as Syndication Agent; Credit Lyonnais Chicago Branch and NBD Bank as Co-Documentation Agents; and Chase Securities Inc. as Lead Arranger and as Book Manager 4(e)</w:t>
      </w:r>
    </w:p>
    <w:p>
      <w:pPr>
        <w:sectPr>
          <w:pgSz w:w="11900" w:h="16838" w:orient="portrait"/>
          <w:cols w:equalWidth="0" w:num="1">
            <w:col w:w="10219"/>
          </w:cols>
          <w:pgMar w:left="240" w:top="137" w:right="1440" w:bottom="488" w:gutter="0" w:footer="0" w:header="0"/>
        </w:sectPr>
      </w:pPr>
    </w:p>
    <w:bookmarkStart w:id="168" w:name="page169"/>
    <w:bookmarkEnd w:id="168"/>
    <w:p>
      <w:pPr>
        <w:jc w:val="center"/>
        <w:ind w:right="8899"/>
        <w:spacing w:after="0"/>
        <w:rPr>
          <w:sz w:val="20"/>
          <w:szCs w:val="20"/>
          <w:color w:val="auto"/>
        </w:rPr>
      </w:pPr>
      <w:r>
        <w:rPr>
          <w:rFonts w:ascii="Courier New" w:cs="Courier New" w:eastAsia="Courier New" w:hAnsi="Courier New"/>
          <w:sz w:val="16"/>
          <w:szCs w:val="16"/>
          <w:color w:val="auto"/>
        </w:rPr>
        <w:t>Waiver, dated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as of January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19, 1999, to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Credit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Incorporated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reference to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December 4,</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1998, among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Registrant's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Annual Report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on Form 10-K</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OM Scott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International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Investments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September 30,</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Ltd., Miracle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Garden Care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Limited,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Holdings 1999</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(File No. 1-</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11593)</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Limited,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Hyponex</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Corporation,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Miracle-Gro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Products,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 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Sierra</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Horticultural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Products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Republic Tool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&amp;</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Manufacturing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Corp.,</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Scotts-Sierra</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Investments,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 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France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Holdings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SARL, 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Holding GmbH,</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Celaflor GmbH</w:t>
      </w:r>
    </w:p>
    <w:p>
      <w:pPr>
        <w:spacing w:after="0" w:line="5" w:lineRule="exact"/>
        <w:rPr>
          <w:sz w:val="20"/>
          <w:szCs w:val="20"/>
          <w:color w:val="auto"/>
        </w:rPr>
      </w:pPr>
    </w:p>
    <w:p>
      <w:pPr>
        <w:ind w:right="8899" w:firstLine="232"/>
        <w:spacing w:after="0" w:line="257" w:lineRule="auto"/>
        <w:tabs>
          <w:tab w:leader="none" w:pos="424"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KG, Scotts France SARL, Scotts Belgium 2 BVBA, The Scotts Company (UK) Ltd. and other subsidiaries of the Registrant who are also borrowers from time to time; the lenders party thereto; The Chase Manhattan Bank as Administrative Agent; Salomon Smith Barney, Inc. as Syndication Agent; Credit Lyonnais Chicago Branch and NBD Bank as Co-Documentation</w:t>
      </w:r>
    </w:p>
    <w:p>
      <w:pPr>
        <w:sectPr>
          <w:pgSz w:w="11900" w:h="16838" w:orient="portrait"/>
          <w:cols w:equalWidth="0" w:num="1">
            <w:col w:w="10219"/>
          </w:cols>
          <w:pgMar w:left="240" w:top="138" w:right="1440" w:bottom="306" w:gutter="0" w:footer="0" w:header="0"/>
        </w:sectPr>
      </w:pPr>
    </w:p>
    <w:bookmarkStart w:id="169" w:name="page170"/>
    <w:bookmarkEnd w:id="169"/>
    <w:p>
      <w:pPr>
        <w:jc w:val="center"/>
        <w:ind w:right="8939"/>
        <w:spacing w:after="0"/>
        <w:rPr>
          <w:sz w:val="20"/>
          <w:szCs w:val="20"/>
          <w:color w:val="auto"/>
        </w:rPr>
      </w:pPr>
      <w:r>
        <w:rPr>
          <w:rFonts w:ascii="Courier New" w:cs="Courier New" w:eastAsia="Courier New" w:hAnsi="Courier New"/>
          <w:sz w:val="16"/>
          <w:szCs w:val="16"/>
          <w:color w:val="auto"/>
        </w:rPr>
        <w:t>Agents; and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Chase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Securities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Inc., as Lead</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Arranger and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Book Manager</w:t>
      </w:r>
    </w:p>
    <w:p>
      <w:pPr>
        <w:spacing w:after="0" w:line="36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6"/>
          <w:szCs w:val="16"/>
          <w:color w:val="auto"/>
        </w:rPr>
        <w:t>100</w:t>
      </w:r>
    </w:p>
    <w:p>
      <w:pPr>
        <w:sectPr>
          <w:pgSz w:w="11900" w:h="16838" w:orient="portrait"/>
          <w:cols w:equalWidth="0" w:num="1">
            <w:col w:w="10179"/>
          </w:cols>
          <w:pgMar w:left="280" w:top="138" w:right="1440" w:bottom="1440" w:gutter="0" w:footer="0" w:header="0"/>
        </w:sectPr>
      </w:pPr>
    </w:p>
    <w:bookmarkStart w:id="170" w:name="page171"/>
    <w:bookmarkEnd w:id="170"/>
    <w:p>
      <w:pPr>
        <w:spacing w:after="0" w:line="3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Exhibit No.</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Description</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Location -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4(f)</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Amendment No.</w:t>
      </w:r>
    </w:p>
    <w:p>
      <w:pPr>
        <w:spacing w:after="0" w:line="8" w:lineRule="exact"/>
        <w:rPr>
          <w:sz w:val="20"/>
          <w:szCs w:val="20"/>
          <w:color w:val="auto"/>
        </w:rPr>
      </w:pPr>
    </w:p>
    <w:p>
      <w:pPr>
        <w:ind w:left="580" w:hanging="199"/>
        <w:spacing w:after="0"/>
        <w:tabs>
          <w:tab w:leader="none" w:pos="580"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Consent,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October</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Incorporated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reference to</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the 13, 1999,</w:t>
      </w:r>
    </w:p>
    <w:p>
      <w:pPr>
        <w:spacing w:after="0" w:line="1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to the Credit</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Registrant's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Annual Report</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on Form 10-K</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December 4,</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1998, as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amended by</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the Waiver,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dated for the</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ended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September 30,</w:t>
      </w:r>
    </w:p>
    <w:p>
      <w:pPr>
        <w:spacing w:after="0" w:line="1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as of January</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19, 1999,</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among the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Registrant;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OM 1999 (File</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No. 1-11593)</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4(f)] Scott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International</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Investments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Ltd., Miracle</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Garden Care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Limited,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Holdings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Limited,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Hyponex</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Corporation,</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Miracle-Gro</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Products,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Inc., Scotts-</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Sierra</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Horticultural</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Products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Company,</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Republic Tool</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&amp;</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Manufacturing</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Corp.,</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Scotts-Sierra</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Investments,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 Scotts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France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Holdings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SARL, Scotts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Holding GmbH,</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Scotts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Celaflor GmbH</w:t>
      </w:r>
    </w:p>
    <w:p>
      <w:pPr>
        <w:spacing w:after="0" w:line="12" w:lineRule="exact"/>
        <w:rPr>
          <w:sz w:val="20"/>
          <w:szCs w:val="20"/>
          <w:color w:val="auto"/>
        </w:rPr>
      </w:pPr>
    </w:p>
    <w:p>
      <w:pPr>
        <w:ind w:right="8939" w:firstLine="192"/>
        <w:spacing w:after="0" w:line="257" w:lineRule="auto"/>
        <w:tabs>
          <w:tab w:leader="none" w:pos="378"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KG, Scotts France SARL, Scotts Belgium 2 BVBA, The Scotts Company (UK) Ltd., Scotts Canada Ltd., Scotts Europe B.V., ASEF B.V. and other subsidiaries</w:t>
      </w:r>
    </w:p>
    <w:p>
      <w:pPr>
        <w:sectPr>
          <w:pgSz w:w="11900" w:h="16870" w:orient="portrait"/>
          <w:cols w:equalWidth="0" w:num="1">
            <w:col w:w="10179"/>
          </w:cols>
          <w:pgMar w:left="280" w:top="659" w:right="1440" w:bottom="0" w:gutter="0" w:footer="0" w:header="0"/>
        </w:sectPr>
      </w:pPr>
    </w:p>
    <w:bookmarkStart w:id="171" w:name="page172"/>
    <w:bookmarkEnd w:id="171"/>
    <w:p>
      <w:pPr>
        <w:spacing w:after="0" w:line="5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 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who are also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borrowers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from time to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time; 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lenders party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thereto; 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Chase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Manhattan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Bank as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5"/>
          <w:szCs w:val="15"/>
          <w:color w:val="auto"/>
        </w:rPr>
        <w:t>Administrative</w:t>
      </w:r>
    </w:p>
    <w:p>
      <w:pPr>
        <w:spacing w:after="0" w:line="8"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Salomon Smith</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Barney, Inc.</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Syndication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Agent; Credit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Lyonnais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Chicago and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NBD Bank as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Documentation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Agents; and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Chase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Securities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 as Lead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Arranger and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Book Manager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4(g) Waiver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No. 2, dated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as of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February 14,</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2000, to 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Incorporated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reference to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Credit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December 4,</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1998, as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Registrant's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amended by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Waiver,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January 19,</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period ended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April 1,</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1999, and 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Amendment No.</w:t>
      </w:r>
    </w:p>
    <w:p>
      <w:pPr>
        <w:spacing w:after="0" w:line="1" w:lineRule="exact"/>
        <w:rPr>
          <w:sz w:val="20"/>
          <w:szCs w:val="20"/>
          <w:color w:val="auto"/>
        </w:rPr>
      </w:pPr>
    </w:p>
    <w:p>
      <w:pPr>
        <w:ind w:left="620" w:hanging="199"/>
        <w:spacing w:after="0"/>
        <w:tabs>
          <w:tab w:leader="none" w:pos="620"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Consent,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dated as 2000</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(File No. 1-</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13292)</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4(h)] of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October 13,</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1999, among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OM Scott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International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Investments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Ltd., Miracle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Garden Care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Limited,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Holdings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Limited,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Hyponex</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Corporation,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Miracle-Gro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Products,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 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Sierra</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Horticultural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Products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Republic Tool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&amp;</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Manufacturing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Corp.,</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Scotts-Sierra</w:t>
      </w:r>
    </w:p>
    <w:p>
      <w:pPr>
        <w:sectPr>
          <w:pgSz w:w="11900" w:h="16888" w:orient="portrait"/>
          <w:cols w:equalWidth="0" w:num="1">
            <w:col w:w="10219"/>
          </w:cols>
          <w:pgMar w:left="240" w:top="138" w:right="1440" w:bottom="0" w:gutter="0" w:footer="0" w:header="0"/>
        </w:sectPr>
      </w:pPr>
    </w:p>
    <w:bookmarkStart w:id="172" w:name="page173"/>
    <w:bookmarkEnd w:id="172"/>
    <w:p>
      <w:pPr>
        <w:jc w:val="center"/>
        <w:ind w:right="8899"/>
        <w:spacing w:after="0"/>
        <w:rPr>
          <w:sz w:val="20"/>
          <w:szCs w:val="20"/>
          <w:color w:val="auto"/>
        </w:rPr>
      </w:pPr>
      <w:r>
        <w:rPr>
          <w:rFonts w:ascii="Courier New" w:cs="Courier New" w:eastAsia="Courier New" w:hAnsi="Courier New"/>
          <w:sz w:val="16"/>
          <w:szCs w:val="16"/>
          <w:color w:val="auto"/>
        </w:rPr>
        <w:t>Investments,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 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France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Holdings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SARL, 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Holding GmbH,</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Celaflor GmbH</w:t>
      </w:r>
    </w:p>
    <w:p>
      <w:pPr>
        <w:spacing w:after="0" w:line="5" w:lineRule="exact"/>
        <w:rPr>
          <w:sz w:val="20"/>
          <w:szCs w:val="20"/>
          <w:color w:val="auto"/>
        </w:rPr>
      </w:pPr>
    </w:p>
    <w:p>
      <w:pPr>
        <w:ind w:right="8899" w:firstLine="232"/>
        <w:spacing w:after="0" w:line="257" w:lineRule="auto"/>
        <w:tabs>
          <w:tab w:leader="none" w:pos="424"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KG, Scotts France SARL, Scotts Asef BVBA (fka Scotts Belgium 2 BVBA), The Scotts Company (UK) Ltd., Scotts Canada Ltd., Scotts Europe B.V., ASEF B.V., Scotts Australia PTY Ltd., and other subsidiaries of the Registrant who are also borrowers from time to time; the lenders party thereto; The Chase Manhattan Bank as Administrative Agent; Salomon Smith Barney, Inc. as Syndication Agent; Credit Lyonnais Chicago Branch and Bank One, Michigan, as successor to NBD Bank, as Co-Documentation Agents; and Chase Securities Inc., as Lead Arranger and Book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6"/>
          <w:szCs w:val="16"/>
          <w:color w:val="auto"/>
        </w:rPr>
        <w:t>101</w:t>
      </w:r>
    </w:p>
    <w:p>
      <w:pPr>
        <w:sectPr>
          <w:pgSz w:w="11900" w:h="16838" w:orient="portrait"/>
          <w:cols w:equalWidth="0" w:num="1">
            <w:col w:w="10219"/>
          </w:cols>
          <w:pgMar w:left="240" w:top="138" w:right="1440" w:bottom="1440" w:gutter="0" w:footer="0" w:header="0"/>
        </w:sectPr>
      </w:pPr>
    </w:p>
    <w:bookmarkStart w:id="173" w:name="page174"/>
    <w:bookmarkEnd w:id="173"/>
    <w:p>
      <w:pPr>
        <w:spacing w:after="0" w:line="39"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Exhibit No.</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Description</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Location -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4(h)</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Amendment No.</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2, dated as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of June 9,</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2000, to the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Incorporated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reference to</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the Credit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December 4,</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1998, as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Registrant's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amended by</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the Waiver,</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January 19,</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period ended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July 1, 1999,</w:t>
      </w:r>
    </w:p>
    <w:p>
      <w:pPr>
        <w:spacing w:after="0" w:line="1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the Amendment</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No. 1 and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Consent,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2000 (File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No. 1-13292)</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[Exhibit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4(i)] October</w:t>
      </w:r>
    </w:p>
    <w:p>
      <w:pPr>
        <w:spacing w:after="0" w:line="1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13, 1999, and</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the Waiver</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No. 2, dated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as of</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February 14,</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2000, among</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the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OM Scott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International</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Investments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Ltd., Miracle</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Garden Care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Limited,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Holdings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Limited,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Hyponex</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Corporation,</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Miracle-Gro</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Products,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Inc., Scotts-</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Sierra</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Horticultural</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Products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Company,</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Republic Tool</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&amp;</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Manufacturing</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Corp.,</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Scotts-Sierra</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Investments,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 Scotts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France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Holdings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SARL, Scotts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Holding GmbH,</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Scotts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Celaflor GmbH</w:t>
      </w:r>
    </w:p>
    <w:p>
      <w:pPr>
        <w:spacing w:after="0" w:line="12" w:lineRule="exact"/>
        <w:rPr>
          <w:sz w:val="20"/>
          <w:szCs w:val="20"/>
          <w:color w:val="auto"/>
        </w:rPr>
      </w:pPr>
    </w:p>
    <w:p>
      <w:pPr>
        <w:ind w:right="8939" w:firstLine="192"/>
        <w:spacing w:after="0" w:line="260" w:lineRule="auto"/>
        <w:tabs>
          <w:tab w:leader="none" w:pos="378"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KG, Scotts France SARL, Scotts Asef BVBA</w:t>
      </w:r>
    </w:p>
    <w:p>
      <w:pPr>
        <w:sectPr>
          <w:pgSz w:w="11900" w:h="16877" w:orient="portrait"/>
          <w:cols w:equalWidth="0" w:num="1">
            <w:col w:w="10179"/>
          </w:cols>
          <w:pgMar w:left="280" w:top="659" w:right="1440" w:bottom="0" w:gutter="0" w:footer="0" w:header="0"/>
        </w:sectPr>
      </w:pPr>
    </w:p>
    <w:bookmarkStart w:id="174" w:name="page175"/>
    <w:bookmarkEnd w:id="174"/>
    <w:p>
      <w:pPr>
        <w:spacing w:after="0" w:line="5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(fka 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Belgium 2</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BVBA), 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Company (UK)</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Ltd., 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Canada Ltd.,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Scotts Europe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B.V., ASEF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B.V., 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Australia PTY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Ltd., and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other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subsidiaries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 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who are also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borrowers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from time to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time; 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lenders party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thereto; 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Chase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Manhattan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Bank as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5"/>
          <w:szCs w:val="15"/>
          <w:color w:val="auto"/>
        </w:rPr>
        <w:t>Administrative</w:t>
      </w:r>
    </w:p>
    <w:p>
      <w:pPr>
        <w:spacing w:after="0" w:line="8"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Salomon Smith</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Barney, Inc.</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Syndication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Agent; Credit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Lyonnais New</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York Branch</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and Bank One,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Michigan, as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successor to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NBD Bank, as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Documentation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Agents; and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Chase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Securities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 as Lead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Arranger and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Book Manager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4(i) Amended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and Restated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Credit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Incorporated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reference to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December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5, 2000,</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among 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OM Scott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Registrant's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Annual Report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on Form 10-K</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International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Investments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Ltd., Miracle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Garden Care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September 30,</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Limited,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Holdings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Limited,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Hyponex 2000</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(File No. 1-</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13292)</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4(i)]</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Corporation,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Manufacturing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Scotts-Sierra</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Horticultural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Products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Republic Tool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&amp;</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Manufacturing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Corp.,</w:t>
      </w:r>
    </w:p>
    <w:p>
      <w:pPr>
        <w:sectPr>
          <w:pgSz w:w="11900" w:h="16889" w:orient="portrait"/>
          <w:cols w:equalWidth="0" w:num="1">
            <w:col w:w="10219"/>
          </w:cols>
          <w:pgMar w:left="240" w:top="138" w:right="1440" w:bottom="0" w:gutter="0" w:footer="0" w:header="0"/>
        </w:sectPr>
      </w:pPr>
    </w:p>
    <w:bookmarkStart w:id="175" w:name="page176"/>
    <w:bookmarkEnd w:id="175"/>
    <w:p>
      <w:pPr>
        <w:jc w:val="center"/>
        <w:ind w:right="8899"/>
        <w:spacing w:after="0"/>
        <w:rPr>
          <w:sz w:val="20"/>
          <w:szCs w:val="20"/>
          <w:color w:val="auto"/>
        </w:rPr>
      </w:pPr>
      <w:r>
        <w:rPr>
          <w:rFonts w:ascii="Courier New" w:cs="Courier New" w:eastAsia="Courier New" w:hAnsi="Courier New"/>
          <w:sz w:val="16"/>
          <w:szCs w:val="16"/>
          <w:color w:val="auto"/>
        </w:rPr>
        <w:t>Scotts-Sierra</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Investments,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 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France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Holdings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SARL, 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Holding GmbH,</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Celaflor GmbH</w:t>
      </w:r>
    </w:p>
    <w:p>
      <w:pPr>
        <w:spacing w:after="0" w:line="5" w:lineRule="exact"/>
        <w:rPr>
          <w:sz w:val="20"/>
          <w:szCs w:val="20"/>
          <w:color w:val="auto"/>
        </w:rPr>
      </w:pPr>
    </w:p>
    <w:p>
      <w:pPr>
        <w:ind w:right="8899" w:firstLine="232"/>
        <w:spacing w:after="0" w:line="257" w:lineRule="auto"/>
        <w:tabs>
          <w:tab w:leader="none" w:pos="424"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KG, Scotts France SARL, Scotts Belgium BVBA, The Scotts Company (UK) Ltd., Scotts Canada Ltd., Scotts International B.V., ASEF B.V., Scotts Australia PTY Ltd., and other subsidiaries of the Registrant who are also borrowers from time to time; the lenders party thereto; Salomon Smith Barney Inc., as Syndication Agent; Credit Lyonnais New York Branch, as Co-Documentation Agent; Bank One, Michigan, as successor to NBD Bank, as Co-Documentation Agent; The Chase Manhattan Bank as Administrative Agent; and Chase Securities Inc., as Lead Arranger and Book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6"/>
          <w:szCs w:val="16"/>
          <w:color w:val="auto"/>
        </w:rPr>
        <w:t>102</w:t>
      </w:r>
    </w:p>
    <w:p>
      <w:pPr>
        <w:sectPr>
          <w:pgSz w:w="11900" w:h="16838" w:orient="portrait"/>
          <w:cols w:equalWidth="0" w:num="1">
            <w:col w:w="10219"/>
          </w:cols>
          <w:pgMar w:left="240" w:top="138" w:right="1440" w:bottom="1440" w:gutter="0" w:footer="0" w:header="0"/>
        </w:sectPr>
      </w:pPr>
    </w:p>
    <w:bookmarkStart w:id="176" w:name="page177"/>
    <w:bookmarkEnd w:id="176"/>
    <w:p>
      <w:pPr>
        <w:spacing w:after="0" w:line="2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Exhibit No.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Description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Location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4(j) Waiver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No. 3, dated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as of October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19, 2001, to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Incorporated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reference to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Credit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December 4,</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1998, as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Registrant's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Annual Report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on Form 10-K</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amended by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Waiver,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January 19,</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September 30,</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1999, 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Amendment No.</w:t>
      </w:r>
    </w:p>
    <w:p>
      <w:pPr>
        <w:spacing w:after="0" w:line="1" w:lineRule="exact"/>
        <w:rPr>
          <w:sz w:val="20"/>
          <w:szCs w:val="20"/>
          <w:color w:val="auto"/>
        </w:rPr>
      </w:pPr>
    </w:p>
    <w:p>
      <w:pPr>
        <w:ind w:left="620" w:hanging="199"/>
        <w:spacing w:after="0"/>
        <w:tabs>
          <w:tab w:leader="none" w:pos="62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Consent,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2001 (File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No. 1-13292)</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4(j)] October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13, 1999,</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Waiver No. 2,</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February 14,</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2000,</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Amendment No.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 dated as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 June 9,</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2000, and as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amended and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restated by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Amended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and Restated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Credit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December 5,</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2000, among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subsidiaries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 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who are also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borrowers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from time to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time; 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lenders party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thereto; 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Chase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Manhattan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Bank as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5"/>
          <w:szCs w:val="15"/>
          <w:color w:val="auto"/>
        </w:rPr>
        <w:t>Administrative</w:t>
      </w:r>
    </w:p>
    <w:p>
      <w:pPr>
        <w:spacing w:after="0" w:line="8"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Salomon Smith</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Barney, Inc.</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Syndication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Agent; Credit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Lyonnais New</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York Branch</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as Co-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Documentation</w:t>
      </w:r>
    </w:p>
    <w:p>
      <w:pPr>
        <w:sectPr>
          <w:pgSz w:w="11900" w:h="16864" w:orient="portrait"/>
          <w:cols w:equalWidth="0" w:num="1">
            <w:col w:w="10219"/>
          </w:cols>
          <w:pgMar w:left="240" w:top="659" w:right="1440" w:bottom="0" w:gutter="0" w:footer="0" w:header="0"/>
        </w:sectPr>
      </w:pPr>
    </w:p>
    <w:bookmarkStart w:id="177" w:name="page178"/>
    <w:bookmarkEnd w:id="177"/>
    <w:p>
      <w:pPr>
        <w:spacing w:after="0" w:line="50"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Agent; Bank</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One,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Michigan, as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successor to</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NBD Bank, as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Documentation</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Agent; and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J.P. Morgan</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Securities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 as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successor to</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Chase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Securities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Inc., as Lead</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Arranger and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Book Manager</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4(k)</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Amendment No.</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3, dated as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of December</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12, 2001, to</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Incorporated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reference to</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the the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Credit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December 4,</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1998,</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Registrant's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Annual Report</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on Form 10-K</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as amended by</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the Waiver,</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January 19,</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ended and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1999, 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Amendment No.</w:t>
      </w:r>
    </w:p>
    <w:p>
      <w:pPr>
        <w:spacing w:after="0" w:line="8" w:lineRule="exact"/>
        <w:rPr>
          <w:sz w:val="20"/>
          <w:szCs w:val="20"/>
          <w:color w:val="auto"/>
        </w:rPr>
      </w:pPr>
    </w:p>
    <w:p>
      <w:pPr>
        <w:ind w:left="580" w:hanging="199"/>
        <w:spacing w:after="0"/>
        <w:tabs>
          <w:tab w:leader="none" w:pos="580"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Consent,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30, 2001</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(File No. 1-</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13292)</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[Exhibit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4(k)] October</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13, 1999,</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Waiver No. 2,</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February 14,</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2000,</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Amendment No.</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2, dated as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of June 9,</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2000, and as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amended and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restated by</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the Amended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and Restated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Credit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December 5,</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2000, as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amended by</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Waiver No. 3,</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October 19,</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2001, among</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the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the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subsidiaries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of the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who are also</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borrowers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from time to</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time; 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lenders party</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thereto;</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JPMorgan</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Chase Bank</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(formerly The</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Chase</w:t>
      </w:r>
    </w:p>
    <w:p>
      <w:pPr>
        <w:sectPr>
          <w:pgSz w:w="11900" w:h="16888" w:orient="portrait"/>
          <w:cols w:equalWidth="0" w:num="1">
            <w:col w:w="10179"/>
          </w:cols>
          <w:pgMar w:left="280" w:top="138" w:right="1440" w:bottom="0" w:gutter="0" w:footer="0" w:header="0"/>
        </w:sectPr>
      </w:pPr>
    </w:p>
    <w:bookmarkStart w:id="178" w:name="page179"/>
    <w:bookmarkEnd w:id="178"/>
    <w:p>
      <w:pPr>
        <w:spacing w:after="0" w:line="5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Manhattan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Bank), as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5"/>
          <w:szCs w:val="15"/>
          <w:color w:val="auto"/>
        </w:rPr>
        <w:t>Administrative</w:t>
      </w:r>
    </w:p>
    <w:p>
      <w:pPr>
        <w:spacing w:after="0" w:line="8"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Salomon Smith</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Barney, Inc.,</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Syndication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Agent; Credit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Lyonnais New</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York Branch,</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as Co-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Documentation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Agent; Bank</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One,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Michigan, as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successor to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NBD Bank, as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Documentation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Agent; and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J.P. Morgan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Securities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 as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successor to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Chase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Securities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 as Lead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Arranger and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Book Manager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Amendment and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Waiver No. 4,</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September *</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19, 2003, in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respect of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Credit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December 4,</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1998, as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amended and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restated by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Amendment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and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Restatement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to the Credit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December 5,</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2000 and as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further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amended by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Amendment No.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3 to 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Credit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December 12,</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2001, among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subsidiaries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 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who are also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borrowers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from time to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time; 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lenders party</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thereto;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JPMorgan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Chase Bank</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(formerly The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Chase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Manhattan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Bank) as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5"/>
          <w:szCs w:val="15"/>
          <w:color w:val="auto"/>
        </w:rPr>
        <w:t>Administrative</w:t>
      </w:r>
    </w:p>
    <w:p>
      <w:pPr>
        <w:spacing w:after="0" w:line="8"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Agent;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Salomon Smith</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Barney, Inc.</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Syndication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Agent; Credit</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Lyonnais New</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York Branch</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as Co-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Documentation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Agent; Bank</w:t>
      </w:r>
    </w:p>
    <w:p>
      <w:pPr>
        <w:sectPr>
          <w:pgSz w:w="11900" w:h="16888" w:orient="portrait"/>
          <w:cols w:equalWidth="0" w:num="1">
            <w:col w:w="10219"/>
          </w:cols>
          <w:pgMar w:left="240" w:top="138" w:right="1440" w:bottom="0" w:gutter="0" w:footer="0" w:header="0"/>
        </w:sectPr>
      </w:pPr>
    </w:p>
    <w:bookmarkStart w:id="179" w:name="page180"/>
    <w:bookmarkEnd w:id="179"/>
    <w:p>
      <w:pPr>
        <w:jc w:val="center"/>
        <w:ind w:right="8939"/>
        <w:spacing w:after="0"/>
        <w:rPr>
          <w:sz w:val="20"/>
          <w:szCs w:val="20"/>
          <w:color w:val="auto"/>
        </w:rPr>
      </w:pPr>
      <w:r>
        <w:rPr>
          <w:rFonts w:ascii="Courier New" w:cs="Courier New" w:eastAsia="Courier New" w:hAnsi="Courier New"/>
          <w:sz w:val="16"/>
          <w:szCs w:val="16"/>
          <w:color w:val="auto"/>
        </w:rPr>
        <w:t>One,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Michigan, as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successor to</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NBD Bank, as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Documentation</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Agent; and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J.P. Morgan</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Securities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 as</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successor to</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Chase</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Securities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Inc., as Lead</w:t>
      </w:r>
    </w:p>
    <w:p>
      <w:pPr>
        <w:spacing w:after="0" w:line="8"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Arranger and</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Book Manager</w:t>
      </w:r>
    </w:p>
    <w:p>
      <w:pPr>
        <w:spacing w:after="0" w:line="36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6"/>
          <w:szCs w:val="16"/>
          <w:color w:val="auto"/>
        </w:rPr>
        <w:t>103</w:t>
      </w:r>
    </w:p>
    <w:p>
      <w:pPr>
        <w:sectPr>
          <w:pgSz w:w="11900" w:h="16838" w:orient="portrait"/>
          <w:cols w:equalWidth="0" w:num="1">
            <w:col w:w="10179"/>
          </w:cols>
          <w:pgMar w:left="280" w:top="137" w:right="1440" w:bottom="1440" w:gutter="0" w:footer="0" w:header="0"/>
        </w:sectPr>
      </w:pPr>
    </w:p>
    <w:bookmarkStart w:id="180" w:name="page181"/>
    <w:bookmarkEnd w:id="180"/>
    <w:p>
      <w:pPr>
        <w:spacing w:after="0" w:line="2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Exhibit No.</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Location -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---------- 4(m)</w:t>
      </w:r>
    </w:p>
    <w:p>
      <w:pPr>
        <w:spacing w:after="0" w:line="12" w:lineRule="exact"/>
        <w:rPr>
          <w:sz w:val="20"/>
          <w:szCs w:val="20"/>
          <w:color w:val="auto"/>
        </w:rPr>
      </w:pPr>
    </w:p>
    <w:p>
      <w:pPr>
        <w:ind w:left="180" w:right="8859" w:hanging="136"/>
        <w:spacing w:after="0" w:line="256" w:lineRule="auto"/>
        <w:tabs>
          <w:tab w:leader="none" w:pos="417"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dated as of January 21,</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1999, among the</w:t>
      </w:r>
    </w:p>
    <w:p>
      <w:pPr>
        <w:spacing w:after="0" w:line="8"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reference to</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the Registrant;</w:t>
      </w:r>
    </w:p>
    <w:p>
      <w:pPr>
        <w:spacing w:after="0" w:line="8"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the Guarantors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identified</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therein; and</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Registrant's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Registration</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Statement on</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State Street</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Bank and Trust</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Company, as</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Trustee Form S-</w:t>
      </w:r>
    </w:p>
    <w:p>
      <w:pPr>
        <w:spacing w:after="0" w:line="8"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4 filed on</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April 21, 1999</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(Registration</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No. 333-76739)</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[Exhibit 4]</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4(m)(2)</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Supplemental</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Indenture,</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February 6, *</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2002, among the</w:t>
      </w:r>
    </w:p>
    <w:p>
      <w:pPr>
        <w:spacing w:after="0" w:line="1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Registrant; the</w:t>
      </w:r>
    </w:p>
    <w:p>
      <w:pPr>
        <w:spacing w:after="0" w:line="8"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Guarantors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identified</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therein; and</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State Street</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Bank and Trust</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Company, as</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Trustee 4(m)(3)</w:t>
      </w:r>
    </w:p>
    <w:p>
      <w:pPr>
        <w:spacing w:after="0" w:line="8"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Second</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Supplemental</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Indenture,</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dated as of *</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September 29,</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2003, among the</w:t>
      </w:r>
    </w:p>
    <w:p>
      <w:pPr>
        <w:spacing w:after="0" w:line="1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Registrant; the</w:t>
      </w:r>
    </w:p>
    <w:p>
      <w:pPr>
        <w:spacing w:after="0" w:line="8"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Guarantors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identified</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therein; and</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U.S. Bank</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National</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Association</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(successor to</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State Street</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Bank and Trust</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Company), as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Trustee 4(n)</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INDENTURE,</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October 8,</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2003, between</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the *</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Registrant; the</w:t>
      </w:r>
    </w:p>
    <w:p>
      <w:pPr>
        <w:spacing w:after="0" w:line="8"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Guarantors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identified</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therein; and</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U.S. Bank</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National</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Association, as</w:t>
      </w:r>
    </w:p>
    <w:p>
      <w:pPr>
        <w:spacing w:after="0" w:line="8"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Trustee 4(o)</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Registration</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Rights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dated October</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8, * 2003,</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among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Registrant; the</w:t>
      </w:r>
    </w:p>
    <w:p>
      <w:pPr>
        <w:spacing w:after="0" w:line="8"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Guarantors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identified</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therein; and</w:t>
      </w:r>
    </w:p>
    <w:p>
      <w:pPr>
        <w:sectPr>
          <w:pgSz w:w="11900" w:h="16864" w:orient="portrait"/>
          <w:cols w:equalWidth="0" w:num="1">
            <w:col w:w="10219"/>
          </w:cols>
          <w:pgMar w:left="240" w:top="659" w:right="1440" w:bottom="0" w:gutter="0" w:footer="0" w:header="0"/>
        </w:sectPr>
      </w:pPr>
    </w:p>
    <w:bookmarkStart w:id="181" w:name="page182"/>
    <w:bookmarkEnd w:id="181"/>
    <w:p>
      <w:pPr>
        <w:spacing w:after="0" w:line="50"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Citigroup</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Global Markets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 Banc of</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America</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Securities LLC</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and J.P. Morgan</w:t>
      </w:r>
    </w:p>
    <w:p>
      <w:pPr>
        <w:spacing w:after="0" w:line="1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Securities Inc.</w:t>
      </w:r>
    </w:p>
    <w:p>
      <w:pPr>
        <w:spacing w:after="0" w:line="8"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as</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representatives</w:t>
      </w:r>
    </w:p>
    <w:p>
      <w:pPr>
        <w:spacing w:after="0" w:line="1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for the initial</w:t>
      </w:r>
    </w:p>
    <w:p>
      <w:pPr>
        <w:spacing w:after="0" w:line="8"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purchasers of</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the 6.625%</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Senior</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Subordinated</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Notes due 2013</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described</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therein 4(p)</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Second Amended</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and Restated</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Credit</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dated * as of</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October 22,</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2003, among the</w:t>
      </w:r>
    </w:p>
    <w:p>
      <w:pPr>
        <w:spacing w:after="0" w:line="8"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Hyponex</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Corporation,</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Miracle Garden</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Care Limited,</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OM Scott</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International</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Investments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Ltd., Scotts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Australia Pty.</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Ltd., Scotts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Canada, Ltd.,</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Scotts Holdings</w:t>
      </w:r>
    </w:p>
    <w:p>
      <w:pPr>
        <w:spacing w:after="0" w:line="1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Limited, Scotts</w:t>
      </w:r>
    </w:p>
    <w:p>
      <w:pPr>
        <w:spacing w:after="0" w:line="8"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Manufacturing</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Scotts-Sierra</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Horticultural</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Products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Scotts-Sierra</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Investments,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 Scotts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Temecula</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Operations,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LLC, Scotts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Treasury EEIG,</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The Scotts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Company (UK)</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Ltd., and other</w:t>
      </w:r>
    </w:p>
    <w:p>
      <w:pPr>
        <w:spacing w:after="0" w:line="1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subsidiaries of</w:t>
      </w:r>
    </w:p>
    <w:p>
      <w:pPr>
        <w:spacing w:after="0" w:line="8"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the Registrant</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who are also</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borrowers from</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time to time;</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the lenders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party thereto;</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Citicorp North</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America, Inc.,</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as Syndication</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Agent; Bank of</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America, N.A.</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and Bank One,</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NA, as Co-</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Documentation</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Agents;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JPMorgan Chase</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Bank, as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Administrative</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Agent; and</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other Agents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identified</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therein 10(a)</w:t>
      </w:r>
    </w:p>
    <w:p>
      <w:pPr>
        <w:spacing w:after="0" w:line="5" w:lineRule="exact"/>
        <w:rPr>
          <w:sz w:val="20"/>
          <w:szCs w:val="20"/>
          <w:color w:val="auto"/>
        </w:rPr>
      </w:pPr>
    </w:p>
    <w:p>
      <w:pPr>
        <w:jc w:val="both"/>
        <w:ind w:left="140" w:right="8939" w:hanging="1"/>
        <w:spacing w:after="0" w:line="256" w:lineRule="auto"/>
        <w:tabs>
          <w:tab w:leader="none" w:pos="518"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O.M. Scott &amp; Sons</w:t>
      </w:r>
    </w:p>
    <w:p>
      <w:pPr>
        <w:jc w:val="center"/>
        <w:ind w:right="8799"/>
        <w:spacing w:after="0" w:line="236" w:lineRule="auto"/>
        <w:rPr>
          <w:sz w:val="20"/>
          <w:szCs w:val="20"/>
          <w:color w:val="auto"/>
        </w:rPr>
      </w:pPr>
      <w:r>
        <w:rPr>
          <w:rFonts w:ascii="Courier New" w:cs="Courier New" w:eastAsia="Courier New" w:hAnsi="Courier New"/>
          <w:sz w:val="16"/>
          <w:szCs w:val="16"/>
          <w:color w:val="auto"/>
        </w:rPr>
        <w:t>Company Excess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Benefit Plan,</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reference to</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the effective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October 1, 1993</w:t>
      </w:r>
    </w:p>
    <w:p>
      <w:pPr>
        <w:spacing w:after="0" w:line="8"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Annual Report</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on Form 10-K</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for the fiscal</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year ended</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September 30,</w:t>
      </w:r>
    </w:p>
    <w:p>
      <w:pPr>
        <w:sectPr>
          <w:pgSz w:w="11900" w:h="16888" w:orient="portrait"/>
          <w:cols w:equalWidth="0" w:num="1">
            <w:col w:w="10219"/>
          </w:cols>
          <w:pgMar w:left="240" w:top="138" w:right="1440" w:bottom="0" w:gutter="0" w:footer="0" w:header="0"/>
        </w:sectPr>
      </w:pPr>
    </w:p>
    <w:bookmarkStart w:id="182" w:name="page183"/>
    <w:bookmarkEnd w:id="182"/>
    <w:p>
      <w:pPr>
        <w:jc w:val="center"/>
        <w:ind w:right="8799"/>
        <w:spacing w:after="0"/>
        <w:rPr>
          <w:sz w:val="20"/>
          <w:szCs w:val="20"/>
          <w:color w:val="auto"/>
        </w:rPr>
      </w:pPr>
      <w:r>
        <w:rPr>
          <w:rFonts w:ascii="Courier New" w:cs="Courier New" w:eastAsia="Courier New" w:hAnsi="Courier New"/>
          <w:sz w:val="16"/>
          <w:szCs w:val="16"/>
          <w:color w:val="auto"/>
        </w:rPr>
        <w:t>1993, of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Scotts Company,</w:t>
      </w:r>
    </w:p>
    <w:p>
      <w:pPr>
        <w:spacing w:after="0" w:line="12" w:lineRule="exact"/>
        <w:rPr>
          <w:sz w:val="20"/>
          <w:szCs w:val="20"/>
          <w:color w:val="auto"/>
        </w:rPr>
      </w:pPr>
    </w:p>
    <w:p>
      <w:pPr>
        <w:jc w:val="both"/>
        <w:ind w:left="140" w:right="8939" w:firstLine="93"/>
        <w:spacing w:after="0" w:line="256" w:lineRule="auto"/>
        <w:tabs>
          <w:tab w:leader="none" w:pos="424"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Delaware corporation (File No. 0-</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19768) [Exhibit</w:t>
      </w:r>
    </w:p>
    <w:p>
      <w:pPr>
        <w:spacing w:after="0" w:line="1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10(h)] 10(a)(2)</w:t>
      </w:r>
    </w:p>
    <w:p>
      <w:pPr>
        <w:spacing w:after="0" w:line="1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First Amendment</w:t>
      </w:r>
    </w:p>
    <w:p>
      <w:pPr>
        <w:spacing w:after="0" w:line="8"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to The O.M.</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Scott &amp; Sons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reference to</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the Excess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Benefit Plan,</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effective as of</w:t>
      </w:r>
    </w:p>
    <w:p>
      <w:pPr>
        <w:spacing w:after="0" w:line="8"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January 1,</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Registrant's</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Annual Report</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on Form 10-K</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1998 for the</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fiscal year</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ended September</w:t>
      </w:r>
    </w:p>
    <w:p>
      <w:pPr>
        <w:spacing w:after="0" w:line="8"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30, 2001 (File</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No. 1-13292)</w:t>
      </w:r>
    </w:p>
    <w:p>
      <w:pPr>
        <w:spacing w:after="0" w:line="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[Exhibit 10(a)</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(2)]</w:t>
      </w:r>
    </w:p>
    <w:p>
      <w:pPr>
        <w:spacing w:after="0" w:line="368"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6"/>
          <w:szCs w:val="16"/>
          <w:color w:val="auto"/>
        </w:rPr>
        <w:t>104</w:t>
      </w:r>
    </w:p>
    <w:p>
      <w:pPr>
        <w:sectPr>
          <w:pgSz w:w="11900" w:h="16838" w:orient="portrait"/>
          <w:cols w:equalWidth="0" w:num="1">
            <w:col w:w="10219"/>
          </w:cols>
          <w:pgMar w:left="240" w:top="138" w:right="1440" w:bottom="1440" w:gutter="0" w:footer="0" w:header="0"/>
        </w:sectPr>
      </w:pPr>
    </w:p>
    <w:bookmarkStart w:id="183" w:name="page184"/>
    <w:bookmarkEnd w:id="183"/>
    <w:p>
      <w:pPr>
        <w:spacing w:after="0" w:line="2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Exhibit No.</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Description</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Location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600" w:hanging="559"/>
        <w:spacing w:after="0"/>
        <w:tabs>
          <w:tab w:leader="none" w:pos="600"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10(a)</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 Second</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 O.M.</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Scott &amp;</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Sons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Excess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Benefit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Plan,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effective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as of</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January 1,</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1999 for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the fiscal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year 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30, 2001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10(a)(3)]</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10(b)(1)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The Scotts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1992 Long</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Term</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Incentive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Plan</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 (as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amended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through May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15, 2000)</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period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 April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1, 2000</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10(b)]</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10(b)(2)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The Scotts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1992 Long</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Term</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Incentive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Plan</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(2002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Amendment)</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ectPr>
          <w:pgSz w:w="11900" w:h="16864" w:orient="portrait"/>
          <w:cols w:equalWidth="0" w:num="1">
            <w:col w:w="10219"/>
          </w:cols>
          <w:pgMar w:left="240" w:top="659" w:right="1440" w:bottom="0" w:gutter="0" w:footer="0" w:header="0"/>
        </w:sectPr>
      </w:pPr>
    </w:p>
    <w:bookmarkStart w:id="184" w:name="page185"/>
    <w:bookmarkEnd w:id="184"/>
    <w:p>
      <w:pPr>
        <w:spacing w:after="0" w:line="4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period</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December</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28, 2002</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10(b)(i)]</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10(c)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Executive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Incentive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Plan</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30, 2001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10(c)]</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10(d)(1)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The Scotts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1996 Stock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Option Plan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(as</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amended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through May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15, 2000)</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period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 April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1, 2000</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10(d)(2)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The Scotts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1996 Stock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Option Plan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(2002</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Amendment)</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period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December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28, 2002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10(d)(i)]</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Specimen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of</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Stock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Option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(as amended</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ectPr>
          <w:pgSz w:w="11900" w:h="16881" w:orient="portrait"/>
          <w:cols w:equalWidth="0" w:num="1">
            <w:col w:w="10219"/>
          </w:cols>
          <w:pgMar w:left="240" w:top="137" w:right="1440" w:bottom="0" w:gutter="0" w:footer="0" w:header="0"/>
        </w:sectPr>
      </w:pPr>
    </w:p>
    <w:bookmarkStart w:id="185" w:name="page186"/>
    <w:bookmarkEnd w:id="185"/>
    <w:p>
      <w:pPr>
        <w:spacing w:after="0" w:line="50"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through</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October 23,</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2001) for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Qualified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Stock</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Options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granted to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employees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under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Scotts for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the fiscal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year 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30, Company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1996 Stock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Option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Plan, U.S.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specimen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2001 (File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No. 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13292)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10(f)</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Specimen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of</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Stock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Option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(as amended</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through</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October 23,</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2001) for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Qualified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Stock</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Options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granted to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employees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under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Scotts for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the fiscal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year 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30, Company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1996 Stock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Option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Plan,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French</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specimen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2001 (File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No. 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13292)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10(f)]</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10(g)(1)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The Scotts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Executive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Retirement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Plan</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30, 1998</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ectPr>
          <w:pgSz w:w="11900" w:h="16888" w:orient="portrait"/>
          <w:cols w:equalWidth="0" w:num="1">
            <w:col w:w="10219"/>
          </w:cols>
          <w:pgMar w:left="240" w:top="138" w:right="1440" w:bottom="0" w:gutter="0" w:footer="0" w:header="0"/>
        </w:sectPr>
      </w:pPr>
    </w:p>
    <w:bookmarkStart w:id="186" w:name="page187"/>
    <w:bookmarkEnd w:id="186"/>
    <w:p>
      <w:pPr>
        <w:jc w:val="center"/>
        <w:ind w:right="9099"/>
        <w:spacing w:after="0"/>
        <w:rPr>
          <w:sz w:val="20"/>
          <w:szCs w:val="20"/>
          <w:color w:val="auto"/>
        </w:rPr>
      </w:pPr>
      <w:r>
        <w:rPr>
          <w:rFonts w:ascii="Courier New" w:cs="Courier New" w:eastAsia="Courier New" w:hAnsi="Courier New"/>
          <w:sz w:val="16"/>
          <w:szCs w:val="16"/>
          <w:color w:val="auto"/>
        </w:rPr>
        <w:t>1-11593)</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10(j)]</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10(g)(2)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First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Amendment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Executive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Retirement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Plan,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effective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as of</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January 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1999</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30, 2001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10(g)(2)]</w:t>
      </w:r>
    </w:p>
    <w:p>
      <w:pPr>
        <w:spacing w:after="0" w:line="368"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6"/>
          <w:szCs w:val="16"/>
          <w:color w:val="auto"/>
        </w:rPr>
        <w:t>105</w:t>
      </w:r>
    </w:p>
    <w:p>
      <w:pPr>
        <w:sectPr>
          <w:pgSz w:w="11900" w:h="16838" w:orient="portrait"/>
          <w:cols w:equalWidth="0" w:num="1">
            <w:col w:w="10219"/>
          </w:cols>
          <w:pgMar w:left="240" w:top="138" w:right="1440" w:bottom="1440" w:gutter="0" w:footer="0" w:header="0"/>
        </w:sectPr>
      </w:pPr>
    </w:p>
    <w:bookmarkStart w:id="187" w:name="page188"/>
    <w:bookmarkEnd w:id="187"/>
    <w:p>
      <w:pPr>
        <w:spacing w:after="0" w:line="1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Exhibit No.</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Description</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Location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600" w:hanging="559"/>
        <w:spacing w:after="0"/>
        <w:tabs>
          <w:tab w:leader="none" w:pos="600"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10(g)</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 Second</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w:t>
      </w:r>
    </w:p>
    <w:p>
      <w:pPr>
        <w:spacing w:after="0" w:line="4" w:lineRule="exact"/>
        <w:rPr>
          <w:rFonts w:ascii="Courier New" w:cs="Courier New" w:eastAsia="Courier New" w:hAnsi="Courier New"/>
          <w:sz w:val="16"/>
          <w:szCs w:val="16"/>
          <w:color w:val="auto"/>
        </w:rPr>
      </w:pPr>
    </w:p>
    <w:p>
      <w:pPr>
        <w:jc w:val="center"/>
        <w:ind w:left="140" w:right="9239" w:firstLine="142"/>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to The Scotts Company Executive</w:t>
      </w:r>
    </w:p>
    <w:p>
      <w:pPr>
        <w:spacing w:after="0" w:line="3"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Retirement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Plan,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effective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as of</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January 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2000</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30, 2001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10(g)(3)]</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10(g)(4)</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Third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Amendment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Executive *</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Retirement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Plan,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effective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as of</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January 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2003 10(h)</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Employment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May 19,</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1995,</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between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and James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Hagedorn</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30, 1995</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1-11593)</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10(p)]</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10(i)</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Letter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dated June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8, 2000,</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between the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ectPr>
          <w:pgSz w:w="11900" w:h="16857" w:orient="portrait"/>
          <w:cols w:equalWidth="0" w:num="1">
            <w:col w:w="10219"/>
          </w:cols>
          <w:pgMar w:left="240" w:top="659" w:right="1440" w:bottom="0" w:gutter="0" w:footer="0" w:header="0"/>
        </w:sectPr>
      </w:pPr>
    </w:p>
    <w:bookmarkStart w:id="188" w:name="page189"/>
    <w:bookmarkEnd w:id="188"/>
    <w:p>
      <w:pPr>
        <w:spacing w:after="0" w:line="50"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and Patrick</w:t>
      </w:r>
    </w:p>
    <w:p>
      <w:pPr>
        <w:spacing w:after="0" w:line="1" w:lineRule="exact"/>
        <w:rPr>
          <w:sz w:val="20"/>
          <w:szCs w:val="20"/>
          <w:color w:val="auto"/>
        </w:rPr>
      </w:pPr>
    </w:p>
    <w:p>
      <w:pPr>
        <w:ind w:left="420" w:hanging="285"/>
        <w:spacing w:after="0"/>
        <w:tabs>
          <w:tab w:leader="none" w:pos="420"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Norton</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Registrant's</w:t>
      </w:r>
    </w:p>
    <w:p>
      <w:pPr>
        <w:spacing w:after="0" w:line="8"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Annual</w:t>
      </w:r>
    </w:p>
    <w:p>
      <w:pPr>
        <w:spacing w:after="0" w:line="4" w:lineRule="exact"/>
        <w:rPr>
          <w:rFonts w:ascii="Courier New" w:cs="Courier New" w:eastAsia="Courier New" w:hAnsi="Courier New"/>
          <w:sz w:val="16"/>
          <w:szCs w:val="16"/>
          <w:color w:val="auto"/>
        </w:rPr>
      </w:pPr>
    </w:p>
    <w:p>
      <w:pPr>
        <w:jc w:val="center"/>
        <w:ind w:left="40" w:right="9139" w:firstLine="9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Report on Form 10-K for the fiscal year ended September 30, 2000 (File No.</w:t>
      </w:r>
    </w:p>
    <w:p>
      <w:pPr>
        <w:spacing w:after="0" w:line="5" w:lineRule="exact"/>
        <w:rPr>
          <w:rFonts w:ascii="Courier New" w:cs="Courier New" w:eastAsia="Courier New" w:hAnsi="Courier New"/>
          <w:sz w:val="16"/>
          <w:szCs w:val="16"/>
          <w:color w:val="auto"/>
        </w:rPr>
      </w:pPr>
    </w:p>
    <w:p>
      <w:pPr>
        <w:jc w:val="center"/>
        <w:ind w:right="9079" w:firstLine="185"/>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1-13292) [Exhibit 10(q)] 10(j) Letter agreement, dated November 5, 2002, Incorporated herein by reference to the pertaining to the terms of employment of Mr. Norton Registrant's Annual Report on Form 10-K through December 31, 2005, and superseding certain for the fiscal year ended September 30, provisions of the letter agreement, dated June 8, 2002 (File No.</w:t>
      </w:r>
    </w:p>
    <w:p>
      <w:pPr>
        <w:spacing w:after="0" w:line="360" w:lineRule="exact"/>
        <w:rPr>
          <w:rFonts w:ascii="Courier New" w:cs="Courier New" w:eastAsia="Courier New" w:hAnsi="Courier New"/>
          <w:sz w:val="16"/>
          <w:szCs w:val="16"/>
          <w:color w:val="auto"/>
        </w:rPr>
      </w:pPr>
    </w:p>
    <w:p>
      <w:pPr>
        <w:jc w:val="center"/>
        <w:ind w:left="40" w:right="9139" w:firstLine="142"/>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1-13292) [Exhibit 10(q)] 2000, between the Registrant and Mr. Norton 10(k) Written description of employment terms between the</w:t>
      </w:r>
    </w:p>
    <w:p>
      <w:pPr>
        <w:spacing w:after="0" w:line="5" w:lineRule="exact"/>
        <w:rPr>
          <w:rFonts w:ascii="Courier New" w:cs="Courier New" w:eastAsia="Courier New" w:hAnsi="Courier New"/>
          <w:sz w:val="16"/>
          <w:szCs w:val="16"/>
          <w:color w:val="auto"/>
        </w:rPr>
      </w:pPr>
    </w:p>
    <w:p>
      <w:pPr>
        <w:ind w:left="5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 David</w:t>
      </w:r>
    </w:p>
    <w:p>
      <w:pPr>
        <w:ind w:left="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w:t>
      </w:r>
    </w:p>
    <w:p>
      <w:pPr>
        <w:spacing w:after="0" w:line="4" w:lineRule="exact"/>
        <w:rPr>
          <w:rFonts w:ascii="Courier New" w:cs="Courier New" w:eastAsia="Courier New" w:hAnsi="Courier New"/>
          <w:sz w:val="16"/>
          <w:szCs w:val="16"/>
          <w:color w:val="auto"/>
        </w:rPr>
      </w:pPr>
    </w:p>
    <w:p>
      <w:pPr>
        <w:jc w:val="both"/>
        <w:ind w:left="80" w:right="917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Aronowitz, Michael P.</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Kelty,</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Ph.D.,</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Christopher</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 Nagel</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 Denise</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 Stump</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10(l)</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Letter</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December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20, 2001,</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ectPr>
          <w:pgSz w:w="11900" w:h="16888" w:orient="portrait"/>
          <w:cols w:equalWidth="0" w:num="1">
            <w:col w:w="10219"/>
          </w:cols>
          <w:pgMar w:left="240" w:top="138" w:right="1440" w:bottom="0" w:gutter="0" w:footer="0" w:header="0"/>
        </w:sectPr>
      </w:pPr>
    </w:p>
    <w:bookmarkStart w:id="189" w:name="page190"/>
    <w:bookmarkEnd w:id="189"/>
    <w:p>
      <w:pPr>
        <w:spacing w:after="0" w:line="50"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between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and 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Robert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Stohler</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10-Q/A</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period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December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29, 2001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10(m)</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Letter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dated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November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21, 2002,</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replacing</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superseding</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the letter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agreement</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dated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December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20, 2001,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between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and 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30, 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Robert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Stohler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2002 (File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No. 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13292)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10(n)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Scotts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Company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2003 Stock</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Option and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Incentive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Equity Plan</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period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December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28, 2002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10(w)]</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Letter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dated April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23, 2003,</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between the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ectPr>
          <w:pgSz w:w="11900" w:h="16888" w:orient="portrait"/>
          <w:cols w:equalWidth="0" w:num="1">
            <w:col w:w="10219"/>
          </w:cols>
          <w:pgMar w:left="240" w:top="138" w:right="1440" w:bottom="0" w:gutter="0" w:footer="0" w:header="0"/>
        </w:sectPr>
      </w:pPr>
    </w:p>
    <w:bookmarkStart w:id="190" w:name="page191"/>
    <w:bookmarkEnd w:id="190"/>
    <w:p>
      <w:pPr>
        <w:jc w:val="center"/>
        <w:ind w:right="9099"/>
        <w:spacing w:after="0"/>
        <w:rPr>
          <w:sz w:val="20"/>
          <w:szCs w:val="20"/>
          <w:color w:val="auto"/>
        </w:rPr>
      </w:pPr>
      <w:r>
        <w:rPr>
          <w:rFonts w:ascii="Courier New" w:cs="Courier New" w:eastAsia="Courier New" w:hAnsi="Courier New"/>
          <w:sz w:val="16"/>
          <w:szCs w:val="16"/>
          <w:color w:val="auto"/>
        </w:rPr>
        <w:t>to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and Robert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Bernstock</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period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 June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28, 2003</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10(x)]</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10(p)</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Letter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dated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October 10,</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2001,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between</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reference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to the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and Mr.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Michel</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Farkouh</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Form 10-Q/A</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period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December</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29, 2001</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1-13292)</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10(x)]</w:t>
      </w:r>
    </w:p>
    <w:p>
      <w:pPr>
        <w:spacing w:after="0" w:line="368"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6"/>
          <w:szCs w:val="16"/>
          <w:color w:val="auto"/>
        </w:rPr>
        <w:t>106</w:t>
      </w:r>
    </w:p>
    <w:p>
      <w:pPr>
        <w:sectPr>
          <w:pgSz w:w="11900" w:h="16838" w:orient="portrait"/>
          <w:cols w:equalWidth="0" w:num="1">
            <w:col w:w="10219"/>
          </w:cols>
          <w:pgMar w:left="240" w:top="137" w:right="1440" w:bottom="1440" w:gutter="0" w:footer="0" w:header="0"/>
        </w:sectPr>
      </w:pPr>
    </w:p>
    <w:bookmarkStart w:id="191" w:name="page192"/>
    <w:bookmarkEnd w:id="191"/>
    <w:p>
      <w:pPr>
        <w:spacing w:after="0" w:line="26"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Exhibit No.</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Description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Location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10(q)</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Exclusive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Distributor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Agreement --</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Horticulture,</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Incorporated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reference to</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the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effective as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of June 22,</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1998,</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between the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Registrant's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and AgrEvo</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USA Company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30, 1998</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(File No. 1-</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11593)</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10(v)] 10(r)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Amended and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Restated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Exclusive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Agency and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Marketing</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Incorporated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herein by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reference to</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the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30, 1998,</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between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Registrant's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Monsanto</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Company (now</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Pharmacia</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Corporation)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and for the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fiscal year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30, the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1999 (File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No. 1-11593)</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10(v)] 14</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Code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Business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Conduct and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Ethics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the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21</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Subsidiaries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of the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Registrant *</w:t>
      </w:r>
    </w:p>
    <w:p>
      <w:pPr>
        <w:spacing w:after="0" w:line="5" w:lineRule="exact"/>
        <w:rPr>
          <w:sz w:val="20"/>
          <w:szCs w:val="20"/>
          <w:color w:val="auto"/>
        </w:rPr>
      </w:pPr>
    </w:p>
    <w:p>
      <w:pPr>
        <w:ind w:left="520" w:right="9139" w:hanging="384"/>
        <w:spacing w:after="0" w:line="256" w:lineRule="auto"/>
        <w:tabs>
          <w:tab w:leader="none" w:pos="425"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w:t>
      </w:r>
    </w:p>
    <w:p>
      <w:pPr>
        <w:ind w:left="80"/>
        <w:spacing w:after="0" w:line="236" w:lineRule="auto"/>
        <w:rPr>
          <w:sz w:val="20"/>
          <w:szCs w:val="20"/>
          <w:color w:val="auto"/>
        </w:rPr>
      </w:pPr>
      <w:r>
        <w:rPr>
          <w:rFonts w:ascii="Courier New" w:cs="Courier New" w:eastAsia="Courier New" w:hAnsi="Courier New"/>
          <w:sz w:val="16"/>
          <w:szCs w:val="16"/>
          <w:color w:val="auto"/>
        </w:rPr>
        <w:t>Independent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Auditors *</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31(a) Rule</w:t>
      </w:r>
    </w:p>
    <w:p>
      <w:pPr>
        <w:sectPr>
          <w:pgSz w:w="11900" w:h="16864" w:orient="portrait"/>
          <w:cols w:equalWidth="0" w:num="1">
            <w:col w:w="10219"/>
          </w:cols>
          <w:pgMar w:left="240" w:top="659" w:right="1440" w:bottom="0" w:gutter="0" w:footer="0" w:header="0"/>
        </w:sectPr>
      </w:pPr>
    </w:p>
    <w:bookmarkStart w:id="192" w:name="page193"/>
    <w:bookmarkEnd w:id="192"/>
    <w:p>
      <w:pPr>
        <w:jc w:val="center"/>
        <w:ind w:right="8996"/>
        <w:spacing w:after="0"/>
        <w:rPr>
          <w:sz w:val="20"/>
          <w:szCs w:val="20"/>
          <w:color w:val="auto"/>
        </w:rPr>
      </w:pPr>
      <w:r>
        <w:rPr>
          <w:rFonts w:ascii="Courier New" w:cs="Courier New" w:eastAsia="Courier New" w:hAnsi="Courier New"/>
          <w:sz w:val="16"/>
          <w:szCs w:val="16"/>
          <w:color w:val="auto"/>
        </w:rPr>
        <w:t>13a-</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14(a)/15d-</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14(a)</w:t>
      </w:r>
    </w:p>
    <w:p>
      <w:pPr>
        <w:spacing w:after="0" w:line="5"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5"/>
          <w:szCs w:val="15"/>
          <w:color w:val="auto"/>
        </w:rPr>
        <w:t>Certification</w:t>
      </w:r>
    </w:p>
    <w:p>
      <w:pPr>
        <w:spacing w:after="0" w:line="8"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(Principal *</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Executive</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Officer)</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31(b) Rule</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13a-</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14(a)/15d-</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14(a)</w:t>
      </w:r>
    </w:p>
    <w:p>
      <w:pPr>
        <w:spacing w:after="0" w:line="5"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5"/>
          <w:szCs w:val="15"/>
          <w:color w:val="auto"/>
        </w:rPr>
        <w:t>Certification</w:t>
      </w:r>
    </w:p>
    <w:p>
      <w:pPr>
        <w:spacing w:after="0" w:line="8"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(Principal *</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Financial</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Officer) 32</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Section 1350</w:t>
      </w:r>
    </w:p>
    <w:p>
      <w:pPr>
        <w:spacing w:after="0" w:line="5"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5"/>
          <w:szCs w:val="15"/>
          <w:color w:val="auto"/>
        </w:rPr>
        <w:t>Certification</w:t>
      </w:r>
    </w:p>
    <w:p>
      <w:pPr>
        <w:spacing w:after="0" w:line="8"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(Principal</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Executive *</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Officer and</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Principal</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Financial</w:t>
      </w:r>
    </w:p>
    <w:p>
      <w:pPr>
        <w:spacing w:after="0" w:line="1"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Officer)</w:t>
      </w:r>
    </w:p>
    <w:p>
      <w:pPr>
        <w:spacing w:after="0" w:line="364" w:lineRule="exact"/>
        <w:rPr>
          <w:sz w:val="20"/>
          <w:szCs w:val="20"/>
          <w:color w:val="auto"/>
        </w:rPr>
      </w:pPr>
    </w:p>
    <w:p>
      <w:pPr>
        <w:ind w:left="183" w:hanging="183"/>
        <w:spacing w:after="0"/>
        <w:tabs>
          <w:tab w:leader="none" w:pos="183"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2" w:lineRule="exact"/>
        <w:rPr>
          <w:rFonts w:ascii="Courier New" w:cs="Courier New" w:eastAsia="Courier New" w:hAnsi="Courier New"/>
          <w:sz w:val="16"/>
          <w:szCs w:val="16"/>
          <w:color w:val="auto"/>
        </w:rPr>
      </w:pPr>
    </w:p>
    <w:p>
      <w:pPr>
        <w:ind w:left="10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Filed herewith.</w:t>
      </w:r>
    </w:p>
    <w:p>
      <w:pPr>
        <w:spacing w:after="0" w:line="186" w:lineRule="exact"/>
        <w:rPr>
          <w:rFonts w:ascii="Courier New" w:cs="Courier New" w:eastAsia="Courier New" w:hAnsi="Courier New"/>
          <w:sz w:val="16"/>
          <w:szCs w:val="16"/>
          <w:color w:val="auto"/>
        </w:rPr>
      </w:pPr>
    </w:p>
    <w:p>
      <w:pPr>
        <w:ind w:left="283" w:right="2839" w:hanging="283"/>
        <w:spacing w:after="0" w:line="262" w:lineRule="auto"/>
        <w:tabs>
          <w:tab w:leader="none" w:pos="283" w:val="left"/>
        </w:tabs>
        <w:numPr>
          <w:ilvl w:val="1"/>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portions of this Exhibit have been omitted based upon an Order Granting Confidential Treatment from the Securities and Exchange Commission ("SEC"), dated August 23, 2002, extending through September 30, 2005.</w:t>
      </w:r>
    </w:p>
    <w:p>
      <w:pPr>
        <w:spacing w:after="0" w:line="167"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107</w:t>
      </w:r>
    </w:p>
    <w:p>
      <w:pPr>
        <w:sectPr>
          <w:pgSz w:w="11900" w:h="16838" w:orient="portrait"/>
          <w:cols w:equalWidth="0" w:num="1">
            <w:col w:w="10222"/>
          </w:cols>
          <w:pgMar w:left="237" w:top="138" w:right="1440" w:bottom="1440" w:gutter="0" w:footer="0" w:header="0"/>
        </w:sectPr>
      </w:pPr>
    </w:p>
    <w:bookmarkStart w:id="193" w:name="page194"/>
    <w:bookmarkEnd w:id="193"/>
    <w:p>
      <w:pPr>
        <w:jc w:val="right"/>
        <w:ind w:right="2659"/>
        <w:spacing w:after="0"/>
        <w:rPr>
          <w:sz w:val="20"/>
          <w:szCs w:val="20"/>
          <w:color w:val="auto"/>
        </w:rPr>
      </w:pPr>
      <w:r>
        <w:rPr>
          <w:rFonts w:ascii="Courier New" w:cs="Courier New" w:eastAsia="Courier New" w:hAnsi="Courier New"/>
          <w:sz w:val="16"/>
          <w:szCs w:val="16"/>
          <w:color w:val="auto"/>
        </w:rPr>
        <w:t>Exhibit 4(l)</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AMENDMENT AND WAIVER NO. 4</w:t>
      </w:r>
    </w:p>
    <w:p>
      <w:pPr>
        <w:spacing w:after="0" w:line="186" w:lineRule="exact"/>
        <w:rPr>
          <w:sz w:val="20"/>
          <w:szCs w:val="20"/>
          <w:color w:val="auto"/>
        </w:rPr>
      </w:pPr>
    </w:p>
    <w:p>
      <w:pPr>
        <w:ind w:right="2659" w:firstLine="567"/>
        <w:spacing w:after="0"/>
        <w:rPr>
          <w:sz w:val="20"/>
          <w:szCs w:val="20"/>
          <w:color w:val="auto"/>
        </w:rPr>
      </w:pPr>
      <w:r>
        <w:rPr>
          <w:rFonts w:ascii="Courier New" w:cs="Courier New" w:eastAsia="Courier New" w:hAnsi="Courier New"/>
          <w:sz w:val="16"/>
          <w:szCs w:val="16"/>
          <w:color w:val="auto"/>
        </w:rPr>
        <w:t>AMENDMENT AND WAIVER NO. 4, dated as of September 19, 2003 (this "Fourth Amendment"), in respect of the Credit Agreement, dated as of December 4, 1998, as amended and restated by the Amendment and Restatement to the Credit Agreement, dated as of December 5, 2000 and, as further amended by Amendment No. 3 to the Credit Agreement, dated as of December 12, 2001 (as amended, supplemented or otherwise modified from time to time, the "Credit Agreement") among THE SCOTTS COMPANY, an Ohio corporation (the "Borrower"), certain subsidiaries of the Borrower who are also borrowers from time to time under the Credit Agreement (the "Subsidiary Borrowers"), the several banks and other financial institutions from time to time parties to the Credit Agreement (the "Lenders"), JPMORGAN CHASE BANK (formerly The Chase Manhattan Bank), as agent for the Lenders (in such capacity, the "Administrative Agent"), SALOMON SMITH BARNEY, INC., as syndication agent (the "Syndication Agent"), CREDIT LYONNAIS NEW YORK BRANCH and BANK ONE, NA (Main Office Chicago), as successor by merger to BANK ONE, MICHIGAN, as co-documentation agents (the "Co-Documentation Agents"), and J.P. MORGAN SECURITIES INC., as successor to CHASE SECURITIES INC., as lead arranger (the "Lead Arranger") and as the book manager (the "Book Manager").</w:t>
      </w:r>
    </w:p>
    <w:p>
      <w:pPr>
        <w:spacing w:after="0" w:line="189"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W I T N E S S E T H :</w:t>
      </w:r>
    </w:p>
    <w:p>
      <w:pPr>
        <w:spacing w:after="0" w:line="186" w:lineRule="exact"/>
        <w:rPr>
          <w:sz w:val="20"/>
          <w:szCs w:val="20"/>
          <w:color w:val="auto"/>
        </w:rPr>
      </w:pPr>
    </w:p>
    <w:p>
      <w:pPr>
        <w:ind w:right="2839" w:firstLine="1135"/>
        <w:spacing w:after="0" w:line="238" w:lineRule="auto"/>
        <w:rPr>
          <w:sz w:val="20"/>
          <w:szCs w:val="20"/>
          <w:color w:val="auto"/>
        </w:rPr>
      </w:pPr>
      <w:r>
        <w:rPr>
          <w:rFonts w:ascii="Courier New" w:cs="Courier New" w:eastAsia="Courier New" w:hAnsi="Courier New"/>
          <w:sz w:val="16"/>
          <w:szCs w:val="16"/>
          <w:color w:val="auto"/>
        </w:rPr>
        <w:t>WHEREAS, the Borrower wishes to issue new ten-year senior subordinated notes in an aggregate principal amount equal to $200,000,000 (the "New Senior Subordinated Notes");</w:t>
      </w:r>
    </w:p>
    <w:p>
      <w:pPr>
        <w:spacing w:after="0" w:line="188" w:lineRule="exact"/>
        <w:rPr>
          <w:sz w:val="20"/>
          <w:szCs w:val="20"/>
          <w:color w:val="auto"/>
        </w:rPr>
      </w:pPr>
    </w:p>
    <w:p>
      <w:pPr>
        <w:ind w:right="2939" w:firstLine="1135"/>
        <w:spacing w:after="0" w:line="238" w:lineRule="auto"/>
        <w:rPr>
          <w:sz w:val="20"/>
          <w:szCs w:val="20"/>
          <w:color w:val="auto"/>
        </w:rPr>
      </w:pPr>
      <w:r>
        <w:rPr>
          <w:rFonts w:ascii="Courier New" w:cs="Courier New" w:eastAsia="Courier New" w:hAnsi="Courier New"/>
          <w:sz w:val="16"/>
          <w:szCs w:val="16"/>
          <w:color w:val="auto"/>
        </w:rPr>
        <w:t>WHEREAS, the Borrower wishes to amend the Credit Agreement as described herein and requests the waiver under the Credit Agreement described herein; and</w:t>
      </w:r>
    </w:p>
    <w:p>
      <w:pPr>
        <w:spacing w:after="0" w:line="188" w:lineRule="exact"/>
        <w:rPr>
          <w:sz w:val="20"/>
          <w:szCs w:val="20"/>
          <w:color w:val="auto"/>
        </w:rPr>
      </w:pPr>
    </w:p>
    <w:p>
      <w:pPr>
        <w:jc w:val="both"/>
        <w:ind w:right="3039" w:firstLine="1135"/>
        <w:spacing w:after="0" w:line="238" w:lineRule="auto"/>
        <w:rPr>
          <w:sz w:val="20"/>
          <w:szCs w:val="20"/>
          <w:color w:val="auto"/>
        </w:rPr>
      </w:pPr>
      <w:r>
        <w:rPr>
          <w:rFonts w:ascii="Courier New" w:cs="Courier New" w:eastAsia="Courier New" w:hAnsi="Courier New"/>
          <w:sz w:val="16"/>
          <w:szCs w:val="16"/>
          <w:color w:val="auto"/>
        </w:rPr>
        <w:t>WHEREAS, the Lenders and the Administrative Agent are willing to amend and waive the Credit Agreement as provided for herein, but only on the terms and conditions contained herein;</w:t>
      </w:r>
    </w:p>
    <w:p>
      <w:pPr>
        <w:spacing w:after="0" w:line="188" w:lineRule="exact"/>
        <w:rPr>
          <w:sz w:val="20"/>
          <w:szCs w:val="20"/>
          <w:color w:val="auto"/>
        </w:rPr>
      </w:pPr>
    </w:p>
    <w:p>
      <w:pPr>
        <w:ind w:right="2839" w:firstLine="1135"/>
        <w:spacing w:after="0" w:line="237" w:lineRule="auto"/>
        <w:rPr>
          <w:sz w:val="20"/>
          <w:szCs w:val="20"/>
          <w:color w:val="auto"/>
        </w:rPr>
      </w:pPr>
      <w:r>
        <w:rPr>
          <w:rFonts w:ascii="Courier New" w:cs="Courier New" w:eastAsia="Courier New" w:hAnsi="Courier New"/>
          <w:sz w:val="16"/>
          <w:szCs w:val="16"/>
          <w:color w:val="auto"/>
        </w:rPr>
        <w:t>NOW, THEREFORE, in consideration of the premises and of the mutual agreements herein contained, the parties hereto agree as follows:</w:t>
      </w:r>
    </w:p>
    <w:p>
      <w:pPr>
        <w:spacing w:after="0" w:line="188" w:lineRule="exact"/>
        <w:rPr>
          <w:sz w:val="20"/>
          <w:szCs w:val="20"/>
          <w:color w:val="auto"/>
        </w:rPr>
      </w:pPr>
    </w:p>
    <w:p>
      <w:pPr>
        <w:ind w:right="2759" w:firstLine="564"/>
        <w:spacing w:after="0" w:line="238" w:lineRule="auto"/>
        <w:tabs>
          <w:tab w:leader="none" w:pos="851"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Terms. Unless otherwise defined herein, capitalized terms used herein shall have the respective meanings assigned to them in this Fourth Amendment and the Credit Agreement.</w:t>
      </w:r>
    </w:p>
    <w:p>
      <w:pPr>
        <w:spacing w:after="0" w:line="370" w:lineRule="exact"/>
        <w:rPr>
          <w:rFonts w:ascii="Courier New" w:cs="Courier New" w:eastAsia="Courier New" w:hAnsi="Courier New"/>
          <w:sz w:val="16"/>
          <w:szCs w:val="16"/>
          <w:color w:val="auto"/>
        </w:rPr>
      </w:pPr>
    </w:p>
    <w:p>
      <w:pPr>
        <w:ind w:right="3119" w:firstLine="564"/>
        <w:spacing w:after="0" w:line="239" w:lineRule="auto"/>
        <w:tabs>
          <w:tab w:leader="none" w:pos="851"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of Section 2.12(g). The Lenders hereby agree to waive the provisions of Section 2.12(g) of the Credit Agreement requiring that the Prepayment Date be 10 Business Days after the date of a Prepayment Option Notice; provided that any such Prepayment Date shall be not less than three Business Days after the date of a Prepayment Option Notice.</w:t>
      </w:r>
    </w:p>
    <w:p>
      <w:pPr>
        <w:sectPr>
          <w:pgSz w:w="11900" w:h="16838" w:orient="portrait"/>
          <w:cols w:equalWidth="0" w:num="1">
            <w:col w:w="10219"/>
          </w:cols>
          <w:pgMar w:left="240" w:top="320" w:right="1440" w:bottom="1440" w:gutter="0" w:footer="0" w:header="0"/>
        </w:sectPr>
      </w:pPr>
    </w:p>
    <w:bookmarkStart w:id="194" w:name="page195"/>
    <w:bookmarkEnd w:id="194"/>
    <w:p>
      <w:pPr>
        <w:ind w:left="563"/>
        <w:spacing w:after="0"/>
        <w:rPr>
          <w:sz w:val="20"/>
          <w:szCs w:val="20"/>
          <w:color w:val="auto"/>
        </w:rPr>
      </w:pPr>
      <w:r>
        <w:rPr>
          <w:rFonts w:ascii="Courier New" w:cs="Courier New" w:eastAsia="Courier New" w:hAnsi="Courier New"/>
          <w:sz w:val="16"/>
          <w:szCs w:val="16"/>
          <w:color w:val="auto"/>
        </w:rPr>
        <w:t>3. Amendment to Section 7.6(e) (Limitations on Indebtedness). Section</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7.6(e) is hereby amended by deleting the amount "$225,000,000" from subparagraph</w:t>
      </w:r>
    </w:p>
    <w:p>
      <w:pPr>
        <w:spacing w:after="0" w:line="8" w:lineRule="exact"/>
        <w:rPr>
          <w:sz w:val="20"/>
          <w:szCs w:val="20"/>
          <w:color w:val="auto"/>
        </w:rPr>
      </w:pPr>
    </w:p>
    <w:p>
      <w:pPr>
        <w:ind w:left="463" w:hanging="463"/>
        <w:spacing w:after="0"/>
        <w:tabs>
          <w:tab w:leader="none" w:pos="463"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thereto and inserting, in lieu thereof, the amount "$270,000,000".</w:t>
      </w:r>
    </w:p>
    <w:p>
      <w:pPr>
        <w:spacing w:after="0" w:line="200" w:lineRule="exact"/>
        <w:rPr>
          <w:rFonts w:ascii="Courier New" w:cs="Courier New" w:eastAsia="Courier New" w:hAnsi="Courier New"/>
          <w:sz w:val="16"/>
          <w:szCs w:val="16"/>
          <w:color w:val="auto"/>
        </w:rPr>
      </w:pPr>
    </w:p>
    <w:p>
      <w:pPr>
        <w:spacing w:after="0" w:line="350" w:lineRule="exact"/>
        <w:rPr>
          <w:rFonts w:ascii="Courier New" w:cs="Courier New" w:eastAsia="Courier New" w:hAnsi="Courier New"/>
          <w:sz w:val="16"/>
          <w:szCs w:val="16"/>
          <w:color w:val="auto"/>
        </w:rPr>
      </w:pPr>
    </w:p>
    <w:p>
      <w:pPr>
        <w:ind w:left="3" w:right="2839" w:firstLine="564"/>
        <w:spacing w:after="0" w:line="239" w:lineRule="auto"/>
        <w:tabs>
          <w:tab w:leader="none" w:pos="854" w:val="left"/>
        </w:tabs>
        <w:numPr>
          <w:ilvl w:val="1"/>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Prepayments. The Borrower hereby agrees to make prepayments in accordance with the provisions of Sections 2.11 of the Credit Agreement of all Net Cash Proceeds received by it in connection with the issuance of the New Senior Subordinated Notes.</w:t>
      </w:r>
    </w:p>
    <w:p>
      <w:pPr>
        <w:spacing w:after="0" w:line="187" w:lineRule="exact"/>
        <w:rPr>
          <w:rFonts w:ascii="Courier New" w:cs="Courier New" w:eastAsia="Courier New" w:hAnsi="Courier New"/>
          <w:sz w:val="16"/>
          <w:szCs w:val="16"/>
          <w:color w:val="auto"/>
        </w:rPr>
      </w:pPr>
    </w:p>
    <w:p>
      <w:pPr>
        <w:ind w:left="3" w:right="2659" w:firstLine="564"/>
        <w:spacing w:after="0"/>
        <w:tabs>
          <w:tab w:leader="none" w:pos="854" w:val="left"/>
        </w:tabs>
        <w:numPr>
          <w:ilvl w:val="1"/>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On and as of the date hereof, and after giving effect to this Fourth Amendment, each of the Borrower and each Subsidiary Borrower hereby confirms, reaffirms and restates the representations and warranties set forth in Section 4 of the Credit Agreement mutatis mutandis, and to the extent that such representations and warranties expressly relate to a specific earlier date in which case each of the Borrower and each applicable Subsidiary Borrower hereby confirms, reaffirms and restates such representations and warranties as of such earlier date.</w:t>
      </w:r>
    </w:p>
    <w:p>
      <w:pPr>
        <w:spacing w:after="0" w:line="186" w:lineRule="exact"/>
        <w:rPr>
          <w:rFonts w:ascii="Courier New" w:cs="Courier New" w:eastAsia="Courier New" w:hAnsi="Courier New"/>
          <w:sz w:val="16"/>
          <w:szCs w:val="16"/>
          <w:color w:val="auto"/>
        </w:rPr>
      </w:pPr>
    </w:p>
    <w:p>
      <w:pPr>
        <w:ind w:left="3" w:right="2839" w:firstLine="564"/>
        <w:spacing w:after="0" w:line="239" w:lineRule="auto"/>
        <w:tabs>
          <w:tab w:leader="none" w:pos="854" w:val="left"/>
        </w:tabs>
        <w:numPr>
          <w:ilvl w:val="1"/>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to Effectiveness. This Fourth Amendment shall become effective as of the date the Administrative Agent has received counterparts of this Fourth Amendment, duly executed and delivered by the Borrower, each Subsidiary Borrower, the Administrative Agent and the Required Lenders.</w:t>
      </w:r>
    </w:p>
    <w:p>
      <w:pPr>
        <w:spacing w:after="0" w:line="369" w:lineRule="exact"/>
        <w:rPr>
          <w:rFonts w:ascii="Courier New" w:cs="Courier New" w:eastAsia="Courier New" w:hAnsi="Courier New"/>
          <w:sz w:val="16"/>
          <w:szCs w:val="16"/>
          <w:color w:val="auto"/>
        </w:rPr>
      </w:pPr>
    </w:p>
    <w:p>
      <w:pPr>
        <w:ind w:left="3" w:right="2659" w:firstLine="564"/>
        <w:spacing w:after="0" w:line="258" w:lineRule="auto"/>
        <w:tabs>
          <w:tab w:leader="none" w:pos="854"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Effect; No Other Amendments. Except as expressly amended or waived hereby, all of the terms and provisions of the Credit Agreement are and shall remain in full force and effect. The amendments provided for herein are limited to the specific subsections of the Credit Agreement specified herein and shall not constitute an amendment of, or an indication of any Lender's willingness to amend or waive, any other provisions of the Credit Agreement or the same subsections for any other date or time period (whether or not other provisions or compliance with such subsections for another date or time period are affected by the circumstances addressed in this Fourth Amendment).</w:t>
      </w:r>
    </w:p>
    <w:p>
      <w:pPr>
        <w:spacing w:after="0" w:line="174" w:lineRule="exact"/>
        <w:rPr>
          <w:rFonts w:ascii="Courier New" w:cs="Courier New" w:eastAsia="Courier New" w:hAnsi="Courier New"/>
          <w:sz w:val="15"/>
          <w:szCs w:val="15"/>
          <w:color w:val="auto"/>
        </w:rPr>
      </w:pPr>
    </w:p>
    <w:p>
      <w:pPr>
        <w:ind w:left="3" w:right="2659" w:firstLine="564"/>
        <w:spacing w:after="0" w:line="260" w:lineRule="auto"/>
        <w:tabs>
          <w:tab w:leader="none" w:pos="854"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The Borrower agrees to pay and reimburse the Administrative Agent for all its reasonable costs and expenses incurred in connection with the preparation and delivery of this Fourth Amendment, including, without limitation the reasonable fees and disbursements of counsel to the Administrative Agent.</w:t>
      </w:r>
    </w:p>
    <w:p>
      <w:pPr>
        <w:spacing w:after="0" w:line="351" w:lineRule="exact"/>
        <w:rPr>
          <w:rFonts w:ascii="Courier New" w:cs="Courier New" w:eastAsia="Courier New" w:hAnsi="Courier New"/>
          <w:sz w:val="15"/>
          <w:szCs w:val="15"/>
          <w:color w:val="auto"/>
        </w:rPr>
      </w:pPr>
    </w:p>
    <w:p>
      <w:pPr>
        <w:ind w:left="843" w:hanging="276"/>
        <w:spacing w:after="0"/>
        <w:tabs>
          <w:tab w:leader="none" w:pos="843" w:val="left"/>
        </w:tabs>
        <w:numPr>
          <w:ilvl w:val="1"/>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FOURTH AMENDMENT SHALL BE GOVERNED BY, AND</w:t>
      </w:r>
    </w:p>
    <w:p>
      <w:pPr>
        <w:spacing w:after="0" w:line="4"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CONSTRUED AND INTERPRETED IN ACCORDANCE WITH, THE LAWS OF THE STATE OF NEW YORK.</w:t>
      </w:r>
    </w:p>
    <w:p>
      <w:pPr>
        <w:spacing w:after="0" w:line="375" w:lineRule="exact"/>
        <w:rPr>
          <w:rFonts w:ascii="Courier New" w:cs="Courier New" w:eastAsia="Courier New" w:hAnsi="Courier New"/>
          <w:sz w:val="16"/>
          <w:szCs w:val="16"/>
          <w:color w:val="auto"/>
        </w:rPr>
      </w:pPr>
    </w:p>
    <w:p>
      <w:pPr>
        <w:ind w:left="3" w:right="3039" w:firstLine="564"/>
        <w:spacing w:after="0" w:line="262" w:lineRule="auto"/>
        <w:tabs>
          <w:tab w:leader="none" w:pos="949"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Fourth Amendment may be executed by the parties hereto in any number of separate counterparts, and all of said counterparts taken together shall be deemed to constitute one and the same instrument.</w:t>
      </w:r>
    </w:p>
    <w:p>
      <w:pPr>
        <w:sectPr>
          <w:pgSz w:w="11900" w:h="16838" w:orient="portrait"/>
          <w:cols w:equalWidth="0" w:num="1">
            <w:col w:w="10222"/>
          </w:cols>
          <w:pgMar w:left="237" w:top="477" w:right="1440" w:bottom="1440" w:gutter="0" w:footer="0" w:header="0"/>
        </w:sectPr>
      </w:pPr>
    </w:p>
    <w:bookmarkStart w:id="195" w:name="page196"/>
    <w:bookmarkEnd w:id="195"/>
    <w:p>
      <w:pPr>
        <w:jc w:val="both"/>
        <w:ind w:right="2839" w:firstLine="567"/>
        <w:spacing w:after="0" w:line="238" w:lineRule="auto"/>
        <w:rPr>
          <w:sz w:val="20"/>
          <w:szCs w:val="20"/>
          <w:color w:val="auto"/>
        </w:rPr>
      </w:pPr>
      <w:r>
        <w:rPr>
          <w:rFonts w:ascii="Courier New" w:cs="Courier New" w:eastAsia="Courier New" w:hAnsi="Courier New"/>
          <w:sz w:val="16"/>
          <w:szCs w:val="16"/>
          <w:color w:val="auto"/>
        </w:rPr>
        <w:t>IN WITNESS WHEREOF, the parties hereto have caused this Fourth Amendment to be duly executed and delivered by their proper and duly authorized officers as of the day and year first above written.</w:t>
      </w:r>
    </w:p>
    <w:p>
      <w:pPr>
        <w:spacing w:after="0" w:line="184"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THE SCOTTS COMPANY</w:t>
      </w:r>
    </w:p>
    <w:p>
      <w:pPr>
        <w:spacing w:after="0" w:line="364" w:lineRule="exact"/>
        <w:rPr>
          <w:sz w:val="20"/>
          <w:szCs w:val="20"/>
          <w:color w:val="auto"/>
        </w:rPr>
      </w:pPr>
    </w:p>
    <w:tbl>
      <w:tblPr>
        <w:tblLayout w:type="fixed"/>
        <w:tblInd w:w="3880" w:type="dxa"/>
        <w:tblCellMar>
          <w:top w:w="0" w:type="dxa"/>
          <w:left w:w="0" w:type="dxa"/>
          <w:bottom w:w="0" w:type="dxa"/>
          <w:right w:w="0" w:type="dxa"/>
        </w:tblCellMar>
      </w:tblPr>
      <w:tr>
        <w:trPr>
          <w:trHeight w:val="181"/>
        </w:trPr>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By: /s/</w:t>
            </w:r>
          </w:p>
        </w:tc>
        <w:tc>
          <w:tcPr>
            <w:tcW w:w="2740" w:type="dxa"/>
            <w:vAlign w:val="bottom"/>
          </w:tcPr>
          <w:p>
            <w:pPr>
              <w:spacing w:after="0"/>
              <w:rPr>
                <w:sz w:val="20"/>
                <w:szCs w:val="20"/>
                <w:color w:val="auto"/>
              </w:rPr>
            </w:pPr>
            <w:r>
              <w:rPr>
                <w:rFonts w:ascii="Courier New" w:cs="Courier New" w:eastAsia="Courier New" w:hAnsi="Courier New"/>
                <w:sz w:val="16"/>
                <w:szCs w:val="16"/>
                <w:color w:val="auto"/>
              </w:rPr>
              <w:t>Rebecca J. Bruening</w:t>
            </w:r>
          </w:p>
        </w:tc>
      </w:tr>
      <w:tr>
        <w:trPr>
          <w:trHeight w:val="182"/>
        </w:trPr>
        <w:tc>
          <w:tcPr>
            <w:tcW w:w="35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r>
      <w:tr>
        <w:trPr>
          <w:trHeight w:val="182"/>
        </w:trPr>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Name:</w:t>
            </w:r>
          </w:p>
        </w:tc>
        <w:tc>
          <w:tcPr>
            <w:tcW w:w="2740" w:type="dxa"/>
            <w:vAlign w:val="bottom"/>
          </w:tcPr>
          <w:p>
            <w:pPr>
              <w:ind w:left="80"/>
              <w:spacing w:after="0"/>
              <w:rPr>
                <w:sz w:val="20"/>
                <w:szCs w:val="20"/>
                <w:color w:val="auto"/>
              </w:rPr>
            </w:pPr>
            <w:r>
              <w:rPr>
                <w:rFonts w:ascii="Courier New" w:cs="Courier New" w:eastAsia="Courier New" w:hAnsi="Courier New"/>
                <w:sz w:val="16"/>
                <w:szCs w:val="16"/>
                <w:color w:val="auto"/>
              </w:rPr>
              <w:t>Rebecca J. Bruening</w:t>
            </w:r>
          </w:p>
        </w:tc>
      </w:tr>
      <w:tr>
        <w:trPr>
          <w:trHeight w:val="182"/>
        </w:trPr>
        <w:tc>
          <w:tcPr>
            <w:tcW w:w="35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8"/>
              </w:rPr>
              <w:t>Title: Vice President and Treasurer</w:t>
            </w:r>
          </w:p>
        </w:tc>
      </w:tr>
      <w:tr>
        <w:trPr>
          <w:trHeight w:val="364"/>
        </w:trPr>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ASEF B.V</w:t>
            </w:r>
          </w:p>
        </w:tc>
        <w:tc>
          <w:tcPr>
            <w:tcW w:w="2740" w:type="dxa"/>
            <w:vAlign w:val="bottom"/>
          </w:tcPr>
          <w:p>
            <w:pPr>
              <w:spacing w:after="0"/>
              <w:rPr>
                <w:sz w:val="24"/>
                <w:szCs w:val="24"/>
                <w:color w:val="auto"/>
              </w:rPr>
            </w:pPr>
          </w:p>
        </w:tc>
      </w:tr>
      <w:tr>
        <w:trPr>
          <w:trHeight w:val="546"/>
        </w:trPr>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By: /s/</w:t>
            </w:r>
          </w:p>
        </w:tc>
        <w:tc>
          <w:tcPr>
            <w:tcW w:w="2740" w:type="dxa"/>
            <w:vAlign w:val="bottom"/>
          </w:tcPr>
          <w:p>
            <w:pPr>
              <w:spacing w:after="0"/>
              <w:rPr>
                <w:sz w:val="20"/>
                <w:szCs w:val="20"/>
                <w:color w:val="auto"/>
              </w:rPr>
            </w:pPr>
            <w:r>
              <w:rPr>
                <w:rFonts w:ascii="Courier New" w:cs="Courier New" w:eastAsia="Courier New" w:hAnsi="Courier New"/>
                <w:sz w:val="16"/>
                <w:szCs w:val="16"/>
                <w:color w:val="auto"/>
              </w:rPr>
              <w:t>Rebecca J. Bruening</w:t>
            </w:r>
          </w:p>
        </w:tc>
      </w:tr>
      <w:tr>
        <w:trPr>
          <w:trHeight w:val="182"/>
        </w:trPr>
        <w:tc>
          <w:tcPr>
            <w:tcW w:w="35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r>
      <w:tr>
        <w:trPr>
          <w:trHeight w:val="182"/>
        </w:trPr>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Name:</w:t>
            </w:r>
          </w:p>
        </w:tc>
        <w:tc>
          <w:tcPr>
            <w:tcW w:w="2740" w:type="dxa"/>
            <w:vAlign w:val="bottom"/>
          </w:tcPr>
          <w:p>
            <w:pPr>
              <w:ind w:left="80"/>
              <w:spacing w:after="0"/>
              <w:rPr>
                <w:sz w:val="20"/>
                <w:szCs w:val="20"/>
                <w:color w:val="auto"/>
              </w:rPr>
            </w:pPr>
            <w:r>
              <w:rPr>
                <w:rFonts w:ascii="Courier New" w:cs="Courier New" w:eastAsia="Courier New" w:hAnsi="Courier New"/>
                <w:sz w:val="16"/>
                <w:szCs w:val="16"/>
                <w:color w:val="auto"/>
              </w:rPr>
              <w:t>Rebecca J. Bruening</w:t>
            </w:r>
          </w:p>
        </w:tc>
      </w:tr>
      <w:tr>
        <w:trPr>
          <w:trHeight w:val="182"/>
        </w:trPr>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Title:</w:t>
            </w:r>
          </w:p>
        </w:tc>
        <w:tc>
          <w:tcPr>
            <w:tcW w:w="2740" w:type="dxa"/>
            <w:vAlign w:val="bottom"/>
          </w:tcPr>
          <w:p>
            <w:pPr>
              <w:ind w:left="80"/>
              <w:spacing w:after="0"/>
              <w:rPr>
                <w:sz w:val="20"/>
                <w:szCs w:val="20"/>
                <w:color w:val="auto"/>
              </w:rPr>
            </w:pPr>
            <w:r>
              <w:rPr>
                <w:rFonts w:ascii="Courier New" w:cs="Courier New" w:eastAsia="Courier New" w:hAnsi="Courier New"/>
                <w:sz w:val="16"/>
                <w:szCs w:val="16"/>
                <w:color w:val="auto"/>
                <w:w w:val="98"/>
              </w:rPr>
              <w:t>Vice President and Treasurer</w:t>
            </w:r>
          </w:p>
        </w:tc>
      </w:tr>
      <w:tr>
        <w:trPr>
          <w:trHeight w:val="364"/>
        </w:trPr>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HYPONEX</w:t>
            </w:r>
          </w:p>
        </w:tc>
        <w:tc>
          <w:tcPr>
            <w:tcW w:w="2740" w:type="dxa"/>
            <w:vAlign w:val="bottom"/>
          </w:tcPr>
          <w:p>
            <w:pPr>
              <w:spacing w:after="0"/>
              <w:rPr>
                <w:sz w:val="20"/>
                <w:szCs w:val="20"/>
                <w:color w:val="auto"/>
              </w:rPr>
            </w:pPr>
            <w:r>
              <w:rPr>
                <w:rFonts w:ascii="Courier New" w:cs="Courier New" w:eastAsia="Courier New" w:hAnsi="Courier New"/>
                <w:sz w:val="16"/>
                <w:szCs w:val="16"/>
                <w:color w:val="auto"/>
              </w:rPr>
              <w:t>CORPORATION</w:t>
            </w:r>
          </w:p>
        </w:tc>
      </w:tr>
      <w:tr>
        <w:trPr>
          <w:trHeight w:val="546"/>
        </w:trPr>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By: /s/</w:t>
            </w:r>
          </w:p>
        </w:tc>
        <w:tc>
          <w:tcPr>
            <w:tcW w:w="2740" w:type="dxa"/>
            <w:vAlign w:val="bottom"/>
          </w:tcPr>
          <w:p>
            <w:pPr>
              <w:ind w:left="80"/>
              <w:spacing w:after="0"/>
              <w:rPr>
                <w:sz w:val="20"/>
                <w:szCs w:val="20"/>
                <w:color w:val="auto"/>
              </w:rPr>
            </w:pPr>
            <w:r>
              <w:rPr>
                <w:rFonts w:ascii="Courier New" w:cs="Courier New" w:eastAsia="Courier New" w:hAnsi="Courier New"/>
                <w:sz w:val="16"/>
                <w:szCs w:val="16"/>
                <w:color w:val="auto"/>
              </w:rPr>
              <w:t>Rebecca J. Bruening</w:t>
            </w:r>
          </w:p>
        </w:tc>
      </w:tr>
      <w:tr>
        <w:trPr>
          <w:trHeight w:val="182"/>
        </w:trPr>
        <w:tc>
          <w:tcPr>
            <w:tcW w:w="35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r>
      <w:tr>
        <w:trPr>
          <w:trHeight w:val="182"/>
        </w:trPr>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Name:</w:t>
            </w:r>
          </w:p>
        </w:tc>
        <w:tc>
          <w:tcPr>
            <w:tcW w:w="2740" w:type="dxa"/>
            <w:vAlign w:val="bottom"/>
          </w:tcPr>
          <w:p>
            <w:pPr>
              <w:ind w:left="80"/>
              <w:spacing w:after="0"/>
              <w:rPr>
                <w:sz w:val="20"/>
                <w:szCs w:val="20"/>
                <w:color w:val="auto"/>
              </w:rPr>
            </w:pPr>
            <w:r>
              <w:rPr>
                <w:rFonts w:ascii="Courier New" w:cs="Courier New" w:eastAsia="Courier New" w:hAnsi="Courier New"/>
                <w:sz w:val="16"/>
                <w:szCs w:val="16"/>
                <w:color w:val="auto"/>
              </w:rPr>
              <w:t>Rebecca J. Bruening</w:t>
            </w:r>
          </w:p>
        </w:tc>
      </w:tr>
      <w:tr>
        <w:trPr>
          <w:trHeight w:val="182"/>
        </w:trPr>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Title:</w:t>
            </w:r>
          </w:p>
        </w:tc>
        <w:tc>
          <w:tcPr>
            <w:tcW w:w="2740" w:type="dxa"/>
            <w:vAlign w:val="bottom"/>
          </w:tcPr>
          <w:p>
            <w:pPr>
              <w:ind w:left="80"/>
              <w:spacing w:after="0"/>
              <w:rPr>
                <w:sz w:val="20"/>
                <w:szCs w:val="20"/>
                <w:color w:val="auto"/>
              </w:rPr>
            </w:pPr>
            <w:r>
              <w:rPr>
                <w:rFonts w:ascii="Courier New" w:cs="Courier New" w:eastAsia="Courier New" w:hAnsi="Courier New"/>
                <w:sz w:val="16"/>
                <w:szCs w:val="16"/>
                <w:color w:val="auto"/>
                <w:w w:val="98"/>
              </w:rPr>
              <w:t>Vice President and Treasurer</w:t>
            </w:r>
          </w:p>
        </w:tc>
      </w:tr>
      <w:tr>
        <w:trPr>
          <w:trHeight w:val="364"/>
        </w:trPr>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MIRACLE</w:t>
            </w:r>
          </w:p>
        </w:tc>
        <w:tc>
          <w:tcPr>
            <w:tcW w:w="2740" w:type="dxa"/>
            <w:vAlign w:val="bottom"/>
          </w:tcPr>
          <w:p>
            <w:pPr>
              <w:spacing w:after="0"/>
              <w:rPr>
                <w:sz w:val="20"/>
                <w:szCs w:val="20"/>
                <w:color w:val="auto"/>
              </w:rPr>
            </w:pPr>
            <w:r>
              <w:rPr>
                <w:rFonts w:ascii="Courier New" w:cs="Courier New" w:eastAsia="Courier New" w:hAnsi="Courier New"/>
                <w:sz w:val="16"/>
                <w:szCs w:val="16"/>
                <w:color w:val="auto"/>
              </w:rPr>
              <w:t>GARDEN CARE LIMITED</w:t>
            </w:r>
          </w:p>
        </w:tc>
      </w:tr>
      <w:tr>
        <w:trPr>
          <w:trHeight w:val="546"/>
        </w:trPr>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By: /s/</w:t>
            </w:r>
          </w:p>
        </w:tc>
        <w:tc>
          <w:tcPr>
            <w:tcW w:w="2740" w:type="dxa"/>
            <w:vAlign w:val="bottom"/>
          </w:tcPr>
          <w:p>
            <w:pPr>
              <w:spacing w:after="0"/>
              <w:rPr>
                <w:sz w:val="20"/>
                <w:szCs w:val="20"/>
                <w:color w:val="auto"/>
              </w:rPr>
            </w:pPr>
            <w:r>
              <w:rPr>
                <w:rFonts w:ascii="Courier New" w:cs="Courier New" w:eastAsia="Courier New" w:hAnsi="Courier New"/>
                <w:sz w:val="16"/>
                <w:szCs w:val="16"/>
                <w:color w:val="auto"/>
              </w:rPr>
              <w:t>Rebecca J. Bruening</w:t>
            </w:r>
          </w:p>
        </w:tc>
      </w:tr>
      <w:tr>
        <w:trPr>
          <w:trHeight w:val="182"/>
        </w:trPr>
        <w:tc>
          <w:tcPr>
            <w:tcW w:w="35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r>
      <w:tr>
        <w:trPr>
          <w:trHeight w:val="182"/>
        </w:trPr>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Name:</w:t>
            </w:r>
          </w:p>
        </w:tc>
        <w:tc>
          <w:tcPr>
            <w:tcW w:w="2740" w:type="dxa"/>
            <w:vAlign w:val="bottom"/>
          </w:tcPr>
          <w:p>
            <w:pPr>
              <w:ind w:left="80"/>
              <w:spacing w:after="0"/>
              <w:rPr>
                <w:sz w:val="20"/>
                <w:szCs w:val="20"/>
                <w:color w:val="auto"/>
              </w:rPr>
            </w:pPr>
            <w:r>
              <w:rPr>
                <w:rFonts w:ascii="Courier New" w:cs="Courier New" w:eastAsia="Courier New" w:hAnsi="Courier New"/>
                <w:sz w:val="16"/>
                <w:szCs w:val="16"/>
                <w:color w:val="auto"/>
              </w:rPr>
              <w:t>Rebecca J. Bruening</w:t>
            </w:r>
          </w:p>
        </w:tc>
      </w:tr>
      <w:tr>
        <w:trPr>
          <w:trHeight w:val="182"/>
        </w:trPr>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Title:</w:t>
            </w:r>
          </w:p>
        </w:tc>
        <w:tc>
          <w:tcPr>
            <w:tcW w:w="2740" w:type="dxa"/>
            <w:vAlign w:val="bottom"/>
          </w:tcPr>
          <w:p>
            <w:pPr>
              <w:ind w:left="80"/>
              <w:spacing w:after="0"/>
              <w:rPr>
                <w:sz w:val="20"/>
                <w:szCs w:val="20"/>
                <w:color w:val="auto"/>
              </w:rPr>
            </w:pPr>
            <w:r>
              <w:rPr>
                <w:rFonts w:ascii="Courier New" w:cs="Courier New" w:eastAsia="Courier New" w:hAnsi="Courier New"/>
                <w:sz w:val="16"/>
                <w:szCs w:val="16"/>
                <w:color w:val="auto"/>
              </w:rPr>
              <w:t>Power of Attorney</w:t>
            </w:r>
          </w:p>
        </w:tc>
      </w:tr>
      <w:tr>
        <w:trPr>
          <w:trHeight w:val="364"/>
        </w:trPr>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OM SCOTT</w:t>
            </w:r>
          </w:p>
        </w:tc>
        <w:tc>
          <w:tcPr>
            <w:tcW w:w="2740" w:type="dxa"/>
            <w:vAlign w:val="bottom"/>
          </w:tcPr>
          <w:p>
            <w:pPr>
              <w:ind w:left="80"/>
              <w:spacing w:after="0"/>
              <w:rPr>
                <w:sz w:val="20"/>
                <w:szCs w:val="20"/>
                <w:color w:val="auto"/>
              </w:rPr>
            </w:pPr>
            <w:r>
              <w:rPr>
                <w:rFonts w:ascii="Courier New" w:cs="Courier New" w:eastAsia="Courier New" w:hAnsi="Courier New"/>
                <w:sz w:val="16"/>
                <w:szCs w:val="16"/>
                <w:color w:val="auto"/>
              </w:rPr>
              <w:t>INTERNATIONAL</w:t>
            </w:r>
          </w:p>
        </w:tc>
      </w:tr>
      <w:tr>
        <w:trPr>
          <w:trHeight w:val="182"/>
        </w:trPr>
        <w:tc>
          <w:tcPr>
            <w:tcW w:w="35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INVESTMENTS LTD.</w:t>
            </w:r>
          </w:p>
        </w:tc>
      </w:tr>
      <w:tr>
        <w:trPr>
          <w:trHeight w:val="546"/>
        </w:trPr>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By: /s/</w:t>
            </w:r>
          </w:p>
        </w:tc>
        <w:tc>
          <w:tcPr>
            <w:tcW w:w="2740" w:type="dxa"/>
            <w:vAlign w:val="bottom"/>
          </w:tcPr>
          <w:p>
            <w:pPr>
              <w:spacing w:after="0"/>
              <w:rPr>
                <w:sz w:val="20"/>
                <w:szCs w:val="20"/>
                <w:color w:val="auto"/>
              </w:rPr>
            </w:pPr>
            <w:r>
              <w:rPr>
                <w:rFonts w:ascii="Courier New" w:cs="Courier New" w:eastAsia="Courier New" w:hAnsi="Courier New"/>
                <w:sz w:val="16"/>
                <w:szCs w:val="16"/>
                <w:color w:val="auto"/>
              </w:rPr>
              <w:t>Rebecca J. Bruening</w:t>
            </w:r>
          </w:p>
        </w:tc>
      </w:tr>
      <w:tr>
        <w:trPr>
          <w:trHeight w:val="182"/>
        </w:trPr>
        <w:tc>
          <w:tcPr>
            <w:tcW w:w="35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r>
      <w:tr>
        <w:trPr>
          <w:trHeight w:val="182"/>
        </w:trPr>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Name:</w:t>
            </w:r>
          </w:p>
        </w:tc>
        <w:tc>
          <w:tcPr>
            <w:tcW w:w="2740" w:type="dxa"/>
            <w:vAlign w:val="bottom"/>
          </w:tcPr>
          <w:p>
            <w:pPr>
              <w:ind w:left="80"/>
              <w:spacing w:after="0"/>
              <w:rPr>
                <w:sz w:val="20"/>
                <w:szCs w:val="20"/>
                <w:color w:val="auto"/>
              </w:rPr>
            </w:pPr>
            <w:r>
              <w:rPr>
                <w:rFonts w:ascii="Courier New" w:cs="Courier New" w:eastAsia="Courier New" w:hAnsi="Courier New"/>
                <w:sz w:val="16"/>
                <w:szCs w:val="16"/>
                <w:color w:val="auto"/>
              </w:rPr>
              <w:t>Rebecca J. Bruening</w:t>
            </w:r>
          </w:p>
        </w:tc>
      </w:tr>
      <w:tr>
        <w:trPr>
          <w:trHeight w:val="182"/>
        </w:trPr>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Title:</w:t>
            </w:r>
          </w:p>
        </w:tc>
        <w:tc>
          <w:tcPr>
            <w:tcW w:w="2740" w:type="dxa"/>
            <w:vAlign w:val="bottom"/>
          </w:tcPr>
          <w:p>
            <w:pPr>
              <w:ind w:left="80"/>
              <w:spacing w:after="0"/>
              <w:rPr>
                <w:sz w:val="20"/>
                <w:szCs w:val="20"/>
                <w:color w:val="auto"/>
              </w:rPr>
            </w:pPr>
            <w:r>
              <w:rPr>
                <w:rFonts w:ascii="Courier New" w:cs="Courier New" w:eastAsia="Courier New" w:hAnsi="Courier New"/>
                <w:sz w:val="16"/>
                <w:szCs w:val="16"/>
                <w:color w:val="auto"/>
              </w:rPr>
              <w:t>Power of Attorney</w:t>
            </w:r>
          </w:p>
        </w:tc>
      </w:tr>
    </w:tbl>
    <w:p>
      <w:pPr>
        <w:sectPr>
          <w:pgSz w:w="11900" w:h="16838" w:orient="portrait"/>
          <w:cols w:equalWidth="0" w:num="1">
            <w:col w:w="10219"/>
          </w:cols>
          <w:pgMar w:left="240" w:top="481" w:right="1440" w:bottom="1440" w:gutter="0" w:footer="0" w:header="0"/>
        </w:sectPr>
      </w:pPr>
    </w:p>
    <w:bookmarkStart w:id="196" w:name="page197"/>
    <w:bookmarkEnd w:id="196"/>
    <w:p>
      <w:pPr>
        <w:ind w:left="2680"/>
        <w:spacing w:after="0"/>
        <w:rPr>
          <w:sz w:val="20"/>
          <w:szCs w:val="20"/>
          <w:color w:val="auto"/>
        </w:rPr>
      </w:pPr>
      <w:r>
        <w:rPr>
          <w:rFonts w:ascii="Courier New" w:cs="Courier New" w:eastAsia="Courier New" w:hAnsi="Courier New"/>
          <w:sz w:val="16"/>
          <w:szCs w:val="16"/>
          <w:color w:val="auto"/>
        </w:rPr>
        <w:t>SCOTTS AUSTRALIA PTY. LTD</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Rebecca J. Bruening</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60"/>
        <w:spacing w:after="0"/>
        <w:tabs>
          <w:tab w:leader="none" w:pos="350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Title: Power of Attorney</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SCOTTS BENELUX B.V.B.A.</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Rebecca J. Bruening</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60"/>
        <w:spacing w:after="0"/>
        <w:tabs>
          <w:tab w:leader="none" w:pos="350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Title:</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SCOTTS CANADA LTD.</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Rebecca J. Bruening</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5"/>
          <w:szCs w:val="15"/>
          <w:color w:val="auto"/>
        </w:rPr>
        <w:t>Name:</w:t>
        <w:tab/>
        <w:t>Rebecca J. Bruening</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Power of Attorney</w:t>
      </w:r>
    </w:p>
    <w:p>
      <w:pPr>
        <w:spacing w:after="0" w:line="36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SCOTTS CELAFLOR GMBH &amp; CO. KG</w:t>
      </w:r>
    </w:p>
    <w:p>
      <w:pPr>
        <w:spacing w:after="0" w:line="372"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Rebecca J. Bruening</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60"/>
        <w:spacing w:after="0"/>
        <w:tabs>
          <w:tab w:leader="none" w:pos="350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Title:</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SCOTTS FRANCE HOLDINGS SARL</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Rebecca J. Bruening</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5"/>
          <w:szCs w:val="15"/>
          <w:color w:val="auto"/>
        </w:rPr>
        <w:t>Name:</w:t>
        <w:tab/>
        <w:t>Rebecca J. Bruening</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SCOTTS FRANCE SARL</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Rebecca J. Bruening</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60"/>
        <w:spacing w:after="0"/>
        <w:tabs>
          <w:tab w:leader="none" w:pos="350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9019"/>
          </w:cols>
          <w:pgMar w:left="1440" w:top="477" w:right="1440" w:bottom="1440" w:gutter="0" w:footer="0" w:header="0"/>
        </w:sectPr>
      </w:pPr>
    </w:p>
    <w:bookmarkStart w:id="197" w:name="page198"/>
    <w:bookmarkEnd w:id="197"/>
    <w:p>
      <w:pPr>
        <w:ind w:left="2680"/>
        <w:spacing w:after="0"/>
        <w:rPr>
          <w:sz w:val="20"/>
          <w:szCs w:val="20"/>
          <w:color w:val="auto"/>
        </w:rPr>
      </w:pPr>
      <w:r>
        <w:rPr>
          <w:rFonts w:ascii="Courier New" w:cs="Courier New" w:eastAsia="Courier New" w:hAnsi="Courier New"/>
          <w:sz w:val="16"/>
          <w:szCs w:val="16"/>
          <w:color w:val="auto"/>
        </w:rPr>
        <w:t>SCOTTS FRANCE SAS</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Rebecca J. Bruening</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60"/>
        <w:spacing w:after="0"/>
        <w:tabs>
          <w:tab w:leader="none" w:pos="350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Title:</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SCOTTS HOLDING GMBH</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Rebecca J. Bruening</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60"/>
        <w:spacing w:after="0"/>
        <w:tabs>
          <w:tab w:leader="none" w:pos="350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Title:</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SCOTTS HOLDINGS LIMITED</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Rebecca J. Bruening</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60"/>
        <w:spacing w:after="0"/>
        <w:tabs>
          <w:tab w:leader="none" w:pos="350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Title: Power of Attorney</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SCOTTS INTERNATIONAL B.V.</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Rebecca J. Bruening</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60"/>
        <w:spacing w:after="0"/>
        <w:tabs>
          <w:tab w:leader="none" w:pos="350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Title:</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SCOTTS MANUFACTURING COMPANY</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Rebecca J. Bruening</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60"/>
        <w:spacing w:after="0"/>
        <w:tabs>
          <w:tab w:leader="none" w:pos="3500" w:val="left"/>
        </w:tabs>
        <w:rPr>
          <w:sz w:val="20"/>
          <w:szCs w:val="20"/>
          <w:color w:val="auto"/>
        </w:rPr>
      </w:pPr>
      <w:r>
        <w:rPr>
          <w:rFonts w:ascii="Courier New" w:cs="Courier New" w:eastAsia="Courier New" w:hAnsi="Courier New"/>
          <w:sz w:val="16"/>
          <w:szCs w:val="16"/>
          <w:color w:val="auto"/>
        </w:rPr>
        <w:t>Name:</w:t>
        <w:tab/>
        <w:t>Rebecca J. Bruening</w:t>
      </w:r>
    </w:p>
    <w:p>
      <w:pPr>
        <w:spacing w:after="0" w:line="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Title: Vice President and Treasurer</w:t>
      </w:r>
    </w:p>
    <w:p>
      <w:pPr>
        <w:spacing w:after="0" w:line="190"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SCOTTS-SIERRA HORTICULTURAL</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PRODUCTS COMPANY</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By:/s/ Rebecca J. Bruening</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60"/>
        <w:spacing w:after="0"/>
        <w:tabs>
          <w:tab w:leader="none" w:pos="3500" w:val="left"/>
        </w:tabs>
        <w:rPr>
          <w:sz w:val="20"/>
          <w:szCs w:val="20"/>
          <w:color w:val="auto"/>
        </w:rPr>
      </w:pPr>
      <w:r>
        <w:rPr>
          <w:rFonts w:ascii="Courier New" w:cs="Courier New" w:eastAsia="Courier New" w:hAnsi="Courier New"/>
          <w:sz w:val="16"/>
          <w:szCs w:val="16"/>
          <w:color w:val="auto"/>
        </w:rPr>
        <w:t>Name:</w:t>
        <w:tab/>
        <w:t>Rebecca J. Bruening</w:t>
      </w:r>
    </w:p>
    <w:p>
      <w:pPr>
        <w:spacing w:after="0" w:line="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Title: Vice President and Treasurer</w:t>
      </w:r>
    </w:p>
    <w:p>
      <w:pPr>
        <w:sectPr>
          <w:pgSz w:w="11900" w:h="16838" w:orient="portrait"/>
          <w:cols w:equalWidth="0" w:num="1">
            <w:col w:w="9019"/>
          </w:cols>
          <w:pgMar w:left="1440" w:top="477" w:right="1440" w:bottom="1440" w:gutter="0" w:footer="0" w:header="0"/>
        </w:sectPr>
      </w:pPr>
    </w:p>
    <w:bookmarkStart w:id="198" w:name="page199"/>
    <w:bookmarkEnd w:id="198"/>
    <w:p>
      <w:pPr>
        <w:ind w:left="2680"/>
        <w:spacing w:after="0"/>
        <w:rPr>
          <w:sz w:val="20"/>
          <w:szCs w:val="20"/>
          <w:color w:val="auto"/>
        </w:rPr>
      </w:pPr>
      <w:r>
        <w:rPr>
          <w:rFonts w:ascii="Courier New" w:cs="Courier New" w:eastAsia="Courier New" w:hAnsi="Courier New"/>
          <w:sz w:val="16"/>
          <w:szCs w:val="16"/>
          <w:color w:val="auto"/>
        </w:rPr>
        <w:t>SCOTTS-SIERRA INVESTMENTS, INC.</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Rebecca J. Bruening</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60"/>
        <w:spacing w:after="0"/>
        <w:tabs>
          <w:tab w:leader="none" w:pos="3500" w:val="left"/>
        </w:tabs>
        <w:rPr>
          <w:sz w:val="20"/>
          <w:szCs w:val="20"/>
          <w:color w:val="auto"/>
        </w:rPr>
      </w:pPr>
      <w:r>
        <w:rPr>
          <w:rFonts w:ascii="Courier New" w:cs="Courier New" w:eastAsia="Courier New" w:hAnsi="Courier New"/>
          <w:sz w:val="16"/>
          <w:szCs w:val="16"/>
          <w:color w:val="auto"/>
        </w:rPr>
        <w:t>Name:</w:t>
        <w:tab/>
        <w:t>Rebecca J. Bruening</w:t>
      </w:r>
    </w:p>
    <w:p>
      <w:pPr>
        <w:spacing w:after="0" w:line="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Title: Vice President and Treasurer</w:t>
      </w:r>
    </w:p>
    <w:p>
      <w:pPr>
        <w:spacing w:after="0" w:line="190"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SCOTTS TEMECULA OPERATIONS, LLC</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Rebecca J. Bruening</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60"/>
        <w:spacing w:after="0"/>
        <w:tabs>
          <w:tab w:leader="none" w:pos="3500" w:val="left"/>
        </w:tabs>
        <w:rPr>
          <w:sz w:val="20"/>
          <w:szCs w:val="20"/>
          <w:color w:val="auto"/>
        </w:rPr>
      </w:pPr>
      <w:r>
        <w:rPr>
          <w:rFonts w:ascii="Courier New" w:cs="Courier New" w:eastAsia="Courier New" w:hAnsi="Courier New"/>
          <w:sz w:val="16"/>
          <w:szCs w:val="16"/>
          <w:color w:val="auto"/>
        </w:rPr>
        <w:t>Name:</w:t>
        <w:tab/>
        <w:t>Rebecca J. Bruening</w:t>
      </w:r>
    </w:p>
    <w:p>
      <w:pPr>
        <w:spacing w:after="0" w:line="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Title: Vice President and Treasurer</w:t>
      </w:r>
    </w:p>
    <w:p>
      <w:pPr>
        <w:spacing w:after="0" w:line="190"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SCOTTS TREASURY EEIG</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By:/s/ Rebecca J. Bruening</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60"/>
        <w:spacing w:after="0"/>
        <w:tabs>
          <w:tab w:leader="none" w:pos="350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Title: Power of Attorney</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THE SCOTTS COMPANY ITALIA, S.R.L.</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Rebecca J. Bruening</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60"/>
        <w:spacing w:after="0"/>
        <w:tabs>
          <w:tab w:leader="none" w:pos="350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Title:</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THE SCOTTS COMPANY (UK) LTD.</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Rebecca J. Bruening</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60"/>
        <w:spacing w:after="0"/>
        <w:tabs>
          <w:tab w:leader="none" w:pos="350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Title: Power of Attorney</w:t>
      </w:r>
    </w:p>
    <w:p>
      <w:pPr>
        <w:sectPr>
          <w:pgSz w:w="11900" w:h="16838" w:orient="portrait"/>
          <w:cols w:equalWidth="0" w:num="1">
            <w:col w:w="9019"/>
          </w:cols>
          <w:pgMar w:left="1440" w:top="477" w:right="1440" w:bottom="1440" w:gutter="0" w:footer="0" w:header="0"/>
        </w:sectPr>
      </w:pPr>
    </w:p>
    <w:bookmarkStart w:id="199" w:name="page200"/>
    <w:bookmarkEnd w:id="199"/>
    <w:p>
      <w:pPr>
        <w:ind w:left="2680"/>
        <w:spacing w:after="0"/>
        <w:rPr>
          <w:sz w:val="20"/>
          <w:szCs w:val="20"/>
          <w:color w:val="auto"/>
        </w:rPr>
      </w:pPr>
      <w:r>
        <w:rPr>
          <w:rFonts w:ascii="Courier New" w:cs="Courier New" w:eastAsia="Courier New" w:hAnsi="Courier New"/>
          <w:sz w:val="15"/>
          <w:szCs w:val="15"/>
          <w:color w:val="auto"/>
        </w:rPr>
        <w:t>JPMORGAN CHASE BANK (formerly The Chase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Manhattan Bank), as Administrative</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Agent and as a Lender</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Randolph Cates</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Randolph Cates</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Vice President</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SALOMON SMITH BARNEY INC., as</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Syndication Agent and as a Lender</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Eivind Hegelstad</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Eivind Hegelstad</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CREDIT LYONNAIS NEW YORK BRANCH, as</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Co-Documentation Agent and as a Lender</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Lee E. Greve</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Lee E. Greve</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First Vice President</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BANK ONE, MICHIGAN, as successor to</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NBD BANK, as Co-Documentation Agent and</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as a Lender</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Joseph Pinzone</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Joseph Pinzone</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Director</w:t>
      </w:r>
    </w:p>
    <w:p>
      <w:pPr>
        <w:sectPr>
          <w:pgSz w:w="11900" w:h="16838" w:orient="portrait"/>
          <w:cols w:equalWidth="0" w:num="1">
            <w:col w:w="9019"/>
          </w:cols>
          <w:pgMar w:left="1440" w:top="481" w:right="1440" w:bottom="1440" w:gutter="0" w:footer="0" w:header="0"/>
        </w:sectPr>
      </w:pPr>
    </w:p>
    <w:bookmarkStart w:id="200" w:name="page201"/>
    <w:bookmarkEnd w:id="200"/>
    <w:p>
      <w:pPr>
        <w:jc w:val="right"/>
        <w:ind w:right="2659"/>
        <w:spacing w:after="0"/>
        <w:rPr>
          <w:sz w:val="20"/>
          <w:szCs w:val="20"/>
          <w:color w:val="auto"/>
        </w:rPr>
      </w:pPr>
      <w:r>
        <w:rPr>
          <w:rFonts w:ascii="Courier New" w:cs="Courier New" w:eastAsia="Courier New" w:hAnsi="Courier New"/>
          <w:sz w:val="15"/>
          <w:szCs w:val="15"/>
          <w:color w:val="auto"/>
        </w:rPr>
        <w:t>Signature Page to the Fourth Amendment,</w:t>
      </w:r>
    </w:p>
    <w:p>
      <w:pPr>
        <w:spacing w:after="0" w:line="8"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dated as of September 19, 2003, under</w:t>
      </w:r>
    </w:p>
    <w:p>
      <w:pPr>
        <w:spacing w:after="0" w:line="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The Scotts Company Credit Agreement.</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APEX (IDM) CDO I, LTD.</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ELC (CAYMAN) LTD. CDO SERIES 1999-1</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ELC (CAYMAN) LTD. 1999-III</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ELC (CAYMAN) LTD. 2000-I</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TRYON CLO LTD. 2000-I</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SUFFIELD CLO, LIMITED</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David L. Babson &amp; Company Inc.</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as Collateral Manager</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Glenn Duffy</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Glenn Duffy</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Managing Director</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AMERICAN EXPRESS CERTIFICATE COMPANY</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American Express Asset Management</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Group, Inc.</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as Collateral Manager</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Leanne Stavrakis</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Leanne Stavrakis</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Director - Operations</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ALLSTATE LIFE INSURANCE COMPANY</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Judith P. Greffin</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Judith P. Greffin</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Authorized Signatories</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Chris Goergen</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Chris Goergen</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Authorized Signatories</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AMMC CDO I, LIMITED</w:t>
      </w:r>
    </w:p>
    <w:p>
      <w:pPr>
        <w:spacing w:after="0" w:line="183" w:lineRule="exact"/>
        <w:rPr>
          <w:sz w:val="20"/>
          <w:szCs w:val="20"/>
          <w:color w:val="auto"/>
        </w:rPr>
      </w:pPr>
    </w:p>
    <w:p>
      <w:pPr>
        <w:ind w:left="2680"/>
        <w:spacing w:after="0"/>
        <w:tabs>
          <w:tab w:leader="none" w:pos="3220" w:val="left"/>
        </w:tabs>
        <w:rPr>
          <w:sz w:val="20"/>
          <w:szCs w:val="20"/>
          <w:color w:val="auto"/>
        </w:rPr>
      </w:pPr>
      <w:r>
        <w:rPr>
          <w:rFonts w:ascii="Courier New" w:cs="Courier New" w:eastAsia="Courier New" w:hAnsi="Courier New"/>
          <w:sz w:val="16"/>
          <w:szCs w:val="16"/>
          <w:color w:val="auto"/>
        </w:rPr>
        <w:t>By:</w:t>
        <w:tab/>
        <w:t>American Money Management Corp.</w:t>
      </w:r>
    </w:p>
    <w:p>
      <w:pPr>
        <w:spacing w:after="0" w:line="1"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as Collateral Manager</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David P. Meyer</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David P. Meyer</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Vice President</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AIMCO CDO SERIES 2000-A</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Judith P. Greffin</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Judith P. Greffin</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Authorized Signatories</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Chris Goergen</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Chris Goergen</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Authorized Signatories</w:t>
      </w:r>
    </w:p>
    <w:p>
      <w:pPr>
        <w:sectPr>
          <w:pgSz w:w="11900" w:h="16838" w:orient="portrait"/>
          <w:cols w:equalWidth="0" w:num="1">
            <w:col w:w="9019"/>
          </w:cols>
          <w:pgMar w:left="1440" w:top="481" w:right="1440" w:bottom="1440" w:gutter="0" w:footer="0" w:header="0"/>
        </w:sectPr>
      </w:pPr>
    </w:p>
    <w:bookmarkStart w:id="201" w:name="page202"/>
    <w:bookmarkEnd w:id="201"/>
    <w:p>
      <w:pPr>
        <w:spacing w:after="0" w:line="129"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AVALON CAPITAL LTD.</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INVESCO Senior Secured Management,</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Inc.</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As Portfolio Advisor</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Thomas H.E. Ewald</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Thomas H.E. Ewald</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Authorized Signatory</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AVALON CAPITAL LTD.</w:t>
      </w:r>
    </w:p>
    <w:p>
      <w:pPr>
        <w:spacing w:after="0" w:line="1" w:lineRule="exact"/>
        <w:rPr>
          <w:sz w:val="20"/>
          <w:szCs w:val="20"/>
          <w:color w:val="auto"/>
        </w:rPr>
      </w:pPr>
    </w:p>
    <w:p>
      <w:pPr>
        <w:ind w:left="2680"/>
        <w:spacing w:after="0"/>
        <w:tabs>
          <w:tab w:leader="none" w:pos="31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INVESCO Senior Secured Management,</w:t>
      </w:r>
    </w:p>
    <w:p>
      <w:pPr>
        <w:spacing w:after="0" w:line="1"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Inc.</w:t>
      </w:r>
    </w:p>
    <w:p>
      <w:pPr>
        <w:spacing w:after="0" w:line="1"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As Portfolio Advisor</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Thomas H.E. Ewald</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Thomas H.E. Ewald</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Authorized Signatory</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BANK OF AMERICA, N.A.</w:t>
      </w:r>
    </w:p>
    <w:p>
      <w:pPr>
        <w:spacing w:after="0" w:line="200" w:lineRule="exact"/>
        <w:rPr>
          <w:sz w:val="20"/>
          <w:szCs w:val="20"/>
          <w:color w:val="auto"/>
        </w:rPr>
      </w:pPr>
    </w:p>
    <w:p>
      <w:pPr>
        <w:spacing w:after="0" w:line="346"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Sharon Burks Horos</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Sharon Burks Horos</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Vice President</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BANK OF TOKYO-MITSUBISHI TRUST COMPANY</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Andrew Bernstein</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Andrew Bernstein</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Asst. Vice President</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BNP PARIBAS</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Kristin R. Carlton</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Kristin R. Carlton</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Vice President</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Peter C. Labrie</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Peter C. Labrie</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Central Region Manager</w:t>
      </w:r>
    </w:p>
    <w:p>
      <w:pPr>
        <w:sectPr>
          <w:pgSz w:w="11900" w:h="16838" w:orient="portrait"/>
          <w:cols w:equalWidth="0" w:num="1">
            <w:col w:w="9019"/>
          </w:cols>
          <w:pgMar w:left="1440" w:top="1440" w:right="1440" w:bottom="1440" w:gutter="0" w:footer="0" w:header="0"/>
        </w:sectPr>
      </w:pPr>
    </w:p>
    <w:bookmarkStart w:id="202" w:name="page203"/>
    <w:bookmarkEnd w:id="202"/>
    <w:p>
      <w:pPr>
        <w:spacing w:after="0" w:line="129"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BRYN MAWR CLO, LTD.</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Deerfield Capital Management LLC</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as its Collateral Manager</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Dale Burrow</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Dale Burrow</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Senior Vice President</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CENTURION CDO II, LTD.</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American Express Asset Management</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Group Inc.</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as Collateral Manger</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Leanne Stavrakis</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Leanne Stavrakis</w:t>
      </w:r>
    </w:p>
    <w:p>
      <w:pPr>
        <w:spacing w:after="0" w:line="1" w:lineRule="exact"/>
        <w:rPr>
          <w:sz w:val="20"/>
          <w:szCs w:val="20"/>
          <w:color w:val="auto"/>
        </w:rPr>
      </w:pPr>
    </w:p>
    <w:p>
      <w:pPr>
        <w:ind w:left="2960"/>
        <w:spacing w:after="0"/>
        <w:tabs>
          <w:tab w:leader="none" w:pos="4540" w:val="left"/>
        </w:tabs>
        <w:rPr>
          <w:sz w:val="20"/>
          <w:szCs w:val="20"/>
          <w:color w:val="auto"/>
        </w:rPr>
      </w:pPr>
      <w:r>
        <w:rPr>
          <w:rFonts w:ascii="Courier New" w:cs="Courier New" w:eastAsia="Courier New" w:hAnsi="Courier New"/>
          <w:sz w:val="16"/>
          <w:szCs w:val="16"/>
          <w:color w:val="auto"/>
        </w:rPr>
        <w:t>Title: Director</w:t>
      </w:r>
      <w:r>
        <w:rPr>
          <w:sz w:val="20"/>
          <w:szCs w:val="20"/>
          <w:color w:val="auto"/>
        </w:rPr>
        <w:tab/>
      </w:r>
      <w:r>
        <w:rPr>
          <w:rFonts w:ascii="Courier New" w:cs="Courier New" w:eastAsia="Courier New" w:hAnsi="Courier New"/>
          <w:sz w:val="15"/>
          <w:szCs w:val="15"/>
          <w:color w:val="auto"/>
        </w:rPr>
        <w:t>- Operations</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CHARTER VIEW PORTFOLIO</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INVESCO Senior Secured Management,</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Inc.</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as Investment Advisor</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Thomas H.E. Ewald</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Thomas H.E. Ewald</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Authorized Signatory</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CLOSE INTERNATIONAL CUSTODY SERVICES</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LIMITED RE</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Cypresstree International Loan Holdings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Company Limited</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CypressTree Strategic Debt</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Management Co., Inc.</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as Investment Advisor</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Michelle L. Patterson</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Michelle L. Patterson</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Investment Analyst</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COOPERATIVE CENTRALE RAIFFEISEN-</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BOERENLEEBANK B.A., "RABOBANK</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NEDERLAND " NEW YORK BRANCH</w:t>
      </w:r>
    </w:p>
    <w:p>
      <w:pPr>
        <w:spacing w:after="0" w:line="200" w:lineRule="exact"/>
        <w:rPr>
          <w:sz w:val="20"/>
          <w:szCs w:val="20"/>
          <w:color w:val="auto"/>
        </w:rPr>
      </w:pPr>
    </w:p>
    <w:p>
      <w:pPr>
        <w:spacing w:after="0" w:line="346"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Michael L. Laurie</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Michael L. Laurie</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Executive Director</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Ian Reece</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Ian Reece</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Managing Director</w:t>
      </w:r>
    </w:p>
    <w:p>
      <w:pPr>
        <w:sectPr>
          <w:pgSz w:w="11900" w:h="16838" w:orient="portrait"/>
          <w:cols w:equalWidth="0" w:num="1">
            <w:col w:w="9019"/>
          </w:cols>
          <w:pgMar w:left="1440" w:top="1440" w:right="1440" w:bottom="1440" w:gutter="0" w:footer="0" w:header="0"/>
        </w:sectPr>
      </w:pPr>
    </w:p>
    <w:bookmarkStart w:id="203" w:name="page204"/>
    <w:bookmarkEnd w:id="203"/>
    <w:p>
      <w:pPr>
        <w:ind w:left="2680"/>
        <w:spacing w:after="0"/>
        <w:rPr>
          <w:sz w:val="20"/>
          <w:szCs w:val="20"/>
          <w:color w:val="auto"/>
        </w:rPr>
      </w:pPr>
      <w:r>
        <w:rPr>
          <w:rFonts w:ascii="Courier New" w:cs="Courier New" w:eastAsia="Courier New" w:hAnsi="Courier New"/>
          <w:sz w:val="16"/>
          <w:szCs w:val="16"/>
          <w:color w:val="auto"/>
        </w:rPr>
        <w:t>COMERCIA BANK</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Ryan Oliver</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Ryan Oliver</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Account Officer</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ERSTE BANK NEW YORK</w:t>
      </w:r>
    </w:p>
    <w:p>
      <w:pPr>
        <w:spacing w:after="0" w:line="183" w:lineRule="exact"/>
        <w:rPr>
          <w:sz w:val="20"/>
          <w:szCs w:val="20"/>
          <w:color w:val="auto"/>
        </w:rPr>
      </w:pPr>
    </w:p>
    <w:p>
      <w:pPr>
        <w:ind w:left="2680"/>
        <w:spacing w:after="0"/>
        <w:tabs>
          <w:tab w:leader="none" w:pos="31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/s/ Paul Judicke</w:t>
      </w:r>
    </w:p>
    <w:p>
      <w:pPr>
        <w:spacing w:after="0" w:line="1"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Paul Judicke</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Vice President</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Bryan J. Lynch</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Bryan J. Lynch</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First Vice President</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FLEET NATIONAL BANK</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Hardy H. Thayce Jr.</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Hardy H. Thayce Jr.</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Managing Director</w:t>
      </w:r>
    </w:p>
    <w:p>
      <w:pPr>
        <w:spacing w:after="0" w:line="36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FIDELITY ADVISOR SERIES II: FIDELITY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ADVISOR</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FLOATING RATE HIGH INCOME FUND</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John H. Costello</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John H. Costello</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Assistant Treasurer</w:t>
      </w:r>
    </w:p>
    <w:p>
      <w:pPr>
        <w:spacing w:after="0" w:line="36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FIFTH THIRD BANK, CENTRAL OHIO</w:t>
      </w:r>
    </w:p>
    <w:p>
      <w:pPr>
        <w:spacing w:after="0" w:line="18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By: /s/ John Beardslee</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60"/>
        <w:spacing w:after="0"/>
        <w:tabs>
          <w:tab w:leader="none" w:pos="3600" w:val="left"/>
        </w:tabs>
        <w:rPr>
          <w:sz w:val="20"/>
          <w:szCs w:val="20"/>
          <w:color w:val="auto"/>
        </w:rPr>
      </w:pPr>
      <w:r>
        <w:rPr>
          <w:rFonts w:ascii="Courier New" w:cs="Courier New" w:eastAsia="Courier New" w:hAnsi="Courier New"/>
          <w:sz w:val="16"/>
          <w:szCs w:val="16"/>
          <w:color w:val="auto"/>
        </w:rPr>
        <w:t>Name:</w:t>
        <w:tab/>
        <w:t>John Beardslee</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019"/>
          </w:cols>
          <w:pgMar w:left="1440" w:top="841" w:right="1440" w:bottom="1440" w:gutter="0" w:footer="0" w:header="0"/>
        </w:sectPr>
      </w:pPr>
    </w:p>
    <w:bookmarkStart w:id="204" w:name="page205"/>
    <w:bookmarkEnd w:id="204"/>
    <w:p>
      <w:pPr>
        <w:ind w:left="2300"/>
        <w:spacing w:after="0"/>
        <w:rPr>
          <w:sz w:val="20"/>
          <w:szCs w:val="20"/>
          <w:color w:val="auto"/>
        </w:rPr>
      </w:pPr>
      <w:r>
        <w:rPr>
          <w:rFonts w:ascii="Courier New" w:cs="Courier New" w:eastAsia="Courier New" w:hAnsi="Courier New"/>
          <w:sz w:val="16"/>
          <w:szCs w:val="16"/>
          <w:color w:val="auto"/>
        </w:rPr>
        <w:t>FOREST CREEK CLO, LTD.</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Deerfield Capital Management LLC</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as its Collateral Manager</w:t>
      </w:r>
    </w:p>
    <w:p>
      <w:pPr>
        <w:spacing w:after="0" w:line="183"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Dale Burrow</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580"/>
        <w:spacing w:after="0"/>
        <w:tabs>
          <w:tab w:leader="none" w:pos="32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Dale Burrow</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Title: Senior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FORTIS PROJECT FINANCE LIMITED</w:t>
      </w:r>
    </w:p>
    <w:p>
      <w:pPr>
        <w:spacing w:after="0" w:line="183"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Michael Wright</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580"/>
        <w:spacing w:after="0"/>
        <w:tabs>
          <w:tab w:leader="none" w:pos="32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Michael Wright</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Title: Director</w:t>
      </w:r>
    </w:p>
    <w:p>
      <w:pPr>
        <w:spacing w:after="0" w:line="183"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Peter Hanratty</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580"/>
        <w:spacing w:after="0"/>
        <w:tabs>
          <w:tab w:leader="none" w:pos="32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Peter Hanratty</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Title: Authorized Signatory</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GENERAL ELECTRIC CAPITAL</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CORPORATION</w:t>
      </w:r>
    </w:p>
    <w:p>
      <w:pPr>
        <w:spacing w:after="0" w:line="183"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Robert M. Kadlick</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580"/>
        <w:spacing w:after="0"/>
        <w:tabs>
          <w:tab w:leader="none" w:pos="32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Robert M. Kadlick</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Title: Duly Authorized Signatory</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GULF STREAM-COMPASS CLO 2002-1, LTD.</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Gulf Steam Asset Management LLC</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As Collateral Manager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Barry K. Love</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Barry K. Love</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Chief Credit Officer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HARBOUR TOWN FUNDING TRUST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Diana M. Himes</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Diana M. Himes</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Authorized Agent</w:t>
      </w:r>
    </w:p>
    <w:p>
      <w:pPr>
        <w:sectPr>
          <w:pgSz w:w="11900" w:h="16838" w:orient="portrait"/>
          <w:cols w:equalWidth="0" w:num="1">
            <w:col w:w="9019"/>
          </w:cols>
          <w:pgMar w:left="1440" w:top="841" w:right="1440" w:bottom="1440" w:gutter="0" w:footer="0" w:header="0"/>
        </w:sectPr>
      </w:pPr>
    </w:p>
    <w:bookmarkStart w:id="205" w:name="page206"/>
    <w:bookmarkEnd w:id="205"/>
    <w:p>
      <w:pPr>
        <w:ind w:left="2300"/>
        <w:spacing w:after="0"/>
        <w:rPr>
          <w:sz w:val="20"/>
          <w:szCs w:val="20"/>
          <w:color w:val="auto"/>
        </w:rPr>
      </w:pPr>
      <w:r>
        <w:rPr>
          <w:rFonts w:ascii="Courier New" w:cs="Courier New" w:eastAsia="Courier New" w:hAnsi="Courier New"/>
          <w:sz w:val="16"/>
          <w:szCs w:val="16"/>
          <w:color w:val="auto"/>
        </w:rPr>
        <w:t>HARRIS TRUST AND SAVINGS BANK, as a lender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Kimberly A. Yates</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Kimberly A. Yates</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HEWETT'S ISLAND CDO, LTD</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CypressTree Investment Management</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Company, Inc., as Portfolio Manager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Michelle L. Patterson</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Michelle L. Patterson</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Investment Analyst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IDS LIFE INSURANCE COMPANY</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American Express Asset Management</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Group, Inc.</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as Collateral Manager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Leanne Stavrakis</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Leanne Stavrakis</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Director - Operations</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IKB CAPITAL CORPORATION</w:t>
      </w:r>
    </w:p>
    <w:p>
      <w:pPr>
        <w:spacing w:after="0" w:line="183"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Wolfgang W. Boeker</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Wolfgang W. Boeker</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Senior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INVESCO EUROPEAN CDO I S.A.</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By: INVESCO Senior Secured Management, Inc.</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as Collateral Manager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Thomas H.E. Ewald</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Thomas H.E. Ewald</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Authorized Signatory</w:t>
      </w:r>
    </w:p>
    <w:p>
      <w:pPr>
        <w:sectPr>
          <w:pgSz w:w="11900" w:h="16838" w:orient="portrait"/>
          <w:cols w:equalWidth="0" w:num="1">
            <w:col w:w="9019"/>
          </w:cols>
          <w:pgMar w:left="1440" w:top="841" w:right="1440" w:bottom="1440" w:gutter="0" w:footer="0" w:header="0"/>
        </w:sectPr>
      </w:pPr>
    </w:p>
    <w:bookmarkStart w:id="206" w:name="page207"/>
    <w:bookmarkEnd w:id="206"/>
    <w:p>
      <w:pPr>
        <w:ind w:left="2300"/>
        <w:spacing w:after="0"/>
        <w:rPr>
          <w:sz w:val="20"/>
          <w:szCs w:val="20"/>
          <w:color w:val="auto"/>
        </w:rPr>
      </w:pPr>
      <w:r>
        <w:rPr>
          <w:rFonts w:ascii="Courier New" w:cs="Courier New" w:eastAsia="Courier New" w:hAnsi="Courier New"/>
          <w:sz w:val="16"/>
          <w:szCs w:val="16"/>
          <w:color w:val="auto"/>
        </w:rPr>
        <w:t>KEYBANK NATIONAL ASSOCIATION</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David J. Wechter</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David J. Wechter</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LASALLE BANK, NATIONAL ASSOCIATION</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Warren F. Weber</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Warren F. Weber</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First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LIBERTY FLOATING RATE ADVANTAGE FUND</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Columbia Management Advisors, Inc.</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(f/k/a Stein Roe &amp; Farnham Incorporated),</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as Advisor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James R. Fellows</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James R. Fellows</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Senior Vice President &amp;</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Portfolio Manager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LOAN FUNDING I LLC</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 wholly owned subsidiary of</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Citibank, N.A.</w:t>
      </w:r>
    </w:p>
    <w:p>
      <w:pPr>
        <w:spacing w:after="0" w:line="1" w:lineRule="exact"/>
        <w:rPr>
          <w:sz w:val="20"/>
          <w:szCs w:val="20"/>
          <w:color w:val="auto"/>
        </w:rPr>
      </w:pPr>
    </w:p>
    <w:p>
      <w:pPr>
        <w:ind w:left="2300"/>
        <w:spacing w:after="0"/>
        <w:tabs>
          <w:tab w:leader="none" w:pos="2740" w:val="left"/>
        </w:tabs>
        <w:rPr>
          <w:sz w:val="20"/>
          <w:szCs w:val="20"/>
          <w:color w:val="auto"/>
        </w:rPr>
      </w:pPr>
      <w:r>
        <w:rPr>
          <w:rFonts w:ascii="Courier New" w:cs="Courier New" w:eastAsia="Courier New" w:hAnsi="Courier New"/>
          <w:sz w:val="16"/>
          <w:szCs w:val="16"/>
          <w:color w:val="auto"/>
        </w:rPr>
        <w:t>By:</w:t>
        <w:tab/>
        <w:t>TCW Advisors, Inc.</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as portfolio manager of</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Loan Funding I L.L.C.</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G. Steven Kalin</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G. Steven Kalin</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Senior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Richard F. Kurth</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Richard F. Kurth</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Senior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LRP LANDESBANK RHEINLAND-PFALZ</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-GIROZENTRALE-</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Stefan Gilsdorf</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Stefan Gilsdorf</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Senior Vice President</w:t>
      </w:r>
    </w:p>
    <w:p>
      <w:pPr>
        <w:spacing w:after="0" w:line="183"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Hans-Henning Brautigam</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Hans-Henning Brautigam</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019"/>
          </w:cols>
          <w:pgMar w:left="1440" w:top="659" w:right="1440" w:bottom="1440" w:gutter="0" w:footer="0" w:header="0"/>
        </w:sectPr>
      </w:pPr>
    </w:p>
    <w:bookmarkStart w:id="207" w:name="page208"/>
    <w:bookmarkEnd w:id="207"/>
    <w:p>
      <w:pPr>
        <w:ind w:left="2300"/>
        <w:spacing w:after="0"/>
        <w:rPr>
          <w:sz w:val="20"/>
          <w:szCs w:val="20"/>
          <w:color w:val="auto"/>
        </w:rPr>
      </w:pPr>
      <w:r>
        <w:rPr>
          <w:rFonts w:ascii="Courier New" w:cs="Courier New" w:eastAsia="Courier New" w:hAnsi="Courier New"/>
          <w:sz w:val="16"/>
          <w:szCs w:val="16"/>
          <w:color w:val="auto"/>
        </w:rPr>
        <w:t>MAPLEWOOD (CAYMAN) LIMITED</w:t>
      </w:r>
    </w:p>
    <w:p>
      <w:pPr>
        <w:spacing w:after="0" w:line="1" w:lineRule="exact"/>
        <w:rPr>
          <w:sz w:val="20"/>
          <w:szCs w:val="20"/>
          <w:color w:val="auto"/>
        </w:rPr>
      </w:pPr>
    </w:p>
    <w:p>
      <w:pPr>
        <w:ind w:left="2300"/>
        <w:spacing w:after="0"/>
        <w:tabs>
          <w:tab w:leader="none" w:pos="2740" w:val="left"/>
        </w:tabs>
        <w:rPr>
          <w:sz w:val="20"/>
          <w:szCs w:val="20"/>
          <w:color w:val="auto"/>
        </w:rPr>
      </w:pPr>
      <w:r>
        <w:rPr>
          <w:rFonts w:ascii="Courier New" w:cs="Courier New" w:eastAsia="Courier New" w:hAnsi="Courier New"/>
          <w:sz w:val="16"/>
          <w:szCs w:val="16"/>
          <w:color w:val="auto"/>
        </w:rPr>
        <w:t>By:</w:t>
        <w:tab/>
        <w:t>David L. Babson &amp; Company Inc. under</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Delegated authority from Massachusetts</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Mutual Life Insurance Company as Investment</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Manager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Glenn Duffy</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Glenn Duffy</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Managing Director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MADISON AVENUE CDO I, LIMITED</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Metropolitan Life Insurance Company</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as Collateral Manager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David W. Farrell</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David W. Farrell</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Director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MASSACHUSETTS MUTUAL LIFE</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INSURANCE COMPANY</w:t>
      </w:r>
    </w:p>
    <w:p>
      <w:pPr>
        <w:spacing w:after="0" w:line="1" w:lineRule="exact"/>
        <w:rPr>
          <w:sz w:val="20"/>
          <w:szCs w:val="20"/>
          <w:color w:val="auto"/>
        </w:rPr>
      </w:pPr>
    </w:p>
    <w:p>
      <w:pPr>
        <w:ind w:left="2300"/>
        <w:spacing w:after="0"/>
        <w:tabs>
          <w:tab w:leader="none" w:pos="2740" w:val="left"/>
        </w:tabs>
        <w:rPr>
          <w:sz w:val="20"/>
          <w:szCs w:val="20"/>
          <w:color w:val="auto"/>
        </w:rPr>
      </w:pPr>
      <w:r>
        <w:rPr>
          <w:rFonts w:ascii="Courier New" w:cs="Courier New" w:eastAsia="Courier New" w:hAnsi="Courier New"/>
          <w:sz w:val="16"/>
          <w:szCs w:val="16"/>
          <w:color w:val="auto"/>
        </w:rPr>
        <w:t>By:</w:t>
        <w:tab/>
        <w:t>David L. Babson &amp; Company Inc. as</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Investment Adviser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Glenn Duffy</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Glenn Duffy</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Managing Director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METROPOLITAN LIFE INSURANCE COMPANY</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James R. Dingler</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James R. Dingler</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Director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MUIRFIELD TRADING LLC</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Diana M. Himes</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Diana M. Himes</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Assistant Vice President</w:t>
      </w:r>
    </w:p>
    <w:p>
      <w:pPr>
        <w:sectPr>
          <w:pgSz w:w="11900" w:h="16838" w:orient="portrait"/>
          <w:cols w:equalWidth="0" w:num="1">
            <w:col w:w="9019"/>
          </w:cols>
          <w:pgMar w:left="1440" w:top="841" w:right="1440" w:bottom="1440" w:gutter="0" w:footer="0" w:header="0"/>
        </w:sectPr>
      </w:pPr>
    </w:p>
    <w:bookmarkStart w:id="208" w:name="page209"/>
    <w:bookmarkEnd w:id="208"/>
    <w:p>
      <w:pPr>
        <w:spacing w:after="0" w:line="129"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NATIONAL CITY BANK</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Thomas E. Redmond</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Thomas E. Redmond</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Senior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OASIS COLLATERALIZED HIGH INCOME</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PORTFOLIOS-1, LTD.</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INVESCO Senior Secured Management,</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Inc., as Sub-Advisor</w:t>
      </w:r>
    </w:p>
    <w:p>
      <w:pPr>
        <w:spacing w:after="0" w:line="364" w:lineRule="exact"/>
        <w:rPr>
          <w:sz w:val="20"/>
          <w:szCs w:val="20"/>
          <w:color w:val="auto"/>
        </w:rPr>
      </w:pPr>
    </w:p>
    <w:p>
      <w:pPr>
        <w:ind w:left="2300"/>
        <w:spacing w:after="0"/>
        <w:tabs>
          <w:tab w:leader="none" w:pos="2740" w:val="left"/>
        </w:tabs>
        <w:rPr>
          <w:sz w:val="20"/>
          <w:szCs w:val="20"/>
          <w:color w:val="auto"/>
        </w:rPr>
      </w:pPr>
      <w:r>
        <w:rPr>
          <w:rFonts w:ascii="Courier New" w:cs="Courier New" w:eastAsia="Courier New" w:hAnsi="Courier New"/>
          <w:sz w:val="16"/>
          <w:szCs w:val="16"/>
          <w:color w:val="auto"/>
        </w:rPr>
        <w:t>By:</w:t>
        <w:tab/>
        <w:t>/s/ Thomas H.B. Ewald</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Thomas H.B. Ewald</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Authorized Signatory</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OLYMPIC FUNDING TRUST, SERIES 1999-1</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Diana M. Himes</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Diana M. Himes</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Authorized Agent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PPM SHADOW CREEK FUNDING LLC</w:t>
      </w:r>
    </w:p>
    <w:p>
      <w:pPr>
        <w:spacing w:after="0" w:line="364" w:lineRule="exact"/>
        <w:rPr>
          <w:sz w:val="20"/>
          <w:szCs w:val="20"/>
          <w:color w:val="auto"/>
        </w:rPr>
      </w:pPr>
    </w:p>
    <w:p>
      <w:pPr>
        <w:ind w:left="2300"/>
        <w:spacing w:after="0"/>
        <w:tabs>
          <w:tab w:leader="none" w:pos="2740" w:val="left"/>
        </w:tabs>
        <w:rPr>
          <w:sz w:val="20"/>
          <w:szCs w:val="20"/>
          <w:color w:val="auto"/>
        </w:rPr>
      </w:pPr>
      <w:r>
        <w:rPr>
          <w:rFonts w:ascii="Courier New" w:cs="Courier New" w:eastAsia="Courier New" w:hAnsi="Courier New"/>
          <w:sz w:val="16"/>
          <w:szCs w:val="16"/>
          <w:color w:val="auto"/>
        </w:rPr>
        <w:t>By:</w:t>
        <w:tab/>
        <w:t>/s/ Diana M. Himes</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Diana M. Himes</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Assistant Vice President</w:t>
      </w:r>
    </w:p>
    <w:p>
      <w:pPr>
        <w:spacing w:after="0" w:line="364" w:lineRule="exact"/>
        <w:rPr>
          <w:sz w:val="20"/>
          <w:szCs w:val="20"/>
          <w:color w:val="auto"/>
        </w:rPr>
      </w:pPr>
    </w:p>
    <w:p>
      <w:pPr>
        <w:ind w:left="2300"/>
        <w:spacing w:after="0"/>
        <w:tabs>
          <w:tab w:leader="none" w:pos="2740" w:val="left"/>
        </w:tabs>
        <w:rPr>
          <w:sz w:val="20"/>
          <w:szCs w:val="20"/>
          <w:color w:val="auto"/>
        </w:rPr>
      </w:pPr>
      <w:r>
        <w:rPr>
          <w:rFonts w:ascii="Courier New" w:cs="Courier New" w:eastAsia="Courier New" w:hAnsi="Courier New"/>
          <w:sz w:val="16"/>
          <w:szCs w:val="16"/>
          <w:color w:val="auto"/>
        </w:rPr>
        <w:t>PPM</w:t>
        <w:tab/>
        <w:t>SPYGLASS FUNDING TRUST</w:t>
      </w:r>
    </w:p>
    <w:p>
      <w:pPr>
        <w:spacing w:after="0" w:line="364" w:lineRule="exact"/>
        <w:rPr>
          <w:sz w:val="20"/>
          <w:szCs w:val="20"/>
          <w:color w:val="auto"/>
        </w:rPr>
      </w:pPr>
    </w:p>
    <w:p>
      <w:pPr>
        <w:ind w:left="2300"/>
        <w:spacing w:after="0"/>
        <w:tabs>
          <w:tab w:leader="none" w:pos="2740" w:val="left"/>
        </w:tabs>
        <w:rPr>
          <w:sz w:val="20"/>
          <w:szCs w:val="20"/>
          <w:color w:val="auto"/>
        </w:rPr>
      </w:pPr>
      <w:r>
        <w:rPr>
          <w:rFonts w:ascii="Courier New" w:cs="Courier New" w:eastAsia="Courier New" w:hAnsi="Courier New"/>
          <w:sz w:val="16"/>
          <w:szCs w:val="16"/>
          <w:color w:val="auto"/>
        </w:rPr>
        <w:t>By:</w:t>
        <w:tab/>
        <w:t>/s/ Diana M. Himes</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Diana M. Himes</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Assistant Vice President</w:t>
      </w:r>
    </w:p>
    <w:p>
      <w:pPr>
        <w:sectPr>
          <w:pgSz w:w="11900" w:h="16838" w:orient="portrait"/>
          <w:cols w:equalWidth="0" w:num="1">
            <w:col w:w="9019"/>
          </w:cols>
          <w:pgMar w:left="1440" w:top="1440" w:right="1440" w:bottom="1440" w:gutter="0" w:footer="0" w:header="0"/>
        </w:sectPr>
      </w:pPr>
    </w:p>
    <w:bookmarkStart w:id="209" w:name="page210"/>
    <w:bookmarkEnd w:id="209"/>
    <w:p>
      <w:pPr>
        <w:spacing w:after="0" w:line="129"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ROSEMONT CLO, LTD,</w:t>
      </w:r>
    </w:p>
    <w:p>
      <w:pPr>
        <w:spacing w:after="0" w:line="1" w:lineRule="exact"/>
        <w:rPr>
          <w:sz w:val="20"/>
          <w:szCs w:val="20"/>
          <w:color w:val="auto"/>
        </w:rPr>
      </w:pPr>
    </w:p>
    <w:p>
      <w:pPr>
        <w:ind w:left="2300"/>
        <w:spacing w:after="0"/>
        <w:tabs>
          <w:tab w:leader="none" w:pos="2740" w:val="left"/>
        </w:tabs>
        <w:rPr>
          <w:sz w:val="20"/>
          <w:szCs w:val="20"/>
          <w:color w:val="auto"/>
        </w:rPr>
      </w:pPr>
      <w:r>
        <w:rPr>
          <w:rFonts w:ascii="Courier New" w:cs="Courier New" w:eastAsia="Courier New" w:hAnsi="Courier New"/>
          <w:sz w:val="16"/>
          <w:szCs w:val="16"/>
          <w:color w:val="auto"/>
        </w:rPr>
        <w:t>By:</w:t>
        <w:tab/>
        <w:t>Deerfield Capital Management LLC as</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its Collateral Manager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Dale Burrow</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Dale Burrow</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Senior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SANKATY ADVISORS, LLC as Collateral</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Manager for Castle Hill I - INGOTS, Ltd.,</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as Term Lender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Diane J. Exter</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Diane J. Exter</w:t>
      </w:r>
    </w:p>
    <w:p>
      <w:pPr>
        <w:spacing w:after="0" w:line="1" w:lineRule="exact"/>
        <w:rPr>
          <w:sz w:val="20"/>
          <w:szCs w:val="20"/>
          <w:color w:val="auto"/>
        </w:rPr>
      </w:pPr>
    </w:p>
    <w:p>
      <w:pPr>
        <w:jc w:val="right"/>
        <w:ind w:right="4079"/>
        <w:spacing w:after="0"/>
        <w:rPr>
          <w:sz w:val="20"/>
          <w:szCs w:val="20"/>
          <w:color w:val="auto"/>
        </w:rPr>
      </w:pPr>
      <w:r>
        <w:rPr>
          <w:rFonts w:ascii="Courier New" w:cs="Courier New" w:eastAsia="Courier New" w:hAnsi="Courier New"/>
          <w:sz w:val="16"/>
          <w:szCs w:val="16"/>
          <w:color w:val="auto"/>
        </w:rPr>
        <w:t>Title: Managing Director</w:t>
      </w:r>
    </w:p>
    <w:p>
      <w:pPr>
        <w:spacing w:after="0" w:line="1" w:lineRule="exact"/>
        <w:rPr>
          <w:sz w:val="20"/>
          <w:szCs w:val="20"/>
          <w:color w:val="auto"/>
        </w:rPr>
      </w:pPr>
    </w:p>
    <w:p>
      <w:pPr>
        <w:jc w:val="right"/>
        <w:ind w:right="4079"/>
        <w:spacing w:after="0"/>
        <w:rPr>
          <w:sz w:val="20"/>
          <w:szCs w:val="20"/>
          <w:color w:val="auto"/>
        </w:rPr>
      </w:pPr>
      <w:r>
        <w:rPr>
          <w:rFonts w:ascii="Courier New" w:cs="Courier New" w:eastAsia="Courier New" w:hAnsi="Courier New"/>
          <w:sz w:val="16"/>
          <w:szCs w:val="16"/>
          <w:color w:val="auto"/>
        </w:rPr>
        <w:t>Portfolio Manager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SANKATY ADVISORS, LLC as Collateral</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Manager for Castle Hill II - INGOTS, Ltd.,</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as Term Lender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Diane J. Exter</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Diane J. Exter</w:t>
      </w:r>
    </w:p>
    <w:p>
      <w:pPr>
        <w:spacing w:after="0" w:line="1" w:lineRule="exact"/>
        <w:rPr>
          <w:sz w:val="20"/>
          <w:szCs w:val="20"/>
          <w:color w:val="auto"/>
        </w:rPr>
      </w:pPr>
    </w:p>
    <w:p>
      <w:pPr>
        <w:jc w:val="right"/>
        <w:ind w:right="4079"/>
        <w:spacing w:after="0"/>
        <w:rPr>
          <w:sz w:val="20"/>
          <w:szCs w:val="20"/>
          <w:color w:val="auto"/>
        </w:rPr>
      </w:pPr>
      <w:r>
        <w:rPr>
          <w:rFonts w:ascii="Courier New" w:cs="Courier New" w:eastAsia="Courier New" w:hAnsi="Courier New"/>
          <w:sz w:val="16"/>
          <w:szCs w:val="16"/>
          <w:color w:val="auto"/>
        </w:rPr>
        <w:t>Title: Managing Director</w:t>
      </w:r>
    </w:p>
    <w:p>
      <w:pPr>
        <w:spacing w:after="0" w:line="1" w:lineRule="exact"/>
        <w:rPr>
          <w:sz w:val="20"/>
          <w:szCs w:val="20"/>
          <w:color w:val="auto"/>
        </w:rPr>
      </w:pPr>
    </w:p>
    <w:p>
      <w:pPr>
        <w:jc w:val="right"/>
        <w:ind w:right="4079"/>
        <w:spacing w:after="0"/>
        <w:rPr>
          <w:sz w:val="20"/>
          <w:szCs w:val="20"/>
          <w:color w:val="auto"/>
        </w:rPr>
      </w:pPr>
      <w:r>
        <w:rPr>
          <w:rFonts w:ascii="Courier New" w:cs="Courier New" w:eastAsia="Courier New" w:hAnsi="Courier New"/>
          <w:sz w:val="16"/>
          <w:szCs w:val="16"/>
          <w:color w:val="auto"/>
        </w:rPr>
        <w:t>Portfolio Manager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SANKATY ADVISORS, LLC as Collateral</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Manager for Great Point CLO, 1999-1, Ltd.,</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as Term Lender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Diane J. Exter</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Diane J. Exter</w:t>
      </w:r>
    </w:p>
    <w:p>
      <w:pPr>
        <w:spacing w:after="0" w:line="1" w:lineRule="exact"/>
        <w:rPr>
          <w:sz w:val="20"/>
          <w:szCs w:val="20"/>
          <w:color w:val="auto"/>
        </w:rPr>
      </w:pPr>
    </w:p>
    <w:p>
      <w:pPr>
        <w:jc w:val="right"/>
        <w:ind w:right="4079"/>
        <w:spacing w:after="0"/>
        <w:rPr>
          <w:sz w:val="20"/>
          <w:szCs w:val="20"/>
          <w:color w:val="auto"/>
        </w:rPr>
      </w:pPr>
      <w:r>
        <w:rPr>
          <w:rFonts w:ascii="Courier New" w:cs="Courier New" w:eastAsia="Courier New" w:hAnsi="Courier New"/>
          <w:sz w:val="16"/>
          <w:szCs w:val="16"/>
          <w:color w:val="auto"/>
        </w:rPr>
        <w:t>Title: Managing Director</w:t>
      </w:r>
    </w:p>
    <w:p>
      <w:pPr>
        <w:spacing w:after="0" w:line="1" w:lineRule="exact"/>
        <w:rPr>
          <w:sz w:val="20"/>
          <w:szCs w:val="20"/>
          <w:color w:val="auto"/>
        </w:rPr>
      </w:pPr>
    </w:p>
    <w:p>
      <w:pPr>
        <w:jc w:val="right"/>
        <w:ind w:right="4079"/>
        <w:spacing w:after="0"/>
        <w:rPr>
          <w:sz w:val="20"/>
          <w:szCs w:val="20"/>
          <w:color w:val="auto"/>
        </w:rPr>
      </w:pPr>
      <w:r>
        <w:rPr>
          <w:rFonts w:ascii="Courier New" w:cs="Courier New" w:eastAsia="Courier New" w:hAnsi="Courier New"/>
          <w:sz w:val="16"/>
          <w:szCs w:val="16"/>
          <w:color w:val="auto"/>
        </w:rPr>
        <w:t>Portfolio Manager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SANKATY ADVISORS, LLC as Collateral</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Manager for Race Point CLO, Limited.,</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as Term Lender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Diane J. Exter</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Diane J. Exter</w:t>
      </w:r>
    </w:p>
    <w:p>
      <w:pPr>
        <w:spacing w:after="0" w:line="1" w:lineRule="exact"/>
        <w:rPr>
          <w:sz w:val="20"/>
          <w:szCs w:val="20"/>
          <w:color w:val="auto"/>
        </w:rPr>
      </w:pPr>
    </w:p>
    <w:p>
      <w:pPr>
        <w:jc w:val="right"/>
        <w:ind w:right="4079"/>
        <w:spacing w:after="0"/>
        <w:rPr>
          <w:sz w:val="20"/>
          <w:szCs w:val="20"/>
          <w:color w:val="auto"/>
        </w:rPr>
      </w:pPr>
      <w:r>
        <w:rPr>
          <w:rFonts w:ascii="Courier New" w:cs="Courier New" w:eastAsia="Courier New" w:hAnsi="Courier New"/>
          <w:sz w:val="16"/>
          <w:szCs w:val="16"/>
          <w:color w:val="auto"/>
        </w:rPr>
        <w:t>Title: Managing Director</w:t>
      </w:r>
    </w:p>
    <w:p>
      <w:pPr>
        <w:spacing w:after="0" w:line="1" w:lineRule="exact"/>
        <w:rPr>
          <w:sz w:val="20"/>
          <w:szCs w:val="20"/>
          <w:color w:val="auto"/>
        </w:rPr>
      </w:pPr>
    </w:p>
    <w:p>
      <w:pPr>
        <w:jc w:val="right"/>
        <w:ind w:right="4079"/>
        <w:spacing w:after="0"/>
        <w:rPr>
          <w:sz w:val="20"/>
          <w:szCs w:val="20"/>
          <w:color w:val="auto"/>
        </w:rPr>
      </w:pPr>
      <w:r>
        <w:rPr>
          <w:rFonts w:ascii="Courier New" w:cs="Courier New" w:eastAsia="Courier New" w:hAnsi="Courier New"/>
          <w:sz w:val="16"/>
          <w:szCs w:val="16"/>
          <w:color w:val="auto"/>
        </w:rPr>
        <w:t>Portfolio Manager</w:t>
      </w:r>
    </w:p>
    <w:p>
      <w:pPr>
        <w:sectPr>
          <w:pgSz w:w="11900" w:h="16838" w:orient="portrait"/>
          <w:cols w:equalWidth="0" w:num="1">
            <w:col w:w="9019"/>
          </w:cols>
          <w:pgMar w:left="1440" w:top="1440" w:right="1440" w:bottom="1440" w:gutter="0" w:footer="0" w:header="0"/>
        </w:sectPr>
      </w:pPr>
    </w:p>
    <w:bookmarkStart w:id="210" w:name="page211"/>
    <w:bookmarkEnd w:id="210"/>
    <w:p>
      <w:pPr>
        <w:spacing w:after="0" w:line="129"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SARATOGA CLO I, LIMITED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By: INVESCO Senior Secured Management, Inc.</w:t>
      </w:r>
    </w:p>
    <w:p>
      <w:pPr>
        <w:spacing w:after="0" w:line="8" w:lineRule="exact"/>
        <w:rPr>
          <w:sz w:val="20"/>
          <w:szCs w:val="20"/>
          <w:color w:val="auto"/>
        </w:rPr>
      </w:pPr>
    </w:p>
    <w:p>
      <w:pPr>
        <w:ind w:left="2300"/>
        <w:spacing w:after="0"/>
        <w:tabs>
          <w:tab w:leader="none" w:pos="2660" w:val="left"/>
        </w:tabs>
        <w:rPr>
          <w:sz w:val="20"/>
          <w:szCs w:val="20"/>
          <w:color w:val="auto"/>
        </w:rPr>
      </w:pPr>
      <w:r>
        <w:rPr>
          <w:rFonts w:ascii="Courier New" w:cs="Courier New" w:eastAsia="Courier New" w:hAnsi="Courier New"/>
          <w:sz w:val="16"/>
          <w:szCs w:val="16"/>
          <w:color w:val="auto"/>
        </w:rPr>
        <w:t>as</w:t>
        <w:tab/>
        <w:t>Asset Manager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Thomas H.B. Ewald</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Thomas H.B. Ewald</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Authorized Signatory</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SEABOARD CLO 2000 LTD.</w:t>
      </w:r>
    </w:p>
    <w:p>
      <w:pPr>
        <w:spacing w:after="0" w:line="1" w:lineRule="exact"/>
        <w:rPr>
          <w:sz w:val="20"/>
          <w:szCs w:val="20"/>
          <w:color w:val="auto"/>
        </w:rPr>
      </w:pPr>
    </w:p>
    <w:p>
      <w:pPr>
        <w:ind w:left="2300"/>
        <w:spacing w:after="0"/>
        <w:tabs>
          <w:tab w:leader="none" w:pos="2740" w:val="left"/>
        </w:tabs>
        <w:rPr>
          <w:sz w:val="20"/>
          <w:szCs w:val="20"/>
          <w:color w:val="auto"/>
        </w:rPr>
      </w:pPr>
      <w:r>
        <w:rPr>
          <w:rFonts w:ascii="Courier New" w:cs="Courier New" w:eastAsia="Courier New" w:hAnsi="Courier New"/>
          <w:sz w:val="16"/>
          <w:szCs w:val="16"/>
          <w:color w:val="auto"/>
        </w:rPr>
        <w:t>By:</w:t>
        <w:tab/>
        <w:t>ORIX Capital Markets, LLC</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Its Collateral Manager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Christopher L. Smith</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Christopher L. Smith</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Managing Director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SEGUILS - CENTURION V, LTD.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by: American Express Asset Management Group</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Inc.</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as Collateral Manager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Leanne Stavrakis</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Leanne Stavrakis</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Director - Operations</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SEQUILS - cumberland I, ltd.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By: Deerfield Capital Management LLC as its</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Collateral Manager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Dale Burrow</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Dale Burrow</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Senior Vice President</w:t>
      </w:r>
    </w:p>
    <w:p>
      <w:pPr>
        <w:spacing w:after="0" w:line="364" w:lineRule="exact"/>
        <w:rPr>
          <w:sz w:val="20"/>
          <w:szCs w:val="20"/>
          <w:color w:val="auto"/>
        </w:rPr>
      </w:pPr>
    </w:p>
    <w:p>
      <w:pPr>
        <w:ind w:left="2300"/>
        <w:spacing w:after="0"/>
        <w:tabs>
          <w:tab w:leader="none" w:pos="3120" w:val="left"/>
        </w:tabs>
        <w:rPr>
          <w:sz w:val="20"/>
          <w:szCs w:val="20"/>
          <w:color w:val="auto"/>
        </w:rPr>
      </w:pPr>
      <w:r>
        <w:rPr>
          <w:rFonts w:ascii="Courier New" w:cs="Courier New" w:eastAsia="Courier New" w:hAnsi="Courier New"/>
          <w:sz w:val="16"/>
          <w:szCs w:val="16"/>
          <w:color w:val="auto"/>
        </w:rPr>
        <w:t>SEQUILS</w:t>
      </w:r>
      <w:r>
        <w:rPr>
          <w:sz w:val="20"/>
          <w:szCs w:val="20"/>
          <w:color w:val="auto"/>
        </w:rPr>
        <w:tab/>
      </w:r>
      <w:r>
        <w:rPr>
          <w:rFonts w:ascii="Courier New" w:cs="Courier New" w:eastAsia="Courier New" w:hAnsi="Courier New"/>
          <w:sz w:val="15"/>
          <w:szCs w:val="15"/>
          <w:color w:val="auto"/>
        </w:rPr>
        <w:t>- LIBERTY, LTD.</w:t>
      </w:r>
    </w:p>
    <w:p>
      <w:pPr>
        <w:spacing w:after="0" w:line="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By: INVESCO Senior Secured Management, Inc.</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as Collateral Manager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Thomas H.B. Ewald</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Thomas H.B. Ewald</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Authorized Signatory</w:t>
      </w:r>
    </w:p>
    <w:p>
      <w:pPr>
        <w:sectPr>
          <w:pgSz w:w="11900" w:h="16838" w:orient="portrait"/>
          <w:cols w:equalWidth="0" w:num="1">
            <w:col w:w="9019"/>
          </w:cols>
          <w:pgMar w:left="1440" w:top="1440" w:right="1440" w:bottom="1440" w:gutter="0" w:footer="0" w:header="0"/>
        </w:sectPr>
      </w:pPr>
    </w:p>
    <w:bookmarkStart w:id="211" w:name="page212"/>
    <w:bookmarkEnd w:id="211"/>
    <w:p>
      <w:pPr>
        <w:spacing w:after="0" w:line="129"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SIERRA CLO I</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John M. Casparian</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John M. Casparian</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Chief Operating Officer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SUNTRUST BANK</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Brian Davis</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Brian Davis</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Director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THE BANK OF NEW YORK</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Kenneth R. McDonnell</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Kenneth R. McDonnell</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THE BANK OF NOVA SCOTIA</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A.S. Norsworthy</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A.S. Norsworthy</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Sr. Manager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THE HUNTINGTON NATIONAL BANK</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Mark A. Koscielski</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Mark A. Koscielski</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019"/>
          </w:cols>
          <w:pgMar w:left="1440" w:top="1440" w:right="1440" w:bottom="1440" w:gutter="0" w:footer="0" w:header="0"/>
        </w:sectPr>
      </w:pPr>
    </w:p>
    <w:bookmarkStart w:id="212" w:name="page213"/>
    <w:bookmarkEnd w:id="212"/>
    <w:p>
      <w:pPr>
        <w:spacing w:after="0" w:line="133"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THE PRUDENTIAL INSURANCE COMPANY OF AMERICA</w:t>
      </w:r>
    </w:p>
    <w:p>
      <w:pPr>
        <w:spacing w:after="0" w:line="372"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Robin S. Snyder</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Robin S. Snyder</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U.S. BANK NATIONAL ASSOCIATION</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Robert H. Friend</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Robert H. Friend</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VAN KAMPEN CLOII, LIMITED</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Van Kampen Investment Advisory Corp</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as Collateral Manager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Christina Jamieson</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Christina Jamieson</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VAN KAMPEN</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SENIOR INCOME TRUST</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Van Kampen Investment Advisory Corp.</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Christina Jamieson</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Christina Jamieson</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WACHOVIA BANK NATIONAL ASSOCIATION</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Mark S. Supple</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Mark S. Supple</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 and Director</w:t>
      </w:r>
    </w:p>
    <w:p>
      <w:pPr>
        <w:sectPr>
          <w:pgSz w:w="11900" w:h="16838" w:orient="portrait"/>
          <w:cols w:equalWidth="0" w:num="1">
            <w:col w:w="9019"/>
          </w:cols>
          <w:pgMar w:left="1440" w:top="1440" w:right="1440" w:bottom="1440" w:gutter="0" w:footer="0" w:header="0"/>
        </w:sectPr>
      </w:pPr>
    </w:p>
    <w:bookmarkStart w:id="213" w:name="page214"/>
    <w:bookmarkEnd w:id="213"/>
    <w:p>
      <w:pPr>
        <w:ind w:left="2300"/>
        <w:spacing w:after="0"/>
        <w:rPr>
          <w:sz w:val="20"/>
          <w:szCs w:val="20"/>
          <w:color w:val="auto"/>
        </w:rPr>
      </w:pPr>
      <w:r>
        <w:rPr>
          <w:rFonts w:ascii="Courier New" w:cs="Courier New" w:eastAsia="Courier New" w:hAnsi="Courier New"/>
          <w:sz w:val="16"/>
          <w:szCs w:val="16"/>
          <w:color w:val="auto"/>
        </w:rPr>
        <w:t>WINGED FOOT FUNDING TRUST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Diana M. Hines</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Diana M. Hines</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Authorized Agent</w:t>
      </w:r>
    </w:p>
    <w:p>
      <w:pPr>
        <w:sectPr>
          <w:pgSz w:w="11900" w:h="16838" w:orient="portrait"/>
          <w:cols w:equalWidth="0" w:num="1">
            <w:col w:w="9019"/>
          </w:cols>
          <w:pgMar w:left="1440" w:top="1386" w:right="1440" w:bottom="1440" w:gutter="0" w:footer="0" w:header="0"/>
        </w:sectPr>
      </w:pPr>
    </w:p>
    <w:bookmarkStart w:id="214" w:name="page215"/>
    <w:bookmarkEnd w:id="214"/>
    <w:p>
      <w:pPr>
        <w:jc w:val="right"/>
        <w:ind w:right="2659"/>
        <w:spacing w:after="0"/>
        <w:rPr>
          <w:sz w:val="20"/>
          <w:szCs w:val="20"/>
          <w:color w:val="auto"/>
        </w:rPr>
      </w:pPr>
      <w:r>
        <w:rPr>
          <w:rFonts w:ascii="Courier New" w:cs="Courier New" w:eastAsia="Courier New" w:hAnsi="Courier New"/>
          <w:sz w:val="16"/>
          <w:szCs w:val="16"/>
          <w:color w:val="auto"/>
        </w:rPr>
        <w:t>EXHIBIT 4(m)(2)</w:t>
      </w:r>
    </w:p>
    <w:p>
      <w:pPr>
        <w:spacing w:after="0" w:line="364"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6"/>
          <w:szCs w:val="16"/>
          <w:color w:val="auto"/>
        </w:rPr>
        <w:t>THE SCOTTS COMPANY</w:t>
      </w:r>
    </w:p>
    <w:p>
      <w:pPr>
        <w:spacing w:after="0" w:line="183"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$400,000,000</w:t>
      </w:r>
    </w:p>
    <w:p>
      <w:pPr>
        <w:spacing w:after="0" w:line="183"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6"/>
          <w:szCs w:val="16"/>
          <w:color w:val="auto"/>
        </w:rPr>
        <w:t>SERIES A AND SERIES B</w:t>
      </w:r>
    </w:p>
    <w:p>
      <w:pPr>
        <w:spacing w:after="0" w:line="5"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5"/>
          <w:szCs w:val="15"/>
          <w:color w:val="auto"/>
        </w:rPr>
        <w:t>8.625% SENIOR SUBORDINATED NOTES DUE 2009</w:t>
      </w:r>
    </w:p>
    <w:p>
      <w:pPr>
        <w:spacing w:after="0" w:line="372"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6"/>
          <w:szCs w:val="16"/>
          <w:color w:val="auto"/>
        </w:rPr>
        <w:t>SUPPLEMENTAL INDENTURE</w:t>
      </w:r>
    </w:p>
    <w:p>
      <w:pPr>
        <w:spacing w:after="0" w:line="183"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6"/>
          <w:szCs w:val="16"/>
          <w:color w:val="auto"/>
        </w:rPr>
        <w:t>Dated as of February 6, 2002</w:t>
      </w:r>
    </w:p>
    <w:p>
      <w:pPr>
        <w:spacing w:after="0" w:line="183"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to</w:t>
      </w:r>
    </w:p>
    <w:p>
      <w:pPr>
        <w:spacing w:after="0" w:line="183"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INDENTURE</w:t>
      </w:r>
    </w:p>
    <w:p>
      <w:pPr>
        <w:spacing w:after="0" w:line="183"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6"/>
          <w:szCs w:val="16"/>
          <w:color w:val="auto"/>
        </w:rPr>
        <w:t>Dated as of January 21, 1999</w:t>
      </w:r>
    </w:p>
    <w:p>
      <w:pPr>
        <w:spacing w:after="0" w:line="183"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6"/>
          <w:szCs w:val="16"/>
          <w:color w:val="auto"/>
        </w:rPr>
        <w:t>STATE STREET BANK AND TRUST COMPANY,</w:t>
      </w:r>
    </w:p>
    <w:p>
      <w:pPr>
        <w:spacing w:after="0" w:line="183"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as Trustee</w:t>
      </w:r>
    </w:p>
    <w:p>
      <w:pPr>
        <w:sectPr>
          <w:pgSz w:w="11900" w:h="16838" w:orient="portrait"/>
          <w:cols w:equalWidth="0" w:num="1">
            <w:col w:w="9019"/>
          </w:cols>
          <w:pgMar w:left="1440" w:top="320" w:right="1440" w:bottom="1440" w:gutter="0" w:footer="0" w:header="0"/>
        </w:sectPr>
      </w:pPr>
    </w:p>
    <w:bookmarkStart w:id="215" w:name="page216"/>
    <w:bookmarkEnd w:id="215"/>
    <w:p>
      <w:pPr>
        <w:ind w:left="2740"/>
        <w:spacing w:after="0"/>
        <w:rPr>
          <w:sz w:val="20"/>
          <w:szCs w:val="20"/>
          <w:color w:val="auto"/>
        </w:rPr>
      </w:pPr>
      <w:r>
        <w:rPr>
          <w:rFonts w:ascii="Courier New" w:cs="Courier New" w:eastAsia="Courier New" w:hAnsi="Courier New"/>
          <w:sz w:val="16"/>
          <w:szCs w:val="16"/>
          <w:color w:val="auto"/>
        </w:rPr>
        <w:t>SUPPLEMENTAL INDENTURE</w:t>
      </w:r>
    </w:p>
    <w:p>
      <w:pPr>
        <w:spacing w:after="0" w:line="186"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SUPPLEMENTAL INDENTURE (the "Supplemental Indenture") dated as of February 6, 2002 by and among The Scotts Company, an Ohio corporation (the "Company"), Scotts Manufacturing Company ("Scotts Manufacturing," as successor by merger to Scotts Miracle-Gro Products, Inc.), Scotts Temecula Operations, LLC ("Scotts Temecula", as successor by merger to Republic Tool &amp; Manufacturing Corp.) and the other guarantors named on the signature pages hereto (collectively with Scotts Manufacturing and Scotts Temecula, the "Guarantors") and State Street Bank and Trust Company, as trustee (the "Trustee"). Capitalized terms used but not defined herein shall have the meanings assigned to such terms in the Indenture (as defined below).</w:t>
      </w:r>
    </w:p>
    <w:p>
      <w:pPr>
        <w:spacing w:after="0" w:line="18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 I T N E S S E T H</w:t>
      </w:r>
    </w:p>
    <w:p>
      <w:pPr>
        <w:spacing w:after="0" w:line="186"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WHEREAS, the Company, the Guarantors (including the predecessors of Scotts Manufacturing and Scotts Temecula) and the Trustee previously duly executed, and the Company and the Guarantors (including the predecessors of Scotts Manufacturing and Scotts Temecula) duly delivered to the Trustee, an Indenture (the "Indenture") dated as of January 21, 1999 providing for the issuance of an aggregate principal amount of up to $400,000,000 of 8.625% Senior Subordinated Notes due 2009 (the "Notes");</w:t>
      </w:r>
    </w:p>
    <w:p>
      <w:pPr>
        <w:spacing w:after="0" w:line="192"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WHEREAS, the Company previously issued $330,000,000 of the Notes as of January 21, 1999 (the "Initial Notes") and now wishes to issue the remaining $70,000,000 of the Notes permitted to be issued under the Indenture (the "Additional Notes");</w:t>
      </w:r>
    </w:p>
    <w:p>
      <w:pPr>
        <w:spacing w:after="0" w:line="187" w:lineRule="exact"/>
        <w:rPr>
          <w:sz w:val="20"/>
          <w:szCs w:val="20"/>
          <w:color w:val="auto"/>
        </w:rPr>
      </w:pPr>
    </w:p>
    <w:p>
      <w:pPr>
        <w:ind w:right="2759" w:firstLine="1135"/>
        <w:spacing w:after="0" w:line="237" w:lineRule="auto"/>
        <w:rPr>
          <w:sz w:val="20"/>
          <w:szCs w:val="20"/>
          <w:color w:val="auto"/>
        </w:rPr>
      </w:pPr>
      <w:r>
        <w:rPr>
          <w:rFonts w:ascii="Courier New" w:cs="Courier New" w:eastAsia="Courier New" w:hAnsi="Courier New"/>
          <w:sz w:val="16"/>
          <w:szCs w:val="16"/>
          <w:color w:val="auto"/>
        </w:rPr>
        <w:t>WHEREAS, a supplemental indenture is required to be entered into in connection with the merger of Guarantors pursuant to Section 11.05;</w:t>
      </w:r>
    </w:p>
    <w:p>
      <w:pPr>
        <w:spacing w:after="0" w:line="188" w:lineRule="exact"/>
        <w:rPr>
          <w:sz w:val="20"/>
          <w:szCs w:val="20"/>
          <w:color w:val="auto"/>
        </w:rPr>
      </w:pPr>
    </w:p>
    <w:p>
      <w:pPr>
        <w:ind w:right="2759" w:firstLine="1135"/>
        <w:spacing w:after="0" w:line="237" w:lineRule="auto"/>
        <w:rPr>
          <w:sz w:val="20"/>
          <w:szCs w:val="20"/>
          <w:color w:val="auto"/>
        </w:rPr>
      </w:pPr>
      <w:r>
        <w:rPr>
          <w:rFonts w:ascii="Courier New" w:cs="Courier New" w:eastAsia="Courier New" w:hAnsi="Courier New"/>
          <w:sz w:val="16"/>
          <w:szCs w:val="16"/>
          <w:color w:val="auto"/>
        </w:rPr>
        <w:t>WHEREAS, the Company desires to amend certain provisions to provide for the issuance of Additional Notes;</w:t>
      </w:r>
    </w:p>
    <w:p>
      <w:pPr>
        <w:spacing w:after="0" w:line="188" w:lineRule="exact"/>
        <w:rPr>
          <w:sz w:val="20"/>
          <w:szCs w:val="20"/>
          <w:color w:val="auto"/>
        </w:rPr>
      </w:pPr>
    </w:p>
    <w:p>
      <w:pPr>
        <w:jc w:val="both"/>
        <w:ind w:right="3319" w:firstLine="1135"/>
        <w:spacing w:after="0" w:line="238" w:lineRule="auto"/>
        <w:rPr>
          <w:sz w:val="20"/>
          <w:szCs w:val="20"/>
          <w:color w:val="auto"/>
        </w:rPr>
      </w:pPr>
      <w:r>
        <w:rPr>
          <w:rFonts w:ascii="Courier New" w:cs="Courier New" w:eastAsia="Courier New" w:hAnsi="Courier New"/>
          <w:sz w:val="16"/>
          <w:szCs w:val="16"/>
          <w:color w:val="auto"/>
        </w:rPr>
        <w:t>WHEREAS, the Indenture provides that a Subsidiary required to execute a Guarantee of the Notes shall execute and deliver a supplemental indenture to the Trustee in connection therewith;</w:t>
      </w:r>
    </w:p>
    <w:p>
      <w:pPr>
        <w:spacing w:after="0" w:line="188" w:lineRule="exact"/>
        <w:rPr>
          <w:sz w:val="20"/>
          <w:szCs w:val="20"/>
          <w:color w:val="auto"/>
        </w:rPr>
      </w:pPr>
    </w:p>
    <w:p>
      <w:pPr>
        <w:ind w:right="2939" w:firstLine="1135"/>
        <w:spacing w:after="0" w:line="267" w:lineRule="auto"/>
        <w:rPr>
          <w:sz w:val="20"/>
          <w:szCs w:val="20"/>
          <w:color w:val="auto"/>
        </w:rPr>
      </w:pPr>
      <w:r>
        <w:rPr>
          <w:rFonts w:ascii="Courier New" w:cs="Courier New" w:eastAsia="Courier New" w:hAnsi="Courier New"/>
          <w:sz w:val="15"/>
          <w:szCs w:val="15"/>
          <w:color w:val="auto"/>
        </w:rPr>
        <w:t>WHEREAS, the Board of Directors of the Company has authorized the execution of this Supplemental Indenture and its delivery to the Trustee;</w:t>
      </w:r>
    </w:p>
    <w:p>
      <w:pPr>
        <w:spacing w:after="0" w:line="168" w:lineRule="exact"/>
        <w:rPr>
          <w:sz w:val="20"/>
          <w:szCs w:val="20"/>
          <w:color w:val="auto"/>
        </w:rPr>
      </w:pPr>
    </w:p>
    <w:p>
      <w:pPr>
        <w:ind w:right="2839" w:firstLine="1135"/>
        <w:spacing w:after="0" w:line="238" w:lineRule="auto"/>
        <w:rPr>
          <w:sz w:val="20"/>
          <w:szCs w:val="20"/>
          <w:color w:val="auto"/>
        </w:rPr>
      </w:pPr>
      <w:r>
        <w:rPr>
          <w:rFonts w:ascii="Courier New" w:cs="Courier New" w:eastAsia="Courier New" w:hAnsi="Courier New"/>
          <w:sz w:val="16"/>
          <w:szCs w:val="16"/>
          <w:color w:val="auto"/>
        </w:rPr>
        <w:t>WHEREAS, the Company has delivered an Officers' Certificate and an Opinion of Counsel to the Trustee pursuant to Sections 7.02 and 13.04 of the Indenture; and</w:t>
      </w:r>
    </w:p>
    <w:p>
      <w:pPr>
        <w:spacing w:after="0" w:line="188" w:lineRule="exact"/>
        <w:rPr>
          <w:sz w:val="20"/>
          <w:szCs w:val="20"/>
          <w:color w:val="auto"/>
        </w:rPr>
      </w:pPr>
    </w:p>
    <w:p>
      <w:pPr>
        <w:ind w:right="2939" w:firstLine="1135"/>
        <w:spacing w:after="0" w:line="262" w:lineRule="auto"/>
        <w:rPr>
          <w:sz w:val="20"/>
          <w:szCs w:val="20"/>
          <w:color w:val="auto"/>
        </w:rPr>
      </w:pPr>
      <w:r>
        <w:rPr>
          <w:rFonts w:ascii="Courier New" w:cs="Courier New" w:eastAsia="Courier New" w:hAnsi="Courier New"/>
          <w:sz w:val="15"/>
          <w:szCs w:val="15"/>
          <w:color w:val="auto"/>
        </w:rPr>
        <w:t>WHEREAS, all other actions necessary to make this Supplemental Indenture a legal, valid and binding obligation of the parties hereto in accordance with its terms and the terms of the Indenture have been performed;</w:t>
      </w:r>
    </w:p>
    <w:p>
      <w:pPr>
        <w:spacing w:after="0" w:line="171" w:lineRule="exact"/>
        <w:rPr>
          <w:sz w:val="20"/>
          <w:szCs w:val="20"/>
          <w:color w:val="auto"/>
        </w:rPr>
      </w:pPr>
    </w:p>
    <w:p>
      <w:pPr>
        <w:ind w:right="2659" w:firstLine="1135"/>
        <w:spacing w:after="0" w:line="238" w:lineRule="auto"/>
        <w:rPr>
          <w:sz w:val="20"/>
          <w:szCs w:val="20"/>
          <w:color w:val="auto"/>
        </w:rPr>
      </w:pPr>
      <w:r>
        <w:rPr>
          <w:rFonts w:ascii="Courier New" w:cs="Courier New" w:eastAsia="Courier New" w:hAnsi="Courier New"/>
          <w:sz w:val="16"/>
          <w:szCs w:val="16"/>
          <w:color w:val="auto"/>
        </w:rPr>
        <w:t>NOW, THEREFORE, in consideration of the foregoing and for other good and valuable consideration, the receipt of which is hereby acknowledged, the Guarantors, the</w:t>
      </w:r>
    </w:p>
    <w:p>
      <w:pPr>
        <w:sectPr>
          <w:pgSz w:w="11900" w:h="16838" w:orient="portrait"/>
          <w:cols w:equalWidth="0" w:num="1">
            <w:col w:w="10219"/>
          </w:cols>
          <w:pgMar w:left="240" w:top="477" w:right="1440" w:bottom="1440" w:gutter="0" w:footer="0" w:header="0"/>
        </w:sectPr>
      </w:pPr>
    </w:p>
    <w:bookmarkStart w:id="216" w:name="page217"/>
    <w:bookmarkEnd w:id="216"/>
    <w:p>
      <w:pPr>
        <w:jc w:val="right"/>
        <w:ind w:right="2659"/>
        <w:spacing w:after="0"/>
        <w:rPr>
          <w:sz w:val="20"/>
          <w:szCs w:val="20"/>
          <w:color w:val="auto"/>
        </w:rPr>
      </w:pPr>
      <w:r>
        <w:rPr>
          <w:rFonts w:ascii="Courier New" w:cs="Courier New" w:eastAsia="Courier New" w:hAnsi="Courier New"/>
          <w:sz w:val="16"/>
          <w:szCs w:val="16"/>
          <w:color w:val="auto"/>
        </w:rPr>
        <w:t>2</w:t>
      </w:r>
    </w:p>
    <w:p>
      <w:pPr>
        <w:spacing w:after="0" w:line="368"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6"/>
          <w:szCs w:val="16"/>
          <w:color w:val="auto"/>
        </w:rPr>
        <w:t>Company and the Trustee mutually covenant and agree for the equal and ratable benefit of the Holders of the Notes as follows:</w:t>
      </w:r>
    </w:p>
    <w:p>
      <w:pPr>
        <w:spacing w:after="0" w:line="184" w:lineRule="exact"/>
        <w:rPr>
          <w:sz w:val="20"/>
          <w:szCs w:val="20"/>
          <w:color w:val="auto"/>
        </w:rPr>
      </w:pPr>
    </w:p>
    <w:p>
      <w:pPr>
        <w:ind w:left="1420" w:hanging="288"/>
        <w:spacing w:after="0"/>
        <w:tabs>
          <w:tab w:leader="none" w:pos="1420"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to Indenture.</w:t>
      </w:r>
    </w:p>
    <w:p>
      <w:pPr>
        <w:spacing w:after="0" w:line="182"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 Section 1.01 of the Indenture shall be amended as follows:</w:t>
      </w:r>
    </w:p>
    <w:p>
      <w:pPr>
        <w:spacing w:after="0" w:line="186" w:lineRule="exact"/>
        <w:rPr>
          <w:sz w:val="20"/>
          <w:szCs w:val="20"/>
          <w:color w:val="auto"/>
        </w:rPr>
      </w:pPr>
    </w:p>
    <w:p>
      <w:pPr>
        <w:ind w:right="3219" w:firstLine="1699"/>
        <w:spacing w:after="0" w:line="237" w:lineRule="auto"/>
        <w:tabs>
          <w:tab w:leader="none" w:pos="2081"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deleting the definition of "Additional Notes" and substituting in lieu thereof the following:</w:t>
      </w:r>
    </w:p>
    <w:p>
      <w:pPr>
        <w:spacing w:after="0" w:line="188" w:lineRule="exact"/>
        <w:rPr>
          <w:sz w:val="20"/>
          <w:szCs w:val="20"/>
          <w:color w:val="auto"/>
        </w:rPr>
      </w:pPr>
    </w:p>
    <w:p>
      <w:pPr>
        <w:ind w:right="3119" w:firstLine="1702"/>
        <w:spacing w:after="0" w:line="238" w:lineRule="auto"/>
        <w:rPr>
          <w:sz w:val="20"/>
          <w:szCs w:val="20"/>
          <w:color w:val="auto"/>
        </w:rPr>
      </w:pPr>
      <w:r>
        <w:rPr>
          <w:rFonts w:ascii="Courier New" w:cs="Courier New" w:eastAsia="Courier New" w:hAnsi="Courier New"/>
          <w:sz w:val="16"/>
          <w:szCs w:val="16"/>
          <w:color w:val="auto"/>
        </w:rPr>
        <w:t>"Additional Notes" means up to $70.0 million in aggregate principal amount of Notes (other than the Initial Notes) issued under this Indenture in accordance with Sections 2.02 and 4.09 hereof.</w:t>
      </w:r>
    </w:p>
    <w:p>
      <w:pPr>
        <w:spacing w:after="0" w:line="188" w:lineRule="exact"/>
        <w:rPr>
          <w:sz w:val="20"/>
          <w:szCs w:val="20"/>
          <w:color w:val="auto"/>
        </w:rPr>
      </w:pPr>
    </w:p>
    <w:p>
      <w:pPr>
        <w:ind w:right="3499" w:firstLine="1699"/>
        <w:spacing w:after="0" w:line="237" w:lineRule="auto"/>
        <w:tabs>
          <w:tab w:leader="none" w:pos="2081"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deleting the definition of "Initial Notes" and substituting in lieu thereof the following:</w:t>
      </w:r>
    </w:p>
    <w:p>
      <w:pPr>
        <w:spacing w:after="0" w:line="188" w:lineRule="exact"/>
        <w:rPr>
          <w:sz w:val="20"/>
          <w:szCs w:val="20"/>
          <w:color w:val="auto"/>
        </w:rPr>
      </w:pPr>
    </w:p>
    <w:p>
      <w:pPr>
        <w:ind w:right="2939" w:firstLine="1702"/>
        <w:spacing w:after="0" w:line="237" w:lineRule="auto"/>
        <w:rPr>
          <w:sz w:val="20"/>
          <w:szCs w:val="20"/>
          <w:color w:val="auto"/>
        </w:rPr>
      </w:pPr>
      <w:r>
        <w:rPr>
          <w:rFonts w:ascii="Courier New" w:cs="Courier New" w:eastAsia="Courier New" w:hAnsi="Courier New"/>
          <w:sz w:val="16"/>
          <w:szCs w:val="16"/>
          <w:color w:val="auto"/>
        </w:rPr>
        <w:t>"Initial Notes" means $330.0 million in aggregate principal amount of Notes issued under this Indenture on January 21, 1999.</w:t>
      </w:r>
    </w:p>
    <w:p>
      <w:pPr>
        <w:spacing w:after="0" w:line="188" w:lineRule="exact"/>
        <w:rPr>
          <w:sz w:val="20"/>
          <w:szCs w:val="20"/>
          <w:color w:val="auto"/>
        </w:rPr>
      </w:pPr>
    </w:p>
    <w:p>
      <w:pPr>
        <w:ind w:right="3119" w:firstLine="1699"/>
        <w:spacing w:after="0" w:line="237" w:lineRule="auto"/>
        <w:tabs>
          <w:tab w:leader="none" w:pos="2081"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deleting the definition of "Initial Purchaser" and substituting in lieu thereof the following:</w:t>
      </w:r>
    </w:p>
    <w:p>
      <w:pPr>
        <w:spacing w:after="0" w:line="188" w:lineRule="exact"/>
        <w:rPr>
          <w:sz w:val="20"/>
          <w:szCs w:val="20"/>
          <w:color w:val="auto"/>
        </w:rPr>
      </w:pPr>
    </w:p>
    <w:p>
      <w:pPr>
        <w:ind w:right="2939" w:firstLine="1702"/>
        <w:spacing w:after="0" w:line="237" w:lineRule="auto"/>
        <w:rPr>
          <w:sz w:val="20"/>
          <w:szCs w:val="20"/>
          <w:color w:val="auto"/>
        </w:rPr>
      </w:pPr>
      <w:r>
        <w:rPr>
          <w:rFonts w:ascii="Courier New" w:cs="Courier New" w:eastAsia="Courier New" w:hAnsi="Courier New"/>
          <w:sz w:val="16"/>
          <w:szCs w:val="16"/>
          <w:color w:val="auto"/>
        </w:rPr>
        <w:t>"Initial Purchaser" shall have the meaning assigned to such term in the Offering Memoranda.</w:t>
      </w:r>
    </w:p>
    <w:p>
      <w:pPr>
        <w:spacing w:after="0" w:line="188" w:lineRule="exact"/>
        <w:rPr>
          <w:sz w:val="20"/>
          <w:szCs w:val="20"/>
          <w:color w:val="auto"/>
        </w:rPr>
      </w:pPr>
    </w:p>
    <w:p>
      <w:pPr>
        <w:ind w:right="3039" w:firstLine="1699"/>
        <w:spacing w:after="0" w:line="237" w:lineRule="auto"/>
        <w:tabs>
          <w:tab w:leader="none" w:pos="2081"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deleting the definition of "Liquidated Damages" and substituting in lieu thereof the following:</w:t>
      </w:r>
    </w:p>
    <w:p>
      <w:pPr>
        <w:spacing w:after="0" w:line="188" w:lineRule="exact"/>
        <w:rPr>
          <w:sz w:val="20"/>
          <w:szCs w:val="20"/>
          <w:color w:val="auto"/>
        </w:rPr>
      </w:pPr>
    </w:p>
    <w:p>
      <w:pPr>
        <w:ind w:right="2839" w:firstLine="1702"/>
        <w:spacing w:after="0" w:line="237" w:lineRule="auto"/>
        <w:rPr>
          <w:sz w:val="20"/>
          <w:szCs w:val="20"/>
          <w:color w:val="auto"/>
        </w:rPr>
      </w:pPr>
      <w:r>
        <w:rPr>
          <w:rFonts w:ascii="Courier New" w:cs="Courier New" w:eastAsia="Courier New" w:hAnsi="Courier New"/>
          <w:sz w:val="16"/>
          <w:szCs w:val="16"/>
          <w:color w:val="auto"/>
        </w:rPr>
        <w:t>"Liquidated Damages" means all amounts owing pursuant to the Registration Rights Agreement.</w:t>
      </w:r>
    </w:p>
    <w:p>
      <w:pPr>
        <w:spacing w:after="0" w:line="188" w:lineRule="exact"/>
        <w:rPr>
          <w:sz w:val="20"/>
          <w:szCs w:val="20"/>
          <w:color w:val="auto"/>
        </w:rPr>
      </w:pPr>
    </w:p>
    <w:p>
      <w:pPr>
        <w:ind w:right="2939" w:firstLine="1699"/>
        <w:spacing w:after="0" w:line="237" w:lineRule="auto"/>
        <w:tabs>
          <w:tab w:leader="none" w:pos="2081"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deleting the definition of "Offering Memorandum" and substituting in lieu thereof the following:</w:t>
      </w:r>
    </w:p>
    <w:p>
      <w:pPr>
        <w:spacing w:after="0" w:line="188" w:lineRule="exact"/>
        <w:rPr>
          <w:sz w:val="20"/>
          <w:szCs w:val="20"/>
          <w:color w:val="auto"/>
        </w:rPr>
      </w:pPr>
    </w:p>
    <w:p>
      <w:pPr>
        <w:ind w:right="2659" w:firstLine="1702"/>
        <w:spacing w:after="0" w:line="239" w:lineRule="auto"/>
        <w:rPr>
          <w:sz w:val="20"/>
          <w:szCs w:val="20"/>
          <w:color w:val="auto"/>
        </w:rPr>
      </w:pPr>
      <w:r>
        <w:rPr>
          <w:rFonts w:ascii="Courier New" w:cs="Courier New" w:eastAsia="Courier New" w:hAnsi="Courier New"/>
          <w:sz w:val="16"/>
          <w:szCs w:val="16"/>
          <w:color w:val="auto"/>
        </w:rPr>
        <w:t>"Offering Memoranda" means the Offering Memorandum, dated January 21, 1999, pursuant to which the Initial Notes were offered and sold, and the Offering Memorandum, dated February 1, 2002, pursuant to which the Additional Notes were offered and sold.</w:t>
      </w:r>
    </w:p>
    <w:p>
      <w:pPr>
        <w:spacing w:after="0" w:line="18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II. Exhibits A-1 and A-2 to the Indenture shall be amended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follows:</w:t>
      </w:r>
    </w:p>
    <w:p>
      <w:pPr>
        <w:spacing w:after="0" w:line="186" w:lineRule="exact"/>
        <w:rPr>
          <w:sz w:val="20"/>
          <w:szCs w:val="20"/>
          <w:color w:val="auto"/>
        </w:rPr>
      </w:pPr>
    </w:p>
    <w:p>
      <w:pPr>
        <w:ind w:right="2659" w:firstLine="1699"/>
        <w:spacing w:after="0" w:line="238" w:lineRule="auto"/>
        <w:tabs>
          <w:tab w:leader="none" w:pos="2081"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deleting the first sentence of Section 1 in Exhibit A-1 and in Exhibit A-2 entitled "Interest" and substituting in lieu thereof the following:</w:t>
      </w:r>
    </w:p>
    <w:p>
      <w:pPr>
        <w:spacing w:after="0" w:line="188" w:lineRule="exact"/>
        <w:rPr>
          <w:sz w:val="20"/>
          <w:szCs w:val="20"/>
          <w:color w:val="auto"/>
        </w:rPr>
      </w:pPr>
    </w:p>
    <w:p>
      <w:pPr>
        <w:ind w:right="2759" w:firstLine="1702"/>
        <w:spacing w:after="0" w:line="239" w:lineRule="auto"/>
        <w:rPr>
          <w:sz w:val="20"/>
          <w:szCs w:val="20"/>
          <w:color w:val="auto"/>
        </w:rPr>
      </w:pPr>
      <w:r>
        <w:rPr>
          <w:rFonts w:ascii="Courier New" w:cs="Courier New" w:eastAsia="Courier New" w:hAnsi="Courier New"/>
          <w:sz w:val="16"/>
          <w:szCs w:val="16"/>
          <w:color w:val="auto"/>
        </w:rPr>
        <w:t>"The Scotts Company, an Ohio corporation (the "Company"), promises to pay interest on the principal amount of this Note at 8.625% per annum from February 6, 2002 until maturity and shall pay the Liquidated Damages payable pursuant to the Registration Rights Agreement."</w:t>
      </w:r>
    </w:p>
    <w:p>
      <w:pPr>
        <w:sectPr>
          <w:pgSz w:w="11900" w:h="16838" w:orient="portrait"/>
          <w:cols w:equalWidth="0" w:num="1">
            <w:col w:w="10219"/>
          </w:cols>
          <w:pgMar w:left="240" w:top="477" w:right="1440" w:bottom="1440" w:gutter="0" w:footer="0" w:header="0"/>
        </w:sectPr>
      </w:pPr>
    </w:p>
    <w:bookmarkStart w:id="217" w:name="page218"/>
    <w:bookmarkEnd w:id="217"/>
    <w:p>
      <w:pPr>
        <w:jc w:val="right"/>
        <w:ind w:right="2659"/>
        <w:spacing w:after="0"/>
        <w:rPr>
          <w:sz w:val="20"/>
          <w:szCs w:val="20"/>
          <w:color w:val="auto"/>
        </w:rPr>
      </w:pPr>
      <w:r>
        <w:rPr>
          <w:rFonts w:ascii="Courier New" w:cs="Courier New" w:eastAsia="Courier New" w:hAnsi="Courier New"/>
          <w:sz w:val="16"/>
          <w:szCs w:val="16"/>
          <w:color w:val="auto"/>
        </w:rPr>
        <w:t>3</w:t>
      </w:r>
    </w:p>
    <w:p>
      <w:pPr>
        <w:spacing w:after="0" w:line="368" w:lineRule="exact"/>
        <w:rPr>
          <w:sz w:val="20"/>
          <w:szCs w:val="20"/>
          <w:color w:val="auto"/>
        </w:rPr>
      </w:pPr>
    </w:p>
    <w:p>
      <w:pPr>
        <w:ind w:right="2659" w:firstLine="1699"/>
        <w:spacing w:after="0" w:line="238" w:lineRule="auto"/>
        <w:tabs>
          <w:tab w:leader="none" w:pos="2081"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deleting the third sentence of Section 1 in Exhibit A-1 and in Exhibit A-2 entitled "Interest" and substituting in lieu thereof the following:</w:t>
      </w:r>
    </w:p>
    <w:p>
      <w:pPr>
        <w:spacing w:after="0" w:line="188"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"Interest on the Notes shall accrue from the most recent date to which interest has been paid or, if no interest has been paid, from the date of issuance; provided that if there is no existing Default in the payment of interest, and if this Note is authenticated between a record date referred to on the face hereof and the next succeeding Interest Payment Date, interest shall accrue from such next succeeding Interest Payment Date; provided, further, that the first Interest Payment Date shall be July 15, 2002."</w:t>
      </w:r>
    </w:p>
    <w:p>
      <w:pPr>
        <w:spacing w:after="0" w:line="192" w:lineRule="exact"/>
        <w:rPr>
          <w:sz w:val="20"/>
          <w:szCs w:val="20"/>
          <w:color w:val="auto"/>
        </w:rPr>
      </w:pPr>
    </w:p>
    <w:p>
      <w:pPr>
        <w:jc w:val="both"/>
        <w:ind w:right="2839" w:firstLine="1132"/>
        <w:spacing w:after="0" w:line="260" w:lineRule="auto"/>
        <w:tabs>
          <w:tab w:leader="none" w:pos="1419"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Additional Notes and Guarantees. The Company agrees to issue the Additional Notes and the Guarantors each agree to unconditionally guarantee all of the Company's obligations under the Notes, in each case in accordance with the terms and conditions set forth in the Indenture.</w:t>
      </w:r>
    </w:p>
    <w:p>
      <w:pPr>
        <w:spacing w:after="0" w:line="173" w:lineRule="exact"/>
        <w:rPr>
          <w:rFonts w:ascii="Courier New" w:cs="Courier New" w:eastAsia="Courier New" w:hAnsi="Courier New"/>
          <w:sz w:val="15"/>
          <w:szCs w:val="15"/>
          <w:color w:val="auto"/>
        </w:rPr>
      </w:pPr>
    </w:p>
    <w:p>
      <w:pPr>
        <w:ind w:right="3219" w:firstLine="1132"/>
        <w:spacing w:after="0" w:line="237" w:lineRule="auto"/>
        <w:tabs>
          <w:tab w:leader="none" w:pos="1419"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to Guarantee by Guarantors. Each Guarantor hereby agrees as follows:</w:t>
      </w:r>
    </w:p>
    <w:p>
      <w:pPr>
        <w:spacing w:after="0" w:line="184" w:lineRule="exact"/>
        <w:rPr>
          <w:sz w:val="20"/>
          <w:szCs w:val="20"/>
          <w:color w:val="auto"/>
        </w:rPr>
      </w:pPr>
    </w:p>
    <w:p>
      <w:pPr>
        <w:ind w:left="1520" w:hanging="388"/>
        <w:spacing w:after="0"/>
        <w:tabs>
          <w:tab w:leader="none" w:pos="1520"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Along with the other Guarantors, to jointly and severally</w:t>
      </w:r>
    </w:p>
    <w:p>
      <w:pPr>
        <w:spacing w:after="0" w:line="4" w:lineRule="exact"/>
        <w:rPr>
          <w:rFonts w:ascii="Courier New" w:cs="Courier New" w:eastAsia="Courier New" w:hAnsi="Courier New"/>
          <w:sz w:val="16"/>
          <w:szCs w:val="16"/>
          <w:color w:val="auto"/>
        </w:rPr>
      </w:pPr>
    </w:p>
    <w:p>
      <w:pPr>
        <w:ind w:left="1140"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 to each Holder of a Note authenticated and delivered by the Trustee and to the Trustee and its successors and assigns irrespective of the validity and unenforceability of the Indenture, the Notes or the obligations of the Company hereunder or thereunder, that:</w:t>
      </w:r>
    </w:p>
    <w:p>
      <w:pPr>
        <w:spacing w:after="0" w:line="188" w:lineRule="exact"/>
        <w:rPr>
          <w:rFonts w:ascii="Courier New" w:cs="Courier New" w:eastAsia="Courier New" w:hAnsi="Courier New"/>
          <w:sz w:val="16"/>
          <w:szCs w:val="16"/>
          <w:color w:val="auto"/>
        </w:rPr>
      </w:pPr>
    </w:p>
    <w:p>
      <w:pPr>
        <w:ind w:left="2260" w:right="2659" w:hanging="561"/>
        <w:spacing w:after="0" w:line="258" w:lineRule="auto"/>
        <w:tabs>
          <w:tab w:leader="none" w:pos="2260" w:val="left"/>
        </w:tabs>
        <w:numPr>
          <w:ilvl w:val="1"/>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of and interest on the Notes will be promptly paid in full when due, whether at maturity, by acceleration, redemption or otherwise, and interest on the overdue principal of and interest on the Notes, if any, if lawful, and all other obligations of the Company to the Holders or the Trustee hereunder or thereunder will be promptly paid in full or performed, all in accordance with the terms hereof and thereof; and</w:t>
      </w:r>
    </w:p>
    <w:p>
      <w:pPr>
        <w:spacing w:after="0" w:line="175" w:lineRule="exact"/>
        <w:rPr>
          <w:rFonts w:ascii="Courier New" w:cs="Courier New" w:eastAsia="Courier New" w:hAnsi="Courier New"/>
          <w:sz w:val="15"/>
          <w:szCs w:val="15"/>
          <w:color w:val="auto"/>
        </w:rPr>
      </w:pPr>
    </w:p>
    <w:p>
      <w:pPr>
        <w:ind w:left="2260" w:right="2659" w:hanging="561"/>
        <w:spacing w:after="0"/>
        <w:tabs>
          <w:tab w:leader="none" w:pos="2260" w:val="left"/>
        </w:tabs>
        <w:numPr>
          <w:ilvl w:val="1"/>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any extension of time of payment or renewal of any Notes or any of such other obligations, that same will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w:t>
      </w:r>
    </w:p>
    <w:p>
      <w:pPr>
        <w:spacing w:after="0" w:line="187" w:lineRule="exact"/>
        <w:rPr>
          <w:rFonts w:ascii="Courier New" w:cs="Courier New" w:eastAsia="Courier New" w:hAnsi="Courier New"/>
          <w:sz w:val="16"/>
          <w:szCs w:val="16"/>
          <w:color w:val="auto"/>
        </w:rPr>
      </w:pPr>
    </w:p>
    <w:p>
      <w:pPr>
        <w:ind w:left="1140" w:right="2659" w:hanging="8"/>
        <w:spacing w:after="0"/>
        <w:tabs>
          <w:tab w:leader="none" w:pos="1518"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w:t>
      </w:r>
    </w:p>
    <w:p>
      <w:pPr>
        <w:sectPr>
          <w:pgSz w:w="11900" w:h="16838" w:orient="portrait"/>
          <w:cols w:equalWidth="0" w:num="1">
            <w:col w:w="10219"/>
          </w:cols>
          <w:pgMar w:left="240" w:top="477" w:right="1440" w:bottom="1440" w:gutter="0" w:footer="0" w:header="0"/>
        </w:sectPr>
      </w:pPr>
    </w:p>
    <w:bookmarkStart w:id="218" w:name="page219"/>
    <w:bookmarkEnd w:id="218"/>
    <w:p>
      <w:pPr>
        <w:jc w:val="right"/>
        <w:ind w:right="2659"/>
        <w:spacing w:after="0"/>
        <w:rPr>
          <w:sz w:val="20"/>
          <w:szCs w:val="20"/>
          <w:color w:val="auto"/>
        </w:rPr>
      </w:pPr>
      <w:r>
        <w:rPr>
          <w:rFonts w:ascii="Courier New" w:cs="Courier New" w:eastAsia="Courier New" w:hAnsi="Courier New"/>
          <w:sz w:val="16"/>
          <w:szCs w:val="16"/>
          <w:color w:val="auto"/>
        </w:rPr>
        <w:t>4</w:t>
      </w:r>
    </w:p>
    <w:p>
      <w:pPr>
        <w:spacing w:after="0" w:line="368" w:lineRule="exact"/>
        <w:rPr>
          <w:sz w:val="20"/>
          <w:szCs w:val="20"/>
          <w:color w:val="auto"/>
        </w:rPr>
      </w:pPr>
    </w:p>
    <w:p>
      <w:pPr>
        <w:ind w:left="1140" w:right="2659" w:hanging="8"/>
        <w:spacing w:after="0" w:line="239" w:lineRule="auto"/>
        <w:tabs>
          <w:tab w:leader="none" w:pos="1518"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is hereby waived: diligence, presentment, demand of payment, filing of claims with a court in the event of insolvency or bankruptcy of the Company, any right to require a proceeding first against the Company, protest, notice and all demands whatsoever.</w:t>
      </w:r>
    </w:p>
    <w:p>
      <w:pPr>
        <w:spacing w:after="0" w:line="188" w:lineRule="exact"/>
        <w:rPr>
          <w:rFonts w:ascii="Courier New" w:cs="Courier New" w:eastAsia="Courier New" w:hAnsi="Courier New"/>
          <w:sz w:val="16"/>
          <w:szCs w:val="16"/>
          <w:color w:val="auto"/>
        </w:rPr>
      </w:pPr>
    </w:p>
    <w:p>
      <w:pPr>
        <w:ind w:left="1140" w:right="2839" w:hanging="8"/>
        <w:spacing w:after="0" w:line="239" w:lineRule="auto"/>
        <w:tabs>
          <w:tab w:leader="none" w:pos="1518"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Subsidiary Guarantees shall not be discharged except by complete performance of the obligations contained in the Notes and the Indenture, and each Guarantor accepts all obligations of an Initial Guarantor under the Indenture.</w:t>
      </w:r>
    </w:p>
    <w:p>
      <w:pPr>
        <w:spacing w:after="0" w:line="187" w:lineRule="exact"/>
        <w:rPr>
          <w:rFonts w:ascii="Courier New" w:cs="Courier New" w:eastAsia="Courier New" w:hAnsi="Courier New"/>
          <w:sz w:val="16"/>
          <w:szCs w:val="16"/>
          <w:color w:val="auto"/>
        </w:rPr>
      </w:pPr>
    </w:p>
    <w:p>
      <w:pPr>
        <w:ind w:left="1140" w:right="2659" w:hanging="8"/>
        <w:spacing w:after="0" w:line="239" w:lineRule="auto"/>
        <w:tabs>
          <w:tab w:leader="none" w:pos="1518"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the Subsidiary Guarantees, to the extent theretofore discharged, shall be reinstated in full force and effect.</w:t>
      </w:r>
    </w:p>
    <w:p>
      <w:pPr>
        <w:spacing w:after="0" w:line="191" w:lineRule="exact"/>
        <w:rPr>
          <w:rFonts w:ascii="Courier New" w:cs="Courier New" w:eastAsia="Courier New" w:hAnsi="Courier New"/>
          <w:sz w:val="16"/>
          <w:szCs w:val="16"/>
          <w:color w:val="auto"/>
        </w:rPr>
      </w:pPr>
    </w:p>
    <w:p>
      <w:pPr>
        <w:ind w:left="1140" w:right="2659" w:hanging="8"/>
        <w:spacing w:after="0" w:line="262" w:lineRule="auto"/>
        <w:tabs>
          <w:tab w:leader="none" w:pos="1518"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Guarantor shall not be entitled to any right of subrogation in relation to the Holders in respect of any obligations guaranteed hereby until payment in full of all obligations guaranteed hereby.</w:t>
      </w:r>
    </w:p>
    <w:p>
      <w:pPr>
        <w:spacing w:after="0" w:line="171" w:lineRule="exact"/>
        <w:rPr>
          <w:rFonts w:ascii="Courier New" w:cs="Courier New" w:eastAsia="Courier New" w:hAnsi="Courier New"/>
          <w:sz w:val="15"/>
          <w:szCs w:val="15"/>
          <w:color w:val="auto"/>
        </w:rPr>
      </w:pPr>
    </w:p>
    <w:p>
      <w:pPr>
        <w:ind w:left="1140" w:right="2659" w:hanging="8"/>
        <w:spacing w:after="0"/>
        <w:tabs>
          <w:tab w:leader="none" w:pos="1518"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between the Guarantors, on the one hand, and the Holders and the Trustee, on the other hand, (x) the maturity of the obligations guaranteed hereby may be accelerated as provided in Article 6 of the Indenture for the purposes of the Guarantees of all of the Company's Obligations under the Notes and the Indenture (the "Subsidiary Guarantees"),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Guarantors for the purpose of the Subsidiary Guarantees.</w:t>
      </w:r>
    </w:p>
    <w:p>
      <w:pPr>
        <w:spacing w:after="0" w:line="189" w:lineRule="exact"/>
        <w:rPr>
          <w:rFonts w:ascii="Courier New" w:cs="Courier New" w:eastAsia="Courier New" w:hAnsi="Courier New"/>
          <w:sz w:val="16"/>
          <w:szCs w:val="16"/>
          <w:color w:val="auto"/>
        </w:rPr>
      </w:pPr>
    </w:p>
    <w:p>
      <w:pPr>
        <w:ind w:left="1140" w:right="2759" w:hanging="8"/>
        <w:spacing w:after="0" w:line="238" w:lineRule="auto"/>
        <w:tabs>
          <w:tab w:leader="none" w:pos="1518"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Guarantors shall have the right to seek contribution from any non-paying Guarantor so long as the exercise of such right does not impair the rights of the Holders under the Guarantee.</w:t>
      </w:r>
    </w:p>
    <w:p>
      <w:pPr>
        <w:spacing w:after="0" w:line="188" w:lineRule="exact"/>
        <w:rPr>
          <w:rFonts w:ascii="Courier New" w:cs="Courier New" w:eastAsia="Courier New" w:hAnsi="Courier New"/>
          <w:sz w:val="16"/>
          <w:szCs w:val="16"/>
          <w:color w:val="auto"/>
        </w:rPr>
      </w:pPr>
    </w:p>
    <w:p>
      <w:pPr>
        <w:ind w:left="1140" w:right="2759" w:hanging="8"/>
        <w:spacing w:after="0" w:line="237" w:lineRule="auto"/>
        <w:tabs>
          <w:tab w:leader="none" w:pos="1518"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hereunder shall be subject to the subordination provisions of the Indenture.</w:t>
      </w:r>
    </w:p>
    <w:p>
      <w:pPr>
        <w:spacing w:after="0" w:line="188" w:lineRule="exact"/>
        <w:rPr>
          <w:sz w:val="20"/>
          <w:szCs w:val="20"/>
          <w:color w:val="auto"/>
        </w:rPr>
      </w:pPr>
    </w:p>
    <w:p>
      <w:pPr>
        <w:ind w:right="2659" w:firstLine="1132"/>
        <w:spacing w:after="0" w:line="238" w:lineRule="auto"/>
        <w:tabs>
          <w:tab w:leader="none" w:pos="1419"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and Delivery. Each Guarantor agrees that the Subsidiary Guarantees shall remain in full force and effect notwithstanding any failure to endorse on each Note a notation of such Subsidiary Guarantee.</w:t>
      </w:r>
    </w:p>
    <w:p>
      <w:pPr>
        <w:spacing w:after="0" w:line="184" w:lineRule="exact"/>
        <w:rPr>
          <w:rFonts w:ascii="Courier New" w:cs="Courier New" w:eastAsia="Courier New" w:hAnsi="Courier New"/>
          <w:sz w:val="16"/>
          <w:szCs w:val="16"/>
          <w:color w:val="auto"/>
        </w:rPr>
      </w:pPr>
    </w:p>
    <w:p>
      <w:pPr>
        <w:ind w:left="1420" w:hanging="288"/>
        <w:spacing w:after="0"/>
        <w:tabs>
          <w:tab w:leader="none" w:pos="1420"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Guarantor May Consolidate, Etc. on Certain Terms.</w:t>
      </w:r>
    </w:p>
    <w:p>
      <w:pPr>
        <w:spacing w:after="0" w:line="186" w:lineRule="exact"/>
        <w:rPr>
          <w:sz w:val="20"/>
          <w:szCs w:val="20"/>
          <w:color w:val="auto"/>
        </w:rPr>
      </w:pPr>
    </w:p>
    <w:p>
      <w:pPr>
        <w:ind w:left="1140" w:right="2939" w:hanging="8"/>
        <w:spacing w:after="0" w:line="239" w:lineRule="auto"/>
        <w:tabs>
          <w:tab w:leader="none" w:pos="1518"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Guarantor may not consolidate with or merge with or into (whether or not such Guarantor is the surviving Person) another corporation, Person or entity whether or not affiliated with such Guarantor unless:</w:t>
      </w:r>
    </w:p>
    <w:p>
      <w:pPr>
        <w:spacing w:after="0" w:line="187" w:lineRule="exact"/>
        <w:rPr>
          <w:rFonts w:ascii="Courier New" w:cs="Courier New" w:eastAsia="Courier New" w:hAnsi="Courier New"/>
          <w:sz w:val="16"/>
          <w:szCs w:val="16"/>
          <w:color w:val="auto"/>
        </w:rPr>
      </w:pPr>
    </w:p>
    <w:p>
      <w:pPr>
        <w:ind w:left="2260" w:right="2759" w:hanging="561"/>
        <w:spacing w:after="0" w:line="238" w:lineRule="auto"/>
        <w:tabs>
          <w:tab w:leader="none" w:pos="2260" w:val="left"/>
        </w:tabs>
        <w:numPr>
          <w:ilvl w:val="1"/>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Sections 11.05 of the Indenture, the Person formed by or surviving any such consolidation or merger (if other than a</w:t>
      </w:r>
    </w:p>
    <w:p>
      <w:pPr>
        <w:sectPr>
          <w:pgSz w:w="11900" w:h="16838" w:orient="portrait"/>
          <w:cols w:equalWidth="0" w:num="1">
            <w:col w:w="10219"/>
          </w:cols>
          <w:pgMar w:left="240" w:top="477" w:right="1440" w:bottom="1440" w:gutter="0" w:footer="0" w:header="0"/>
        </w:sectPr>
      </w:pPr>
    </w:p>
    <w:bookmarkStart w:id="219" w:name="page220"/>
    <w:bookmarkEnd w:id="219"/>
    <w:p>
      <w:pPr>
        <w:jc w:val="right"/>
        <w:ind w:right="2659"/>
        <w:spacing w:after="0"/>
        <w:rPr>
          <w:sz w:val="20"/>
          <w:szCs w:val="20"/>
          <w:color w:val="auto"/>
        </w:rPr>
      </w:pPr>
      <w:r>
        <w:rPr>
          <w:rFonts w:ascii="Courier New" w:cs="Courier New" w:eastAsia="Courier New" w:hAnsi="Courier New"/>
          <w:sz w:val="16"/>
          <w:szCs w:val="16"/>
          <w:color w:val="auto"/>
        </w:rPr>
        <w:t>5</w:t>
      </w:r>
    </w:p>
    <w:p>
      <w:pPr>
        <w:spacing w:after="0" w:line="368" w:lineRule="exact"/>
        <w:rPr>
          <w:sz w:val="20"/>
          <w:szCs w:val="20"/>
          <w:color w:val="auto"/>
        </w:rPr>
      </w:pPr>
    </w:p>
    <w:p>
      <w:pPr>
        <w:ind w:left="1128" w:right="2759"/>
        <w:spacing w:after="0" w:line="239" w:lineRule="auto"/>
        <w:rPr>
          <w:sz w:val="20"/>
          <w:szCs w:val="20"/>
          <w:color w:val="auto"/>
        </w:rPr>
      </w:pPr>
      <w:r>
        <w:rPr>
          <w:rFonts w:ascii="Courier New" w:cs="Courier New" w:eastAsia="Courier New" w:hAnsi="Courier New"/>
          <w:sz w:val="16"/>
          <w:szCs w:val="16"/>
          <w:color w:val="auto"/>
        </w:rPr>
        <w:t>Guarantor or the Company) unconditionally assumes all the obligations of such Guarantor, pursuant to a supplemental indenture in form and substance reasonably satisfactory to the Trustee, under the Notes, the Indenture and the Subsidiary Guarantee on the terms set forth herein or therein; and</w:t>
      </w:r>
    </w:p>
    <w:p>
      <w:pPr>
        <w:spacing w:after="0" w:line="190" w:lineRule="exact"/>
        <w:rPr>
          <w:sz w:val="20"/>
          <w:szCs w:val="20"/>
          <w:color w:val="auto"/>
        </w:rPr>
      </w:pPr>
    </w:p>
    <w:p>
      <w:pPr>
        <w:ind w:left="1128" w:right="2759" w:hanging="561"/>
        <w:spacing w:after="0" w:line="237" w:lineRule="auto"/>
        <w:tabs>
          <w:tab w:leader="none" w:pos="1128" w:val="left"/>
        </w:tabs>
        <w:numPr>
          <w:ilvl w:val="1"/>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such transaction, no Default or Event of Default exists.</w:t>
      </w:r>
    </w:p>
    <w:p>
      <w:pPr>
        <w:spacing w:after="0" w:line="187" w:lineRule="exact"/>
        <w:rPr>
          <w:rFonts w:ascii="Courier New" w:cs="Courier New" w:eastAsia="Courier New" w:hAnsi="Courier New"/>
          <w:sz w:val="16"/>
          <w:szCs w:val="16"/>
          <w:color w:val="auto"/>
        </w:rPr>
      </w:pPr>
    </w:p>
    <w:p>
      <w:pPr>
        <w:ind w:left="8" w:right="2659" w:hanging="8"/>
        <w:spacing w:after="0"/>
        <w:tabs>
          <w:tab w:leader="none" w:pos="386"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any such consolidation, merger, sale or conveyance and upon the assumption by the successor corporation, by supplemental indenture, executed and delivered to the Trustee and satisfactory in form to the Trustee, of the Subsidiary Guarantees endorsed upon the Notes and the due and punctual performance of all of the covenants and conditions of the Indenture to be performed by the Guarantor, such successor corporation shall succeed to and be substituted for the Guarantor with the same effect as if it had been named herein as a Guarantor. Such successor corporation thereupon may cause to be signed any or all of the Subsidiary Guarantees to be endorsed upon all of the Notes issuable hereunder which theretofore shall not have been signed by the Company and delivered to the Trustee. All the Subsidiary Guarantees so issued shall in all respects have the same legal rank and benefit under the Indenture as the Subsidiary Guarantees theretofore and thereafter issued in accordance with the terms of the Indenture as though all of such Subsidiary Guarantees had been issued at the date of the execution hereof.</w:t>
      </w:r>
    </w:p>
    <w:p>
      <w:pPr>
        <w:spacing w:after="0" w:line="189" w:lineRule="exact"/>
        <w:rPr>
          <w:rFonts w:ascii="Courier New" w:cs="Courier New" w:eastAsia="Courier New" w:hAnsi="Courier New"/>
          <w:sz w:val="16"/>
          <w:szCs w:val="16"/>
          <w:color w:val="auto"/>
        </w:rPr>
      </w:pPr>
    </w:p>
    <w:p>
      <w:pPr>
        <w:ind w:left="388" w:hanging="388"/>
        <w:spacing w:after="0"/>
        <w:tabs>
          <w:tab w:leader="none" w:pos="388"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Articles 4 and 5 and Section 11.05 of</w:t>
      </w:r>
    </w:p>
    <w:p>
      <w:pPr>
        <w:spacing w:after="0" w:line="4" w:lineRule="exact"/>
        <w:rPr>
          <w:rFonts w:ascii="Courier New" w:cs="Courier New" w:eastAsia="Courier New" w:hAnsi="Courier New"/>
          <w:sz w:val="16"/>
          <w:szCs w:val="16"/>
          <w:color w:val="auto"/>
        </w:rPr>
      </w:pPr>
    </w:p>
    <w:p>
      <w:pPr>
        <w:ind w:left="8" w:right="26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Article 11 of the Indenture, and notwithstanding clauses (a) and (b) above, nothing contained in the Indenture or in any of the Notes shall prevent any consolidation or merger of a Guarantor with or into the Company or another Guarantor, or shall prevent any sale or conveyance of the property of a Guarantor as an entirety or substantially as an entirety to the Company or another Guarantor.</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6"/>
          <w:szCs w:val="16"/>
          <w:color w:val="auto"/>
        </w:rPr>
        <w:t>6. Releases.</w:t>
      </w:r>
    </w:p>
    <w:p>
      <w:pPr>
        <w:spacing w:after="0" w:line="186" w:lineRule="exact"/>
        <w:rPr>
          <w:sz w:val="20"/>
          <w:szCs w:val="20"/>
          <w:color w:val="auto"/>
        </w:rPr>
      </w:pPr>
    </w:p>
    <w:p>
      <w:pPr>
        <w:ind w:left="8" w:right="2659" w:hanging="8"/>
        <w:spacing w:after="0" w:line="257" w:lineRule="auto"/>
        <w:tabs>
          <w:tab w:leader="none" w:pos="386"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sale or other disposition of all of the assets of any Guarantor, by way of merger, consolidation or otherwise, or a sale or other disposition of all of the capital stock of any Guarantor, then such Guarantor (in the event of a sale or other disposition, by way of merger, consolidation or otherwise, of all of the capital stock of such Guarantor) or the corporation acquiring the property (in the event of a sale or other disposition of all or substantially all of the assets of such Guarantor) will be released and relieved of any obligations under its Subsidiary Guarantee; provided that the Net Proceeds of such sale or other disposition are applied in accordance with the applicable provisions of the Indenture, including without limitation Section 4.10 of the Indenture. Upon delivery by the Company to the Trustee of an Officers' Certificate and an Opinion of Counsel to the effect that such sale or other disposition was made by the Company in accordance with the provisions of the Indenture, including without limitation Section 4.10 of the Indenture, the Trustee</w:t>
      </w:r>
    </w:p>
    <w:p>
      <w:pPr>
        <w:sectPr>
          <w:pgSz w:w="11900" w:h="16838" w:orient="portrait"/>
          <w:cols w:equalWidth="0" w:num="1">
            <w:col w:w="9087"/>
          </w:cols>
          <w:pgMar w:left="1372" w:top="477" w:right="1440" w:bottom="1440" w:gutter="0" w:footer="0" w:header="0"/>
        </w:sectPr>
      </w:pPr>
    </w:p>
    <w:bookmarkStart w:id="220" w:name="page221"/>
    <w:bookmarkEnd w:id="220"/>
    <w:p>
      <w:pPr>
        <w:jc w:val="right"/>
        <w:ind w:right="2659"/>
        <w:spacing w:after="0"/>
        <w:rPr>
          <w:sz w:val="20"/>
          <w:szCs w:val="20"/>
          <w:color w:val="auto"/>
        </w:rPr>
      </w:pPr>
      <w:r>
        <w:rPr>
          <w:rFonts w:ascii="Courier New" w:cs="Courier New" w:eastAsia="Courier New" w:hAnsi="Courier New"/>
          <w:sz w:val="16"/>
          <w:szCs w:val="16"/>
          <w:color w:val="auto"/>
        </w:rPr>
        <w:t>6</w:t>
      </w:r>
    </w:p>
    <w:p>
      <w:pPr>
        <w:spacing w:after="0" w:line="368" w:lineRule="exact"/>
        <w:rPr>
          <w:sz w:val="20"/>
          <w:szCs w:val="20"/>
          <w:color w:val="auto"/>
        </w:rPr>
      </w:pPr>
    </w:p>
    <w:p>
      <w:pPr>
        <w:ind w:left="1140" w:right="2659"/>
        <w:spacing w:after="0" w:line="238" w:lineRule="auto"/>
        <w:rPr>
          <w:sz w:val="20"/>
          <w:szCs w:val="20"/>
          <w:color w:val="auto"/>
        </w:rPr>
      </w:pPr>
      <w:r>
        <w:rPr>
          <w:rFonts w:ascii="Courier New" w:cs="Courier New" w:eastAsia="Courier New" w:hAnsi="Courier New"/>
          <w:sz w:val="16"/>
          <w:szCs w:val="16"/>
          <w:color w:val="auto"/>
        </w:rPr>
        <w:t>shall execute any documents reasonably required in order to evidence the release of any Guarantor from its obligations under its Subsidiary Guarantee.</w:t>
      </w:r>
    </w:p>
    <w:p>
      <w:pPr>
        <w:spacing w:after="0" w:line="188" w:lineRule="exact"/>
        <w:rPr>
          <w:sz w:val="20"/>
          <w:szCs w:val="20"/>
          <w:color w:val="auto"/>
        </w:rPr>
      </w:pPr>
    </w:p>
    <w:p>
      <w:pPr>
        <w:ind w:left="1140" w:right="2659" w:hanging="8"/>
        <w:spacing w:after="0" w:line="239" w:lineRule="auto"/>
        <w:tabs>
          <w:tab w:leader="none" w:pos="1518"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Guarantor not released from its obligations under its Subsidiary Guarantee shall remain liable for the full amount of principal of and interest on the Notes and for the other obligations of any Guarantor under the Indenture as provided in Article 11 of the Indenture.</w:t>
      </w:r>
    </w:p>
    <w:p>
      <w:pPr>
        <w:spacing w:after="0" w:line="189" w:lineRule="exact"/>
        <w:rPr>
          <w:sz w:val="20"/>
          <w:szCs w:val="20"/>
          <w:color w:val="auto"/>
        </w:rPr>
      </w:pPr>
    </w:p>
    <w:p>
      <w:pPr>
        <w:ind w:right="2659" w:firstLine="1132"/>
        <w:spacing w:after="0" w:line="258" w:lineRule="auto"/>
        <w:tabs>
          <w:tab w:leader="none" w:pos="1419"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Recourse Against Others. No past, present or future director, officer, employee, incorporator, stockholder or agent of each Guarantor, as such, shall have any liability for any obligations of the Company or any Guarantor under the Notes, any Subsidiary Guarantees,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 Such waiver may not be effective to waive liabilities under the federal securities laws and it is the view of the Securities and Exchange Commission that such a waiver is against public policy.</w:t>
      </w:r>
    </w:p>
    <w:p>
      <w:pPr>
        <w:spacing w:after="0" w:line="174" w:lineRule="exact"/>
        <w:rPr>
          <w:rFonts w:ascii="Courier New" w:cs="Courier New" w:eastAsia="Courier New" w:hAnsi="Courier New"/>
          <w:sz w:val="15"/>
          <w:szCs w:val="15"/>
          <w:color w:val="auto"/>
        </w:rPr>
      </w:pPr>
    </w:p>
    <w:p>
      <w:pPr>
        <w:ind w:right="2659" w:firstLine="1132"/>
        <w:spacing w:after="0" w:line="239" w:lineRule="auto"/>
        <w:tabs>
          <w:tab w:leader="none" w:pos="1419"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YORK LAW TO GOVERN. THE INTERNAL LAW OF THE STATE OF NEW YORK SHALL GOVERN AND BE USED TO CONSTRUE THIS SUPPLEMENTAL INDENTURE TO THE EXTENT THAT THE APPLICATION OF THE LAWS OF ANOTHER JURISDICTION WOULD BE REQUIRED THEREBY.</w:t>
      </w:r>
    </w:p>
    <w:p>
      <w:pPr>
        <w:spacing w:after="0" w:line="187" w:lineRule="exact"/>
        <w:rPr>
          <w:rFonts w:ascii="Courier New" w:cs="Courier New" w:eastAsia="Courier New" w:hAnsi="Courier New"/>
          <w:sz w:val="16"/>
          <w:szCs w:val="16"/>
          <w:color w:val="auto"/>
        </w:rPr>
      </w:pPr>
    </w:p>
    <w:p>
      <w:pPr>
        <w:ind w:right="2839" w:firstLine="1132"/>
        <w:spacing w:after="0" w:line="238" w:lineRule="auto"/>
        <w:tabs>
          <w:tab w:leader="none" w:pos="1419"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The parties may sign any number of copies of this Supplemental Indenture. Each signed copy shall be an original, but all of them together represent the same agreement.</w:t>
      </w:r>
    </w:p>
    <w:p>
      <w:pPr>
        <w:spacing w:after="0" w:line="188" w:lineRule="exact"/>
        <w:rPr>
          <w:rFonts w:ascii="Courier New" w:cs="Courier New" w:eastAsia="Courier New" w:hAnsi="Courier New"/>
          <w:sz w:val="16"/>
          <w:szCs w:val="16"/>
          <w:color w:val="auto"/>
        </w:rPr>
      </w:pPr>
    </w:p>
    <w:p>
      <w:pPr>
        <w:ind w:right="3499" w:firstLine="1132"/>
        <w:spacing w:after="0" w:line="237" w:lineRule="auto"/>
        <w:tabs>
          <w:tab w:leader="none" w:pos="1513"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Headings. The Section headings herein are for convenience only and shall not affect the construction hereof.</w:t>
      </w:r>
    </w:p>
    <w:p>
      <w:pPr>
        <w:spacing w:after="0" w:line="187" w:lineRule="exact"/>
        <w:rPr>
          <w:rFonts w:ascii="Courier New" w:cs="Courier New" w:eastAsia="Courier New" w:hAnsi="Courier New"/>
          <w:sz w:val="16"/>
          <w:szCs w:val="16"/>
          <w:color w:val="auto"/>
        </w:rPr>
      </w:pPr>
    </w:p>
    <w:p>
      <w:pPr>
        <w:ind w:right="2659" w:firstLine="1132"/>
        <w:spacing w:after="0"/>
        <w:tabs>
          <w:tab w:leader="none" w:pos="1513"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The Trustee accepts the amendment to the Indenture effected by this Supplemental Indenture. Without limiting the generality of the foregoing, the Trustee has no responsibility for the correctness of the recitals of fact herein contained which shall be taken as the statements of the Guarantors and the Company and makes no representations as to the validity or sufficiency of this Supplemental Indenture, except as to the due and valid execution hereof by the Trustee, and shall incur no liability or responsibility in respect of the validity thereof.</w:t>
      </w:r>
    </w:p>
    <w:p>
      <w:pPr>
        <w:spacing w:after="0" w:line="186" w:lineRule="exact"/>
        <w:rPr>
          <w:rFonts w:ascii="Courier New" w:cs="Courier New" w:eastAsia="Courier New" w:hAnsi="Courier New"/>
          <w:sz w:val="16"/>
          <w:szCs w:val="16"/>
          <w:color w:val="auto"/>
        </w:rPr>
      </w:pPr>
    </w:p>
    <w:p>
      <w:pPr>
        <w:ind w:right="2939" w:firstLine="1132"/>
        <w:spacing w:after="0" w:line="238" w:lineRule="auto"/>
        <w:tabs>
          <w:tab w:leader="none" w:pos="1513"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GUARANTEES. Each of the Guarantors hereby affirms that its Subsidiary Guarantee remains effective in all respects regardless of the effect of this Supplement Indenture on the Indenture.</w:t>
      </w:r>
    </w:p>
    <w:p>
      <w:pPr>
        <w:spacing w:after="0" w:line="188" w:lineRule="exact"/>
        <w:rPr>
          <w:rFonts w:ascii="Courier New" w:cs="Courier New" w:eastAsia="Courier New" w:hAnsi="Courier New"/>
          <w:sz w:val="16"/>
          <w:szCs w:val="16"/>
          <w:color w:val="auto"/>
        </w:rPr>
      </w:pPr>
    </w:p>
    <w:p>
      <w:pPr>
        <w:ind w:right="2659" w:firstLine="1132"/>
        <w:spacing w:after="0" w:line="239" w:lineRule="auto"/>
        <w:tabs>
          <w:tab w:leader="none" w:pos="1513"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on Indenture. Upon execution of this Supplement Indenture, the Indenture shall be modified in accordance herewith, but except as expressly amended hereby, the Indenture is in all respects ratified and confirmed and all the terms, conditions and provisions thereof shall remain in full force and effect.</w:t>
      </w:r>
    </w:p>
    <w:p>
      <w:pPr>
        <w:sectPr>
          <w:pgSz w:w="11900" w:h="16838" w:orient="portrait"/>
          <w:cols w:equalWidth="0" w:num="1">
            <w:col w:w="10219"/>
          </w:cols>
          <w:pgMar w:left="240" w:top="477" w:right="1440" w:bottom="1440" w:gutter="0" w:footer="0" w:header="0"/>
        </w:sectPr>
      </w:pPr>
    </w:p>
    <w:bookmarkStart w:id="221" w:name="page222"/>
    <w:bookmarkEnd w:id="221"/>
    <w:p>
      <w:pPr>
        <w:jc w:val="right"/>
        <w:ind w:right="2659"/>
        <w:spacing w:after="0"/>
        <w:rPr>
          <w:sz w:val="20"/>
          <w:szCs w:val="20"/>
          <w:color w:val="auto"/>
        </w:rPr>
      </w:pPr>
      <w:r>
        <w:rPr>
          <w:rFonts w:ascii="Courier New" w:cs="Courier New" w:eastAsia="Courier New" w:hAnsi="Courier New"/>
          <w:sz w:val="16"/>
          <w:szCs w:val="16"/>
          <w:color w:val="auto"/>
        </w:rPr>
        <w:t>7</w:t>
      </w:r>
    </w:p>
    <w:p>
      <w:pPr>
        <w:spacing w:after="0" w:line="368" w:lineRule="exact"/>
        <w:rPr>
          <w:sz w:val="20"/>
          <w:szCs w:val="20"/>
          <w:color w:val="auto"/>
        </w:rPr>
      </w:pPr>
    </w:p>
    <w:p>
      <w:pPr>
        <w:ind w:right="2659" w:firstLine="1132"/>
        <w:spacing w:after="0" w:line="239" w:lineRule="auto"/>
        <w:tabs>
          <w:tab w:leader="none" w:pos="1513"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on Supplemental Indenture. Upon execution, this Supplemental Indenture shall form a part of the Indenture and the Supplemental Indenture and the Indenture shall be read, taken and construed as one and the same instrument for all purposes, and every holder of Notes heretofore or hereafter authenticated and delivered under the Indenture shall be bound hereby. This Supplemental Indenture shall become effective as of the date first above written.</w:t>
      </w:r>
    </w:p>
    <w:p>
      <w:pPr>
        <w:sectPr>
          <w:pgSz w:w="11900" w:h="16838" w:orient="portrait"/>
          <w:cols w:equalWidth="0" w:num="1">
            <w:col w:w="10219"/>
          </w:cols>
          <w:pgMar w:left="240" w:top="477" w:right="1440" w:bottom="1440" w:gutter="0" w:footer="0" w:header="0"/>
        </w:sectPr>
      </w:pPr>
    </w:p>
    <w:bookmarkStart w:id="222" w:name="page223"/>
    <w:bookmarkEnd w:id="222"/>
    <w:p>
      <w:pPr>
        <w:jc w:val="right"/>
        <w:ind w:right="2659"/>
        <w:spacing w:after="0"/>
        <w:rPr>
          <w:sz w:val="20"/>
          <w:szCs w:val="20"/>
          <w:color w:val="auto"/>
        </w:rPr>
      </w:pPr>
      <w:r>
        <w:rPr>
          <w:rFonts w:ascii="Courier New" w:cs="Courier New" w:eastAsia="Courier New" w:hAnsi="Courier New"/>
          <w:sz w:val="16"/>
          <w:szCs w:val="16"/>
          <w:color w:val="auto"/>
        </w:rPr>
        <w:t>8</w:t>
      </w:r>
    </w:p>
    <w:p>
      <w:pPr>
        <w:spacing w:after="0" w:line="368" w:lineRule="exact"/>
        <w:rPr>
          <w:sz w:val="20"/>
          <w:szCs w:val="20"/>
          <w:color w:val="auto"/>
        </w:rPr>
      </w:pPr>
    </w:p>
    <w:p>
      <w:pPr>
        <w:ind w:right="2659" w:firstLine="1135"/>
        <w:spacing w:after="0" w:line="238" w:lineRule="auto"/>
        <w:rPr>
          <w:sz w:val="20"/>
          <w:szCs w:val="20"/>
          <w:color w:val="auto"/>
        </w:rPr>
      </w:pPr>
      <w:r>
        <w:rPr>
          <w:rFonts w:ascii="Courier New" w:cs="Courier New" w:eastAsia="Courier New" w:hAnsi="Courier New"/>
          <w:sz w:val="16"/>
          <w:szCs w:val="16"/>
          <w:color w:val="auto"/>
        </w:rPr>
        <w:t>IN WITNESS WHEREOF, the parties hereto have caused this Supplemental Indenture to be duly executed and attested, all as of the date first above written.</w:t>
      </w:r>
    </w:p>
    <w:p>
      <w:pPr>
        <w:spacing w:after="0" w:line="200" w:lineRule="exact"/>
        <w:rPr>
          <w:sz w:val="20"/>
          <w:szCs w:val="20"/>
          <w:color w:val="auto"/>
        </w:rPr>
      </w:pPr>
    </w:p>
    <w:p>
      <w:pPr>
        <w:spacing w:after="0" w:line="34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The Scotts Company</w:t>
      </w:r>
    </w:p>
    <w:p>
      <w:pPr>
        <w:spacing w:after="0" w:line="183" w:lineRule="exact"/>
        <w:rPr>
          <w:sz w:val="20"/>
          <w:szCs w:val="20"/>
          <w:color w:val="auto"/>
        </w:rPr>
      </w:pPr>
    </w:p>
    <w:p>
      <w:pPr>
        <w:jc w:val="center"/>
        <w:ind w:right="-1020"/>
        <w:spacing w:after="0"/>
        <w:tabs>
          <w:tab w:leader="none" w:pos="180" w:val="left"/>
        </w:tabs>
        <w:rPr>
          <w:sz w:val="20"/>
          <w:szCs w:val="20"/>
          <w:color w:val="auto"/>
        </w:rPr>
      </w:pPr>
      <w:r>
        <w:rPr>
          <w:rFonts w:ascii="Courier New" w:cs="Courier New" w:eastAsia="Courier New" w:hAnsi="Courier New"/>
          <w:sz w:val="16"/>
          <w:szCs w:val="16"/>
          <w:color w:val="auto"/>
        </w:rPr>
        <w:t>By:</w:t>
        <w:tab/>
        <w:t>/s/ Patrick J. Norton</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tabs>
          <w:tab w:leader="none" w:pos="43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Patrick J. Norton</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Title: Executive Vice President and CFO</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GUARANTORS: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Scotts Manufacturing Company, as</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successor by merger to Scotts Miracle-Gro</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Products Inc.</w:t>
      </w:r>
    </w:p>
    <w:p>
      <w:pPr>
        <w:spacing w:after="0" w:line="183" w:lineRule="exact"/>
        <w:rPr>
          <w:sz w:val="20"/>
          <w:szCs w:val="20"/>
          <w:color w:val="auto"/>
        </w:rPr>
      </w:pPr>
    </w:p>
    <w:p>
      <w:pPr>
        <w:jc w:val="center"/>
        <w:ind w:right="-1020"/>
        <w:spacing w:after="0"/>
        <w:tabs>
          <w:tab w:leader="none" w:pos="180" w:val="left"/>
        </w:tabs>
        <w:rPr>
          <w:sz w:val="20"/>
          <w:szCs w:val="20"/>
          <w:color w:val="auto"/>
        </w:rPr>
      </w:pPr>
      <w:r>
        <w:rPr>
          <w:rFonts w:ascii="Courier New" w:cs="Courier New" w:eastAsia="Courier New" w:hAnsi="Courier New"/>
          <w:sz w:val="16"/>
          <w:szCs w:val="16"/>
          <w:color w:val="auto"/>
        </w:rPr>
        <w:t>By:</w:t>
        <w:tab/>
        <w:t>/s/ Patrick J. Norton</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tabs>
          <w:tab w:leader="none" w:pos="43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Patrick J. Norton</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Title: Executive Vice President and CFO</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Scotts Temecula Operations, LLC, as</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successor by merger to Republic Tool &amp;</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Manufacturing Corp.</w:t>
      </w:r>
    </w:p>
    <w:p>
      <w:pPr>
        <w:spacing w:after="0" w:line="183" w:lineRule="exact"/>
        <w:rPr>
          <w:sz w:val="20"/>
          <w:szCs w:val="20"/>
          <w:color w:val="auto"/>
        </w:rPr>
      </w:pPr>
    </w:p>
    <w:p>
      <w:pPr>
        <w:jc w:val="center"/>
        <w:ind w:right="-1020"/>
        <w:spacing w:after="0"/>
        <w:tabs>
          <w:tab w:leader="none" w:pos="180" w:val="left"/>
        </w:tabs>
        <w:rPr>
          <w:sz w:val="20"/>
          <w:szCs w:val="20"/>
          <w:color w:val="auto"/>
        </w:rPr>
      </w:pPr>
      <w:r>
        <w:rPr>
          <w:rFonts w:ascii="Courier New" w:cs="Courier New" w:eastAsia="Courier New" w:hAnsi="Courier New"/>
          <w:sz w:val="16"/>
          <w:szCs w:val="16"/>
          <w:color w:val="auto"/>
        </w:rPr>
        <w:t>By:</w:t>
        <w:tab/>
        <w:t>/s/ Patrick J. Norton</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tabs>
          <w:tab w:leader="none" w:pos="43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Patrick J. Norton</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Title: Executive Vice President and CFO</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Miracle-Gro Lawn Products, Inc.</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By: /s/ Patrick J. Norton</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tabs>
          <w:tab w:leader="none" w:pos="43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Patrick J. Norton</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Title: Executive Vice President and CFO</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OMS Investments, Inc.</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By: /s/ Patrick J. Norton</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tabs>
          <w:tab w:leader="none" w:pos="43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Patrick J. Norton</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Title: Executive Vice President and CFO</w:t>
      </w:r>
    </w:p>
    <w:p>
      <w:pPr>
        <w:sectPr>
          <w:pgSz w:w="11900" w:h="16838" w:orient="portrait"/>
          <w:cols w:equalWidth="0" w:num="1">
            <w:col w:w="10219"/>
          </w:cols>
          <w:pgMar w:left="240" w:top="477" w:right="1440" w:bottom="1440" w:gutter="0" w:footer="0" w:header="0"/>
        </w:sectPr>
      </w:pPr>
    </w:p>
    <w:bookmarkStart w:id="223" w:name="page224"/>
    <w:bookmarkEnd w:id="223"/>
    <w:p>
      <w:pPr>
        <w:jc w:val="right"/>
        <w:ind w:right="2659"/>
        <w:spacing w:after="0"/>
        <w:rPr>
          <w:sz w:val="20"/>
          <w:szCs w:val="20"/>
          <w:color w:val="auto"/>
        </w:rPr>
      </w:pP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Hyponex Corporation</w:t>
      </w:r>
    </w:p>
    <w:p>
      <w:pPr>
        <w:spacing w:after="0" w:line="183"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By: /s/ Patrick J. Norton</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480"/>
        <w:spacing w:after="0"/>
        <w:tabs>
          <w:tab w:leader="none" w:pos="31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Patrick J. Norton</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Title: Executive Vice President and CFO</w:t>
      </w:r>
    </w:p>
    <w:p>
      <w:pPr>
        <w:spacing w:after="0" w:line="183"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EarthGro, Inc.</w:t>
      </w:r>
    </w:p>
    <w:p>
      <w:pPr>
        <w:spacing w:after="0" w:line="183"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By: /s/ Patrick J. Norton</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480"/>
        <w:spacing w:after="0"/>
        <w:tabs>
          <w:tab w:leader="none" w:pos="31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Patrick J. Norton</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Title: Executive Vice President and CFO</w:t>
      </w:r>
    </w:p>
    <w:p>
      <w:pPr>
        <w:spacing w:after="0" w:line="183"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Scotts Products Company</w:t>
      </w:r>
    </w:p>
    <w:p>
      <w:pPr>
        <w:spacing w:after="0" w:line="183"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By: /s/ Patrick J. Norton</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480"/>
        <w:spacing w:after="0"/>
        <w:tabs>
          <w:tab w:leader="none" w:pos="31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Patrick J. Norton</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Title: Executive Vice President and CFO</w:t>
      </w:r>
    </w:p>
    <w:p>
      <w:pPr>
        <w:spacing w:after="0" w:line="183"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Scotts Professional Products Co.</w:t>
      </w:r>
    </w:p>
    <w:p>
      <w:pPr>
        <w:spacing w:after="0" w:line="183"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By: /s/ Patrick J. Norton</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480"/>
        <w:spacing w:after="0"/>
        <w:tabs>
          <w:tab w:leader="none" w:pos="31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Patrick J. Norton</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Title: Executive Vice President and CFO</w:t>
      </w:r>
    </w:p>
    <w:p>
      <w:pPr>
        <w:spacing w:after="0" w:line="183"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Scotts-Sierra Horticultural</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Products Company</w:t>
      </w:r>
    </w:p>
    <w:p>
      <w:pPr>
        <w:spacing w:after="0" w:line="183"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By: /s/ Patrick J. Norton</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480"/>
        <w:spacing w:after="0"/>
        <w:tabs>
          <w:tab w:leader="none" w:pos="31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Patrick J. Norton</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Title: Executive Vice President and CFO</w:t>
      </w:r>
    </w:p>
    <w:p>
      <w:pPr>
        <w:spacing w:after="0" w:line="183"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Scotts-Sierra Crop Protection Company</w:t>
      </w:r>
    </w:p>
    <w:p>
      <w:pPr>
        <w:spacing w:after="0" w:line="183"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By: /s/ Patrick J. Norton</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480"/>
        <w:spacing w:after="0"/>
        <w:tabs>
          <w:tab w:leader="none" w:pos="31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Patrick J. Norton</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Title: Executive Vice President and CFO</w:t>
      </w:r>
    </w:p>
    <w:p>
      <w:pPr>
        <w:sectPr>
          <w:pgSz w:w="11900" w:h="16838" w:orient="portrait"/>
          <w:cols w:equalWidth="0" w:num="1">
            <w:col w:w="9019"/>
          </w:cols>
          <w:pgMar w:left="1440" w:top="477" w:right="1440" w:bottom="1440" w:gutter="0" w:footer="0" w:header="0"/>
        </w:sectPr>
      </w:pPr>
    </w:p>
    <w:bookmarkStart w:id="224" w:name="page225"/>
    <w:bookmarkEnd w:id="224"/>
    <w:p>
      <w:pPr>
        <w:jc w:val="right"/>
        <w:ind w:right="2659"/>
        <w:spacing w:after="0"/>
        <w:rPr>
          <w:sz w:val="20"/>
          <w:szCs w:val="20"/>
          <w:color w:val="auto"/>
        </w:rPr>
      </w:pPr>
      <w:r>
        <w:rPr>
          <w:rFonts w:ascii="Courier New" w:cs="Courier New" w:eastAsia="Courier New" w:hAnsi="Courier New"/>
          <w:sz w:val="16"/>
          <w:szCs w:val="16"/>
          <w:color w:val="auto"/>
        </w:rPr>
        <w:t>10</w:t>
      </w:r>
    </w:p>
    <w:p>
      <w:pPr>
        <w:spacing w:after="0" w:line="200" w:lineRule="exact"/>
        <w:rPr>
          <w:sz w:val="20"/>
          <w:szCs w:val="20"/>
          <w:color w:val="auto"/>
        </w:rPr>
      </w:pPr>
    </w:p>
    <w:p>
      <w:pPr>
        <w:spacing w:after="0" w:line="34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Scotts-Sierra Investments, Inc.</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By: /s/ Patrick J. Norton</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tabs>
          <w:tab w:leader="none" w:pos="43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Patrick J. Norton</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Title: Executive Vice President and CFO</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Swiss Farms Products, inc.</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By: /s/ Patrick J. Norton</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tabs>
          <w:tab w:leader="none" w:pos="43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Patrick J. Norton</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Title: Executive Vice President and CFO</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Bank and Trust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Trustee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Cauna M. Silva</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6"/>
          <w:szCs w:val="16"/>
          <w:color w:val="auto"/>
        </w:rPr>
        <w:t>Name:</w:t>
        <w:tab/>
        <w:t>Cauna M. Silva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10219"/>
          </w:cols>
          <w:pgMar w:left="240" w:top="477" w:right="1440" w:bottom="1440" w:gutter="0" w:footer="0" w:header="0"/>
        </w:sectPr>
      </w:pPr>
    </w:p>
    <w:bookmarkStart w:id="225" w:name="page226"/>
    <w:bookmarkEnd w:id="225"/>
    <w:p>
      <w:pPr>
        <w:jc w:val="right"/>
        <w:ind w:right="2659"/>
        <w:spacing w:after="0"/>
        <w:rPr>
          <w:sz w:val="20"/>
          <w:szCs w:val="20"/>
          <w:color w:val="auto"/>
        </w:rPr>
      </w:pPr>
      <w:r>
        <w:rPr>
          <w:rFonts w:ascii="Courier New" w:cs="Courier New" w:eastAsia="Courier New" w:hAnsi="Courier New"/>
          <w:sz w:val="16"/>
          <w:szCs w:val="16"/>
          <w:color w:val="auto"/>
        </w:rPr>
        <w:t>EXHIBIT 4(m)(3)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THE SCOTTS COMPANY</w:t>
      </w:r>
    </w:p>
    <w:p>
      <w:pPr>
        <w:spacing w:after="0" w:line="18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$400,000,000</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SERIES A AND SERIES B</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8.625% SENIOR SUBORDINATED NOTES DUE 2009</w:t>
      </w:r>
    </w:p>
    <w:p>
      <w:pPr>
        <w:spacing w:after="0" w:line="364"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SECOND SUPPLEMENTAL INDENTURE</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Dated as of September 29, 2003</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To</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INDENTURE</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Dated as of January 21, 1999 and</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Amended as of February 6, 2002</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 BANK NATIONAL ASSOCIATION</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AS TRUSTEE</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501" w:right="1440" w:bottom="1440" w:gutter="0" w:footer="0" w:header="0"/>
        </w:sectPr>
      </w:pPr>
    </w:p>
    <w:bookmarkStart w:id="226" w:name="page227"/>
    <w:bookmarkEnd w:id="226"/>
    <w:p>
      <w:pPr>
        <w:jc w:val="center"/>
        <w:ind w:right="2559"/>
        <w:spacing w:after="0"/>
        <w:rPr>
          <w:sz w:val="20"/>
          <w:szCs w:val="20"/>
          <w:color w:val="auto"/>
        </w:rPr>
      </w:pPr>
      <w:r>
        <w:rPr>
          <w:rFonts w:ascii="Courier New" w:cs="Courier New" w:eastAsia="Courier New" w:hAnsi="Courier New"/>
          <w:sz w:val="16"/>
          <w:szCs w:val="16"/>
          <w:color w:val="auto"/>
        </w:rPr>
        <w:t>SECOND SUPPLEMENTAL INDENTURE</w:t>
      </w:r>
    </w:p>
    <w:p>
      <w:pPr>
        <w:spacing w:after="0" w:line="186" w:lineRule="exact"/>
        <w:rPr>
          <w:sz w:val="20"/>
          <w:szCs w:val="20"/>
          <w:color w:val="auto"/>
        </w:rPr>
      </w:pPr>
    </w:p>
    <w:p>
      <w:pPr>
        <w:ind w:right="2839" w:firstLine="567"/>
        <w:spacing w:after="0"/>
        <w:rPr>
          <w:sz w:val="20"/>
          <w:szCs w:val="20"/>
          <w:color w:val="auto"/>
        </w:rPr>
      </w:pPr>
      <w:r>
        <w:rPr>
          <w:rFonts w:ascii="Courier New" w:cs="Courier New" w:eastAsia="Courier New" w:hAnsi="Courier New"/>
          <w:sz w:val="16"/>
          <w:szCs w:val="16"/>
          <w:color w:val="auto"/>
        </w:rPr>
        <w:t>SECOND SUPPLEMENTAL INDENTURE (this "Second Supplemental Indenture"), dated as of September 29, 2003 by and among The Scotts Company, an Ohio corporation (the "Company"), Scotts Manufacturing Company ("Scotts Manufacturing," as successor by merger to Scotts Miracle-Gro Products, Inc.), Scotts Temecula Operations, LLC ("Scotts Temecula", as successor by merger to Republic Tool &amp; Manufacturing Corp.) and the other guarantors named on the signature pages hereto (with Scotts Manufacturing and Scotts Temecula, the "Guarantors"), and U.S. Bank National Association (successor to State Street Bank and Trust Company) as trustee under the Indenture (as defined below) (the "Trustee").</w:t>
      </w:r>
    </w:p>
    <w:p>
      <w:pPr>
        <w:spacing w:after="0" w:line="18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W I T N E S S E T H</w:t>
      </w:r>
    </w:p>
    <w:p>
      <w:pPr>
        <w:spacing w:after="0" w:line="186" w:lineRule="exact"/>
        <w:rPr>
          <w:sz w:val="20"/>
          <w:szCs w:val="20"/>
          <w:color w:val="auto"/>
        </w:rPr>
      </w:pPr>
    </w:p>
    <w:p>
      <w:pPr>
        <w:ind w:right="2659" w:firstLine="567"/>
        <w:spacing w:after="0" w:line="239" w:lineRule="auto"/>
        <w:rPr>
          <w:sz w:val="20"/>
          <w:szCs w:val="20"/>
          <w:color w:val="auto"/>
        </w:rPr>
      </w:pPr>
      <w:r>
        <w:rPr>
          <w:rFonts w:ascii="Courier New" w:cs="Courier New" w:eastAsia="Courier New" w:hAnsi="Courier New"/>
          <w:sz w:val="16"/>
          <w:szCs w:val="16"/>
          <w:color w:val="auto"/>
        </w:rPr>
        <w:t>WHEREAS, the Company and the Guarantors (including the predecessors of Scotts Manufacturing and Scotts Temecula) previously duly executed and delivered to the Trustee and the Trustee previously duly executed an indenture dated as of January 21, 1999, as amended by the Supplemental Indenture dated as of February 6, 2002 (as so amended, the "Indenture"), pursuant to which the Company has issued $400 million principal amount of 8.625% Senior Subordinated Notes due 2009 (the "Notes");</w:t>
      </w:r>
    </w:p>
    <w:p>
      <w:pPr>
        <w:spacing w:after="0" w:line="192" w:lineRule="exact"/>
        <w:rPr>
          <w:sz w:val="20"/>
          <w:szCs w:val="20"/>
          <w:color w:val="auto"/>
        </w:rPr>
      </w:pPr>
    </w:p>
    <w:p>
      <w:pPr>
        <w:ind w:right="2759" w:firstLine="567"/>
        <w:spacing w:after="0" w:line="237" w:lineRule="auto"/>
        <w:rPr>
          <w:sz w:val="20"/>
          <w:szCs w:val="20"/>
          <w:color w:val="auto"/>
        </w:rPr>
      </w:pPr>
      <w:r>
        <w:rPr>
          <w:rFonts w:ascii="Courier New" w:cs="Courier New" w:eastAsia="Courier New" w:hAnsi="Courier New"/>
          <w:sz w:val="16"/>
          <w:szCs w:val="16"/>
          <w:color w:val="auto"/>
        </w:rPr>
        <w:t>WHEREAS, on September 15, 2003, the Company commenced a tender offer (the "Tender Offer") to purchase the Notes for cash;</w:t>
      </w:r>
    </w:p>
    <w:p>
      <w:pPr>
        <w:spacing w:after="0" w:line="188" w:lineRule="exact"/>
        <w:rPr>
          <w:sz w:val="20"/>
          <w:szCs w:val="20"/>
          <w:color w:val="auto"/>
        </w:rPr>
      </w:pPr>
    </w:p>
    <w:p>
      <w:pPr>
        <w:ind w:right="2659" w:firstLine="567"/>
        <w:spacing w:after="0" w:line="238" w:lineRule="auto"/>
        <w:rPr>
          <w:sz w:val="20"/>
          <w:szCs w:val="20"/>
          <w:color w:val="auto"/>
        </w:rPr>
      </w:pPr>
      <w:r>
        <w:rPr>
          <w:rFonts w:ascii="Courier New" w:cs="Courier New" w:eastAsia="Courier New" w:hAnsi="Courier New"/>
          <w:sz w:val="16"/>
          <w:szCs w:val="16"/>
          <w:color w:val="auto"/>
        </w:rPr>
        <w:t>WHEREAS, in connection with the Tender Offer, the Company has solicited consents from Holders of the Notes to certain amendments to the Indenture, which are contained in this Second Supplemental Indenture (the "Amendments");</w:t>
      </w:r>
    </w:p>
    <w:p>
      <w:pPr>
        <w:spacing w:after="0" w:line="188" w:lineRule="exact"/>
        <w:rPr>
          <w:sz w:val="20"/>
          <w:szCs w:val="20"/>
          <w:color w:val="auto"/>
        </w:rPr>
      </w:pPr>
    </w:p>
    <w:p>
      <w:pPr>
        <w:ind w:right="2659" w:firstLine="567"/>
        <w:spacing w:after="0" w:line="239" w:lineRule="auto"/>
        <w:rPr>
          <w:sz w:val="20"/>
          <w:szCs w:val="20"/>
          <w:color w:val="auto"/>
        </w:rPr>
      </w:pPr>
      <w:r>
        <w:rPr>
          <w:rFonts w:ascii="Courier New" w:cs="Courier New" w:eastAsia="Courier New" w:hAnsi="Courier New"/>
          <w:sz w:val="16"/>
          <w:szCs w:val="16"/>
          <w:color w:val="auto"/>
        </w:rPr>
        <w:t>WHEREAS, Section 9.02 of the Indenture provides that the Company, the Guarantors and the Trustee, with the consent of the Holders of at least a majority in principal amount of the then outstanding Notes (including Additional Notes, if any), may amend or supplement certain provisions of the Indenture with respect to the Notes;</w:t>
      </w:r>
    </w:p>
    <w:p>
      <w:pPr>
        <w:spacing w:after="0" w:line="189" w:lineRule="exact"/>
        <w:rPr>
          <w:sz w:val="20"/>
          <w:szCs w:val="20"/>
          <w:color w:val="auto"/>
        </w:rPr>
      </w:pPr>
    </w:p>
    <w:p>
      <w:pPr>
        <w:ind w:right="2939" w:firstLine="567"/>
        <w:spacing w:after="0" w:line="237" w:lineRule="auto"/>
        <w:rPr>
          <w:sz w:val="20"/>
          <w:szCs w:val="20"/>
          <w:color w:val="auto"/>
        </w:rPr>
      </w:pPr>
      <w:r>
        <w:rPr>
          <w:rFonts w:ascii="Courier New" w:cs="Courier New" w:eastAsia="Courier New" w:hAnsi="Courier New"/>
          <w:sz w:val="16"/>
          <w:szCs w:val="16"/>
          <w:color w:val="auto"/>
        </w:rPr>
        <w:t>WHEREAS, the Holders of not less than a majority in principal amount of the outstanding Notes have consented to the Amendments; and</w:t>
      </w:r>
    </w:p>
    <w:p>
      <w:pPr>
        <w:spacing w:after="0" w:line="188" w:lineRule="exact"/>
        <w:rPr>
          <w:sz w:val="20"/>
          <w:szCs w:val="20"/>
          <w:color w:val="auto"/>
        </w:rPr>
      </w:pPr>
    </w:p>
    <w:p>
      <w:pPr>
        <w:ind w:right="3319" w:firstLine="567"/>
        <w:spacing w:after="0" w:line="267" w:lineRule="auto"/>
        <w:rPr>
          <w:sz w:val="20"/>
          <w:szCs w:val="20"/>
          <w:color w:val="auto"/>
        </w:rPr>
      </w:pPr>
      <w:r>
        <w:rPr>
          <w:rFonts w:ascii="Courier New" w:cs="Courier New" w:eastAsia="Courier New" w:hAnsi="Courier New"/>
          <w:sz w:val="15"/>
          <w:szCs w:val="15"/>
          <w:color w:val="auto"/>
        </w:rPr>
        <w:t>WHEREAS, the Board of Directors of the Company has authorized the execution of this Supplemental Indenture and its delivery to the Trustee;</w:t>
      </w:r>
    </w:p>
    <w:p>
      <w:pPr>
        <w:spacing w:after="0" w:line="168" w:lineRule="exact"/>
        <w:rPr>
          <w:sz w:val="20"/>
          <w:szCs w:val="20"/>
          <w:color w:val="auto"/>
        </w:rPr>
      </w:pPr>
    </w:p>
    <w:p>
      <w:pPr>
        <w:ind w:right="2659" w:firstLine="567"/>
        <w:spacing w:after="0" w:line="238" w:lineRule="auto"/>
        <w:rPr>
          <w:sz w:val="20"/>
          <w:szCs w:val="20"/>
          <w:color w:val="auto"/>
        </w:rPr>
      </w:pPr>
      <w:r>
        <w:rPr>
          <w:rFonts w:ascii="Courier New" w:cs="Courier New" w:eastAsia="Courier New" w:hAnsi="Courier New"/>
          <w:sz w:val="16"/>
          <w:szCs w:val="16"/>
          <w:color w:val="auto"/>
        </w:rPr>
        <w:t>WHEREAS, the Company has delivered an Officers' Certificate and an Opinion of Counsel to the Trustee pursuant to Sections 7.02, 9.02 and 13.04 of the Indenture; and</w:t>
      </w:r>
    </w:p>
    <w:p>
      <w:pPr>
        <w:spacing w:after="0" w:line="188" w:lineRule="exact"/>
        <w:rPr>
          <w:sz w:val="20"/>
          <w:szCs w:val="20"/>
          <w:color w:val="auto"/>
        </w:rPr>
      </w:pPr>
    </w:p>
    <w:p>
      <w:pPr>
        <w:ind w:right="2659" w:firstLine="567"/>
        <w:spacing w:after="0" w:line="239" w:lineRule="auto"/>
        <w:rPr>
          <w:sz w:val="20"/>
          <w:szCs w:val="20"/>
          <w:color w:val="auto"/>
        </w:rPr>
      </w:pPr>
      <w:r>
        <w:rPr>
          <w:rFonts w:ascii="Courier New" w:cs="Courier New" w:eastAsia="Courier New" w:hAnsi="Courier New"/>
          <w:sz w:val="16"/>
          <w:szCs w:val="16"/>
          <w:color w:val="auto"/>
        </w:rPr>
        <w:t>WHEREAS, this Second Supplemental Indenture is effective as of the date upon which the conditions set forth in Section 3 hereof (subject to the proviso set forth therein) are satisfied, and the Amendments effected by this Second Supplemental Indenture will become operative with respect to the Notes on the date the Notes that are tendered and not withdrawn are accepted for purchase and paid for by the Company pursuant to the Tender Offer.</w:t>
      </w:r>
    </w:p>
    <w:p>
      <w:pPr>
        <w:spacing w:after="0" w:line="190" w:lineRule="exact"/>
        <w:rPr>
          <w:sz w:val="20"/>
          <w:szCs w:val="20"/>
          <w:color w:val="auto"/>
        </w:rPr>
      </w:pPr>
    </w:p>
    <w:p>
      <w:pPr>
        <w:ind w:right="2939" w:firstLine="567"/>
        <w:spacing w:after="0" w:line="239" w:lineRule="auto"/>
        <w:rPr>
          <w:sz w:val="20"/>
          <w:szCs w:val="20"/>
          <w:color w:val="auto"/>
        </w:rPr>
      </w:pPr>
      <w:r>
        <w:rPr>
          <w:rFonts w:ascii="Courier New" w:cs="Courier New" w:eastAsia="Courier New" w:hAnsi="Courier New"/>
          <w:sz w:val="16"/>
          <w:szCs w:val="16"/>
          <w:color w:val="auto"/>
        </w:rPr>
        <w:t>NOW THEREFORE, in consideration of the foregoing and for other good and valuable consideration, the receipt of which is hereby acknowledged, the Company, each Guarantor and the Trustee mutually covenant and agree for the equal and ratable benefit of the Holders of the Notes as follows:</w:t>
      </w:r>
    </w:p>
    <w:p>
      <w:pPr>
        <w:sectPr>
          <w:pgSz w:w="11900" w:h="16838" w:orient="portrait"/>
          <w:cols w:equalWidth="0" w:num="1">
            <w:col w:w="10219"/>
          </w:cols>
          <w:pgMar w:left="240" w:top="841" w:right="1440" w:bottom="1440" w:gutter="0" w:footer="0" w:header="0"/>
        </w:sectPr>
      </w:pPr>
    </w:p>
    <w:bookmarkStart w:id="227" w:name="page228"/>
    <w:bookmarkEnd w:id="227"/>
    <w:p>
      <w:pPr>
        <w:ind w:right="2759" w:firstLine="567"/>
        <w:spacing w:after="0" w:line="238" w:lineRule="auto"/>
        <w:rPr>
          <w:sz w:val="20"/>
          <w:szCs w:val="20"/>
          <w:color w:val="auto"/>
        </w:rPr>
      </w:pPr>
      <w:r>
        <w:rPr>
          <w:rFonts w:ascii="Courier New" w:cs="Courier New" w:eastAsia="Courier New" w:hAnsi="Courier New"/>
          <w:sz w:val="16"/>
          <w:szCs w:val="16"/>
          <w:color w:val="auto"/>
        </w:rPr>
        <w:t>SECTION 1. DEFINITIONS. For all purposes of the Indenture and this Second Supplemental Indenture, except as otherwise expressly provided or unless the context otherwise requires:</w:t>
      </w:r>
    </w:p>
    <w:p>
      <w:pPr>
        <w:spacing w:after="0" w:line="188" w:lineRule="exact"/>
        <w:rPr>
          <w:sz w:val="20"/>
          <w:szCs w:val="20"/>
          <w:color w:val="auto"/>
        </w:rPr>
      </w:pPr>
    </w:p>
    <w:p>
      <w:pPr>
        <w:ind w:right="2759" w:firstLine="564"/>
        <w:spacing w:after="0" w:line="238" w:lineRule="auto"/>
        <w:tabs>
          <w:tab w:leader="none" w:pos="946"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"herein," "hereof" and "hereunder" and other words of similar import refer to the Indenture and this Second Supplemental Indenture as a whole and not to any particular Article, Section or subdivision; and</w:t>
      </w:r>
    </w:p>
    <w:p>
      <w:pPr>
        <w:spacing w:after="0" w:line="188" w:lineRule="exact"/>
        <w:rPr>
          <w:rFonts w:ascii="Courier New" w:cs="Courier New" w:eastAsia="Courier New" w:hAnsi="Courier New"/>
          <w:sz w:val="16"/>
          <w:szCs w:val="16"/>
          <w:color w:val="auto"/>
        </w:rPr>
      </w:pPr>
    </w:p>
    <w:p>
      <w:pPr>
        <w:ind w:right="3039" w:firstLine="564"/>
        <w:spacing w:after="0" w:line="267" w:lineRule="auto"/>
        <w:tabs>
          <w:tab w:leader="none" w:pos="946"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capitalized terms used but not defined in this Second Supplemental Indenture shall have the meanings assigned to them in the Indenture.</w:t>
      </w:r>
    </w:p>
    <w:p>
      <w:pPr>
        <w:spacing w:after="0" w:line="168"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SECTION 2. AMENDMENTS. The Indenture is hereby amended with respect to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as follows:</w:t>
      </w:r>
    </w:p>
    <w:p>
      <w:pPr>
        <w:spacing w:after="0" w:line="186" w:lineRule="exact"/>
        <w:rPr>
          <w:sz w:val="20"/>
          <w:szCs w:val="20"/>
          <w:color w:val="auto"/>
        </w:rPr>
      </w:pPr>
    </w:p>
    <w:p>
      <w:pPr>
        <w:ind w:right="2659" w:firstLine="564"/>
        <w:spacing w:after="0" w:line="237" w:lineRule="auto"/>
        <w:tabs>
          <w:tab w:leader="none" w:pos="946"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3.09 of the Indenture is hereby eliminated in its entirety and replaced with the words: "Section 3.09. [INTENTIONALLY OMITTED]."</w:t>
      </w:r>
    </w:p>
    <w:p>
      <w:pPr>
        <w:spacing w:after="0" w:line="187" w:lineRule="exact"/>
        <w:rPr>
          <w:rFonts w:ascii="Courier New" w:cs="Courier New" w:eastAsia="Courier New" w:hAnsi="Courier New"/>
          <w:sz w:val="16"/>
          <w:szCs w:val="16"/>
          <w:color w:val="auto"/>
        </w:rPr>
      </w:pPr>
    </w:p>
    <w:p>
      <w:pPr>
        <w:ind w:right="2659" w:firstLine="564"/>
        <w:spacing w:after="0" w:line="237" w:lineRule="auto"/>
        <w:tabs>
          <w:tab w:leader="none" w:pos="946"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4.03 of the Indenture is hereby eliminated in its entirety and replaced with the words: "Section 4.03. [INTENTIONALLY OMITTED]."</w:t>
      </w:r>
    </w:p>
    <w:p>
      <w:pPr>
        <w:spacing w:after="0" w:line="187" w:lineRule="exact"/>
        <w:rPr>
          <w:rFonts w:ascii="Courier New" w:cs="Courier New" w:eastAsia="Courier New" w:hAnsi="Courier New"/>
          <w:sz w:val="16"/>
          <w:szCs w:val="16"/>
          <w:color w:val="auto"/>
        </w:rPr>
      </w:pPr>
    </w:p>
    <w:p>
      <w:pPr>
        <w:ind w:right="2659" w:firstLine="564"/>
        <w:spacing w:after="0" w:line="237" w:lineRule="auto"/>
        <w:tabs>
          <w:tab w:leader="none" w:pos="946"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4.04 of the Indenture is hereby eliminated in its entirety and replaced with the words: "Section 4.04. [INTENTIONALLY OMITTED]."</w:t>
      </w:r>
    </w:p>
    <w:p>
      <w:pPr>
        <w:spacing w:after="0" w:line="187" w:lineRule="exact"/>
        <w:rPr>
          <w:rFonts w:ascii="Courier New" w:cs="Courier New" w:eastAsia="Courier New" w:hAnsi="Courier New"/>
          <w:sz w:val="16"/>
          <w:szCs w:val="16"/>
          <w:color w:val="auto"/>
        </w:rPr>
      </w:pPr>
    </w:p>
    <w:p>
      <w:pPr>
        <w:ind w:right="2659" w:firstLine="564"/>
        <w:spacing w:after="0" w:line="237" w:lineRule="auto"/>
        <w:tabs>
          <w:tab w:leader="none" w:pos="946"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4.05 of the Indenture is hereby eliminated in its entirety and replaced with the words: "Section 4.05. [INTENTIONALLY OMITTED]."</w:t>
      </w:r>
    </w:p>
    <w:p>
      <w:pPr>
        <w:spacing w:after="0" w:line="187" w:lineRule="exact"/>
        <w:rPr>
          <w:rFonts w:ascii="Courier New" w:cs="Courier New" w:eastAsia="Courier New" w:hAnsi="Courier New"/>
          <w:sz w:val="16"/>
          <w:szCs w:val="16"/>
          <w:color w:val="auto"/>
        </w:rPr>
      </w:pPr>
    </w:p>
    <w:p>
      <w:pPr>
        <w:ind w:right="2659" w:firstLine="564"/>
        <w:spacing w:after="0" w:line="237" w:lineRule="auto"/>
        <w:tabs>
          <w:tab w:leader="none" w:pos="946"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4.07 of the Indenture is hereby eliminated in its entirety and replaced with the words: "Section 4.07. [INTENTIONALLY OMITTED]."</w:t>
      </w:r>
    </w:p>
    <w:p>
      <w:pPr>
        <w:spacing w:after="0" w:line="187" w:lineRule="exact"/>
        <w:rPr>
          <w:rFonts w:ascii="Courier New" w:cs="Courier New" w:eastAsia="Courier New" w:hAnsi="Courier New"/>
          <w:sz w:val="16"/>
          <w:szCs w:val="16"/>
          <w:color w:val="auto"/>
        </w:rPr>
      </w:pPr>
    </w:p>
    <w:p>
      <w:pPr>
        <w:ind w:right="2659" w:firstLine="564"/>
        <w:spacing w:after="0" w:line="237" w:lineRule="auto"/>
        <w:tabs>
          <w:tab w:leader="none" w:pos="946"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4.08 of the Indenture is hereby eliminated in its entirety and replaced with the words: "Section 4.08. [INTENTIONALLY OMITTED]."</w:t>
      </w:r>
    </w:p>
    <w:p>
      <w:pPr>
        <w:spacing w:after="0" w:line="187" w:lineRule="exact"/>
        <w:rPr>
          <w:rFonts w:ascii="Courier New" w:cs="Courier New" w:eastAsia="Courier New" w:hAnsi="Courier New"/>
          <w:sz w:val="16"/>
          <w:szCs w:val="16"/>
          <w:color w:val="auto"/>
        </w:rPr>
      </w:pPr>
    </w:p>
    <w:p>
      <w:pPr>
        <w:ind w:right="2659" w:firstLine="564"/>
        <w:spacing w:after="0" w:line="237" w:lineRule="auto"/>
        <w:tabs>
          <w:tab w:leader="none" w:pos="946"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4.09 of the Indenture is hereby eliminated in its entirety and replaced with the words: "Section 4.09. [INTENTIONALLY OMITTED]."</w:t>
      </w:r>
    </w:p>
    <w:p>
      <w:pPr>
        <w:spacing w:after="0" w:line="187" w:lineRule="exact"/>
        <w:rPr>
          <w:rFonts w:ascii="Courier New" w:cs="Courier New" w:eastAsia="Courier New" w:hAnsi="Courier New"/>
          <w:sz w:val="16"/>
          <w:szCs w:val="16"/>
          <w:color w:val="auto"/>
        </w:rPr>
      </w:pPr>
    </w:p>
    <w:p>
      <w:pPr>
        <w:ind w:right="2659" w:firstLine="564"/>
        <w:spacing w:after="0" w:line="237" w:lineRule="auto"/>
        <w:tabs>
          <w:tab w:leader="none" w:pos="946"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4.10 of the Indenture is hereby eliminated in its entirety and replaced with the words: "Section 4.10. [INTENTIONALLY OMITTED]."</w:t>
      </w:r>
    </w:p>
    <w:p>
      <w:pPr>
        <w:spacing w:after="0" w:line="187" w:lineRule="exact"/>
        <w:rPr>
          <w:rFonts w:ascii="Courier New" w:cs="Courier New" w:eastAsia="Courier New" w:hAnsi="Courier New"/>
          <w:sz w:val="16"/>
          <w:szCs w:val="16"/>
          <w:color w:val="auto"/>
        </w:rPr>
      </w:pPr>
    </w:p>
    <w:p>
      <w:pPr>
        <w:ind w:right="2659" w:firstLine="564"/>
        <w:spacing w:after="0" w:line="237" w:lineRule="auto"/>
        <w:tabs>
          <w:tab w:leader="none" w:pos="946"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4.11 of the Indenture is hereby eliminated in its entirety and replaced with the words: "Section 4.11. [INTENTIONALLY OMITTED]."</w:t>
      </w:r>
    </w:p>
    <w:p>
      <w:pPr>
        <w:spacing w:after="0" w:line="187" w:lineRule="exact"/>
        <w:rPr>
          <w:rFonts w:ascii="Courier New" w:cs="Courier New" w:eastAsia="Courier New" w:hAnsi="Courier New"/>
          <w:sz w:val="16"/>
          <w:szCs w:val="16"/>
          <w:color w:val="auto"/>
        </w:rPr>
      </w:pPr>
    </w:p>
    <w:p>
      <w:pPr>
        <w:ind w:right="2939" w:firstLine="564"/>
        <w:spacing w:after="0" w:line="267" w:lineRule="auto"/>
        <w:tabs>
          <w:tab w:leader="none" w:pos="104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4.12 of the Indenture is hereby eliminated in its entirety and replaced with the words: "Section 4.12. [INTENTIONALLY OMITTED]."</w:t>
      </w:r>
    </w:p>
    <w:p>
      <w:pPr>
        <w:spacing w:after="0" w:line="167" w:lineRule="exact"/>
        <w:rPr>
          <w:rFonts w:ascii="Courier New" w:cs="Courier New" w:eastAsia="Courier New" w:hAnsi="Courier New"/>
          <w:sz w:val="15"/>
          <w:szCs w:val="15"/>
          <w:color w:val="auto"/>
        </w:rPr>
      </w:pPr>
    </w:p>
    <w:p>
      <w:pPr>
        <w:ind w:right="2939" w:firstLine="564"/>
        <w:spacing w:after="0" w:line="267" w:lineRule="auto"/>
        <w:tabs>
          <w:tab w:leader="none" w:pos="104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4.13 of the Indenture is hereby eliminated in its entirety and replaced with the words: "Section 4.13. [INTENTIONALLY OMITTED]."</w:t>
      </w:r>
    </w:p>
    <w:p>
      <w:pPr>
        <w:spacing w:after="0" w:line="167" w:lineRule="exact"/>
        <w:rPr>
          <w:rFonts w:ascii="Courier New" w:cs="Courier New" w:eastAsia="Courier New" w:hAnsi="Courier New"/>
          <w:sz w:val="15"/>
          <w:szCs w:val="15"/>
          <w:color w:val="auto"/>
        </w:rPr>
      </w:pPr>
    </w:p>
    <w:p>
      <w:pPr>
        <w:ind w:right="2939" w:firstLine="564"/>
        <w:spacing w:after="0" w:line="267" w:lineRule="auto"/>
        <w:tabs>
          <w:tab w:leader="none" w:pos="104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4.14 of the Indenture is hereby eliminated in its entirety and replaced with the words: "Section 4.14. [INTENTIONALLY OMITTED]."</w:t>
      </w:r>
    </w:p>
    <w:p>
      <w:pPr>
        <w:spacing w:after="0" w:line="167" w:lineRule="exact"/>
        <w:rPr>
          <w:rFonts w:ascii="Courier New" w:cs="Courier New" w:eastAsia="Courier New" w:hAnsi="Courier New"/>
          <w:sz w:val="15"/>
          <w:szCs w:val="15"/>
          <w:color w:val="auto"/>
        </w:rPr>
      </w:pPr>
    </w:p>
    <w:p>
      <w:pPr>
        <w:ind w:right="2939" w:firstLine="564"/>
        <w:spacing w:after="0" w:line="267" w:lineRule="auto"/>
        <w:tabs>
          <w:tab w:leader="none" w:pos="104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4.15 of the Indenture is hereby eliminated in its entirety and replaced with the words: "Section 4.15. [INTENTIONALLY OMITTED]."</w:t>
      </w:r>
    </w:p>
    <w:p>
      <w:pPr>
        <w:sectPr>
          <w:pgSz w:w="11900" w:h="16838" w:orient="portrait"/>
          <w:cols w:equalWidth="0" w:num="1">
            <w:col w:w="10219"/>
          </w:cols>
          <w:pgMar w:left="240" w:top="845" w:right="1440" w:bottom="1440" w:gutter="0" w:footer="0" w:header="0"/>
        </w:sectPr>
      </w:pPr>
    </w:p>
    <w:bookmarkStart w:id="228" w:name="page229"/>
    <w:bookmarkEnd w:id="228"/>
    <w:p>
      <w:pPr>
        <w:ind w:right="2939" w:firstLine="564"/>
        <w:spacing w:after="0" w:line="267" w:lineRule="auto"/>
        <w:tabs>
          <w:tab w:leader="none" w:pos="104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4.16 of the Indenture is hereby eliminated in its entirety and replaced with the words: "Section 4.16. [INTENTIONALLY OMITTED]."</w:t>
      </w:r>
    </w:p>
    <w:p>
      <w:pPr>
        <w:spacing w:after="0" w:line="167" w:lineRule="exact"/>
        <w:rPr>
          <w:rFonts w:ascii="Courier New" w:cs="Courier New" w:eastAsia="Courier New" w:hAnsi="Courier New"/>
          <w:sz w:val="15"/>
          <w:szCs w:val="15"/>
          <w:color w:val="auto"/>
        </w:rPr>
      </w:pPr>
    </w:p>
    <w:p>
      <w:pPr>
        <w:ind w:right="2939" w:firstLine="564"/>
        <w:spacing w:after="0" w:line="267" w:lineRule="auto"/>
        <w:tabs>
          <w:tab w:leader="none" w:pos="104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4.17 of the Indenture is hereby eliminated in its entirety and replaced with the words: "Section 4.17. [INTENTIONALLY OMITTED]."</w:t>
      </w:r>
    </w:p>
    <w:p>
      <w:pPr>
        <w:spacing w:after="0" w:line="167" w:lineRule="exact"/>
        <w:rPr>
          <w:rFonts w:ascii="Courier New" w:cs="Courier New" w:eastAsia="Courier New" w:hAnsi="Courier New"/>
          <w:sz w:val="15"/>
          <w:szCs w:val="15"/>
          <w:color w:val="auto"/>
        </w:rPr>
      </w:pPr>
    </w:p>
    <w:p>
      <w:pPr>
        <w:ind w:right="2939" w:firstLine="564"/>
        <w:spacing w:after="0" w:line="267" w:lineRule="auto"/>
        <w:tabs>
          <w:tab w:leader="none" w:pos="104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4.18 of the Indenture is hereby eliminated in its entirety and replaced with the words: "Section 4.18. [INTENTIONALLY OMITTED]."</w:t>
      </w:r>
    </w:p>
    <w:p>
      <w:pPr>
        <w:spacing w:after="0" w:line="167" w:lineRule="exact"/>
        <w:rPr>
          <w:rFonts w:ascii="Courier New" w:cs="Courier New" w:eastAsia="Courier New" w:hAnsi="Courier New"/>
          <w:sz w:val="15"/>
          <w:szCs w:val="15"/>
          <w:color w:val="auto"/>
        </w:rPr>
      </w:pPr>
    </w:p>
    <w:p>
      <w:pPr>
        <w:ind w:right="2939" w:firstLine="564"/>
        <w:spacing w:after="0" w:line="267" w:lineRule="auto"/>
        <w:tabs>
          <w:tab w:leader="none" w:pos="104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5.01 of the Indenture is hereby eliminated in its entirety and replaced with the words: "Section 5.01. [INTENTIONALLY OMITTED]."</w:t>
      </w:r>
    </w:p>
    <w:p>
      <w:pPr>
        <w:spacing w:after="0" w:line="167" w:lineRule="exact"/>
        <w:rPr>
          <w:rFonts w:ascii="Courier New" w:cs="Courier New" w:eastAsia="Courier New" w:hAnsi="Courier New"/>
          <w:sz w:val="15"/>
          <w:szCs w:val="15"/>
          <w:color w:val="auto"/>
        </w:rPr>
      </w:pPr>
    </w:p>
    <w:p>
      <w:pPr>
        <w:jc w:val="both"/>
        <w:ind w:right="2659" w:firstLine="564"/>
        <w:spacing w:after="0" w:line="238" w:lineRule="auto"/>
        <w:tabs>
          <w:tab w:leader="none" w:pos="1040"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6.01 of the Indenture is hereby amended to delete the text in subsections 6.01(5) and 6.01(6) and 6.01(7) and to replace the text thereof with the text "[INTENTIONALLY OMITTED]."</w:t>
      </w:r>
    </w:p>
    <w:p>
      <w:pPr>
        <w:spacing w:after="0" w:line="188" w:lineRule="exact"/>
        <w:rPr>
          <w:rFonts w:ascii="Courier New" w:cs="Courier New" w:eastAsia="Courier New" w:hAnsi="Courier New"/>
          <w:sz w:val="16"/>
          <w:szCs w:val="16"/>
          <w:color w:val="auto"/>
        </w:rPr>
      </w:pPr>
    </w:p>
    <w:p>
      <w:pPr>
        <w:ind w:right="2939" w:firstLine="564"/>
        <w:spacing w:after="0" w:line="267" w:lineRule="auto"/>
        <w:tabs>
          <w:tab w:leader="none" w:pos="104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8.04 of the Indenture is hereby eliminated in its entirety and replaced with the words: "Section 8.04. [INTENTIONALLY OMITTED]."</w:t>
      </w:r>
    </w:p>
    <w:p>
      <w:pPr>
        <w:spacing w:after="0" w:line="167" w:lineRule="exact"/>
        <w:rPr>
          <w:rFonts w:ascii="Courier New" w:cs="Courier New" w:eastAsia="Courier New" w:hAnsi="Courier New"/>
          <w:sz w:val="15"/>
          <w:szCs w:val="15"/>
          <w:color w:val="auto"/>
        </w:rPr>
      </w:pPr>
    </w:p>
    <w:p>
      <w:pPr>
        <w:ind w:right="2839" w:firstLine="564"/>
        <w:spacing w:after="0" w:line="267" w:lineRule="auto"/>
        <w:tabs>
          <w:tab w:leader="none" w:pos="104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11.05 of the Indenture is hereby eliminated in its entirety and replaced with the words: "Section 11.05. [INTENTIONALLY OMITTED]."</w:t>
      </w:r>
    </w:p>
    <w:p>
      <w:pPr>
        <w:spacing w:after="0" w:line="168" w:lineRule="exact"/>
        <w:rPr>
          <w:sz w:val="20"/>
          <w:szCs w:val="20"/>
          <w:color w:val="auto"/>
        </w:rPr>
      </w:pPr>
    </w:p>
    <w:p>
      <w:pPr>
        <w:ind w:right="2839" w:firstLine="567"/>
        <w:spacing w:after="0" w:line="239" w:lineRule="auto"/>
        <w:rPr>
          <w:sz w:val="20"/>
          <w:szCs w:val="20"/>
          <w:color w:val="auto"/>
        </w:rPr>
      </w:pPr>
      <w:r>
        <w:rPr>
          <w:rFonts w:ascii="Courier New" w:cs="Courier New" w:eastAsia="Courier New" w:hAnsi="Courier New"/>
          <w:sz w:val="16"/>
          <w:szCs w:val="16"/>
          <w:color w:val="auto"/>
        </w:rPr>
        <w:t>SECTION 3. EFFECTIVENESS. This Second Supplemental Indenture supplements the Indenture with respect to the Notes and shall be a part and subject to all of the terms thereof. Except as supplemented hereby, the Indenture shall continue in full force and effect.</w:t>
      </w:r>
    </w:p>
    <w:p>
      <w:pPr>
        <w:spacing w:after="0" w:line="187" w:lineRule="exact"/>
        <w:rPr>
          <w:sz w:val="20"/>
          <w:szCs w:val="20"/>
          <w:color w:val="auto"/>
        </w:rPr>
      </w:pPr>
    </w:p>
    <w:p>
      <w:pPr>
        <w:ind w:right="2839" w:firstLine="567"/>
        <w:spacing w:after="0" w:line="238" w:lineRule="auto"/>
        <w:rPr>
          <w:sz w:val="20"/>
          <w:szCs w:val="20"/>
          <w:color w:val="auto"/>
        </w:rPr>
      </w:pPr>
      <w:r>
        <w:rPr>
          <w:rFonts w:ascii="Courier New" w:cs="Courier New" w:eastAsia="Courier New" w:hAnsi="Courier New"/>
          <w:sz w:val="16"/>
          <w:szCs w:val="16"/>
          <w:color w:val="auto"/>
        </w:rPr>
        <w:t>The Amendments effected by this Second Supplemental Indenture shall take effect on the date that each of the following conditions shall have been satisfied or waived:</w:t>
      </w:r>
    </w:p>
    <w:p>
      <w:pPr>
        <w:spacing w:after="0" w:line="188" w:lineRule="exact"/>
        <w:rPr>
          <w:sz w:val="20"/>
          <w:szCs w:val="20"/>
          <w:color w:val="auto"/>
        </w:rPr>
      </w:pPr>
    </w:p>
    <w:p>
      <w:pPr>
        <w:ind w:left="560" w:right="3119" w:firstLine="4"/>
        <w:spacing w:after="0" w:line="237" w:lineRule="auto"/>
        <w:tabs>
          <w:tab w:leader="none" w:pos="938"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parties hereto shall have executed and delivered this Second Supplemental Indenture; and</w:t>
      </w:r>
    </w:p>
    <w:p>
      <w:pPr>
        <w:spacing w:after="0" w:line="187" w:lineRule="exact"/>
        <w:rPr>
          <w:rFonts w:ascii="Courier New" w:cs="Courier New" w:eastAsia="Courier New" w:hAnsi="Courier New"/>
          <w:sz w:val="16"/>
          <w:szCs w:val="16"/>
          <w:color w:val="auto"/>
        </w:rPr>
      </w:pPr>
    </w:p>
    <w:p>
      <w:pPr>
        <w:ind w:left="560" w:right="2759" w:firstLine="4"/>
        <w:spacing w:after="0" w:line="267" w:lineRule="auto"/>
        <w:tabs>
          <w:tab w:leader="none" w:pos="938"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written consent to these Amendments from the Holders of at least a majority in principal amount of the Notes;</w:t>
      </w:r>
    </w:p>
    <w:p>
      <w:pPr>
        <w:spacing w:after="0" w:line="168"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provided, however, that the Amendments set forth in Section 2 of this Second Supplemental Indenture shall become operative only upon and simultaneously with, and shall have no force and effect prior to, the Company's acceptance for purchase of and payment for the Notes that are tendered and not withdrawn pursuant to the Tender Offer.</w:t>
      </w:r>
    </w:p>
    <w:p>
      <w:pPr>
        <w:spacing w:after="0" w:line="189" w:lineRule="exact"/>
        <w:rPr>
          <w:sz w:val="20"/>
          <w:szCs w:val="20"/>
          <w:color w:val="auto"/>
        </w:rPr>
      </w:pPr>
    </w:p>
    <w:p>
      <w:pPr>
        <w:ind w:right="2759" w:firstLine="567"/>
        <w:spacing w:after="0" w:line="239" w:lineRule="auto"/>
        <w:rPr>
          <w:sz w:val="20"/>
          <w:szCs w:val="20"/>
          <w:color w:val="auto"/>
        </w:rPr>
      </w:pPr>
      <w:r>
        <w:rPr>
          <w:rFonts w:ascii="Courier New" w:cs="Courier New" w:eastAsia="Courier New" w:hAnsi="Courier New"/>
          <w:sz w:val="16"/>
          <w:szCs w:val="16"/>
          <w:color w:val="auto"/>
        </w:rPr>
        <w:t>SECTION 4. NEW YORK LAW TO GOVERN. THE INTERNAL LAW OF THE STATE OF NEW YORK SHALL GOVERN AND BE USED TO CONSTRUE THIS SECOND SUPPLEMENTAL INDENTURE TO THE EXTENT THAT THE APPLICATION OF THE LAWS OF ANOTHER JURISDICTION WOULD BE REQUIRED THEREBY.</w:t>
      </w:r>
    </w:p>
    <w:p>
      <w:pPr>
        <w:spacing w:after="0" w:line="187" w:lineRule="exact"/>
        <w:rPr>
          <w:sz w:val="20"/>
          <w:szCs w:val="20"/>
          <w:color w:val="auto"/>
        </w:rPr>
      </w:pPr>
    </w:p>
    <w:p>
      <w:pPr>
        <w:jc w:val="both"/>
        <w:ind w:right="2659" w:firstLine="567"/>
        <w:spacing w:after="0" w:line="238" w:lineRule="auto"/>
        <w:rPr>
          <w:sz w:val="20"/>
          <w:szCs w:val="20"/>
          <w:color w:val="auto"/>
        </w:rPr>
      </w:pPr>
      <w:r>
        <w:rPr>
          <w:rFonts w:ascii="Courier New" w:cs="Courier New" w:eastAsia="Courier New" w:hAnsi="Courier New"/>
          <w:sz w:val="16"/>
          <w:szCs w:val="16"/>
          <w:color w:val="auto"/>
        </w:rPr>
        <w:t>SECTION 5. COUNTERPARTS. The parties may sign any number of copies of this Second Supplemental Indenture. Each signed copy shall be an original, but all of them together represent the same agreement.</w:t>
      </w:r>
    </w:p>
    <w:p>
      <w:pPr>
        <w:spacing w:after="0" w:line="188" w:lineRule="exact"/>
        <w:rPr>
          <w:sz w:val="20"/>
          <w:szCs w:val="20"/>
          <w:color w:val="auto"/>
        </w:rPr>
      </w:pPr>
    </w:p>
    <w:p>
      <w:pPr>
        <w:ind w:right="3419" w:firstLine="567"/>
        <w:spacing w:after="0" w:line="237" w:lineRule="auto"/>
        <w:rPr>
          <w:sz w:val="20"/>
          <w:szCs w:val="20"/>
          <w:color w:val="auto"/>
        </w:rPr>
      </w:pPr>
      <w:r>
        <w:rPr>
          <w:rFonts w:ascii="Courier New" w:cs="Courier New" w:eastAsia="Courier New" w:hAnsi="Courier New"/>
          <w:sz w:val="16"/>
          <w:szCs w:val="16"/>
          <w:color w:val="auto"/>
        </w:rPr>
        <w:t>SECTION 6. EFFECT OF HEADINGS. The Section headings herein are for convenience only and shall not affect the construction hereof.</w:t>
      </w:r>
    </w:p>
    <w:p>
      <w:pPr>
        <w:sectPr>
          <w:pgSz w:w="11900" w:h="16838" w:orient="portrait"/>
          <w:cols w:equalWidth="0" w:num="1">
            <w:col w:w="10219"/>
          </w:cols>
          <w:pgMar w:left="240" w:top="845" w:right="1440" w:bottom="1440" w:gutter="0" w:footer="0" w:header="0"/>
        </w:sectPr>
      </w:pPr>
    </w:p>
    <w:bookmarkStart w:id="229" w:name="page230"/>
    <w:bookmarkEnd w:id="229"/>
    <w:p>
      <w:pPr>
        <w:ind w:right="2659" w:firstLine="567"/>
        <w:spacing w:after="0"/>
        <w:rPr>
          <w:sz w:val="20"/>
          <w:szCs w:val="20"/>
          <w:color w:val="auto"/>
        </w:rPr>
      </w:pPr>
      <w:r>
        <w:rPr>
          <w:rFonts w:ascii="Courier New" w:cs="Courier New" w:eastAsia="Courier New" w:hAnsi="Courier New"/>
          <w:sz w:val="16"/>
          <w:szCs w:val="16"/>
          <w:color w:val="auto"/>
        </w:rPr>
        <w:t>SECTION 7. THE TRUSTEE. The Trustee accepts the amendment to the Indenture effected by this Second Supplemental Indenture. Without limiting the generality of the foregoing, the Trustee has no responsibility for the correctness of the recitals of fact herein contained which shall be taken as the statements of the Guarantors and the Company and makes no representations as to the validity or sufficiency of this Second Supplemental Indenture, except as to the due and valid execution hereof by the Trustee, and shall incur no liability or responsibility in respect of the validity thereof.</w:t>
      </w:r>
    </w:p>
    <w:p>
      <w:pPr>
        <w:spacing w:after="0" w:line="187" w:lineRule="exact"/>
        <w:rPr>
          <w:sz w:val="20"/>
          <w:szCs w:val="20"/>
          <w:color w:val="auto"/>
        </w:rPr>
      </w:pPr>
    </w:p>
    <w:p>
      <w:pPr>
        <w:jc w:val="both"/>
        <w:ind w:right="2939" w:firstLine="567"/>
        <w:spacing w:after="0" w:line="262" w:lineRule="auto"/>
        <w:rPr>
          <w:sz w:val="20"/>
          <w:szCs w:val="20"/>
          <w:color w:val="auto"/>
        </w:rPr>
      </w:pPr>
      <w:r>
        <w:rPr>
          <w:rFonts w:ascii="Courier New" w:cs="Courier New" w:eastAsia="Courier New" w:hAnsi="Courier New"/>
          <w:sz w:val="15"/>
          <w:szCs w:val="15"/>
          <w:color w:val="auto"/>
        </w:rPr>
        <w:t>SECTION 8. SUBSIDIARY GUARANTEES. Each of the Guarantors hereby affirms that its Subsidiary Guarantee remains effective in all respects regardless of the effect of this Second Supplement Indenture on the Indenture.</w:t>
      </w:r>
    </w:p>
    <w:p>
      <w:pPr>
        <w:spacing w:after="0" w:line="171" w:lineRule="exact"/>
        <w:rPr>
          <w:sz w:val="20"/>
          <w:szCs w:val="20"/>
          <w:color w:val="auto"/>
        </w:rPr>
      </w:pPr>
    </w:p>
    <w:p>
      <w:pPr>
        <w:ind w:right="2659" w:firstLine="567"/>
        <w:spacing w:after="0" w:line="239" w:lineRule="auto"/>
        <w:rPr>
          <w:sz w:val="20"/>
          <w:szCs w:val="20"/>
          <w:color w:val="auto"/>
        </w:rPr>
      </w:pPr>
      <w:r>
        <w:rPr>
          <w:rFonts w:ascii="Courier New" w:cs="Courier New" w:eastAsia="Courier New" w:hAnsi="Courier New"/>
          <w:sz w:val="16"/>
          <w:szCs w:val="16"/>
          <w:color w:val="auto"/>
        </w:rPr>
        <w:t>SECTION 9. CONFLICT OF ANY PROVISION OF INDENTURE WITH TRUST INDENTURE ACT. If and to the extent that any provision in this Second Supplemental Indenture limits, qualifies or conflicts with another provision included in this Second Supplemental Indenture or in the Indenture which is required to be included herein or therein by any of TIA Sections 310 to 317, inclusive, such required provision shall control.</w:t>
      </w:r>
    </w:p>
    <w:p>
      <w:pPr>
        <w:spacing w:after="0" w:line="186"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[Signature page follows]</w:t>
      </w:r>
    </w:p>
    <w:p>
      <w:pPr>
        <w:sectPr>
          <w:pgSz w:w="11900" w:h="16838" w:orient="portrait"/>
          <w:cols w:equalWidth="0" w:num="1">
            <w:col w:w="10219"/>
          </w:cols>
          <w:pgMar w:left="240" w:top="663" w:right="1440" w:bottom="1440" w:gutter="0" w:footer="0" w:header="0"/>
        </w:sectPr>
      </w:pPr>
    </w:p>
    <w:bookmarkStart w:id="230" w:name="page231"/>
    <w:bookmarkEnd w:id="230"/>
    <w:p>
      <w:pPr>
        <w:ind w:right="3119" w:firstLine="567"/>
        <w:spacing w:after="0" w:line="267" w:lineRule="auto"/>
        <w:rPr>
          <w:sz w:val="20"/>
          <w:szCs w:val="20"/>
          <w:color w:val="auto"/>
        </w:rPr>
      </w:pPr>
      <w:r>
        <w:rPr>
          <w:rFonts w:ascii="Courier New" w:cs="Courier New" w:eastAsia="Courier New" w:hAnsi="Courier New"/>
          <w:sz w:val="15"/>
          <w:szCs w:val="15"/>
          <w:color w:val="auto"/>
        </w:rPr>
        <w:t>IN WITNESS WHEREOF, the parties hereto have caused this Second Supplemental Indenture to be duly executed of the date first above written.</w:t>
      </w:r>
    </w:p>
    <w:p>
      <w:pPr>
        <w:spacing w:after="0" w:line="16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THE SCOTTS COMPANY</w:t>
      </w:r>
    </w:p>
    <w:p>
      <w:pPr>
        <w:spacing w:after="0" w:line="364"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By: /s/ Christopher Nagel</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Name: Christopher Nagel</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Title: Chief Financial Officer</w:t>
      </w:r>
    </w:p>
    <w:p>
      <w:pPr>
        <w:spacing w:after="0" w:line="183"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GUARANTORS:</w:t>
      </w:r>
    </w:p>
    <w:p>
      <w:pPr>
        <w:spacing w:after="0" w:line="364"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SCOTTS MANUFACTURING COMPANY, as</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successor by merger to SCOTTS</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MIRACLE-GRO PRODUCTS INC.</w:t>
      </w:r>
    </w:p>
    <w:p>
      <w:pPr>
        <w:spacing w:after="0" w:line="364"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By: /s/ Christopher Nagel</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Name: Christopher Nagel</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Title: Chief Financial Officer</w:t>
      </w:r>
    </w:p>
    <w:p>
      <w:pPr>
        <w:spacing w:after="0" w:line="183"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SCOTTS TEMECULA OPERATIONS, LLC,</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as successor by merger to</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REPUBLIC TOOL &amp; MANUFACTURING CORP.</w:t>
      </w:r>
    </w:p>
    <w:p>
      <w:pPr>
        <w:spacing w:after="0" w:line="183"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By: /s/ Christopher Nagel</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Name: Christopher Nagel</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Title: Chief Financial Officer</w:t>
      </w:r>
    </w:p>
    <w:p>
      <w:pPr>
        <w:spacing w:after="0" w:line="183"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MIRACLE-GRO LAWN PRODUCTS, INC.</w:t>
      </w:r>
    </w:p>
    <w:p>
      <w:pPr>
        <w:spacing w:after="0" w:line="364"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By: /s/ Christopher Nagel</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Name: Christopher Nagel</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Title: Chief Financial Officer</w:t>
      </w:r>
    </w:p>
    <w:p>
      <w:pPr>
        <w:spacing w:after="0" w:line="183"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OMS INVESTMENTS, INC.</w:t>
      </w:r>
    </w:p>
    <w:p>
      <w:pPr>
        <w:spacing w:after="0" w:line="364"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By: /s/ Christopher Nagel</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Name: Christopher Nagel</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Title: Chief Financial Officer</w:t>
      </w:r>
    </w:p>
    <w:p>
      <w:pPr>
        <w:sectPr>
          <w:pgSz w:w="11900" w:h="16838" w:orient="portrait"/>
          <w:cols w:equalWidth="0" w:num="1">
            <w:col w:w="10219"/>
          </w:cols>
          <w:pgMar w:left="240" w:top="845" w:right="1440" w:bottom="1440" w:gutter="0" w:footer="0" w:header="0"/>
        </w:sectPr>
      </w:pPr>
    </w:p>
    <w:bookmarkStart w:id="231" w:name="page232"/>
    <w:bookmarkEnd w:id="231"/>
    <w:p>
      <w:pPr>
        <w:ind w:left="2960"/>
        <w:spacing w:after="0"/>
        <w:rPr>
          <w:sz w:val="20"/>
          <w:szCs w:val="20"/>
          <w:color w:val="auto"/>
        </w:rPr>
      </w:pPr>
      <w:r>
        <w:rPr>
          <w:rFonts w:ascii="Courier New" w:cs="Courier New" w:eastAsia="Courier New" w:hAnsi="Courier New"/>
          <w:sz w:val="16"/>
          <w:szCs w:val="16"/>
          <w:color w:val="auto"/>
        </w:rPr>
        <w:t>HYPONEX CORPORATION</w:t>
      </w:r>
    </w:p>
    <w:p>
      <w:pPr>
        <w:spacing w:after="0" w:line="36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By: /s/ Christopher Nagel</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Name: Christopher Nagel</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Chief Financial Officer</w:t>
      </w:r>
    </w:p>
    <w:p>
      <w:pPr>
        <w:spacing w:after="0" w:line="183"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SCOTTS PRODUCTS CO.</w:t>
      </w:r>
    </w:p>
    <w:p>
      <w:pPr>
        <w:spacing w:after="0" w:line="36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By: /s/ Christopher Nagel</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Name: Christopher Nagel</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Chief Financial Officer</w:t>
      </w:r>
    </w:p>
    <w:p>
      <w:pPr>
        <w:spacing w:after="0" w:line="186"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SCOTTS PROFESSIONAL PRODUCTS CO.</w:t>
      </w:r>
    </w:p>
    <w:p>
      <w:pPr>
        <w:spacing w:after="0" w:line="37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By: /s/ Christopher Nagel</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Name: Christopher Nagel</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Chief Financial Officer</w:t>
      </w:r>
    </w:p>
    <w:p>
      <w:pPr>
        <w:spacing w:after="0" w:line="183"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SCOTTS-SIERRA HORTICULTURAL</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PRODUCTS COMPANY</w:t>
      </w:r>
    </w:p>
    <w:p>
      <w:pPr>
        <w:spacing w:after="0" w:line="36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By: /s/ Christopher Nagel</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Name: Christopher Nagel</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Chief Financial Officer</w:t>
      </w:r>
    </w:p>
    <w:p>
      <w:pPr>
        <w:spacing w:after="0" w:line="183"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SCOTTS-SIERRA CROP PROTECTION</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COMPANY</w:t>
      </w:r>
    </w:p>
    <w:p>
      <w:pPr>
        <w:spacing w:after="0" w:line="36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By: /s/ Christopher Nagel</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Name: Christopher Nagel</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Chief Financial Officer</w:t>
      </w:r>
    </w:p>
    <w:p>
      <w:pPr>
        <w:spacing w:after="0" w:line="186"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SCOTTS-SIERRA INVESTMENTS, INC.</w:t>
      </w:r>
    </w:p>
    <w:p>
      <w:pPr>
        <w:spacing w:after="0" w:line="37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By: /s/ Christopher Nagel</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Name: Christopher Nagel</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Chief Financial Officer</w:t>
      </w:r>
    </w:p>
    <w:p>
      <w:pPr>
        <w:spacing w:after="0" w:line="183"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SWISS FARMS PRODUCTS, INC.</w:t>
      </w:r>
    </w:p>
    <w:p>
      <w:pPr>
        <w:spacing w:after="0" w:line="36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By: /s/ Christopher Nagel</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Name: Christopher Nagel</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Chief Financial Officer</w:t>
      </w:r>
    </w:p>
    <w:p>
      <w:pPr>
        <w:sectPr>
          <w:pgSz w:w="11900" w:h="16838" w:orient="portrait"/>
          <w:cols w:equalWidth="0" w:num="1">
            <w:col w:w="9019"/>
          </w:cols>
          <w:pgMar w:left="1440" w:top="659" w:right="1440" w:bottom="1440" w:gutter="0" w:footer="0" w:header="0"/>
        </w:sectPr>
      </w:pPr>
    </w:p>
    <w:bookmarkStart w:id="232" w:name="page233"/>
    <w:bookmarkEnd w:id="232"/>
    <w:p>
      <w:pPr>
        <w:spacing w:after="0"/>
        <w:rPr>
          <w:sz w:val="20"/>
          <w:szCs w:val="20"/>
          <w:color w:val="auto"/>
        </w:rPr>
      </w:pPr>
      <w:r>
        <w:rPr>
          <w:rFonts w:ascii="Courier New" w:cs="Courier New" w:eastAsia="Courier New" w:hAnsi="Courier New"/>
          <w:sz w:val="15"/>
          <w:szCs w:val="15"/>
          <w:color w:val="auto"/>
        </w:rPr>
        <w:t>U.S. BANK NATIONAL ASSOCIATION,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Trustee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Cauna M. Silva</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Cauna M. Silva</w:t>
      </w:r>
    </w:p>
    <w:p>
      <w:pPr>
        <w:spacing w:after="0" w:line="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Title:</w:t>
        <w:tab/>
        <w:t>Vice President</w:t>
      </w:r>
    </w:p>
    <w:p>
      <w:pPr>
        <w:sectPr>
          <w:pgSz w:w="11900" w:h="16838" w:orient="portrait"/>
          <w:cols w:equalWidth="0" w:num="1">
            <w:col w:w="10219"/>
          </w:cols>
          <w:pgMar w:left="240" w:top="845" w:right="1440" w:bottom="1440" w:gutter="0" w:footer="0" w:header="0"/>
        </w:sectPr>
      </w:pPr>
    </w:p>
    <w:bookmarkStart w:id="233" w:name="page234"/>
    <w:bookmarkEnd w:id="233"/>
    <w:p>
      <w:pPr>
        <w:jc w:val="right"/>
        <w:ind w:right="2659"/>
        <w:spacing w:after="0"/>
        <w:rPr>
          <w:sz w:val="20"/>
          <w:szCs w:val="20"/>
          <w:color w:val="auto"/>
        </w:rPr>
      </w:pPr>
      <w:r>
        <w:rPr>
          <w:rFonts w:ascii="Courier New" w:cs="Courier New" w:eastAsia="Courier New" w:hAnsi="Courier New"/>
          <w:sz w:val="16"/>
          <w:szCs w:val="16"/>
          <w:color w:val="auto"/>
        </w:rPr>
        <w:t>Exhibit 4(n)</w:t>
      </w:r>
    </w:p>
    <w:p>
      <w:pPr>
        <w:spacing w:after="0" w:line="186" w:lineRule="exact"/>
        <w:rPr>
          <w:sz w:val="20"/>
          <w:szCs w:val="20"/>
          <w:color w:val="auto"/>
        </w:rPr>
      </w:pPr>
    </w:p>
    <w:p>
      <w:pPr>
        <w:ind w:left="6240"/>
        <w:spacing w:after="0"/>
        <w:rPr>
          <w:sz w:val="20"/>
          <w:szCs w:val="20"/>
          <w:color w:val="auto"/>
        </w:rPr>
      </w:pPr>
      <w:r>
        <w:rPr>
          <w:rFonts w:ascii="Courier New" w:cs="Courier New" w:eastAsia="Courier New" w:hAnsi="Courier New"/>
          <w:sz w:val="15"/>
          <w:szCs w:val="15"/>
          <w:color w:val="auto"/>
        </w:rPr>
        <w:t>EXECUTION COPY</w:t>
      </w:r>
    </w:p>
    <w:p>
      <w:pPr>
        <w:spacing w:after="0" w:line="19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The Scotts Company</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SERIES A AND SERIES B</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6.625% SENIOR SUBORDINATED NOTES DUE 2013</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Dated as of October 8, 2003</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 Bank National Association</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Trustee</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320" w:right="1440" w:bottom="1440" w:gutter="0" w:footer="0" w:header="0"/>
        </w:sectPr>
      </w:pPr>
    </w:p>
    <w:bookmarkStart w:id="234" w:name="page235"/>
    <w:bookmarkEnd w:id="234"/>
    <w:tbl>
      <w:tblPr>
        <w:tblLayout w:type="fixed"/>
        <w:tblInd w:w="0" w:type="dxa"/>
        <w:tblCellMar>
          <w:top w:w="0" w:type="dxa"/>
          <w:left w:w="0" w:type="dxa"/>
          <w:bottom w:w="0" w:type="dxa"/>
          <w:right w:w="0" w:type="dxa"/>
        </w:tblCellMar>
      </w:tblPr>
      <w:tr>
        <w:trPr>
          <w:trHeight w:val="181"/>
        </w:trPr>
        <w:tc>
          <w:tcPr>
            <w:tcW w:w="2740" w:type="dxa"/>
            <w:vAlign w:val="bottom"/>
          </w:tcPr>
          <w:p>
            <w:pPr>
              <w:spacing w:after="0"/>
              <w:rPr>
                <w:sz w:val="15"/>
                <w:szCs w:val="15"/>
                <w:color w:val="auto"/>
              </w:rPr>
            </w:pPr>
          </w:p>
        </w:tc>
        <w:tc>
          <w:tcPr>
            <w:tcW w:w="7240" w:type="dxa"/>
            <w:vAlign w:val="bottom"/>
          </w:tcPr>
          <w:p>
            <w:pPr>
              <w:spacing w:after="0"/>
              <w:rPr>
                <w:sz w:val="20"/>
                <w:szCs w:val="20"/>
                <w:color w:val="auto"/>
              </w:rPr>
            </w:pPr>
            <w:r>
              <w:rPr>
                <w:rFonts w:ascii="Courier New" w:cs="Courier New" w:eastAsia="Courier New" w:hAnsi="Courier New"/>
                <w:sz w:val="16"/>
                <w:szCs w:val="16"/>
                <w:color w:val="auto"/>
              </w:rPr>
              <w:t>CROSS-REFERENCE TABLE*</w:t>
            </w:r>
          </w:p>
        </w:tc>
        <w:tc>
          <w:tcPr>
            <w:tcW w:w="1080" w:type="dxa"/>
            <w:vAlign w:val="bottom"/>
          </w:tcPr>
          <w:p>
            <w:pPr>
              <w:spacing w:after="0"/>
              <w:rPr>
                <w:sz w:val="15"/>
                <w:szCs w:val="15"/>
                <w:color w:val="auto"/>
              </w:rPr>
            </w:pPr>
          </w:p>
        </w:tc>
      </w:tr>
      <w:tr>
        <w:trPr>
          <w:trHeight w:val="728"/>
        </w:trPr>
        <w:tc>
          <w:tcPr>
            <w:tcW w:w="2740" w:type="dxa"/>
            <w:vAlign w:val="bottom"/>
          </w:tcPr>
          <w:p>
            <w:pPr>
              <w:spacing w:after="0"/>
              <w:rPr>
                <w:sz w:val="20"/>
                <w:szCs w:val="20"/>
                <w:color w:val="auto"/>
              </w:rPr>
            </w:pPr>
            <w:r>
              <w:rPr>
                <w:rFonts w:ascii="Courier New" w:cs="Courier New" w:eastAsia="Courier New" w:hAnsi="Courier New"/>
                <w:sz w:val="16"/>
                <w:szCs w:val="16"/>
                <w:color w:val="auto"/>
              </w:rPr>
              <w:t>Trust Indenture Act Section</w:t>
            </w:r>
          </w:p>
        </w:tc>
        <w:tc>
          <w:tcPr>
            <w:tcW w:w="83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Indenture Section</w:t>
            </w:r>
          </w:p>
        </w:tc>
      </w:tr>
      <w:tr>
        <w:trPr>
          <w:trHeight w:val="182"/>
        </w:trPr>
        <w:tc>
          <w:tcPr>
            <w:tcW w:w="274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8320" w:type="dxa"/>
            <w:vAlign w:val="bottom"/>
            <w:gridSpan w:val="2"/>
          </w:tcPr>
          <w:p>
            <w:pPr>
              <w:ind w:left="6240"/>
              <w:spacing w:after="0"/>
              <w:rPr>
                <w:sz w:val="20"/>
                <w:szCs w:val="20"/>
                <w:color w:val="auto"/>
              </w:rPr>
            </w:pPr>
            <w:r>
              <w:rPr>
                <w:rFonts w:ascii="Courier New" w:cs="Courier New" w:eastAsia="Courier New" w:hAnsi="Courier New"/>
                <w:sz w:val="16"/>
                <w:szCs w:val="16"/>
                <w:color w:val="auto"/>
              </w:rPr>
              <w:t>-----------------</w:t>
            </w:r>
          </w:p>
        </w:tc>
      </w:tr>
      <w:tr>
        <w:trPr>
          <w:trHeight w:val="364"/>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310(a)(1).......................................................................................</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7.09;</w:t>
            </w:r>
          </w:p>
        </w:tc>
        <w:tc>
          <w:tcPr>
            <w:tcW w:w="10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7.10</w:t>
            </w: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(a)(2)..........................................................................................</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7.10</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(a)(3)..........................................................................................</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N.A.</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(a)(4)..........................................................................................</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N.A.</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(a)(5)..........................................................................................</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7.10</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(b).............................................................................................</w:t>
            </w:r>
          </w:p>
        </w:tc>
        <w:tc>
          <w:tcPr>
            <w:tcW w:w="8320" w:type="dxa"/>
            <w:vAlign w:val="bottom"/>
            <w:gridSpan w:val="2"/>
          </w:tcPr>
          <w:p>
            <w:pPr>
              <w:ind w:left="6720"/>
              <w:spacing w:after="0"/>
              <w:rPr>
                <w:sz w:val="20"/>
                <w:szCs w:val="20"/>
                <w:color w:val="auto"/>
              </w:rPr>
            </w:pPr>
            <w:r>
              <w:rPr>
                <w:rFonts w:ascii="Courier New" w:cs="Courier New" w:eastAsia="Courier New" w:hAnsi="Courier New"/>
                <w:sz w:val="16"/>
                <w:szCs w:val="16"/>
                <w:color w:val="auto"/>
              </w:rPr>
              <w:t>7.03; 7.08; 7.10</w:t>
            </w: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(c).............................................................................................</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N.A.</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311(a)..........................................................................................</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7.11</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(b).............................................................................................</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7.11</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(i)(c)..........................................................................................</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N.A.</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312(a)..........................................................................................</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2.05</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(b).............................................................................................</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13.03</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(c).............................................................................................</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13.03</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313(a)..........................................................................................</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7.06</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(b)(2)..........................................................................................</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7.06;</w:t>
            </w:r>
          </w:p>
        </w:tc>
        <w:tc>
          <w:tcPr>
            <w:tcW w:w="10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7.07</w:t>
            </w: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(c).............................................................................................</w:t>
            </w:r>
          </w:p>
        </w:tc>
        <w:tc>
          <w:tcPr>
            <w:tcW w:w="8320" w:type="dxa"/>
            <w:vAlign w:val="bottom"/>
            <w:gridSpan w:val="2"/>
          </w:tcPr>
          <w:p>
            <w:pPr>
              <w:ind w:left="6720"/>
              <w:spacing w:after="0"/>
              <w:rPr>
                <w:sz w:val="20"/>
                <w:szCs w:val="20"/>
                <w:color w:val="auto"/>
              </w:rPr>
            </w:pPr>
            <w:r>
              <w:rPr>
                <w:rFonts w:ascii="Courier New" w:cs="Courier New" w:eastAsia="Courier New" w:hAnsi="Courier New"/>
                <w:sz w:val="16"/>
                <w:szCs w:val="16"/>
                <w:color w:val="auto"/>
              </w:rPr>
              <w:t>7.06; 13.02</w:t>
            </w: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(d).............................................................................................</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7.06</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314(a)..........................................................................................</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4.03;</w:t>
            </w:r>
          </w:p>
        </w:tc>
        <w:tc>
          <w:tcPr>
            <w:tcW w:w="10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4.04</w:t>
            </w: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(c)(1)..........................................................................................</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13.04</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(c)(2)..........................................................................................</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13.04</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(c)(3)..........................................................................................</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N.A.</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(e).............................................................................................</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13.05</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(f).............................................................................................</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N.A.</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315(a)..........................................................................................</w:t>
            </w:r>
          </w:p>
        </w:tc>
        <w:tc>
          <w:tcPr>
            <w:tcW w:w="8320" w:type="dxa"/>
            <w:vAlign w:val="bottom"/>
            <w:gridSpan w:val="2"/>
          </w:tcPr>
          <w:p>
            <w:pPr>
              <w:ind w:left="6720"/>
              <w:spacing w:after="0"/>
              <w:rPr>
                <w:sz w:val="20"/>
                <w:szCs w:val="20"/>
                <w:color w:val="auto"/>
              </w:rPr>
            </w:pPr>
            <w:r>
              <w:rPr>
                <w:rFonts w:ascii="Courier New" w:cs="Courier New" w:eastAsia="Courier New" w:hAnsi="Courier New"/>
                <w:sz w:val="16"/>
                <w:szCs w:val="16"/>
                <w:color w:val="auto"/>
                <w:w w:val="96"/>
              </w:rPr>
              <w:t>7.01(b)(ii); 7.02</w:t>
            </w: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(b).............................................................................................</w:t>
            </w:r>
          </w:p>
        </w:tc>
        <w:tc>
          <w:tcPr>
            <w:tcW w:w="8320" w:type="dxa"/>
            <w:vAlign w:val="bottom"/>
            <w:gridSpan w:val="2"/>
          </w:tcPr>
          <w:p>
            <w:pPr>
              <w:ind w:left="6720"/>
              <w:spacing w:after="0"/>
              <w:rPr>
                <w:sz w:val="20"/>
                <w:szCs w:val="20"/>
                <w:color w:val="auto"/>
              </w:rPr>
            </w:pPr>
            <w:r>
              <w:rPr>
                <w:rFonts w:ascii="Courier New" w:cs="Courier New" w:eastAsia="Courier New" w:hAnsi="Courier New"/>
                <w:sz w:val="16"/>
                <w:szCs w:val="16"/>
                <w:color w:val="auto"/>
                <w:w w:val="96"/>
              </w:rPr>
              <w:t>7.02; 7.05; 13.02</w:t>
            </w: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(c).............................................................................................</w:t>
            </w:r>
          </w:p>
        </w:tc>
        <w:tc>
          <w:tcPr>
            <w:tcW w:w="8320" w:type="dxa"/>
            <w:vAlign w:val="bottom"/>
            <w:gridSpan w:val="2"/>
          </w:tcPr>
          <w:p>
            <w:pPr>
              <w:ind w:left="6720"/>
              <w:spacing w:after="0"/>
              <w:rPr>
                <w:sz w:val="20"/>
                <w:szCs w:val="20"/>
                <w:color w:val="auto"/>
              </w:rPr>
            </w:pPr>
            <w:r>
              <w:rPr>
                <w:rFonts w:ascii="Courier New" w:cs="Courier New" w:eastAsia="Courier New" w:hAnsi="Courier New"/>
                <w:sz w:val="16"/>
                <w:szCs w:val="16"/>
                <w:color w:val="auto"/>
              </w:rPr>
              <w:t>7.01(a); 7.02</w:t>
            </w: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(d).............................................................................................</w:t>
            </w:r>
          </w:p>
        </w:tc>
        <w:tc>
          <w:tcPr>
            <w:tcW w:w="8320" w:type="dxa"/>
            <w:vAlign w:val="bottom"/>
            <w:gridSpan w:val="2"/>
          </w:tcPr>
          <w:p>
            <w:pPr>
              <w:ind w:left="6720"/>
              <w:spacing w:after="0"/>
              <w:rPr>
                <w:sz w:val="20"/>
                <w:szCs w:val="20"/>
                <w:color w:val="auto"/>
              </w:rPr>
            </w:pPr>
            <w:r>
              <w:rPr>
                <w:rFonts w:ascii="Courier New" w:cs="Courier New" w:eastAsia="Courier New" w:hAnsi="Courier New"/>
                <w:sz w:val="16"/>
                <w:szCs w:val="16"/>
                <w:color w:val="auto"/>
              </w:rPr>
              <w:t>7.01(d); 7.02</w:t>
            </w: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(e).............................................................................................</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6.11</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316(a)(last sentence)...........................................................................</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2.08</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(a)(1)(A).......................................................................................</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6.05</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(a)(1)(B).......................................................................................</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6.04</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(a)(2)..........................................................................................</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N.A.</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(b).............................................................................................</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6.07</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(c).............................................................................................</w:t>
            </w:r>
          </w:p>
        </w:tc>
        <w:tc>
          <w:tcPr>
            <w:tcW w:w="8320" w:type="dxa"/>
            <w:vAlign w:val="bottom"/>
            <w:gridSpan w:val="2"/>
          </w:tcPr>
          <w:p>
            <w:pPr>
              <w:ind w:left="6720"/>
              <w:spacing w:after="0"/>
              <w:rPr>
                <w:sz w:val="20"/>
                <w:szCs w:val="20"/>
                <w:color w:val="auto"/>
              </w:rPr>
            </w:pPr>
            <w:r>
              <w:rPr>
                <w:rFonts w:ascii="Courier New" w:cs="Courier New" w:eastAsia="Courier New" w:hAnsi="Courier New"/>
                <w:sz w:val="16"/>
                <w:szCs w:val="16"/>
                <w:color w:val="auto"/>
              </w:rPr>
              <w:t>2.12; 9.04</w:t>
            </w: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317(a)(1).......................................................................................</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6.08</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(a)(2)..........................................................................................</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6.09</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(b).............................................................................................</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2.04</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318(a)..........................................................................................</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13.01</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(b).............................................................................................</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N.A.</w:t>
            </w:r>
          </w:p>
        </w:tc>
        <w:tc>
          <w:tcPr>
            <w:tcW w:w="108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6"/>
                <w:szCs w:val="6"/>
                <w:color w:val="auto"/>
                <w:w w:val="78"/>
              </w:rPr>
              <w:t>(c).............................................................................................</w:t>
            </w:r>
          </w:p>
        </w:tc>
        <w:tc>
          <w:tcPr>
            <w:tcW w:w="7240" w:type="dxa"/>
            <w:vAlign w:val="bottom"/>
          </w:tcPr>
          <w:p>
            <w:pPr>
              <w:ind w:left="6720"/>
              <w:spacing w:after="0"/>
              <w:rPr>
                <w:sz w:val="20"/>
                <w:szCs w:val="20"/>
                <w:color w:val="auto"/>
              </w:rPr>
            </w:pPr>
            <w:r>
              <w:rPr>
                <w:rFonts w:ascii="Courier New" w:cs="Courier New" w:eastAsia="Courier New" w:hAnsi="Courier New"/>
                <w:sz w:val="16"/>
                <w:szCs w:val="16"/>
                <w:color w:val="auto"/>
              </w:rPr>
              <w:t>13.01</w:t>
            </w:r>
          </w:p>
        </w:tc>
        <w:tc>
          <w:tcPr>
            <w:tcW w:w="1080" w:type="dxa"/>
            <w:vAlign w:val="bottom"/>
          </w:tcPr>
          <w:p>
            <w:pPr>
              <w:spacing w:after="0"/>
              <w:rPr>
                <w:sz w:val="15"/>
                <w:szCs w:val="15"/>
                <w:color w:val="auto"/>
              </w:rPr>
            </w:pP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 means not applicable.</w:t>
      </w:r>
    </w:p>
    <w:p>
      <w:pPr>
        <w:sectPr>
          <w:pgSz w:w="11900" w:h="16838" w:orient="portrait"/>
          <w:cols w:equalWidth="0" w:num="1">
            <w:col w:w="11060"/>
          </w:cols>
          <w:pgMar w:left="240" w:top="477" w:right="599" w:bottom="1440" w:gutter="0" w:footer="0" w:header="0"/>
        </w:sectPr>
      </w:pPr>
    </w:p>
    <w:bookmarkStart w:id="235" w:name="page236"/>
    <w:bookmarkEnd w:id="235"/>
    <w:p>
      <w:pPr>
        <w:jc w:val="right"/>
        <w:ind w:right="2659"/>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This Cross-Reference Table is not part of the Indenture.</w:t>
      </w:r>
    </w:p>
    <w:p>
      <w:pPr>
        <w:sectPr>
          <w:pgSz w:w="11900" w:h="16838" w:orient="portrait"/>
          <w:cols w:equalWidth="0" w:num="1">
            <w:col w:w="10219"/>
          </w:cols>
          <w:pgMar w:left="240" w:top="477" w:right="1440" w:bottom="1440" w:gutter="0" w:footer="0" w:header="0"/>
        </w:sectPr>
      </w:pPr>
    </w:p>
    <w:bookmarkStart w:id="236" w:name="page237"/>
    <w:bookmarkEnd w:id="236"/>
    <w:p>
      <w:pPr>
        <w:ind w:left="302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tabs>
          <w:tab w:leader="dot" w:pos="10760" w:val="left"/>
        </w:tabs>
        <w:rPr>
          <w:sz w:val="20"/>
          <w:szCs w:val="20"/>
          <w:color w:val="auto"/>
        </w:rPr>
      </w:pPr>
      <w:r>
        <w:rPr>
          <w:rFonts w:ascii="Courier New" w:cs="Courier New" w:eastAsia="Courier New" w:hAnsi="Courier New"/>
          <w:sz w:val="16"/>
          <w:szCs w:val="16"/>
          <w:color w:val="auto"/>
        </w:rPr>
        <w:t>ARTICLE 1. DEFINITIONS AND INCORPORATION BY REFERENCE</w:t>
      </w:r>
      <w:r>
        <w:rPr>
          <w:sz w:val="20"/>
          <w:szCs w:val="20"/>
          <w:color w:val="auto"/>
        </w:rPr>
        <w:tab/>
      </w:r>
      <w:r>
        <w:rPr>
          <w:rFonts w:ascii="Courier New" w:cs="Courier New" w:eastAsia="Courier New" w:hAnsi="Courier New"/>
          <w:sz w:val="16"/>
          <w:szCs w:val="16"/>
          <w:color w:val="auto"/>
        </w:rPr>
        <w:t>1</w:t>
      </w:r>
    </w:p>
    <w:p>
      <w:pPr>
        <w:spacing w:after="0" w:line="1" w:lineRule="exact"/>
        <w:rPr>
          <w:sz w:val="20"/>
          <w:szCs w:val="20"/>
          <w:color w:val="auto"/>
        </w:rPr>
      </w:pPr>
    </w:p>
    <w:p>
      <w:pPr>
        <w:ind w:left="840"/>
        <w:spacing w:after="0"/>
        <w:tabs>
          <w:tab w:leader="none" w:pos="2240" w:val="left"/>
          <w:tab w:leader="dot" w:pos="10760" w:val="left"/>
        </w:tabs>
        <w:rPr>
          <w:sz w:val="20"/>
          <w:szCs w:val="20"/>
          <w:color w:val="auto"/>
        </w:rPr>
      </w:pPr>
      <w:r>
        <w:rPr>
          <w:rFonts w:ascii="Courier New" w:cs="Courier New" w:eastAsia="Courier New" w:hAnsi="Courier New"/>
          <w:sz w:val="16"/>
          <w:szCs w:val="16"/>
          <w:color w:val="auto"/>
        </w:rPr>
        <w:t>SECTION 1.01</w:t>
        <w:tab/>
        <w:t>Definitions</w:t>
      </w:r>
      <w:r>
        <w:rPr>
          <w:sz w:val="20"/>
          <w:szCs w:val="20"/>
          <w:color w:val="auto"/>
        </w:rPr>
        <w:tab/>
      </w:r>
      <w:r>
        <w:rPr>
          <w:rFonts w:ascii="Courier New" w:cs="Courier New" w:eastAsia="Courier New" w:hAnsi="Courier New"/>
          <w:sz w:val="16"/>
          <w:szCs w:val="16"/>
          <w:color w:val="auto"/>
        </w:rPr>
        <w:t>1</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1.02</w:t>
        <w:tab/>
        <w:t>Other Definitions</w:t>
      </w:r>
      <w:r>
        <w:rPr>
          <w:sz w:val="20"/>
          <w:szCs w:val="20"/>
          <w:color w:val="auto"/>
        </w:rPr>
        <w:tab/>
      </w:r>
      <w:r>
        <w:rPr>
          <w:rFonts w:ascii="Courier New" w:cs="Courier New" w:eastAsia="Courier New" w:hAnsi="Courier New"/>
          <w:sz w:val="16"/>
          <w:szCs w:val="16"/>
          <w:color w:val="auto"/>
        </w:rPr>
        <w:t>21</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1.03</w:t>
        <w:tab/>
        <w:t>Trust Indenture Act Definitions</w:t>
      </w:r>
      <w:r>
        <w:rPr>
          <w:sz w:val="20"/>
          <w:szCs w:val="20"/>
          <w:color w:val="auto"/>
        </w:rPr>
        <w:tab/>
      </w:r>
      <w:r>
        <w:rPr>
          <w:rFonts w:ascii="Courier New" w:cs="Courier New" w:eastAsia="Courier New" w:hAnsi="Courier New"/>
          <w:sz w:val="16"/>
          <w:szCs w:val="16"/>
          <w:color w:val="auto"/>
        </w:rPr>
        <w:t>22</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1.04</w:t>
        <w:tab/>
        <w:t>Rules of Construction</w:t>
      </w:r>
      <w:r>
        <w:rPr>
          <w:sz w:val="20"/>
          <w:szCs w:val="20"/>
          <w:color w:val="auto"/>
        </w:rPr>
        <w:tab/>
      </w:r>
      <w:r>
        <w:rPr>
          <w:rFonts w:ascii="Courier New" w:cs="Courier New" w:eastAsia="Courier New" w:hAnsi="Courier New"/>
          <w:sz w:val="16"/>
          <w:szCs w:val="16"/>
          <w:color w:val="auto"/>
        </w:rPr>
        <w:t>23</w:t>
      </w:r>
    </w:p>
    <w:p>
      <w:pPr>
        <w:spacing w:after="0" w:line="183" w:lineRule="exact"/>
        <w:rPr>
          <w:sz w:val="20"/>
          <w:szCs w:val="20"/>
          <w:color w:val="auto"/>
        </w:rPr>
      </w:pPr>
    </w:p>
    <w:p>
      <w:pPr>
        <w:spacing w:after="0"/>
        <w:tabs>
          <w:tab w:leader="dot" w:pos="10660" w:val="left"/>
        </w:tabs>
        <w:rPr>
          <w:sz w:val="20"/>
          <w:szCs w:val="20"/>
          <w:color w:val="auto"/>
        </w:rPr>
      </w:pPr>
      <w:r>
        <w:rPr>
          <w:rFonts w:ascii="Courier New" w:cs="Courier New" w:eastAsia="Courier New" w:hAnsi="Courier New"/>
          <w:sz w:val="16"/>
          <w:szCs w:val="16"/>
          <w:color w:val="auto"/>
        </w:rPr>
        <w:t>ARTICLE 2. THE NOTES</w:t>
      </w:r>
      <w:r>
        <w:rPr>
          <w:sz w:val="20"/>
          <w:szCs w:val="20"/>
          <w:color w:val="auto"/>
        </w:rPr>
        <w:tab/>
      </w:r>
      <w:r>
        <w:rPr>
          <w:rFonts w:ascii="Courier New" w:cs="Courier New" w:eastAsia="Courier New" w:hAnsi="Courier New"/>
          <w:sz w:val="16"/>
          <w:szCs w:val="16"/>
          <w:color w:val="auto"/>
        </w:rPr>
        <w:t>23</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2.01</w:t>
        <w:tab/>
        <w:t>Unlimited in Amount, Form and Dating</w:t>
      </w:r>
      <w:r>
        <w:rPr>
          <w:sz w:val="20"/>
          <w:szCs w:val="20"/>
          <w:color w:val="auto"/>
        </w:rPr>
        <w:tab/>
      </w:r>
      <w:r>
        <w:rPr>
          <w:rFonts w:ascii="Courier New" w:cs="Courier New" w:eastAsia="Courier New" w:hAnsi="Courier New"/>
          <w:sz w:val="16"/>
          <w:szCs w:val="16"/>
          <w:color w:val="auto"/>
        </w:rPr>
        <w:t>23</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2.02</w:t>
        <w:tab/>
        <w:t>Execution and Authentication</w:t>
      </w:r>
      <w:r>
        <w:rPr>
          <w:sz w:val="20"/>
          <w:szCs w:val="20"/>
          <w:color w:val="auto"/>
        </w:rPr>
        <w:tab/>
      </w:r>
      <w:r>
        <w:rPr>
          <w:rFonts w:ascii="Courier New" w:cs="Courier New" w:eastAsia="Courier New" w:hAnsi="Courier New"/>
          <w:sz w:val="16"/>
          <w:szCs w:val="16"/>
          <w:color w:val="auto"/>
        </w:rPr>
        <w:t>24</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2.03</w:t>
        <w:tab/>
        <w:t>Registrar and Paying Agent</w:t>
      </w:r>
      <w:r>
        <w:rPr>
          <w:sz w:val="20"/>
          <w:szCs w:val="20"/>
          <w:color w:val="auto"/>
        </w:rPr>
        <w:tab/>
      </w:r>
      <w:r>
        <w:rPr>
          <w:rFonts w:ascii="Courier New" w:cs="Courier New" w:eastAsia="Courier New" w:hAnsi="Courier New"/>
          <w:sz w:val="16"/>
          <w:szCs w:val="16"/>
          <w:color w:val="auto"/>
        </w:rPr>
        <w:t>25</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2.04</w:t>
        <w:tab/>
        <w:t>Paying Agent to Hold Money in Trust</w:t>
      </w:r>
      <w:r>
        <w:rPr>
          <w:sz w:val="20"/>
          <w:szCs w:val="20"/>
          <w:color w:val="auto"/>
        </w:rPr>
        <w:tab/>
      </w:r>
      <w:r>
        <w:rPr>
          <w:rFonts w:ascii="Courier New" w:cs="Courier New" w:eastAsia="Courier New" w:hAnsi="Courier New"/>
          <w:sz w:val="16"/>
          <w:szCs w:val="16"/>
          <w:color w:val="auto"/>
        </w:rPr>
        <w:t>25</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2.05</w:t>
        <w:tab/>
        <w:t>Holder Lists</w:t>
      </w:r>
      <w:r>
        <w:rPr>
          <w:sz w:val="20"/>
          <w:szCs w:val="20"/>
          <w:color w:val="auto"/>
        </w:rPr>
        <w:tab/>
      </w:r>
      <w:r>
        <w:rPr>
          <w:rFonts w:ascii="Courier New" w:cs="Courier New" w:eastAsia="Courier New" w:hAnsi="Courier New"/>
          <w:sz w:val="16"/>
          <w:szCs w:val="16"/>
          <w:color w:val="auto"/>
        </w:rPr>
        <w:t>26</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2.06</w:t>
        <w:tab/>
        <w:t>Transfer and Exchange</w:t>
      </w:r>
      <w:r>
        <w:rPr>
          <w:sz w:val="20"/>
          <w:szCs w:val="20"/>
          <w:color w:val="auto"/>
        </w:rPr>
        <w:tab/>
      </w:r>
      <w:r>
        <w:rPr>
          <w:rFonts w:ascii="Courier New" w:cs="Courier New" w:eastAsia="Courier New" w:hAnsi="Courier New"/>
          <w:sz w:val="16"/>
          <w:szCs w:val="16"/>
          <w:color w:val="auto"/>
        </w:rPr>
        <w:t>26</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2.07</w:t>
        <w:tab/>
        <w:t>Replacement Notes</w:t>
      </w:r>
      <w:r>
        <w:rPr>
          <w:sz w:val="20"/>
          <w:szCs w:val="20"/>
          <w:color w:val="auto"/>
        </w:rPr>
        <w:tab/>
      </w:r>
      <w:r>
        <w:rPr>
          <w:rFonts w:ascii="Courier New" w:cs="Courier New" w:eastAsia="Courier New" w:hAnsi="Courier New"/>
          <w:sz w:val="16"/>
          <w:szCs w:val="16"/>
          <w:color w:val="auto"/>
        </w:rPr>
        <w:t>39</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2.08</w:t>
        <w:tab/>
        <w:t>Outstanding Notes</w:t>
      </w:r>
      <w:r>
        <w:rPr>
          <w:sz w:val="20"/>
          <w:szCs w:val="20"/>
          <w:color w:val="auto"/>
        </w:rPr>
        <w:tab/>
      </w:r>
      <w:r>
        <w:rPr>
          <w:rFonts w:ascii="Courier New" w:cs="Courier New" w:eastAsia="Courier New" w:hAnsi="Courier New"/>
          <w:sz w:val="16"/>
          <w:szCs w:val="16"/>
          <w:color w:val="auto"/>
        </w:rPr>
        <w:t>40</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2.09</w:t>
        <w:tab/>
        <w:t>Treasury Notes</w:t>
      </w:r>
      <w:r>
        <w:rPr>
          <w:sz w:val="20"/>
          <w:szCs w:val="20"/>
          <w:color w:val="auto"/>
        </w:rPr>
        <w:tab/>
      </w:r>
      <w:r>
        <w:rPr>
          <w:rFonts w:ascii="Courier New" w:cs="Courier New" w:eastAsia="Courier New" w:hAnsi="Courier New"/>
          <w:sz w:val="16"/>
          <w:szCs w:val="16"/>
          <w:color w:val="auto"/>
        </w:rPr>
        <w:t>40</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2.10</w:t>
        <w:tab/>
        <w:t>Temporary Notes</w:t>
      </w:r>
      <w:r>
        <w:rPr>
          <w:sz w:val="20"/>
          <w:szCs w:val="20"/>
          <w:color w:val="auto"/>
        </w:rPr>
        <w:tab/>
      </w:r>
      <w:r>
        <w:rPr>
          <w:rFonts w:ascii="Courier New" w:cs="Courier New" w:eastAsia="Courier New" w:hAnsi="Courier New"/>
          <w:sz w:val="16"/>
          <w:szCs w:val="16"/>
          <w:color w:val="auto"/>
        </w:rPr>
        <w:t>40</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2.11</w:t>
        <w:tab/>
        <w:t>Cancellation</w:t>
      </w:r>
      <w:r>
        <w:rPr>
          <w:sz w:val="20"/>
          <w:szCs w:val="20"/>
          <w:color w:val="auto"/>
        </w:rPr>
        <w:tab/>
      </w:r>
      <w:r>
        <w:rPr>
          <w:rFonts w:ascii="Courier New" w:cs="Courier New" w:eastAsia="Courier New" w:hAnsi="Courier New"/>
          <w:sz w:val="16"/>
          <w:szCs w:val="16"/>
          <w:color w:val="auto"/>
        </w:rPr>
        <w:t>41</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2.12</w:t>
        <w:tab/>
        <w:t>Defaulted Interest</w:t>
      </w:r>
      <w:r>
        <w:rPr>
          <w:sz w:val="20"/>
          <w:szCs w:val="20"/>
          <w:color w:val="auto"/>
        </w:rPr>
        <w:tab/>
      </w:r>
      <w:r>
        <w:rPr>
          <w:rFonts w:ascii="Courier New" w:cs="Courier New" w:eastAsia="Courier New" w:hAnsi="Courier New"/>
          <w:sz w:val="16"/>
          <w:szCs w:val="16"/>
          <w:color w:val="auto"/>
        </w:rPr>
        <w:t>41</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2.13</w:t>
        <w:tab/>
        <w:t>CUSIP Numbers</w:t>
      </w:r>
      <w:r>
        <w:rPr>
          <w:sz w:val="20"/>
          <w:szCs w:val="20"/>
          <w:color w:val="auto"/>
        </w:rPr>
        <w:tab/>
      </w:r>
      <w:r>
        <w:rPr>
          <w:rFonts w:ascii="Courier New" w:cs="Courier New" w:eastAsia="Courier New" w:hAnsi="Courier New"/>
          <w:sz w:val="16"/>
          <w:szCs w:val="16"/>
          <w:color w:val="auto"/>
        </w:rPr>
        <w:t>41</w:t>
      </w:r>
    </w:p>
    <w:p>
      <w:pPr>
        <w:spacing w:after="0" w:line="183" w:lineRule="exact"/>
        <w:rPr>
          <w:sz w:val="20"/>
          <w:szCs w:val="20"/>
          <w:color w:val="auto"/>
        </w:rPr>
      </w:pPr>
    </w:p>
    <w:p>
      <w:pPr>
        <w:spacing w:after="0"/>
        <w:tabs>
          <w:tab w:leader="dot" w:pos="10660" w:val="left"/>
        </w:tabs>
        <w:rPr>
          <w:sz w:val="20"/>
          <w:szCs w:val="20"/>
          <w:color w:val="auto"/>
        </w:rPr>
      </w:pPr>
      <w:r>
        <w:rPr>
          <w:rFonts w:ascii="Courier New" w:cs="Courier New" w:eastAsia="Courier New" w:hAnsi="Courier New"/>
          <w:sz w:val="16"/>
          <w:szCs w:val="16"/>
          <w:color w:val="auto"/>
        </w:rPr>
        <w:t>ARTICLE 3. REDEMPTION AND PREPAYMENT</w:t>
      </w:r>
      <w:r>
        <w:rPr>
          <w:sz w:val="20"/>
          <w:szCs w:val="20"/>
          <w:color w:val="auto"/>
        </w:rPr>
        <w:tab/>
      </w:r>
      <w:r>
        <w:rPr>
          <w:rFonts w:ascii="Courier New" w:cs="Courier New" w:eastAsia="Courier New" w:hAnsi="Courier New"/>
          <w:sz w:val="16"/>
          <w:szCs w:val="16"/>
          <w:color w:val="auto"/>
        </w:rPr>
        <w:t>42</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3.01</w:t>
        <w:tab/>
        <w:t>Notices to Trustee</w:t>
      </w:r>
      <w:r>
        <w:rPr>
          <w:sz w:val="20"/>
          <w:szCs w:val="20"/>
          <w:color w:val="auto"/>
        </w:rPr>
        <w:tab/>
      </w:r>
      <w:r>
        <w:rPr>
          <w:rFonts w:ascii="Courier New" w:cs="Courier New" w:eastAsia="Courier New" w:hAnsi="Courier New"/>
          <w:sz w:val="16"/>
          <w:szCs w:val="16"/>
          <w:color w:val="auto"/>
        </w:rPr>
        <w:t>42</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3.02</w:t>
        <w:tab/>
        <w:t>Selection of Notes to be Redeemed</w:t>
      </w:r>
      <w:r>
        <w:rPr>
          <w:sz w:val="20"/>
          <w:szCs w:val="20"/>
          <w:color w:val="auto"/>
        </w:rPr>
        <w:tab/>
      </w:r>
      <w:r>
        <w:rPr>
          <w:rFonts w:ascii="Courier New" w:cs="Courier New" w:eastAsia="Courier New" w:hAnsi="Courier New"/>
          <w:sz w:val="16"/>
          <w:szCs w:val="16"/>
          <w:color w:val="auto"/>
        </w:rPr>
        <w:t>42</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3.03</w:t>
        <w:tab/>
        <w:t>Notice of Redemption</w:t>
      </w:r>
      <w:r>
        <w:rPr>
          <w:sz w:val="20"/>
          <w:szCs w:val="20"/>
          <w:color w:val="auto"/>
        </w:rPr>
        <w:tab/>
      </w:r>
      <w:r>
        <w:rPr>
          <w:rFonts w:ascii="Courier New" w:cs="Courier New" w:eastAsia="Courier New" w:hAnsi="Courier New"/>
          <w:sz w:val="16"/>
          <w:szCs w:val="16"/>
          <w:color w:val="auto"/>
        </w:rPr>
        <w:t>42</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3.04</w:t>
        <w:tab/>
        <w:t>Effect of Notice of Redemption</w:t>
      </w:r>
      <w:r>
        <w:rPr>
          <w:sz w:val="20"/>
          <w:szCs w:val="20"/>
          <w:color w:val="auto"/>
        </w:rPr>
        <w:tab/>
      </w:r>
      <w:r>
        <w:rPr>
          <w:rFonts w:ascii="Courier New" w:cs="Courier New" w:eastAsia="Courier New" w:hAnsi="Courier New"/>
          <w:sz w:val="16"/>
          <w:szCs w:val="16"/>
          <w:color w:val="auto"/>
        </w:rPr>
        <w:t>43</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3.05</w:t>
        <w:tab/>
        <w:t>Deposit of Redemption Price</w:t>
      </w:r>
      <w:r>
        <w:rPr>
          <w:sz w:val="20"/>
          <w:szCs w:val="20"/>
          <w:color w:val="auto"/>
        </w:rPr>
        <w:tab/>
      </w:r>
      <w:r>
        <w:rPr>
          <w:rFonts w:ascii="Courier New" w:cs="Courier New" w:eastAsia="Courier New" w:hAnsi="Courier New"/>
          <w:sz w:val="16"/>
          <w:szCs w:val="16"/>
          <w:color w:val="auto"/>
        </w:rPr>
        <w:t>43</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3.06</w:t>
        <w:tab/>
        <w:t>Notes Redeemed in Part</w:t>
      </w:r>
      <w:r>
        <w:rPr>
          <w:sz w:val="20"/>
          <w:szCs w:val="20"/>
          <w:color w:val="auto"/>
        </w:rPr>
        <w:tab/>
      </w:r>
      <w:r>
        <w:rPr>
          <w:rFonts w:ascii="Courier New" w:cs="Courier New" w:eastAsia="Courier New" w:hAnsi="Courier New"/>
          <w:sz w:val="16"/>
          <w:szCs w:val="16"/>
          <w:color w:val="auto"/>
        </w:rPr>
        <w:t>44</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3.07</w:t>
        <w:tab/>
        <w:t>Optional Redemption</w:t>
      </w:r>
      <w:r>
        <w:rPr>
          <w:sz w:val="20"/>
          <w:szCs w:val="20"/>
          <w:color w:val="auto"/>
        </w:rPr>
        <w:tab/>
      </w:r>
      <w:r>
        <w:rPr>
          <w:rFonts w:ascii="Courier New" w:cs="Courier New" w:eastAsia="Courier New" w:hAnsi="Courier New"/>
          <w:sz w:val="16"/>
          <w:szCs w:val="16"/>
          <w:color w:val="auto"/>
        </w:rPr>
        <w:t>44</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3.08</w:t>
        <w:tab/>
        <w:t>Mandatory Redemption</w:t>
      </w:r>
      <w:r>
        <w:rPr>
          <w:sz w:val="20"/>
          <w:szCs w:val="20"/>
          <w:color w:val="auto"/>
        </w:rPr>
        <w:tab/>
      </w:r>
      <w:r>
        <w:rPr>
          <w:rFonts w:ascii="Courier New" w:cs="Courier New" w:eastAsia="Courier New" w:hAnsi="Courier New"/>
          <w:sz w:val="16"/>
          <w:szCs w:val="16"/>
          <w:color w:val="auto"/>
        </w:rPr>
        <w:t>46</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3.09</w:t>
        <w:tab/>
        <w:t>Offer to Repurchase by Application of Excess Proceeds</w:t>
      </w:r>
      <w:r>
        <w:rPr>
          <w:sz w:val="20"/>
          <w:szCs w:val="20"/>
          <w:color w:val="auto"/>
        </w:rPr>
        <w:tab/>
      </w:r>
      <w:r>
        <w:rPr>
          <w:rFonts w:ascii="Courier New" w:cs="Courier New" w:eastAsia="Courier New" w:hAnsi="Courier New"/>
          <w:sz w:val="16"/>
          <w:szCs w:val="16"/>
          <w:color w:val="auto"/>
        </w:rPr>
        <w:t>46</w:t>
      </w:r>
    </w:p>
    <w:p>
      <w:pPr>
        <w:spacing w:after="0" w:line="183" w:lineRule="exact"/>
        <w:rPr>
          <w:sz w:val="20"/>
          <w:szCs w:val="20"/>
          <w:color w:val="auto"/>
        </w:rPr>
      </w:pPr>
    </w:p>
    <w:p>
      <w:pPr>
        <w:spacing w:after="0"/>
        <w:tabs>
          <w:tab w:leader="dot" w:pos="10660" w:val="left"/>
        </w:tabs>
        <w:rPr>
          <w:sz w:val="20"/>
          <w:szCs w:val="20"/>
          <w:color w:val="auto"/>
        </w:rPr>
      </w:pPr>
      <w:r>
        <w:rPr>
          <w:rFonts w:ascii="Courier New" w:cs="Courier New" w:eastAsia="Courier New" w:hAnsi="Courier New"/>
          <w:sz w:val="16"/>
          <w:szCs w:val="16"/>
          <w:color w:val="auto"/>
        </w:rPr>
        <w:t>ARTICLE 4. COVENANTS</w:t>
      </w:r>
      <w:r>
        <w:rPr>
          <w:sz w:val="20"/>
          <w:szCs w:val="20"/>
          <w:color w:val="auto"/>
        </w:rPr>
        <w:tab/>
      </w:r>
      <w:r>
        <w:rPr>
          <w:rFonts w:ascii="Courier New" w:cs="Courier New" w:eastAsia="Courier New" w:hAnsi="Courier New"/>
          <w:sz w:val="16"/>
          <w:szCs w:val="16"/>
          <w:color w:val="auto"/>
        </w:rPr>
        <w:t>48</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4.01</w:t>
        <w:tab/>
        <w:t>Payment of Notes</w:t>
      </w:r>
      <w:r>
        <w:rPr>
          <w:sz w:val="20"/>
          <w:szCs w:val="20"/>
          <w:color w:val="auto"/>
        </w:rPr>
        <w:tab/>
      </w:r>
      <w:r>
        <w:rPr>
          <w:rFonts w:ascii="Courier New" w:cs="Courier New" w:eastAsia="Courier New" w:hAnsi="Courier New"/>
          <w:sz w:val="16"/>
          <w:szCs w:val="16"/>
          <w:color w:val="auto"/>
        </w:rPr>
        <w:t>48</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4.02</w:t>
        <w:tab/>
        <w:t>Maintenance of Office or Agency</w:t>
      </w:r>
      <w:r>
        <w:rPr>
          <w:sz w:val="20"/>
          <w:szCs w:val="20"/>
          <w:color w:val="auto"/>
        </w:rPr>
        <w:tab/>
      </w:r>
      <w:r>
        <w:rPr>
          <w:rFonts w:ascii="Courier New" w:cs="Courier New" w:eastAsia="Courier New" w:hAnsi="Courier New"/>
          <w:sz w:val="16"/>
          <w:szCs w:val="16"/>
          <w:color w:val="auto"/>
        </w:rPr>
        <w:t>48</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4.03</w:t>
        <w:tab/>
        <w:t>Reports</w:t>
      </w:r>
      <w:r>
        <w:rPr>
          <w:sz w:val="20"/>
          <w:szCs w:val="20"/>
          <w:color w:val="auto"/>
        </w:rPr>
        <w:tab/>
      </w:r>
      <w:r>
        <w:rPr>
          <w:rFonts w:ascii="Courier New" w:cs="Courier New" w:eastAsia="Courier New" w:hAnsi="Courier New"/>
          <w:sz w:val="16"/>
          <w:szCs w:val="16"/>
          <w:color w:val="auto"/>
        </w:rPr>
        <w:t>49</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4.04</w:t>
        <w:tab/>
        <w:t>Compliance Certificate</w:t>
      </w:r>
      <w:r>
        <w:rPr>
          <w:sz w:val="20"/>
          <w:szCs w:val="20"/>
          <w:color w:val="auto"/>
        </w:rPr>
        <w:tab/>
      </w:r>
      <w:r>
        <w:rPr>
          <w:rFonts w:ascii="Courier New" w:cs="Courier New" w:eastAsia="Courier New" w:hAnsi="Courier New"/>
          <w:sz w:val="16"/>
          <w:szCs w:val="16"/>
          <w:color w:val="auto"/>
        </w:rPr>
        <w:t>49</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4.05</w:t>
        <w:tab/>
        <w:t>Taxes</w:t>
      </w:r>
      <w:r>
        <w:rPr>
          <w:sz w:val="20"/>
          <w:szCs w:val="20"/>
          <w:color w:val="auto"/>
        </w:rPr>
        <w:tab/>
      </w:r>
      <w:r>
        <w:rPr>
          <w:rFonts w:ascii="Courier New" w:cs="Courier New" w:eastAsia="Courier New" w:hAnsi="Courier New"/>
          <w:sz w:val="16"/>
          <w:szCs w:val="16"/>
          <w:color w:val="auto"/>
        </w:rPr>
        <w:t>50</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4.06</w:t>
        <w:tab/>
        <w:t>Stay, Extension and Usury Laws</w:t>
      </w:r>
      <w:r>
        <w:rPr>
          <w:sz w:val="20"/>
          <w:szCs w:val="20"/>
          <w:color w:val="auto"/>
        </w:rPr>
        <w:tab/>
      </w:r>
      <w:r>
        <w:rPr>
          <w:rFonts w:ascii="Courier New" w:cs="Courier New" w:eastAsia="Courier New" w:hAnsi="Courier New"/>
          <w:sz w:val="16"/>
          <w:szCs w:val="16"/>
          <w:color w:val="auto"/>
        </w:rPr>
        <w:t>50</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4.07</w:t>
        <w:tab/>
        <w:t>Restricted Payments</w:t>
      </w:r>
      <w:r>
        <w:rPr>
          <w:sz w:val="20"/>
          <w:szCs w:val="20"/>
          <w:color w:val="auto"/>
        </w:rPr>
        <w:tab/>
      </w:r>
      <w:r>
        <w:rPr>
          <w:rFonts w:ascii="Courier New" w:cs="Courier New" w:eastAsia="Courier New" w:hAnsi="Courier New"/>
          <w:sz w:val="16"/>
          <w:szCs w:val="16"/>
          <w:color w:val="auto"/>
        </w:rPr>
        <w:t>50</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4.08</w:t>
        <w:tab/>
        <w:t>Dividend and Other Payment Restrictions Affecting Subsidiaries</w:t>
      </w:r>
      <w:r>
        <w:rPr>
          <w:sz w:val="20"/>
          <w:szCs w:val="20"/>
          <w:color w:val="auto"/>
        </w:rPr>
        <w:tab/>
      </w:r>
      <w:r>
        <w:rPr>
          <w:rFonts w:ascii="Courier New" w:cs="Courier New" w:eastAsia="Courier New" w:hAnsi="Courier New"/>
          <w:sz w:val="16"/>
          <w:szCs w:val="16"/>
          <w:color w:val="auto"/>
        </w:rPr>
        <w:t>53</w:t>
      </w:r>
    </w:p>
    <w:p>
      <w:pPr>
        <w:spacing w:after="0" w:line="200" w:lineRule="exact"/>
        <w:rPr>
          <w:sz w:val="20"/>
          <w:szCs w:val="20"/>
          <w:color w:val="auto"/>
        </w:rPr>
      </w:pPr>
    </w:p>
    <w:p>
      <w:pPr>
        <w:spacing w:after="0" w:line="34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880"/>
          </w:cols>
          <w:pgMar w:left="240" w:top="477" w:right="77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181"/>
        </w:trPr>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182"/>
        </w:trPr>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364"/>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4.09</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Incurrence of Indebtedness and Issuance of Preferred Stock...............................</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4.10</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Offer to Repurchase by Application of Excess Proceeds of Asset Sales.....................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4.11</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Transactions With Affiliates.............................................................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4.12</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Liens....................................................................................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4.13</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[Intentionally Omitted]..................................................................</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4.14</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Corporate Existence......................................................................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4.15</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Offer to Repurchase Upon Change of Control...............................................</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4.16</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No Senior Subordinated Debt..............................................................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4.17</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Additional Subsidiary Guarantees.........................................................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4.18</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Payments for Consent.....................................................................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4.19</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Covenant Suspension......................................................................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4.20</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Registration Default Damages.............................................................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r>
        <w:trPr>
          <w:trHeight w:val="364"/>
        </w:trPr>
        <w:tc>
          <w:tcPr>
            <w:tcW w:w="105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ARTICLE 5. SUCCESSORS............................................................................................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5.01</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Merger, Consolidation, or Sale of Assets.................................................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5.02</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Successor Corporation Substituted........................................................</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364"/>
        </w:trPr>
        <w:tc>
          <w:tcPr>
            <w:tcW w:w="2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ARTICLE 6. DEFAULTS AND</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REMEDIES.................................................................................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6.01</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Events of Default........................................................................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6.02</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Acceleration.............................................................................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6.03</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Other Remedies...........................................................................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6.04</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Waiver of Past Defaults..................................................................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68</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6.05</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Control by Majority......................................................................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68</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6.06</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Limitation on Suits......................................................................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68</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6.07</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Rights of Holders of Notes to Receive Payment............................................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6.08</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Collection Suit by Trustee...............................................................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6.09</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Trustee May File Proofs of Claim.........................................................</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6.10</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Priorities...............................................................................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6.11</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Undertaking for Costs....................................................................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r>
      <w:tr>
        <w:trPr>
          <w:trHeight w:val="364"/>
        </w:trPr>
        <w:tc>
          <w:tcPr>
            <w:tcW w:w="105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ARTICLE 7. TRUSTEE...............................................................................................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71</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7.01</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Duties of Trustee........................................................................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71</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7.02</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Rights of Trustee........................................................................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7.03</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Individual Rights of Trustee.............................................................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7.04</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Trustee's Disclaimer.....................................................................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7.05</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Notice of Defaults.......................................................................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7.06</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Reports by Trustee to Holders of the Notes...............................................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7.07</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Compensation and Indemnity...............................................................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7.08</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Replacement of Trustee...................................................................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7.09</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Successor Trustee by Merger, etc.........................................................</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7.10</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Eligibility; Disqualification............................................................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r>
      <w:tr>
        <w:trPr>
          <w:trHeight w:val="182"/>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7.11</w:t>
            </w:r>
          </w:p>
        </w:tc>
        <w:tc>
          <w:tcPr>
            <w:tcW w:w="8240" w:type="dxa"/>
            <w:vAlign w:val="bottom"/>
          </w:tcPr>
          <w:p>
            <w:pPr>
              <w:jc w:val="right"/>
              <w:spacing w:after="0"/>
              <w:rPr>
                <w:sz w:val="20"/>
                <w:szCs w:val="20"/>
                <w:color w:val="auto"/>
              </w:rPr>
            </w:pPr>
            <w:r>
              <w:rPr>
                <w:rFonts w:ascii="Courier New" w:cs="Courier New" w:eastAsia="Courier New" w:hAnsi="Courier New"/>
                <w:sz w:val="16"/>
                <w:szCs w:val="16"/>
                <w:color w:val="auto"/>
                <w:w w:val="96"/>
              </w:rPr>
              <w:t>Preferential Collection of Claims Against Company........................................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r>
      <w:tr>
        <w:trPr>
          <w:trHeight w:val="364"/>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w w:val="97"/>
              </w:rPr>
              <w:t>ARTICLE 8. LEGAL</w:t>
            </w:r>
          </w:p>
        </w:tc>
        <w:tc>
          <w:tcPr>
            <w:tcW w:w="8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DEFEASANCE AND COVENANT DEFEASANCE..............................................................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77</w:t>
            </w:r>
          </w:p>
        </w:tc>
      </w:tr>
    </w:tbl>
    <w:p>
      <w:pPr>
        <w:spacing w:after="0" w:line="200" w:lineRule="exact"/>
        <w:rPr>
          <w:sz w:val="20"/>
          <w:szCs w:val="20"/>
          <w:color w:val="auto"/>
        </w:rPr>
      </w:pPr>
    </w:p>
    <w:p>
      <w:pPr>
        <w:spacing w:after="0" w:line="34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880"/>
          </w:cols>
          <w:pgMar w:left="240" w:top="841" w:right="779" w:bottom="1440" w:gutter="0" w:footer="0" w:header="0"/>
        </w:sectPr>
      </w:pPr>
    </w:p>
    <w:bookmarkStart w:id="238" w:name="page239"/>
    <w:bookmarkEnd w:id="238"/>
    <w:p>
      <w:pPr>
        <w:jc w:val="right"/>
        <w:spacing w:after="0"/>
        <w:rPr>
          <w:sz w:val="20"/>
          <w:szCs w:val="20"/>
          <w:color w:val="auto"/>
        </w:rPr>
      </w:pPr>
      <w:r>
        <w:rPr>
          <w:rFonts w:ascii="Courier New" w:cs="Courier New" w:eastAsia="Courier New" w:hAnsi="Courier New"/>
          <w:sz w:val="16"/>
          <w:szCs w:val="16"/>
          <w:color w:val="auto"/>
        </w:rPr>
        <w:t>PAGE</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8.01</w:t>
        <w:tab/>
        <w:t>Option to Effect Legal Defeasance or Covenant Defeasance</w:t>
      </w:r>
      <w:r>
        <w:rPr>
          <w:sz w:val="20"/>
          <w:szCs w:val="20"/>
          <w:color w:val="auto"/>
        </w:rPr>
        <w:tab/>
      </w:r>
      <w:r>
        <w:rPr>
          <w:rFonts w:ascii="Courier New" w:cs="Courier New" w:eastAsia="Courier New" w:hAnsi="Courier New"/>
          <w:sz w:val="16"/>
          <w:szCs w:val="16"/>
          <w:color w:val="auto"/>
        </w:rPr>
        <w:t>77</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8.02</w:t>
        <w:tab/>
        <w:t>Legal Defeasance and Discharge</w:t>
      </w:r>
      <w:r>
        <w:rPr>
          <w:sz w:val="20"/>
          <w:szCs w:val="20"/>
          <w:color w:val="auto"/>
        </w:rPr>
        <w:tab/>
      </w:r>
      <w:r>
        <w:rPr>
          <w:rFonts w:ascii="Courier New" w:cs="Courier New" w:eastAsia="Courier New" w:hAnsi="Courier New"/>
          <w:sz w:val="16"/>
          <w:szCs w:val="16"/>
          <w:color w:val="auto"/>
        </w:rPr>
        <w:t>77</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8.03</w:t>
        <w:tab/>
        <w:t>Covenant Defeasance</w:t>
      </w:r>
      <w:r>
        <w:rPr>
          <w:sz w:val="20"/>
          <w:szCs w:val="20"/>
          <w:color w:val="auto"/>
        </w:rPr>
        <w:tab/>
      </w:r>
      <w:r>
        <w:rPr>
          <w:rFonts w:ascii="Courier New" w:cs="Courier New" w:eastAsia="Courier New" w:hAnsi="Courier New"/>
          <w:sz w:val="16"/>
          <w:szCs w:val="16"/>
          <w:color w:val="auto"/>
        </w:rPr>
        <w:t>77</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8.04</w:t>
        <w:tab/>
        <w:t>Conditions to Legal or Covenant Defeasance</w:t>
      </w:r>
      <w:r>
        <w:rPr>
          <w:sz w:val="20"/>
          <w:szCs w:val="20"/>
          <w:color w:val="auto"/>
        </w:rPr>
        <w:tab/>
      </w:r>
      <w:r>
        <w:rPr>
          <w:rFonts w:ascii="Courier New" w:cs="Courier New" w:eastAsia="Courier New" w:hAnsi="Courier New"/>
          <w:sz w:val="16"/>
          <w:szCs w:val="16"/>
          <w:color w:val="auto"/>
        </w:rPr>
        <w:t>78</w:t>
      </w:r>
    </w:p>
    <w:p>
      <w:pPr>
        <w:spacing w:after="0" w:line="1" w:lineRule="exact"/>
        <w:rPr>
          <w:sz w:val="20"/>
          <w:szCs w:val="20"/>
          <w:color w:val="auto"/>
        </w:rPr>
      </w:pPr>
    </w:p>
    <w:p>
      <w:pPr>
        <w:ind w:left="840"/>
        <w:spacing w:after="0"/>
        <w:tabs>
          <w:tab w:leader="none" w:pos="2240" w:val="left"/>
        </w:tabs>
        <w:rPr>
          <w:sz w:val="20"/>
          <w:szCs w:val="20"/>
          <w:color w:val="auto"/>
        </w:rPr>
      </w:pPr>
      <w:r>
        <w:rPr>
          <w:rFonts w:ascii="Courier New" w:cs="Courier New" w:eastAsia="Courier New" w:hAnsi="Courier New"/>
          <w:sz w:val="16"/>
          <w:szCs w:val="16"/>
          <w:color w:val="auto"/>
        </w:rPr>
        <w:t>SECTION 8.05</w:t>
      </w:r>
      <w:r>
        <w:rPr>
          <w:sz w:val="20"/>
          <w:szCs w:val="20"/>
          <w:color w:val="auto"/>
        </w:rPr>
        <w:tab/>
      </w:r>
      <w:r>
        <w:rPr>
          <w:rFonts w:ascii="Courier New" w:cs="Courier New" w:eastAsia="Courier New" w:hAnsi="Courier New"/>
          <w:sz w:val="15"/>
          <w:szCs w:val="15"/>
          <w:color w:val="auto"/>
        </w:rPr>
        <w:t>Deposited Money and Government Securities to be Held in Trust, Other Miscellaneous</w:t>
      </w:r>
    </w:p>
    <w:p>
      <w:pPr>
        <w:spacing w:after="0" w:line="1" w:lineRule="exact"/>
        <w:rPr>
          <w:sz w:val="20"/>
          <w:szCs w:val="20"/>
          <w:color w:val="auto"/>
        </w:rPr>
      </w:pPr>
    </w:p>
    <w:p>
      <w:pPr>
        <w:jc w:val="right"/>
        <w:spacing w:after="0"/>
        <w:tabs>
          <w:tab w:leader="dot" w:pos="180" w:val="left"/>
        </w:tabs>
        <w:rPr>
          <w:sz w:val="20"/>
          <w:szCs w:val="20"/>
          <w:color w:val="auto"/>
        </w:rPr>
      </w:pPr>
      <w:r>
        <w:rPr>
          <w:rFonts w:ascii="Courier New" w:cs="Courier New" w:eastAsia="Courier New" w:hAnsi="Courier New"/>
          <w:sz w:val="16"/>
          <w:szCs w:val="16"/>
          <w:color w:val="auto"/>
        </w:rPr>
        <w:t>Provisions</w:t>
      </w:r>
      <w:r>
        <w:rPr>
          <w:sz w:val="20"/>
          <w:szCs w:val="20"/>
          <w:color w:val="auto"/>
        </w:rPr>
        <w:tab/>
      </w:r>
      <w:r>
        <w:rPr>
          <w:rFonts w:ascii="Courier New" w:cs="Courier New" w:eastAsia="Courier New" w:hAnsi="Courier New"/>
          <w:sz w:val="16"/>
          <w:szCs w:val="16"/>
          <w:color w:val="auto"/>
        </w:rPr>
        <w:t>79</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8.06</w:t>
        <w:tab/>
        <w:t>Repayment to Company</w:t>
      </w:r>
      <w:r>
        <w:rPr>
          <w:sz w:val="20"/>
          <w:szCs w:val="20"/>
          <w:color w:val="auto"/>
        </w:rPr>
        <w:tab/>
      </w:r>
      <w:r>
        <w:rPr>
          <w:rFonts w:ascii="Courier New" w:cs="Courier New" w:eastAsia="Courier New" w:hAnsi="Courier New"/>
          <w:sz w:val="16"/>
          <w:szCs w:val="16"/>
          <w:color w:val="auto"/>
        </w:rPr>
        <w:t>80</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8.07</w:t>
        <w:tab/>
        <w:t>Reinstatement</w:t>
      </w:r>
      <w:r>
        <w:rPr>
          <w:sz w:val="20"/>
          <w:szCs w:val="20"/>
          <w:color w:val="auto"/>
        </w:rPr>
        <w:tab/>
      </w:r>
      <w:r>
        <w:rPr>
          <w:rFonts w:ascii="Courier New" w:cs="Courier New" w:eastAsia="Courier New" w:hAnsi="Courier New"/>
          <w:sz w:val="16"/>
          <w:szCs w:val="16"/>
          <w:color w:val="auto"/>
        </w:rPr>
        <w:t>80</w:t>
      </w:r>
    </w:p>
    <w:p>
      <w:pPr>
        <w:spacing w:after="0" w:line="183" w:lineRule="exact"/>
        <w:rPr>
          <w:sz w:val="20"/>
          <w:szCs w:val="20"/>
          <w:color w:val="auto"/>
        </w:rPr>
      </w:pPr>
    </w:p>
    <w:p>
      <w:pPr>
        <w:spacing w:after="0"/>
        <w:tabs>
          <w:tab w:leader="dot" w:pos="10660" w:val="left"/>
        </w:tabs>
        <w:rPr>
          <w:sz w:val="20"/>
          <w:szCs w:val="20"/>
          <w:color w:val="auto"/>
        </w:rPr>
      </w:pPr>
      <w:r>
        <w:rPr>
          <w:rFonts w:ascii="Courier New" w:cs="Courier New" w:eastAsia="Courier New" w:hAnsi="Courier New"/>
          <w:sz w:val="16"/>
          <w:szCs w:val="16"/>
          <w:color w:val="auto"/>
        </w:rPr>
        <w:t>ARTICLE 9. AMENDMENT, SUPPLEMENT AND WAIVER</w:t>
      </w:r>
      <w:r>
        <w:rPr>
          <w:sz w:val="20"/>
          <w:szCs w:val="20"/>
          <w:color w:val="auto"/>
        </w:rPr>
        <w:tab/>
      </w:r>
      <w:r>
        <w:rPr>
          <w:rFonts w:ascii="Courier New" w:cs="Courier New" w:eastAsia="Courier New" w:hAnsi="Courier New"/>
          <w:sz w:val="16"/>
          <w:szCs w:val="16"/>
          <w:color w:val="auto"/>
        </w:rPr>
        <w:t>81</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9.01</w:t>
        <w:tab/>
        <w:t>Without Consent of Holders of Notes</w:t>
      </w:r>
      <w:r>
        <w:rPr>
          <w:sz w:val="20"/>
          <w:szCs w:val="20"/>
          <w:color w:val="auto"/>
        </w:rPr>
        <w:tab/>
      </w:r>
      <w:r>
        <w:rPr>
          <w:rFonts w:ascii="Courier New" w:cs="Courier New" w:eastAsia="Courier New" w:hAnsi="Courier New"/>
          <w:sz w:val="16"/>
          <w:szCs w:val="16"/>
          <w:color w:val="auto"/>
        </w:rPr>
        <w:t>81</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9.02</w:t>
        <w:tab/>
        <w:t>With Consent of Holders of Notes</w:t>
      </w:r>
      <w:r>
        <w:rPr>
          <w:sz w:val="20"/>
          <w:szCs w:val="20"/>
          <w:color w:val="auto"/>
        </w:rPr>
        <w:tab/>
      </w:r>
      <w:r>
        <w:rPr>
          <w:rFonts w:ascii="Courier New" w:cs="Courier New" w:eastAsia="Courier New" w:hAnsi="Courier New"/>
          <w:sz w:val="16"/>
          <w:szCs w:val="16"/>
          <w:color w:val="auto"/>
        </w:rPr>
        <w:t>82</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9.03</w:t>
        <w:tab/>
        <w:t>Compliance with Trust Indenture Act</w:t>
      </w:r>
      <w:r>
        <w:rPr>
          <w:sz w:val="20"/>
          <w:szCs w:val="20"/>
          <w:color w:val="auto"/>
        </w:rPr>
        <w:tab/>
      </w:r>
      <w:r>
        <w:rPr>
          <w:rFonts w:ascii="Courier New" w:cs="Courier New" w:eastAsia="Courier New" w:hAnsi="Courier New"/>
          <w:sz w:val="16"/>
          <w:szCs w:val="16"/>
          <w:color w:val="auto"/>
        </w:rPr>
        <w:t>83</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9.04</w:t>
        <w:tab/>
        <w:t>Revocation and Effect of Consents</w:t>
      </w:r>
      <w:r>
        <w:rPr>
          <w:sz w:val="20"/>
          <w:szCs w:val="20"/>
          <w:color w:val="auto"/>
        </w:rPr>
        <w:tab/>
      </w:r>
      <w:r>
        <w:rPr>
          <w:rFonts w:ascii="Courier New" w:cs="Courier New" w:eastAsia="Courier New" w:hAnsi="Courier New"/>
          <w:sz w:val="16"/>
          <w:szCs w:val="16"/>
          <w:color w:val="auto"/>
        </w:rPr>
        <w:t>83</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9.05</w:t>
        <w:tab/>
        <w:t>Notation on or Exchange of Notes</w:t>
      </w:r>
      <w:r>
        <w:rPr>
          <w:sz w:val="20"/>
          <w:szCs w:val="20"/>
          <w:color w:val="auto"/>
        </w:rPr>
        <w:tab/>
      </w:r>
      <w:r>
        <w:rPr>
          <w:rFonts w:ascii="Courier New" w:cs="Courier New" w:eastAsia="Courier New" w:hAnsi="Courier New"/>
          <w:sz w:val="16"/>
          <w:szCs w:val="16"/>
          <w:color w:val="auto"/>
        </w:rPr>
        <w:t>84</w:t>
      </w:r>
    </w:p>
    <w:p>
      <w:pPr>
        <w:spacing w:after="0" w:line="1" w:lineRule="exact"/>
        <w:rPr>
          <w:sz w:val="20"/>
          <w:szCs w:val="20"/>
          <w:color w:val="auto"/>
        </w:rPr>
      </w:pPr>
    </w:p>
    <w:p>
      <w:pPr>
        <w:ind w:left="840"/>
        <w:spacing w:after="0"/>
        <w:tabs>
          <w:tab w:leader="none" w:pos="2240" w:val="left"/>
          <w:tab w:leader="dot" w:pos="10660" w:val="left"/>
        </w:tabs>
        <w:rPr>
          <w:sz w:val="20"/>
          <w:szCs w:val="20"/>
          <w:color w:val="auto"/>
        </w:rPr>
      </w:pPr>
      <w:r>
        <w:rPr>
          <w:rFonts w:ascii="Courier New" w:cs="Courier New" w:eastAsia="Courier New" w:hAnsi="Courier New"/>
          <w:sz w:val="16"/>
          <w:szCs w:val="16"/>
          <w:color w:val="auto"/>
        </w:rPr>
        <w:t>SECTION 9.06</w:t>
        <w:tab/>
        <w:t>Trustee to Sign Amendments, Etc</w:t>
      </w:r>
      <w:r>
        <w:rPr>
          <w:sz w:val="20"/>
          <w:szCs w:val="20"/>
          <w:color w:val="auto"/>
        </w:rPr>
        <w:tab/>
      </w:r>
      <w:r>
        <w:rPr>
          <w:rFonts w:ascii="Courier New" w:cs="Courier New" w:eastAsia="Courier New" w:hAnsi="Courier New"/>
          <w:sz w:val="16"/>
          <w:szCs w:val="16"/>
          <w:color w:val="auto"/>
        </w:rPr>
        <w:t>84</w:t>
      </w:r>
    </w:p>
    <w:p>
      <w:pPr>
        <w:spacing w:after="0" w:line="183" w:lineRule="exact"/>
        <w:rPr>
          <w:sz w:val="20"/>
          <w:szCs w:val="20"/>
          <w:color w:val="auto"/>
        </w:rPr>
      </w:pPr>
    </w:p>
    <w:p>
      <w:pPr>
        <w:spacing w:after="0"/>
        <w:tabs>
          <w:tab w:leader="dot" w:pos="10660" w:val="left"/>
        </w:tabs>
        <w:rPr>
          <w:sz w:val="20"/>
          <w:szCs w:val="20"/>
          <w:color w:val="auto"/>
        </w:rPr>
      </w:pPr>
      <w:r>
        <w:rPr>
          <w:rFonts w:ascii="Courier New" w:cs="Courier New" w:eastAsia="Courier New" w:hAnsi="Courier New"/>
          <w:sz w:val="16"/>
          <w:szCs w:val="16"/>
          <w:color w:val="auto"/>
        </w:rPr>
        <w:t>ARTICLE 10. SUBORDINATION</w:t>
      </w:r>
      <w:r>
        <w:rPr>
          <w:sz w:val="20"/>
          <w:szCs w:val="20"/>
          <w:color w:val="auto"/>
        </w:rPr>
        <w:tab/>
      </w:r>
      <w:r>
        <w:rPr>
          <w:rFonts w:ascii="Courier New" w:cs="Courier New" w:eastAsia="Courier New" w:hAnsi="Courier New"/>
          <w:sz w:val="16"/>
          <w:szCs w:val="16"/>
          <w:color w:val="auto"/>
        </w:rPr>
        <w:t>84</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10.01</w:t>
        <w:tab/>
        <w:t>Agreement to Subordinate</w:t>
      </w:r>
      <w:r>
        <w:rPr>
          <w:sz w:val="20"/>
          <w:szCs w:val="20"/>
          <w:color w:val="auto"/>
        </w:rPr>
        <w:tab/>
      </w:r>
      <w:r>
        <w:rPr>
          <w:rFonts w:ascii="Courier New" w:cs="Courier New" w:eastAsia="Courier New" w:hAnsi="Courier New"/>
          <w:sz w:val="16"/>
          <w:szCs w:val="16"/>
          <w:color w:val="auto"/>
        </w:rPr>
        <w:t>84</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10.02</w:t>
        <w:tab/>
        <w:t>Certain Definitions</w:t>
      </w:r>
      <w:r>
        <w:rPr>
          <w:sz w:val="20"/>
          <w:szCs w:val="20"/>
          <w:color w:val="auto"/>
        </w:rPr>
        <w:tab/>
      </w:r>
      <w:r>
        <w:rPr>
          <w:rFonts w:ascii="Courier New" w:cs="Courier New" w:eastAsia="Courier New" w:hAnsi="Courier New"/>
          <w:sz w:val="16"/>
          <w:szCs w:val="16"/>
          <w:color w:val="auto"/>
        </w:rPr>
        <w:t>84</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10.03</w:t>
        <w:tab/>
        <w:t>Liquidation, Dissolution; Bankruptcy</w:t>
      </w:r>
      <w:r>
        <w:rPr>
          <w:sz w:val="20"/>
          <w:szCs w:val="20"/>
          <w:color w:val="auto"/>
        </w:rPr>
        <w:tab/>
      </w:r>
      <w:r>
        <w:rPr>
          <w:rFonts w:ascii="Courier New" w:cs="Courier New" w:eastAsia="Courier New" w:hAnsi="Courier New"/>
          <w:sz w:val="16"/>
          <w:szCs w:val="16"/>
          <w:color w:val="auto"/>
        </w:rPr>
        <w:t>86</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10.04</w:t>
        <w:tab/>
        <w:t>Default on Designated Senior Debt</w:t>
      </w:r>
      <w:r>
        <w:rPr>
          <w:sz w:val="20"/>
          <w:szCs w:val="20"/>
          <w:color w:val="auto"/>
        </w:rPr>
        <w:tab/>
      </w:r>
      <w:r>
        <w:rPr>
          <w:rFonts w:ascii="Courier New" w:cs="Courier New" w:eastAsia="Courier New" w:hAnsi="Courier New"/>
          <w:sz w:val="16"/>
          <w:szCs w:val="16"/>
          <w:color w:val="auto"/>
        </w:rPr>
        <w:t>86</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10.05</w:t>
        <w:tab/>
        <w:t>Acceleration of Notes</w:t>
      </w:r>
      <w:r>
        <w:rPr>
          <w:sz w:val="20"/>
          <w:szCs w:val="20"/>
          <w:color w:val="auto"/>
        </w:rPr>
        <w:tab/>
      </w:r>
      <w:r>
        <w:rPr>
          <w:rFonts w:ascii="Courier New" w:cs="Courier New" w:eastAsia="Courier New" w:hAnsi="Courier New"/>
          <w:sz w:val="16"/>
          <w:szCs w:val="16"/>
          <w:color w:val="auto"/>
        </w:rPr>
        <w:t>87</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10.06</w:t>
        <w:tab/>
        <w:t>When Distribution Must Be Paid Over</w:t>
      </w:r>
      <w:r>
        <w:rPr>
          <w:sz w:val="20"/>
          <w:szCs w:val="20"/>
          <w:color w:val="auto"/>
        </w:rPr>
        <w:tab/>
      </w:r>
      <w:r>
        <w:rPr>
          <w:rFonts w:ascii="Courier New" w:cs="Courier New" w:eastAsia="Courier New" w:hAnsi="Courier New"/>
          <w:sz w:val="16"/>
          <w:szCs w:val="16"/>
          <w:color w:val="auto"/>
        </w:rPr>
        <w:t>87</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10.07</w:t>
        <w:tab/>
        <w:t>Notice by Company</w:t>
      </w:r>
      <w:r>
        <w:rPr>
          <w:sz w:val="20"/>
          <w:szCs w:val="20"/>
          <w:color w:val="auto"/>
        </w:rPr>
        <w:tab/>
      </w:r>
      <w:r>
        <w:rPr>
          <w:rFonts w:ascii="Courier New" w:cs="Courier New" w:eastAsia="Courier New" w:hAnsi="Courier New"/>
          <w:sz w:val="16"/>
          <w:szCs w:val="16"/>
          <w:color w:val="auto"/>
        </w:rPr>
        <w:t>88</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10.08</w:t>
        <w:tab/>
        <w:t>Subrogation</w:t>
      </w:r>
      <w:r>
        <w:rPr>
          <w:sz w:val="20"/>
          <w:szCs w:val="20"/>
          <w:color w:val="auto"/>
        </w:rPr>
        <w:tab/>
      </w:r>
      <w:r>
        <w:rPr>
          <w:rFonts w:ascii="Courier New" w:cs="Courier New" w:eastAsia="Courier New" w:hAnsi="Courier New"/>
          <w:sz w:val="16"/>
          <w:szCs w:val="16"/>
          <w:color w:val="auto"/>
        </w:rPr>
        <w:t>88</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10.09</w:t>
        <w:tab/>
        <w:t>Relative Rights</w:t>
      </w:r>
      <w:r>
        <w:rPr>
          <w:sz w:val="20"/>
          <w:szCs w:val="20"/>
          <w:color w:val="auto"/>
        </w:rPr>
        <w:tab/>
      </w:r>
      <w:r>
        <w:rPr>
          <w:rFonts w:ascii="Courier New" w:cs="Courier New" w:eastAsia="Courier New" w:hAnsi="Courier New"/>
          <w:sz w:val="16"/>
          <w:szCs w:val="16"/>
          <w:color w:val="auto"/>
        </w:rPr>
        <w:t>88</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10.10</w:t>
        <w:tab/>
        <w:t>Subordination May Not Be Impaired By Company</w:t>
      </w:r>
      <w:r>
        <w:rPr>
          <w:sz w:val="20"/>
          <w:szCs w:val="20"/>
          <w:color w:val="auto"/>
        </w:rPr>
        <w:tab/>
      </w:r>
      <w:r>
        <w:rPr>
          <w:rFonts w:ascii="Courier New" w:cs="Courier New" w:eastAsia="Courier New" w:hAnsi="Courier New"/>
          <w:sz w:val="16"/>
          <w:szCs w:val="16"/>
          <w:color w:val="auto"/>
        </w:rPr>
        <w:t>88</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10.11</w:t>
        <w:tab/>
        <w:t>Distribution or Notice to Representative</w:t>
      </w:r>
      <w:r>
        <w:rPr>
          <w:sz w:val="20"/>
          <w:szCs w:val="20"/>
          <w:color w:val="auto"/>
        </w:rPr>
        <w:tab/>
      </w:r>
      <w:r>
        <w:rPr>
          <w:rFonts w:ascii="Courier New" w:cs="Courier New" w:eastAsia="Courier New" w:hAnsi="Courier New"/>
          <w:sz w:val="16"/>
          <w:szCs w:val="16"/>
          <w:color w:val="auto"/>
        </w:rPr>
        <w:t>89</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10.12</w:t>
        <w:tab/>
        <w:t>Rights of Trustee and Paying Agent</w:t>
      </w:r>
      <w:r>
        <w:rPr>
          <w:sz w:val="20"/>
          <w:szCs w:val="20"/>
          <w:color w:val="auto"/>
        </w:rPr>
        <w:tab/>
      </w:r>
      <w:r>
        <w:rPr>
          <w:rFonts w:ascii="Courier New" w:cs="Courier New" w:eastAsia="Courier New" w:hAnsi="Courier New"/>
          <w:sz w:val="16"/>
          <w:szCs w:val="16"/>
          <w:color w:val="auto"/>
        </w:rPr>
        <w:t>89</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10.13</w:t>
        <w:tab/>
        <w:t>Authorization to Effect Subordination</w:t>
      </w:r>
      <w:r>
        <w:rPr>
          <w:sz w:val="20"/>
          <w:szCs w:val="20"/>
          <w:color w:val="auto"/>
        </w:rPr>
        <w:tab/>
      </w:r>
      <w:r>
        <w:rPr>
          <w:rFonts w:ascii="Courier New" w:cs="Courier New" w:eastAsia="Courier New" w:hAnsi="Courier New"/>
          <w:sz w:val="16"/>
          <w:szCs w:val="16"/>
          <w:color w:val="auto"/>
        </w:rPr>
        <w:t>89</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10.14</w:t>
        <w:tab/>
        <w:t>Trustee's Compensation Not Prejudiced</w:t>
      </w:r>
      <w:r>
        <w:rPr>
          <w:sz w:val="20"/>
          <w:szCs w:val="20"/>
          <w:color w:val="auto"/>
        </w:rPr>
        <w:tab/>
      </w:r>
      <w:r>
        <w:rPr>
          <w:rFonts w:ascii="Courier New" w:cs="Courier New" w:eastAsia="Courier New" w:hAnsi="Courier New"/>
          <w:sz w:val="16"/>
          <w:szCs w:val="16"/>
          <w:color w:val="auto"/>
        </w:rPr>
        <w:t>90</w:t>
      </w:r>
    </w:p>
    <w:p>
      <w:pPr>
        <w:spacing w:after="0" w:line="183" w:lineRule="exact"/>
        <w:rPr>
          <w:sz w:val="20"/>
          <w:szCs w:val="20"/>
          <w:color w:val="auto"/>
        </w:rPr>
      </w:pPr>
    </w:p>
    <w:p>
      <w:pPr>
        <w:spacing w:after="0"/>
        <w:tabs>
          <w:tab w:leader="dot" w:pos="10660" w:val="left"/>
        </w:tabs>
        <w:rPr>
          <w:sz w:val="20"/>
          <w:szCs w:val="20"/>
          <w:color w:val="auto"/>
        </w:rPr>
      </w:pPr>
      <w:r>
        <w:rPr>
          <w:rFonts w:ascii="Courier New" w:cs="Courier New" w:eastAsia="Courier New" w:hAnsi="Courier New"/>
          <w:sz w:val="16"/>
          <w:szCs w:val="16"/>
          <w:color w:val="auto"/>
        </w:rPr>
        <w:t>ARTICLE 11. SUBSIDIARY GUARANTEES</w:t>
      </w:r>
      <w:r>
        <w:rPr>
          <w:sz w:val="20"/>
          <w:szCs w:val="20"/>
          <w:color w:val="auto"/>
        </w:rPr>
        <w:tab/>
      </w:r>
      <w:r>
        <w:rPr>
          <w:rFonts w:ascii="Courier New" w:cs="Courier New" w:eastAsia="Courier New" w:hAnsi="Courier New"/>
          <w:sz w:val="16"/>
          <w:szCs w:val="16"/>
          <w:color w:val="auto"/>
        </w:rPr>
        <w:t>90</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11.01</w:t>
        <w:tab/>
        <w:t>Subsidiary Guarantee</w:t>
      </w:r>
      <w:r>
        <w:rPr>
          <w:sz w:val="20"/>
          <w:szCs w:val="20"/>
          <w:color w:val="auto"/>
        </w:rPr>
        <w:tab/>
      </w:r>
      <w:r>
        <w:rPr>
          <w:rFonts w:ascii="Courier New" w:cs="Courier New" w:eastAsia="Courier New" w:hAnsi="Courier New"/>
          <w:sz w:val="16"/>
          <w:szCs w:val="16"/>
          <w:color w:val="auto"/>
        </w:rPr>
        <w:t>90</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11.02</w:t>
        <w:tab/>
        <w:t>Subordination of Subsidiary Guarantee</w:t>
      </w:r>
      <w:r>
        <w:rPr>
          <w:sz w:val="20"/>
          <w:szCs w:val="20"/>
          <w:color w:val="auto"/>
        </w:rPr>
        <w:tab/>
      </w:r>
      <w:r>
        <w:rPr>
          <w:rFonts w:ascii="Courier New" w:cs="Courier New" w:eastAsia="Courier New" w:hAnsi="Courier New"/>
          <w:sz w:val="16"/>
          <w:szCs w:val="16"/>
          <w:color w:val="auto"/>
        </w:rPr>
        <w:t>91</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11.03</w:t>
        <w:tab/>
        <w:t>Limitation on Guarantor Liability</w:t>
      </w:r>
      <w:r>
        <w:rPr>
          <w:sz w:val="20"/>
          <w:szCs w:val="20"/>
          <w:color w:val="auto"/>
        </w:rPr>
        <w:tab/>
      </w:r>
      <w:r>
        <w:rPr>
          <w:rFonts w:ascii="Courier New" w:cs="Courier New" w:eastAsia="Courier New" w:hAnsi="Courier New"/>
          <w:sz w:val="16"/>
          <w:szCs w:val="16"/>
          <w:color w:val="auto"/>
        </w:rPr>
        <w:t>91</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11.04</w:t>
        <w:tab/>
        <w:t>Execution and Delivery of Subsidiary Guarantee</w:t>
      </w:r>
      <w:r>
        <w:rPr>
          <w:sz w:val="20"/>
          <w:szCs w:val="20"/>
          <w:color w:val="auto"/>
        </w:rPr>
        <w:tab/>
      </w:r>
      <w:r>
        <w:rPr>
          <w:rFonts w:ascii="Courier New" w:cs="Courier New" w:eastAsia="Courier New" w:hAnsi="Courier New"/>
          <w:sz w:val="16"/>
          <w:szCs w:val="16"/>
          <w:color w:val="auto"/>
        </w:rPr>
        <w:t>91</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11.05</w:t>
        <w:tab/>
        <w:t>Guarantors May Consolidate, etc., on Certain Terms</w:t>
      </w:r>
      <w:r>
        <w:rPr>
          <w:sz w:val="20"/>
          <w:szCs w:val="20"/>
          <w:color w:val="auto"/>
        </w:rPr>
        <w:tab/>
      </w:r>
      <w:r>
        <w:rPr>
          <w:rFonts w:ascii="Courier New" w:cs="Courier New" w:eastAsia="Courier New" w:hAnsi="Courier New"/>
          <w:sz w:val="16"/>
          <w:szCs w:val="16"/>
          <w:color w:val="auto"/>
        </w:rPr>
        <w:t>92</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11.06</w:t>
        <w:tab/>
        <w:t>Releases Following Sale of Assets</w:t>
      </w:r>
      <w:r>
        <w:rPr>
          <w:sz w:val="20"/>
          <w:szCs w:val="20"/>
          <w:color w:val="auto"/>
        </w:rPr>
        <w:tab/>
      </w:r>
      <w:r>
        <w:rPr>
          <w:rFonts w:ascii="Courier New" w:cs="Courier New" w:eastAsia="Courier New" w:hAnsi="Courier New"/>
          <w:sz w:val="16"/>
          <w:szCs w:val="16"/>
          <w:color w:val="auto"/>
        </w:rPr>
        <w:t>93</w:t>
      </w:r>
    </w:p>
    <w:p>
      <w:pPr>
        <w:spacing w:after="0" w:line="183" w:lineRule="exact"/>
        <w:rPr>
          <w:sz w:val="20"/>
          <w:szCs w:val="20"/>
          <w:color w:val="auto"/>
        </w:rPr>
      </w:pPr>
    </w:p>
    <w:p>
      <w:pPr>
        <w:spacing w:after="0"/>
        <w:tabs>
          <w:tab w:leader="dot" w:pos="10660" w:val="left"/>
        </w:tabs>
        <w:rPr>
          <w:sz w:val="20"/>
          <w:szCs w:val="20"/>
          <w:color w:val="auto"/>
        </w:rPr>
      </w:pPr>
      <w:r>
        <w:rPr>
          <w:rFonts w:ascii="Courier New" w:cs="Courier New" w:eastAsia="Courier New" w:hAnsi="Courier New"/>
          <w:sz w:val="16"/>
          <w:szCs w:val="16"/>
          <w:color w:val="auto"/>
        </w:rPr>
        <w:t>ARTICLE 12. SATISFACTION AND DISCHARGE</w:t>
      </w:r>
      <w:r>
        <w:rPr>
          <w:sz w:val="20"/>
          <w:szCs w:val="20"/>
          <w:color w:val="auto"/>
        </w:rPr>
        <w:tab/>
      </w:r>
      <w:r>
        <w:rPr>
          <w:rFonts w:ascii="Courier New" w:cs="Courier New" w:eastAsia="Courier New" w:hAnsi="Courier New"/>
          <w:sz w:val="16"/>
          <w:szCs w:val="16"/>
          <w:color w:val="auto"/>
        </w:rPr>
        <w:t>93</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12.01</w:t>
        <w:tab/>
        <w:t>Satisfaction and Discharge of Indenture</w:t>
      </w:r>
      <w:r>
        <w:rPr>
          <w:sz w:val="20"/>
          <w:szCs w:val="20"/>
          <w:color w:val="auto"/>
        </w:rPr>
        <w:tab/>
      </w:r>
      <w:r>
        <w:rPr>
          <w:rFonts w:ascii="Courier New" w:cs="Courier New" w:eastAsia="Courier New" w:hAnsi="Courier New"/>
          <w:sz w:val="16"/>
          <w:szCs w:val="16"/>
          <w:color w:val="auto"/>
        </w:rPr>
        <w:t>93</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12.02</w:t>
        <w:tab/>
        <w:t>Application of Trust Money</w:t>
      </w:r>
      <w:r>
        <w:rPr>
          <w:sz w:val="20"/>
          <w:szCs w:val="20"/>
          <w:color w:val="auto"/>
        </w:rPr>
        <w:tab/>
      </w:r>
      <w:r>
        <w:rPr>
          <w:rFonts w:ascii="Courier New" w:cs="Courier New" w:eastAsia="Courier New" w:hAnsi="Courier New"/>
          <w:sz w:val="16"/>
          <w:szCs w:val="16"/>
          <w:color w:val="auto"/>
        </w:rPr>
        <w:t>94</w:t>
      </w:r>
    </w:p>
    <w:p>
      <w:pPr>
        <w:spacing w:after="0" w:line="183" w:lineRule="exact"/>
        <w:rPr>
          <w:sz w:val="20"/>
          <w:szCs w:val="20"/>
          <w:color w:val="auto"/>
        </w:rPr>
      </w:pPr>
    </w:p>
    <w:p>
      <w:pPr>
        <w:spacing w:after="0"/>
        <w:tabs>
          <w:tab w:leader="dot" w:pos="10660" w:val="left"/>
        </w:tabs>
        <w:rPr>
          <w:sz w:val="20"/>
          <w:szCs w:val="20"/>
          <w:color w:val="auto"/>
        </w:rPr>
      </w:pPr>
      <w:r>
        <w:rPr>
          <w:rFonts w:ascii="Courier New" w:cs="Courier New" w:eastAsia="Courier New" w:hAnsi="Courier New"/>
          <w:sz w:val="16"/>
          <w:szCs w:val="16"/>
          <w:color w:val="auto"/>
        </w:rPr>
        <w:t>ARTICLE 13. MISCELLANEOUS</w:t>
      </w:r>
      <w:r>
        <w:rPr>
          <w:sz w:val="20"/>
          <w:szCs w:val="20"/>
          <w:color w:val="auto"/>
        </w:rPr>
        <w:tab/>
      </w:r>
      <w:r>
        <w:rPr>
          <w:rFonts w:ascii="Courier New" w:cs="Courier New" w:eastAsia="Courier New" w:hAnsi="Courier New"/>
          <w:sz w:val="16"/>
          <w:szCs w:val="16"/>
          <w:color w:val="auto"/>
        </w:rPr>
        <w:t>95</w:t>
      </w:r>
    </w:p>
    <w:p>
      <w:pPr>
        <w:spacing w:after="0" w:line="200" w:lineRule="exact"/>
        <w:rPr>
          <w:sz w:val="20"/>
          <w:szCs w:val="20"/>
          <w:color w:val="auto"/>
        </w:rPr>
      </w:pPr>
    </w:p>
    <w:p>
      <w:pPr>
        <w:spacing w:after="0" w:line="34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880"/>
          </w:cols>
          <w:pgMar w:left="240" w:top="841" w:right="779" w:bottom="1440" w:gutter="0" w:footer="0" w:header="0"/>
        </w:sectPr>
      </w:pPr>
    </w:p>
    <w:bookmarkStart w:id="239" w:name="page240"/>
    <w:bookmarkEnd w:id="239"/>
    <w:p>
      <w:pPr>
        <w:jc w:val="right"/>
        <w:spacing w:after="0"/>
        <w:rPr>
          <w:sz w:val="20"/>
          <w:szCs w:val="20"/>
          <w:color w:val="auto"/>
        </w:rPr>
      </w:pPr>
      <w:r>
        <w:rPr>
          <w:rFonts w:ascii="Courier New" w:cs="Courier New" w:eastAsia="Courier New" w:hAnsi="Courier New"/>
          <w:sz w:val="16"/>
          <w:szCs w:val="16"/>
          <w:color w:val="auto"/>
        </w:rPr>
        <w:t>PAGE</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13.01</w:t>
        <w:tab/>
        <w:t>Trust Indenture Act Controls</w:t>
      </w:r>
      <w:r>
        <w:rPr>
          <w:sz w:val="20"/>
          <w:szCs w:val="20"/>
          <w:color w:val="auto"/>
        </w:rPr>
        <w:tab/>
      </w:r>
      <w:r>
        <w:rPr>
          <w:rFonts w:ascii="Courier New" w:cs="Courier New" w:eastAsia="Courier New" w:hAnsi="Courier New"/>
          <w:sz w:val="16"/>
          <w:szCs w:val="16"/>
          <w:color w:val="auto"/>
        </w:rPr>
        <w:t>95</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13.02</w:t>
        <w:tab/>
        <w:t>Notices</w:t>
      </w:r>
      <w:r>
        <w:rPr>
          <w:sz w:val="20"/>
          <w:szCs w:val="20"/>
          <w:color w:val="auto"/>
        </w:rPr>
        <w:tab/>
      </w:r>
      <w:r>
        <w:rPr>
          <w:rFonts w:ascii="Courier New" w:cs="Courier New" w:eastAsia="Courier New" w:hAnsi="Courier New"/>
          <w:sz w:val="16"/>
          <w:szCs w:val="16"/>
          <w:color w:val="auto"/>
        </w:rPr>
        <w:t>95</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13.03</w:t>
        <w:tab/>
        <w:t>Communication by Holders of Notes with Other Holders of Notes</w:t>
      </w:r>
      <w:r>
        <w:rPr>
          <w:sz w:val="20"/>
          <w:szCs w:val="20"/>
          <w:color w:val="auto"/>
        </w:rPr>
        <w:tab/>
      </w:r>
      <w:r>
        <w:rPr>
          <w:rFonts w:ascii="Courier New" w:cs="Courier New" w:eastAsia="Courier New" w:hAnsi="Courier New"/>
          <w:sz w:val="16"/>
          <w:szCs w:val="16"/>
          <w:color w:val="auto"/>
        </w:rPr>
        <w:t>96</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13.04</w:t>
        <w:tab/>
        <w:t>Certificate and Opinion as to Conditions Precedent</w:t>
      </w:r>
      <w:r>
        <w:rPr>
          <w:sz w:val="20"/>
          <w:szCs w:val="20"/>
          <w:color w:val="auto"/>
        </w:rPr>
        <w:tab/>
      </w:r>
      <w:r>
        <w:rPr>
          <w:rFonts w:ascii="Courier New" w:cs="Courier New" w:eastAsia="Courier New" w:hAnsi="Courier New"/>
          <w:sz w:val="16"/>
          <w:szCs w:val="16"/>
          <w:color w:val="auto"/>
        </w:rPr>
        <w:t>97</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13.05</w:t>
        <w:tab/>
        <w:t>Statements Required in Certificate or Opinion</w:t>
      </w:r>
      <w:r>
        <w:rPr>
          <w:sz w:val="20"/>
          <w:szCs w:val="20"/>
          <w:color w:val="auto"/>
        </w:rPr>
        <w:tab/>
      </w:r>
      <w:r>
        <w:rPr>
          <w:rFonts w:ascii="Courier New" w:cs="Courier New" w:eastAsia="Courier New" w:hAnsi="Courier New"/>
          <w:sz w:val="16"/>
          <w:szCs w:val="16"/>
          <w:color w:val="auto"/>
        </w:rPr>
        <w:t>97</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13.06</w:t>
        <w:tab/>
        <w:t>Rules by Trustee and Agents</w:t>
      </w:r>
      <w:r>
        <w:rPr>
          <w:sz w:val="20"/>
          <w:szCs w:val="20"/>
          <w:color w:val="auto"/>
        </w:rPr>
        <w:tab/>
      </w:r>
      <w:r>
        <w:rPr>
          <w:rFonts w:ascii="Courier New" w:cs="Courier New" w:eastAsia="Courier New" w:hAnsi="Courier New"/>
          <w:sz w:val="16"/>
          <w:szCs w:val="16"/>
          <w:color w:val="auto"/>
        </w:rPr>
        <w:t>97</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13.07</w:t>
        <w:tab/>
        <w:t>No Personal Liability of Directors, Officers, Employees and Shareholders</w:t>
      </w:r>
      <w:r>
        <w:rPr>
          <w:sz w:val="20"/>
          <w:szCs w:val="20"/>
          <w:color w:val="auto"/>
        </w:rPr>
        <w:tab/>
      </w:r>
      <w:r>
        <w:rPr>
          <w:rFonts w:ascii="Courier New" w:cs="Courier New" w:eastAsia="Courier New" w:hAnsi="Courier New"/>
          <w:sz w:val="16"/>
          <w:szCs w:val="16"/>
          <w:color w:val="auto"/>
        </w:rPr>
        <w:t>98</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13.08</w:t>
        <w:tab/>
        <w:t>Governing Law</w:t>
      </w:r>
      <w:r>
        <w:rPr>
          <w:sz w:val="20"/>
          <w:szCs w:val="20"/>
          <w:color w:val="auto"/>
        </w:rPr>
        <w:tab/>
      </w:r>
      <w:r>
        <w:rPr>
          <w:rFonts w:ascii="Courier New" w:cs="Courier New" w:eastAsia="Courier New" w:hAnsi="Courier New"/>
          <w:sz w:val="16"/>
          <w:szCs w:val="16"/>
          <w:color w:val="auto"/>
        </w:rPr>
        <w:t>98</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13.09</w:t>
        <w:tab/>
        <w:t>No Adverse Interpretation of Other Agreements</w:t>
      </w:r>
      <w:r>
        <w:rPr>
          <w:sz w:val="20"/>
          <w:szCs w:val="20"/>
          <w:color w:val="auto"/>
        </w:rPr>
        <w:tab/>
      </w:r>
      <w:r>
        <w:rPr>
          <w:rFonts w:ascii="Courier New" w:cs="Courier New" w:eastAsia="Courier New" w:hAnsi="Courier New"/>
          <w:sz w:val="16"/>
          <w:szCs w:val="16"/>
          <w:color w:val="auto"/>
        </w:rPr>
        <w:t>98</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13.10</w:t>
        <w:tab/>
        <w:t>Successors</w:t>
      </w:r>
      <w:r>
        <w:rPr>
          <w:sz w:val="20"/>
          <w:szCs w:val="20"/>
          <w:color w:val="auto"/>
        </w:rPr>
        <w:tab/>
      </w:r>
      <w:r>
        <w:rPr>
          <w:rFonts w:ascii="Courier New" w:cs="Courier New" w:eastAsia="Courier New" w:hAnsi="Courier New"/>
          <w:sz w:val="16"/>
          <w:szCs w:val="16"/>
          <w:color w:val="auto"/>
        </w:rPr>
        <w:t>98</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13.11</w:t>
        <w:tab/>
        <w:t>Severability</w:t>
      </w:r>
      <w:r>
        <w:rPr>
          <w:sz w:val="20"/>
          <w:szCs w:val="20"/>
          <w:color w:val="auto"/>
        </w:rPr>
        <w:tab/>
      </w:r>
      <w:r>
        <w:rPr>
          <w:rFonts w:ascii="Courier New" w:cs="Courier New" w:eastAsia="Courier New" w:hAnsi="Courier New"/>
          <w:sz w:val="16"/>
          <w:szCs w:val="16"/>
          <w:color w:val="auto"/>
        </w:rPr>
        <w:t>98</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13.12</w:t>
        <w:tab/>
        <w:t>Counterpart Originals</w:t>
      </w:r>
      <w:r>
        <w:rPr>
          <w:sz w:val="20"/>
          <w:szCs w:val="20"/>
          <w:color w:val="auto"/>
        </w:rPr>
        <w:tab/>
      </w:r>
      <w:r>
        <w:rPr>
          <w:rFonts w:ascii="Courier New" w:cs="Courier New" w:eastAsia="Courier New" w:hAnsi="Courier New"/>
          <w:sz w:val="16"/>
          <w:szCs w:val="16"/>
          <w:color w:val="auto"/>
        </w:rPr>
        <w:t>98</w:t>
      </w:r>
    </w:p>
    <w:p>
      <w:pPr>
        <w:spacing w:after="0" w:line="1" w:lineRule="exact"/>
        <w:rPr>
          <w:sz w:val="20"/>
          <w:szCs w:val="20"/>
          <w:color w:val="auto"/>
        </w:rPr>
      </w:pPr>
    </w:p>
    <w:p>
      <w:pPr>
        <w:ind w:left="840"/>
        <w:spacing w:after="0"/>
        <w:tabs>
          <w:tab w:leader="none" w:pos="2340" w:val="left"/>
          <w:tab w:leader="dot" w:pos="10660" w:val="left"/>
        </w:tabs>
        <w:rPr>
          <w:sz w:val="20"/>
          <w:szCs w:val="20"/>
          <w:color w:val="auto"/>
        </w:rPr>
      </w:pPr>
      <w:r>
        <w:rPr>
          <w:rFonts w:ascii="Courier New" w:cs="Courier New" w:eastAsia="Courier New" w:hAnsi="Courier New"/>
          <w:sz w:val="16"/>
          <w:szCs w:val="16"/>
          <w:color w:val="auto"/>
        </w:rPr>
        <w:t>SECTION 13.13</w:t>
        <w:tab/>
        <w:t>Table of Contents, Headings, etc</w:t>
      </w:r>
      <w:r>
        <w:rPr>
          <w:sz w:val="20"/>
          <w:szCs w:val="20"/>
          <w:color w:val="auto"/>
        </w:rPr>
        <w:tab/>
      </w:r>
      <w:r>
        <w:rPr>
          <w:rFonts w:ascii="Courier New" w:cs="Courier New" w:eastAsia="Courier New" w:hAnsi="Courier New"/>
          <w:sz w:val="16"/>
          <w:szCs w:val="16"/>
          <w:color w:val="auto"/>
        </w:rPr>
        <w:t>99</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18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6"/>
          <w:szCs w:val="16"/>
          <w:color w:val="auto"/>
        </w:rPr>
        <w:t>Exhibit A</w:t>
      </w:r>
      <w:r>
        <w:rPr>
          <w:sz w:val="20"/>
          <w:szCs w:val="20"/>
          <w:color w:val="auto"/>
        </w:rPr>
        <w:tab/>
      </w:r>
      <w:r>
        <w:rPr>
          <w:rFonts w:ascii="Courier New" w:cs="Courier New" w:eastAsia="Courier New" w:hAnsi="Courier New"/>
          <w:sz w:val="15"/>
          <w:szCs w:val="15"/>
          <w:color w:val="auto"/>
        </w:rPr>
        <w:t>FORM OF NOTE</w:t>
      </w:r>
    </w:p>
    <w:p>
      <w:pPr>
        <w:spacing w:after="0" w:line="18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6"/>
          <w:szCs w:val="16"/>
          <w:color w:val="auto"/>
        </w:rPr>
        <w:t>Exhibit B</w:t>
      </w:r>
      <w:r>
        <w:rPr>
          <w:sz w:val="20"/>
          <w:szCs w:val="20"/>
          <w:color w:val="auto"/>
        </w:rPr>
        <w:tab/>
      </w:r>
      <w:r>
        <w:rPr>
          <w:rFonts w:ascii="Courier New" w:cs="Courier New" w:eastAsia="Courier New" w:hAnsi="Courier New"/>
          <w:sz w:val="15"/>
          <w:szCs w:val="15"/>
          <w:color w:val="auto"/>
        </w:rPr>
        <w:t>FORM OF CERTIFICATE OF TRANSFER</w:t>
      </w:r>
    </w:p>
    <w:p>
      <w:pPr>
        <w:spacing w:after="0" w:line="18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6"/>
          <w:szCs w:val="16"/>
          <w:color w:val="auto"/>
        </w:rPr>
        <w:t>Exhibit C</w:t>
      </w:r>
      <w:r>
        <w:rPr>
          <w:sz w:val="20"/>
          <w:szCs w:val="20"/>
          <w:color w:val="auto"/>
        </w:rPr>
        <w:tab/>
      </w:r>
      <w:r>
        <w:rPr>
          <w:rFonts w:ascii="Courier New" w:cs="Courier New" w:eastAsia="Courier New" w:hAnsi="Courier New"/>
          <w:sz w:val="15"/>
          <w:szCs w:val="15"/>
          <w:color w:val="auto"/>
        </w:rPr>
        <w:t>FORM OF CERTIFICATE OF EXCHANGE</w:t>
      </w:r>
    </w:p>
    <w:p>
      <w:pPr>
        <w:spacing w:after="0" w:line="18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6"/>
          <w:szCs w:val="16"/>
          <w:color w:val="auto"/>
        </w:rPr>
        <w:t>Exhibit D</w:t>
      </w:r>
      <w:r>
        <w:rPr>
          <w:sz w:val="20"/>
          <w:szCs w:val="20"/>
          <w:color w:val="auto"/>
        </w:rPr>
        <w:tab/>
      </w:r>
      <w:r>
        <w:rPr>
          <w:rFonts w:ascii="Courier New" w:cs="Courier New" w:eastAsia="Courier New" w:hAnsi="Courier New"/>
          <w:sz w:val="15"/>
          <w:szCs w:val="15"/>
          <w:color w:val="auto"/>
        </w:rPr>
        <w:t>FORM OF CERTIFICATE OF ACQUIRING INSTITUTIONAL</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ACCREDITED INVESTOR</w:t>
      </w:r>
    </w:p>
    <w:p>
      <w:pPr>
        <w:spacing w:after="0" w:line="18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6"/>
          <w:szCs w:val="16"/>
          <w:color w:val="auto"/>
        </w:rPr>
        <w:t>Exhibit E</w:t>
      </w:r>
      <w:r>
        <w:rPr>
          <w:sz w:val="20"/>
          <w:szCs w:val="20"/>
          <w:color w:val="auto"/>
        </w:rPr>
        <w:tab/>
      </w:r>
      <w:r>
        <w:rPr>
          <w:rFonts w:ascii="Courier New" w:cs="Courier New" w:eastAsia="Courier New" w:hAnsi="Courier New"/>
          <w:sz w:val="15"/>
          <w:szCs w:val="15"/>
          <w:color w:val="auto"/>
        </w:rPr>
        <w:t>FORM OF NOTATION OF SUBSIDIARY GUARANTEE</w:t>
      </w:r>
    </w:p>
    <w:p>
      <w:pPr>
        <w:spacing w:after="0" w:line="18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6"/>
          <w:szCs w:val="16"/>
          <w:color w:val="auto"/>
        </w:rPr>
        <w:t>Exhibit F</w:t>
      </w:r>
      <w:r>
        <w:rPr>
          <w:sz w:val="20"/>
          <w:szCs w:val="20"/>
          <w:color w:val="auto"/>
        </w:rPr>
        <w:tab/>
      </w:r>
      <w:r>
        <w:rPr>
          <w:rFonts w:ascii="Courier New" w:cs="Courier New" w:eastAsia="Courier New" w:hAnsi="Courier New"/>
          <w:sz w:val="15"/>
          <w:szCs w:val="15"/>
          <w:color w:val="auto"/>
        </w:rPr>
        <w:t>FORM OF SUPPLEMENTAL INDENTURE</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880"/>
          </w:cols>
          <w:pgMar w:left="240" w:top="841" w:right="779" w:bottom="1440" w:gutter="0" w:footer="0" w:header="0"/>
        </w:sectPr>
      </w:pPr>
    </w:p>
    <w:bookmarkStart w:id="240" w:name="page241"/>
    <w:bookmarkEnd w:id="240"/>
    <w:p>
      <w:pPr>
        <w:ind w:right="2759" w:firstLine="567"/>
        <w:spacing w:after="0" w:line="238" w:lineRule="auto"/>
        <w:rPr>
          <w:sz w:val="20"/>
          <w:szCs w:val="20"/>
          <w:color w:val="auto"/>
        </w:rPr>
      </w:pPr>
      <w:r>
        <w:rPr>
          <w:rFonts w:ascii="Courier New" w:cs="Courier New" w:eastAsia="Courier New" w:hAnsi="Courier New"/>
          <w:sz w:val="16"/>
          <w:szCs w:val="16"/>
          <w:color w:val="auto"/>
        </w:rPr>
        <w:t>INDENTURE dated as of October 8, 2003 by and among The Scotts Company, an Ohio corporation (the "Company"), the Guarantors named on the signature pages hereto and U.S. Bank National Association, as trustee (the "Trustee").</w:t>
      </w:r>
    </w:p>
    <w:p>
      <w:pPr>
        <w:spacing w:after="0" w:line="188" w:lineRule="exact"/>
        <w:rPr>
          <w:sz w:val="20"/>
          <w:szCs w:val="20"/>
          <w:color w:val="auto"/>
        </w:rPr>
      </w:pPr>
    </w:p>
    <w:p>
      <w:pPr>
        <w:ind w:right="2659" w:firstLine="567"/>
        <w:spacing w:after="0" w:line="239" w:lineRule="auto"/>
        <w:rPr>
          <w:sz w:val="20"/>
          <w:szCs w:val="20"/>
          <w:color w:val="auto"/>
        </w:rPr>
      </w:pPr>
      <w:r>
        <w:rPr>
          <w:rFonts w:ascii="Courier New" w:cs="Courier New" w:eastAsia="Courier New" w:hAnsi="Courier New"/>
          <w:sz w:val="16"/>
          <w:szCs w:val="16"/>
          <w:color w:val="auto"/>
        </w:rPr>
        <w:t>The Company, the Guarantors and the Trustee agree as follows for the benefit of each other and for the equal and ratable benefit of the Holders of the 6.625% Series A Senior Subordinated Notes due 2013 (the "Series A Notes") and the 6.625% Series B Senior Subordinated Notes due 2013 (the "Series B Notes" and, together with the Series A Notes, the "Notes"):</w:t>
      </w:r>
    </w:p>
    <w:p>
      <w:pPr>
        <w:spacing w:after="0" w:line="18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ARTICLE 1.</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DEFINITIONS AND INCORPORATION BY REFERENCE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1.01 Definitions.</w:t>
      </w:r>
    </w:p>
    <w:p>
      <w:pPr>
        <w:spacing w:after="0" w:line="186" w:lineRule="exact"/>
        <w:rPr>
          <w:sz w:val="20"/>
          <w:szCs w:val="20"/>
          <w:color w:val="auto"/>
        </w:rPr>
      </w:pPr>
    </w:p>
    <w:p>
      <w:pPr>
        <w:ind w:right="2659" w:firstLine="567"/>
        <w:spacing w:after="0" w:line="239" w:lineRule="auto"/>
        <w:rPr>
          <w:sz w:val="20"/>
          <w:szCs w:val="20"/>
          <w:color w:val="auto"/>
        </w:rPr>
      </w:pPr>
      <w:r>
        <w:rPr>
          <w:rFonts w:ascii="Courier New" w:cs="Courier New" w:eastAsia="Courier New" w:hAnsi="Courier New"/>
          <w:sz w:val="16"/>
          <w:szCs w:val="16"/>
          <w:color w:val="auto"/>
        </w:rPr>
        <w:t>"144A Global Note" means a global note in the form of Exhibit A hereto bearing the Global Note Legend and the Private Placement Legend and deposited with or on behalf of, and registered in the name of, the Depositary or its nominee that will be issued in a denomination equal to the outstanding principal amount of the Notes sold in reliance on Rule 144A.</w:t>
      </w:r>
    </w:p>
    <w:p>
      <w:pPr>
        <w:spacing w:after="0" w:line="185"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"Acquired Debt" means, with respect to any specified Person:</w:t>
      </w:r>
    </w:p>
    <w:p>
      <w:pPr>
        <w:spacing w:after="0" w:line="186" w:lineRule="exact"/>
        <w:rPr>
          <w:sz w:val="20"/>
          <w:szCs w:val="20"/>
          <w:color w:val="auto"/>
        </w:rPr>
      </w:pPr>
    </w:p>
    <w:p>
      <w:pPr>
        <w:ind w:right="2839" w:firstLine="564"/>
        <w:spacing w:after="0" w:line="239" w:lineRule="auto"/>
        <w:tabs>
          <w:tab w:leader="none" w:pos="946"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188" w:lineRule="exact"/>
        <w:rPr>
          <w:rFonts w:ascii="Courier New" w:cs="Courier New" w:eastAsia="Courier New" w:hAnsi="Courier New"/>
          <w:sz w:val="16"/>
          <w:szCs w:val="16"/>
          <w:color w:val="auto"/>
        </w:rPr>
      </w:pPr>
    </w:p>
    <w:p>
      <w:pPr>
        <w:ind w:right="2759" w:firstLine="564"/>
        <w:spacing w:after="0" w:line="237" w:lineRule="auto"/>
        <w:tabs>
          <w:tab w:leader="none" w:pos="946"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secured by a Lien encumbering any asset acquired by such specified Person.</w:t>
      </w:r>
    </w:p>
    <w:p>
      <w:pPr>
        <w:spacing w:after="0" w:line="188" w:lineRule="exact"/>
        <w:rPr>
          <w:sz w:val="20"/>
          <w:szCs w:val="20"/>
          <w:color w:val="auto"/>
        </w:rPr>
      </w:pPr>
    </w:p>
    <w:p>
      <w:pPr>
        <w:ind w:right="2759" w:firstLine="567"/>
        <w:spacing w:after="0" w:line="238" w:lineRule="auto"/>
        <w:rPr>
          <w:sz w:val="20"/>
          <w:szCs w:val="20"/>
          <w:color w:val="auto"/>
        </w:rPr>
      </w:pPr>
      <w:r>
        <w:rPr>
          <w:rFonts w:ascii="Courier New" w:cs="Courier New" w:eastAsia="Courier New" w:hAnsi="Courier New"/>
          <w:sz w:val="16"/>
          <w:szCs w:val="16"/>
          <w:color w:val="auto"/>
        </w:rPr>
        <w:t>"Additional Notes" means an unlimited aggregate principal amount of Notes (other than the Initial Notes) issued under this Indenture in accordance with Sections 2.02 and 4.09 hereof.</w:t>
      </w:r>
    </w:p>
    <w:p>
      <w:pPr>
        <w:spacing w:after="0" w:line="188" w:lineRule="exact"/>
        <w:rPr>
          <w:sz w:val="20"/>
          <w:szCs w:val="20"/>
          <w:color w:val="auto"/>
        </w:rPr>
      </w:pPr>
    </w:p>
    <w:p>
      <w:pPr>
        <w:ind w:right="2659" w:firstLine="567"/>
        <w:spacing w:after="0"/>
        <w:rPr>
          <w:sz w:val="20"/>
          <w:szCs w:val="20"/>
          <w:color w:val="auto"/>
        </w:rPr>
      </w:pPr>
      <w:r>
        <w:rPr>
          <w:rFonts w:ascii="Courier New" w:cs="Courier New" w:eastAsia="Courier New" w:hAnsi="Courier New"/>
          <w:sz w:val="16"/>
          <w:szCs w:val="16"/>
          <w:color w:val="auto"/>
        </w:rPr>
        <w:t>"Affiliate"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shall be deemed to be control. For purposes of this definition, the terms "controlling," "controlled by" and "under common control with" shall have correlative meanings.</w:t>
      </w:r>
    </w:p>
    <w:p>
      <w:pPr>
        <w:spacing w:after="0" w:line="18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"Agent" means any Registrar, Paying Agent or co-registrar.</w:t>
      </w:r>
    </w:p>
    <w:p>
      <w:pPr>
        <w:sectPr>
          <w:pgSz w:w="11900" w:h="16838" w:orient="portrait"/>
          <w:cols w:equalWidth="0" w:num="1">
            <w:col w:w="10219"/>
          </w:cols>
          <w:pgMar w:left="240" w:top="481" w:right="1440" w:bottom="1440" w:gutter="0" w:footer="0" w:header="0"/>
        </w:sectPr>
      </w:pPr>
    </w:p>
    <w:bookmarkStart w:id="241" w:name="page242"/>
    <w:bookmarkEnd w:id="241"/>
    <w:p>
      <w:pPr>
        <w:jc w:val="both"/>
        <w:ind w:right="2659" w:firstLine="567"/>
        <w:spacing w:after="0" w:line="238" w:lineRule="auto"/>
        <w:rPr>
          <w:sz w:val="20"/>
          <w:szCs w:val="20"/>
          <w:color w:val="auto"/>
        </w:rPr>
      </w:pPr>
      <w:r>
        <w:rPr>
          <w:rFonts w:ascii="Courier New" w:cs="Courier New" w:eastAsia="Courier New" w:hAnsi="Courier New"/>
          <w:sz w:val="16"/>
          <w:szCs w:val="16"/>
          <w:color w:val="auto"/>
        </w:rPr>
        <w:t>"Applicable Procedures" means, with respect to any transfer or exchange of or for beneficial interests in any Global Note, the rules and procedures of the Depositary, Euroclear and CEDEL that apply to such transfer or exchange.</w:t>
      </w:r>
    </w:p>
    <w:p>
      <w:pPr>
        <w:spacing w:after="0" w:line="18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"Asset Sale" means:</w:t>
      </w:r>
    </w:p>
    <w:p>
      <w:pPr>
        <w:spacing w:after="0" w:line="186" w:lineRule="exact"/>
        <w:rPr>
          <w:sz w:val="20"/>
          <w:szCs w:val="20"/>
          <w:color w:val="auto"/>
        </w:rPr>
      </w:pPr>
    </w:p>
    <w:p>
      <w:pPr>
        <w:ind w:right="2759" w:firstLine="564"/>
        <w:spacing w:after="0" w:line="239" w:lineRule="auto"/>
        <w:tabs>
          <w:tab w:leader="none" w:pos="946"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lease, conveyance or other disposition of any assets or rights, other than sales of inventory in the ordinary course of business consistent with past practices; provided that the sale, conveyance or other disposition of all or substantially all of the assets of the Company and its Restricted Subsidiaries taken as a whole will be governed by the provisions of Section 4.15 hereof and/or the provisions of Section 5.01 hereof and not by the provisions of Section 4.10 hereof; and</w:t>
      </w:r>
    </w:p>
    <w:p>
      <w:pPr>
        <w:spacing w:after="0" w:line="191" w:lineRule="exact"/>
        <w:rPr>
          <w:rFonts w:ascii="Courier New" w:cs="Courier New" w:eastAsia="Courier New" w:hAnsi="Courier New"/>
          <w:sz w:val="16"/>
          <w:szCs w:val="16"/>
          <w:color w:val="auto"/>
        </w:rPr>
      </w:pPr>
    </w:p>
    <w:p>
      <w:pPr>
        <w:ind w:right="2939" w:firstLine="564"/>
        <w:spacing w:after="0" w:line="267" w:lineRule="auto"/>
        <w:tabs>
          <w:tab w:leader="none" w:pos="946"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Equity Interests by any of the Company's Restricted Subsidiaries or the sale of Equity Interests in any of its Subsidiaries.</w:t>
      </w:r>
    </w:p>
    <w:p>
      <w:pPr>
        <w:spacing w:after="0" w:line="168" w:lineRule="exact"/>
        <w:rPr>
          <w:sz w:val="20"/>
          <w:szCs w:val="20"/>
          <w:color w:val="auto"/>
        </w:rPr>
      </w:pPr>
    </w:p>
    <w:p>
      <w:pPr>
        <w:ind w:right="2759" w:firstLine="567"/>
        <w:spacing w:after="0" w:line="237" w:lineRule="auto"/>
        <w:rPr>
          <w:sz w:val="20"/>
          <w:szCs w:val="20"/>
          <w:color w:val="auto"/>
        </w:rPr>
      </w:pPr>
      <w:r>
        <w:rPr>
          <w:rFonts w:ascii="Courier New" w:cs="Courier New" w:eastAsia="Courier New" w:hAnsi="Courier New"/>
          <w:sz w:val="16"/>
          <w:szCs w:val="16"/>
          <w:color w:val="auto"/>
        </w:rPr>
        <w:t>Notwithstanding the preceding, the following items shall not be deemed to be Asset Sales:</w:t>
      </w:r>
    </w:p>
    <w:p>
      <w:pPr>
        <w:spacing w:after="0" w:line="188" w:lineRule="exact"/>
        <w:rPr>
          <w:sz w:val="20"/>
          <w:szCs w:val="20"/>
          <w:color w:val="auto"/>
        </w:rPr>
      </w:pPr>
    </w:p>
    <w:p>
      <w:pPr>
        <w:jc w:val="both"/>
        <w:ind w:right="2939" w:firstLine="564"/>
        <w:spacing w:after="0" w:line="239" w:lineRule="auto"/>
        <w:tabs>
          <w:tab w:leader="none" w:pos="946"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single transaction or series of related transactions that: (a) involves assets having a fair market value of less than $5.0 million; or (b) results in net proceeds to the Company and its Subsidiaries of less than $5.0 million;</w:t>
      </w:r>
    </w:p>
    <w:p>
      <w:pPr>
        <w:spacing w:after="0" w:line="187" w:lineRule="exact"/>
        <w:rPr>
          <w:rFonts w:ascii="Courier New" w:cs="Courier New" w:eastAsia="Courier New" w:hAnsi="Courier New"/>
          <w:sz w:val="16"/>
          <w:szCs w:val="16"/>
          <w:color w:val="auto"/>
        </w:rPr>
      </w:pPr>
    </w:p>
    <w:p>
      <w:pPr>
        <w:ind w:right="2659" w:firstLine="564"/>
        <w:spacing w:after="0"/>
        <w:tabs>
          <w:tab w:leader="none" w:pos="946"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transfer of assets (a) between or among the Company and its Wholly Owned Restricted Subsidiaries, (b) by a Restricted Subsidiary to the Company or any of its Wholly Owned Restricted Subsidiaries or (c) by the Company or any of its Wholly Owned Restricted Subsidiaries to any Restricted Subsidiary of the Company that is not a Wholly Owned Restricted Subsidiary if, in the case of this clause (c), the Company or the Wholly Owned Restricted Subsidiary, as the case may be, either retains title to or ownership of the assets being transferred or receives consideration at the time of such transfer at least equal to the fair market value of the transferred assets;</w:t>
      </w:r>
    </w:p>
    <w:p>
      <w:pPr>
        <w:spacing w:after="0" w:line="187" w:lineRule="exact"/>
        <w:rPr>
          <w:rFonts w:ascii="Courier New" w:cs="Courier New" w:eastAsia="Courier New" w:hAnsi="Courier New"/>
          <w:sz w:val="16"/>
          <w:szCs w:val="16"/>
          <w:color w:val="auto"/>
        </w:rPr>
      </w:pPr>
    </w:p>
    <w:p>
      <w:pPr>
        <w:ind w:right="3119" w:firstLine="564"/>
        <w:spacing w:after="0" w:line="237" w:lineRule="auto"/>
        <w:tabs>
          <w:tab w:leader="none" w:pos="946"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issuance of Equity Interests by a Restricted Subsidiary to the Company or to a Wholly Owned Restricted Subsidiary;</w:t>
      </w:r>
    </w:p>
    <w:p>
      <w:pPr>
        <w:spacing w:after="0" w:line="187" w:lineRule="exact"/>
        <w:rPr>
          <w:rFonts w:ascii="Courier New" w:cs="Courier New" w:eastAsia="Courier New" w:hAnsi="Courier New"/>
          <w:sz w:val="16"/>
          <w:szCs w:val="16"/>
          <w:color w:val="auto"/>
        </w:rPr>
      </w:pPr>
    </w:p>
    <w:p>
      <w:pPr>
        <w:ind w:right="2659" w:firstLine="564"/>
        <w:spacing w:after="0" w:line="238" w:lineRule="auto"/>
        <w:tabs>
          <w:tab w:leader="none" w:pos="946"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transfer or discount of any receivables to lenders under any Credit Facilities or to special purpose entities formed to borrow from lenders under Credit Facilities against such receivables;</w:t>
      </w:r>
    </w:p>
    <w:p>
      <w:pPr>
        <w:spacing w:after="0" w:line="184" w:lineRule="exact"/>
        <w:rPr>
          <w:rFonts w:ascii="Courier New" w:cs="Courier New" w:eastAsia="Courier New" w:hAnsi="Courier New"/>
          <w:sz w:val="16"/>
          <w:szCs w:val="16"/>
          <w:color w:val="auto"/>
        </w:rPr>
      </w:pPr>
    </w:p>
    <w:p>
      <w:pPr>
        <w:ind w:left="940" w:hanging="376"/>
        <w:spacing w:after="0"/>
        <w:tabs>
          <w:tab w:leader="none" w:pos="940"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Restricted Payment that is permitted by Section 4.07 hereof; and</w:t>
      </w:r>
    </w:p>
    <w:p>
      <w:pPr>
        <w:spacing w:after="0" w:line="186" w:lineRule="exact"/>
        <w:rPr>
          <w:rFonts w:ascii="Courier New" w:cs="Courier New" w:eastAsia="Courier New" w:hAnsi="Courier New"/>
          <w:sz w:val="16"/>
          <w:szCs w:val="16"/>
          <w:color w:val="auto"/>
        </w:rPr>
      </w:pPr>
    </w:p>
    <w:p>
      <w:pPr>
        <w:ind w:right="2759" w:firstLine="564"/>
        <w:spacing w:after="0" w:line="239" w:lineRule="auto"/>
        <w:tabs>
          <w:tab w:leader="none" w:pos="946"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disposition of inventory in the ordinary course of business or a disposition of obsolete equipment or equipment that is no longer useful in the conduct of the business of the Company and its Restricted Subsidiaries and that is disposed of in the ordinary course of business.</w:t>
      </w:r>
    </w:p>
    <w:p>
      <w:pPr>
        <w:spacing w:after="0" w:line="187" w:lineRule="exact"/>
        <w:rPr>
          <w:sz w:val="20"/>
          <w:szCs w:val="20"/>
          <w:color w:val="auto"/>
        </w:rPr>
      </w:pPr>
    </w:p>
    <w:p>
      <w:pPr>
        <w:ind w:right="2659" w:firstLine="567"/>
        <w:spacing w:after="0" w:line="237" w:lineRule="auto"/>
        <w:rPr>
          <w:sz w:val="20"/>
          <w:szCs w:val="20"/>
          <w:color w:val="auto"/>
        </w:rPr>
      </w:pPr>
      <w:r>
        <w:rPr>
          <w:rFonts w:ascii="Courier New" w:cs="Courier New" w:eastAsia="Courier New" w:hAnsi="Courier New"/>
          <w:sz w:val="16"/>
          <w:szCs w:val="16"/>
          <w:color w:val="auto"/>
        </w:rPr>
        <w:t>"Bankruptcy Law" means Title 11, U.S. Code or any similar federal or state law for the relief of debtors.</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81" w:right="1440" w:bottom="1440" w:gutter="0" w:footer="0" w:header="0"/>
        </w:sectPr>
      </w:pPr>
    </w:p>
    <w:bookmarkStart w:id="242" w:name="page243"/>
    <w:bookmarkEnd w:id="242"/>
    <w:p>
      <w:pPr>
        <w:ind w:right="2659" w:firstLine="567"/>
        <w:spacing w:after="0" w:line="239" w:lineRule="auto"/>
        <w:rPr>
          <w:sz w:val="20"/>
          <w:szCs w:val="20"/>
          <w:color w:val="auto"/>
        </w:rPr>
      </w:pPr>
      <w:r>
        <w:rPr>
          <w:rFonts w:ascii="Courier New" w:cs="Courier New" w:eastAsia="Courier New" w:hAnsi="Courier New"/>
          <w:sz w:val="16"/>
          <w:szCs w:val="16"/>
          <w:color w:val="auto"/>
        </w:rPr>
        <w:t>"Beneficial Owner" has the meaning assigned to such term in Rule 13d-3 and Rule 13d-5 under the Exchange Act, except that in calculating the beneficial ownership of any particular "person" (as such term is used in Section 13(d)(3) of the Exchange Act), such "person" shall be deemed to have beneficial ownership of all securities that such "person" has the right to acquire, whether such right is currently exercisable or is exercisable only upon the occurrence of a subsequent condition.</w:t>
      </w:r>
    </w:p>
    <w:p>
      <w:pPr>
        <w:spacing w:after="0" w:line="192" w:lineRule="exact"/>
        <w:rPr>
          <w:sz w:val="20"/>
          <w:szCs w:val="20"/>
          <w:color w:val="auto"/>
        </w:rPr>
      </w:pPr>
    </w:p>
    <w:p>
      <w:pPr>
        <w:ind w:right="2839" w:firstLine="567"/>
        <w:spacing w:after="0" w:line="237" w:lineRule="auto"/>
        <w:rPr>
          <w:sz w:val="20"/>
          <w:szCs w:val="20"/>
          <w:color w:val="auto"/>
        </w:rPr>
      </w:pPr>
      <w:r>
        <w:rPr>
          <w:rFonts w:ascii="Courier New" w:cs="Courier New" w:eastAsia="Courier New" w:hAnsi="Courier New"/>
          <w:sz w:val="16"/>
          <w:szCs w:val="16"/>
          <w:color w:val="auto"/>
        </w:rPr>
        <w:t>"Board of Directors" means the Board of Directors of the Company, or any authorized committee of the Board of Directors.</w:t>
      </w:r>
    </w:p>
    <w:p>
      <w:pPr>
        <w:spacing w:after="0" w:line="188" w:lineRule="exact"/>
        <w:rPr>
          <w:sz w:val="20"/>
          <w:szCs w:val="20"/>
          <w:color w:val="auto"/>
        </w:rPr>
      </w:pPr>
    </w:p>
    <w:p>
      <w:pPr>
        <w:ind w:right="3219" w:firstLine="567"/>
        <w:spacing w:after="0" w:line="237" w:lineRule="auto"/>
        <w:rPr>
          <w:sz w:val="20"/>
          <w:szCs w:val="20"/>
          <w:color w:val="auto"/>
        </w:rPr>
      </w:pPr>
      <w:r>
        <w:rPr>
          <w:rFonts w:ascii="Courier New" w:cs="Courier New" w:eastAsia="Courier New" w:hAnsi="Courier New"/>
          <w:sz w:val="16"/>
          <w:szCs w:val="16"/>
          <w:color w:val="auto"/>
        </w:rPr>
        <w:t>"Broker-Dealer" has the meaning set forth in the Registration Rights Agreement.</w:t>
      </w:r>
    </w:p>
    <w:p>
      <w:pPr>
        <w:spacing w:after="0" w:line="18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"Business Day" means any day other than a Legal Holiday.</w:t>
      </w:r>
    </w:p>
    <w:p>
      <w:pPr>
        <w:spacing w:after="0" w:line="186" w:lineRule="exact"/>
        <w:rPr>
          <w:sz w:val="20"/>
          <w:szCs w:val="20"/>
          <w:color w:val="auto"/>
        </w:rPr>
      </w:pPr>
    </w:p>
    <w:p>
      <w:pPr>
        <w:jc w:val="both"/>
        <w:ind w:right="2659" w:firstLine="567"/>
        <w:spacing w:after="0" w:line="239" w:lineRule="auto"/>
        <w:rPr>
          <w:sz w:val="20"/>
          <w:szCs w:val="20"/>
          <w:color w:val="auto"/>
        </w:rPr>
      </w:pPr>
      <w:r>
        <w:rPr>
          <w:rFonts w:ascii="Courier New" w:cs="Courier New" w:eastAsia="Courier New" w:hAnsi="Courier New"/>
          <w:sz w:val="16"/>
          <w:szCs w:val="16"/>
          <w:color w:val="auto"/>
        </w:rPr>
        <w:t>"Capital Lease Obligation" means, at the time any determination thereof is to be made, the amount of the liability in respect of a capital lease that would at that time be required to be capitalized on a balance sheet in accordance with GAAP.</w:t>
      </w:r>
    </w:p>
    <w:p>
      <w:pPr>
        <w:spacing w:after="0" w:line="183"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"Capital Stock" means:</w:t>
      </w:r>
    </w:p>
    <w:p>
      <w:pPr>
        <w:spacing w:after="0" w:line="183" w:lineRule="exact"/>
        <w:rPr>
          <w:sz w:val="20"/>
          <w:szCs w:val="20"/>
          <w:color w:val="auto"/>
        </w:rPr>
      </w:pPr>
    </w:p>
    <w:p>
      <w:pPr>
        <w:ind w:left="940" w:hanging="376"/>
        <w:spacing w:after="0"/>
        <w:tabs>
          <w:tab w:leader="none" w:pos="940"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corporation, corporate stock;</w:t>
      </w:r>
    </w:p>
    <w:p>
      <w:pPr>
        <w:spacing w:after="0" w:line="186" w:lineRule="exact"/>
        <w:rPr>
          <w:rFonts w:ascii="Courier New" w:cs="Courier New" w:eastAsia="Courier New" w:hAnsi="Courier New"/>
          <w:sz w:val="16"/>
          <w:szCs w:val="16"/>
          <w:color w:val="auto"/>
        </w:rPr>
      </w:pPr>
    </w:p>
    <w:p>
      <w:pPr>
        <w:ind w:right="2759" w:firstLine="564"/>
        <w:spacing w:after="0" w:line="238" w:lineRule="auto"/>
        <w:tabs>
          <w:tab w:leader="none" w:pos="946"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association or business entity, any and all shares, interests, participations, rights or other equivalents (however designated) of corporate stock;</w:t>
      </w:r>
    </w:p>
    <w:p>
      <w:pPr>
        <w:spacing w:after="0" w:line="188" w:lineRule="exact"/>
        <w:rPr>
          <w:rFonts w:ascii="Courier New" w:cs="Courier New" w:eastAsia="Courier New" w:hAnsi="Courier New"/>
          <w:sz w:val="16"/>
          <w:szCs w:val="16"/>
          <w:color w:val="auto"/>
        </w:rPr>
      </w:pPr>
    </w:p>
    <w:p>
      <w:pPr>
        <w:ind w:right="2659" w:firstLine="564"/>
        <w:spacing w:after="0" w:line="237" w:lineRule="auto"/>
        <w:tabs>
          <w:tab w:leader="none" w:pos="946"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partnership or limited liability company, partnership or membership interests (whether general or limited); and</w:t>
      </w:r>
    </w:p>
    <w:p>
      <w:pPr>
        <w:spacing w:after="0" w:line="187" w:lineRule="exact"/>
        <w:rPr>
          <w:rFonts w:ascii="Courier New" w:cs="Courier New" w:eastAsia="Courier New" w:hAnsi="Courier New"/>
          <w:sz w:val="16"/>
          <w:szCs w:val="16"/>
          <w:color w:val="auto"/>
        </w:rPr>
      </w:pPr>
    </w:p>
    <w:p>
      <w:pPr>
        <w:ind w:right="2659" w:firstLine="564"/>
        <w:spacing w:after="0" w:line="238" w:lineRule="auto"/>
        <w:tabs>
          <w:tab w:leader="none" w:pos="946"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interest or participation that confers on a Person the right to receive a share of the profits and losses of, or distributions of assets of, the issuing Person.</w:t>
      </w:r>
    </w:p>
    <w:p>
      <w:pPr>
        <w:spacing w:after="0" w:line="18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"Cash Equivalents" means:</w:t>
      </w:r>
    </w:p>
    <w:p>
      <w:pPr>
        <w:spacing w:after="0" w:line="183" w:lineRule="exact"/>
        <w:rPr>
          <w:sz w:val="20"/>
          <w:szCs w:val="20"/>
          <w:color w:val="auto"/>
        </w:rPr>
      </w:pPr>
    </w:p>
    <w:p>
      <w:pPr>
        <w:ind w:left="940" w:hanging="376"/>
        <w:spacing w:after="0"/>
        <w:tabs>
          <w:tab w:leader="none" w:pos="940"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States dollars;</w:t>
      </w:r>
    </w:p>
    <w:p>
      <w:pPr>
        <w:spacing w:after="0" w:line="186" w:lineRule="exact"/>
        <w:rPr>
          <w:rFonts w:ascii="Courier New" w:cs="Courier New" w:eastAsia="Courier New" w:hAnsi="Courier New"/>
          <w:sz w:val="16"/>
          <w:szCs w:val="16"/>
          <w:color w:val="auto"/>
        </w:rPr>
      </w:pPr>
    </w:p>
    <w:p>
      <w:pPr>
        <w:ind w:right="2659" w:firstLine="564"/>
        <w:spacing w:after="0" w:line="260" w:lineRule="auto"/>
        <w:tabs>
          <w:tab w:leader="none" w:pos="946"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issued or directly and fully guaranteed or insured by the United States government or any agency or instrumentality thereof (provided that the full faith and credit of the United States is pledged in support thereof) having maturities of not more than one year from the date of acquisition;</w:t>
      </w:r>
    </w:p>
    <w:p>
      <w:pPr>
        <w:spacing w:after="0" w:line="173" w:lineRule="exact"/>
        <w:rPr>
          <w:rFonts w:ascii="Courier New" w:cs="Courier New" w:eastAsia="Courier New" w:hAnsi="Courier New"/>
          <w:sz w:val="15"/>
          <w:szCs w:val="15"/>
          <w:color w:val="auto"/>
        </w:rPr>
      </w:pPr>
    </w:p>
    <w:p>
      <w:pPr>
        <w:ind w:right="2839" w:firstLine="564"/>
        <w:spacing w:after="0" w:line="239" w:lineRule="auto"/>
        <w:tabs>
          <w:tab w:leader="none" w:pos="946"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of deposit and eurodollar time deposits with maturities of one year or less from the date of acquisition, bankers' acceptances with maturities not exceeding one year and overnight bank deposits, in each case, with any lender party to the Credit Facility or with any domestic commercial bank having capital and surplus in excess of $500 million and a Thompson Bank Watch Rating of "B" or better;</w:t>
      </w:r>
    </w:p>
    <w:p>
      <w:pPr>
        <w:spacing w:after="0" w:line="36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81" w:right="1440" w:bottom="1440" w:gutter="0" w:footer="0" w:header="0"/>
        </w:sectPr>
      </w:pPr>
    </w:p>
    <w:bookmarkStart w:id="243" w:name="page244"/>
    <w:bookmarkEnd w:id="243"/>
    <w:p>
      <w:pPr>
        <w:ind w:right="2659" w:firstLine="564"/>
        <w:spacing w:after="0" w:line="239" w:lineRule="auto"/>
        <w:tabs>
          <w:tab w:leader="none" w:pos="946"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187" w:lineRule="exact"/>
        <w:rPr>
          <w:rFonts w:ascii="Courier New" w:cs="Courier New" w:eastAsia="Courier New" w:hAnsi="Courier New"/>
          <w:sz w:val="16"/>
          <w:szCs w:val="16"/>
          <w:color w:val="auto"/>
        </w:rPr>
      </w:pPr>
    </w:p>
    <w:p>
      <w:pPr>
        <w:ind w:right="3039" w:firstLine="564"/>
        <w:spacing w:after="0" w:line="238" w:lineRule="auto"/>
        <w:tabs>
          <w:tab w:leader="none" w:pos="946"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commercial paper having the highest rating obtainable from Moody's Investors Service, Inc. or Standard &amp; Poor's Corporation and in each case maturing within one year after the date of acquisition; and</w:t>
      </w:r>
    </w:p>
    <w:p>
      <w:pPr>
        <w:spacing w:after="0" w:line="188" w:lineRule="exact"/>
        <w:rPr>
          <w:rFonts w:ascii="Courier New" w:cs="Courier New" w:eastAsia="Courier New" w:hAnsi="Courier New"/>
          <w:sz w:val="16"/>
          <w:szCs w:val="16"/>
          <w:color w:val="auto"/>
        </w:rPr>
      </w:pPr>
    </w:p>
    <w:p>
      <w:pPr>
        <w:ind w:right="2659" w:firstLine="564"/>
        <w:spacing w:after="0" w:line="238" w:lineRule="auto"/>
        <w:tabs>
          <w:tab w:leader="none" w:pos="946"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money market funds at least 95% of the assets of which constitute Cash Equivalents of the kinds described in clauses (1) through (5) of this definition.</w:t>
      </w:r>
    </w:p>
    <w:p>
      <w:pPr>
        <w:spacing w:after="0" w:line="18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"CEDEL" means CEDEL Bank, SA.</w:t>
      </w:r>
    </w:p>
    <w:p>
      <w:pPr>
        <w:spacing w:after="0" w:line="183"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"Change of Control" means the occurrence of any of the following:</w:t>
      </w:r>
    </w:p>
    <w:p>
      <w:pPr>
        <w:spacing w:after="0" w:line="186" w:lineRule="exact"/>
        <w:rPr>
          <w:sz w:val="20"/>
          <w:szCs w:val="20"/>
          <w:color w:val="auto"/>
        </w:rPr>
      </w:pPr>
    </w:p>
    <w:p>
      <w:pPr>
        <w:ind w:right="2659" w:firstLine="564"/>
        <w:spacing w:after="0" w:line="239" w:lineRule="auto"/>
        <w:tabs>
          <w:tab w:leader="none" w:pos="946"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lease, transfer, conveyance or other disposition (other than by way of merger or consolidation), in one or a series of related transactions, of all or substantially all of the assets of the Company and its Restricted Subsidiaries taken as a whole to any "person" (as such term is used in Section 13(d)(3) of the Exchange Act) other than a Principal or a Related Party of a Principal;</w:t>
      </w:r>
    </w:p>
    <w:p>
      <w:pPr>
        <w:spacing w:after="0" w:line="190" w:lineRule="exact"/>
        <w:rPr>
          <w:rFonts w:ascii="Courier New" w:cs="Courier New" w:eastAsia="Courier New" w:hAnsi="Courier New"/>
          <w:sz w:val="16"/>
          <w:szCs w:val="16"/>
          <w:color w:val="auto"/>
        </w:rPr>
      </w:pPr>
    </w:p>
    <w:p>
      <w:pPr>
        <w:ind w:right="2839" w:firstLine="564"/>
        <w:spacing w:after="0" w:line="237" w:lineRule="auto"/>
        <w:tabs>
          <w:tab w:leader="none" w:pos="946"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adoption of a plan relating to the liquidation or dissolution of the Company;</w:t>
      </w:r>
    </w:p>
    <w:p>
      <w:pPr>
        <w:spacing w:after="0" w:line="187" w:lineRule="exact"/>
        <w:rPr>
          <w:rFonts w:ascii="Courier New" w:cs="Courier New" w:eastAsia="Courier New" w:hAnsi="Courier New"/>
          <w:sz w:val="16"/>
          <w:szCs w:val="16"/>
          <w:color w:val="auto"/>
        </w:rPr>
      </w:pPr>
    </w:p>
    <w:p>
      <w:pPr>
        <w:ind w:right="2659" w:firstLine="564"/>
        <w:spacing w:after="0" w:line="239" w:lineRule="auto"/>
        <w:tabs>
          <w:tab w:leader="none" w:pos="946"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consummation of any transaction (including, without limitation, any merger or consolidation) the result of which is that any "person" (as defined above), other than the Principals and their Related Parties, becomes the Beneficial Owner, directly or indirectly, of more than 50% of the Voting Stock of the Company, measured by voting power rather than number of shares;</w:t>
      </w:r>
    </w:p>
    <w:p>
      <w:pPr>
        <w:spacing w:after="0" w:line="188" w:lineRule="exact"/>
        <w:rPr>
          <w:rFonts w:ascii="Courier New" w:cs="Courier New" w:eastAsia="Courier New" w:hAnsi="Courier New"/>
          <w:sz w:val="16"/>
          <w:szCs w:val="16"/>
          <w:color w:val="auto"/>
        </w:rPr>
      </w:pPr>
    </w:p>
    <w:p>
      <w:pPr>
        <w:ind w:right="3219" w:firstLine="564"/>
        <w:spacing w:after="0" w:line="237" w:lineRule="auto"/>
        <w:tabs>
          <w:tab w:leader="none" w:pos="946"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day on which a majority of the members of the Board of Directors are not Continuing Directors; or</w:t>
      </w:r>
    </w:p>
    <w:p>
      <w:pPr>
        <w:spacing w:after="0" w:line="187" w:lineRule="exact"/>
        <w:rPr>
          <w:rFonts w:ascii="Courier New" w:cs="Courier New" w:eastAsia="Courier New" w:hAnsi="Courier New"/>
          <w:sz w:val="16"/>
          <w:szCs w:val="16"/>
          <w:color w:val="auto"/>
        </w:rPr>
      </w:pPr>
    </w:p>
    <w:p>
      <w:pPr>
        <w:ind w:right="2659" w:firstLine="564"/>
        <w:spacing w:after="0"/>
        <w:tabs>
          <w:tab w:leader="none" w:pos="946"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consolidation or merger of the Company with or into any Person, or the consolidation or merger of any Person with or into the Company, in any such event pursuant to a transaction in which any of the outstanding Voting Stock of the Company is converted into or exchanged for cash, securities or other property, excluding any such transaction where the Voting Stock of the Company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88" w:lineRule="exact"/>
        <w:rPr>
          <w:sz w:val="20"/>
          <w:szCs w:val="20"/>
          <w:color w:val="auto"/>
        </w:rPr>
      </w:pPr>
    </w:p>
    <w:p>
      <w:pPr>
        <w:ind w:right="2759" w:firstLine="567"/>
        <w:spacing w:after="0" w:line="239" w:lineRule="auto"/>
        <w:rPr>
          <w:sz w:val="20"/>
          <w:szCs w:val="20"/>
          <w:color w:val="auto"/>
        </w:rPr>
      </w:pPr>
      <w:r>
        <w:rPr>
          <w:rFonts w:ascii="Courier New" w:cs="Courier New" w:eastAsia="Courier New" w:hAnsi="Courier New"/>
          <w:sz w:val="16"/>
          <w:szCs w:val="16"/>
          <w:color w:val="auto"/>
        </w:rPr>
        <w:t>"Common Stock" means with respect to any Person, any and all shares, interests or other participations in, and other equivalents (however designated and whether voting or nonvoting) of such Person's common stock whether or not outstanding on the Issue Date, and includes, without limitation, all series and classes of such common stock.</w:t>
      </w:r>
    </w:p>
    <w:p>
      <w:pPr>
        <w:spacing w:after="0" w:line="185"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"Company" means The Scotts Company, and any and all successors thereto.</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81" w:right="1440" w:bottom="1440" w:gutter="0" w:footer="0" w:header="0"/>
        </w:sectPr>
      </w:pPr>
    </w:p>
    <w:bookmarkStart w:id="244" w:name="page245"/>
    <w:bookmarkEnd w:id="244"/>
    <w:p>
      <w:pPr>
        <w:ind w:right="2659" w:firstLine="567"/>
        <w:spacing w:after="0" w:line="238" w:lineRule="auto"/>
        <w:rPr>
          <w:sz w:val="20"/>
          <w:szCs w:val="20"/>
          <w:color w:val="auto"/>
        </w:rPr>
      </w:pPr>
      <w:r>
        <w:rPr>
          <w:rFonts w:ascii="Courier New" w:cs="Courier New" w:eastAsia="Courier New" w:hAnsi="Courier New"/>
          <w:sz w:val="16"/>
          <w:szCs w:val="16"/>
          <w:color w:val="auto"/>
        </w:rPr>
        <w:t>"Consolidated Cash Flow" means, with respect to any Person for any period, the Consolidated Net Income of such Person for such period plus, without duplication:</w:t>
      </w:r>
    </w:p>
    <w:p>
      <w:pPr>
        <w:spacing w:after="0" w:line="188" w:lineRule="exact"/>
        <w:rPr>
          <w:sz w:val="20"/>
          <w:szCs w:val="20"/>
          <w:color w:val="auto"/>
        </w:rPr>
      </w:pPr>
    </w:p>
    <w:p>
      <w:pPr>
        <w:ind w:right="2759" w:firstLine="564"/>
        <w:spacing w:after="0" w:line="262" w:lineRule="auto"/>
        <w:tabs>
          <w:tab w:leader="none" w:pos="946"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for taxes based on income or profits of such Person and its Restricted Subsidiaries for such period, to the extent that such provision for taxes was deducted in computing such Consolidated Net Income; plus</w:t>
      </w:r>
    </w:p>
    <w:p>
      <w:pPr>
        <w:spacing w:after="0" w:line="171" w:lineRule="exact"/>
        <w:rPr>
          <w:rFonts w:ascii="Courier New" w:cs="Courier New" w:eastAsia="Courier New" w:hAnsi="Courier New"/>
          <w:sz w:val="15"/>
          <w:szCs w:val="15"/>
          <w:color w:val="auto"/>
        </w:rPr>
      </w:pPr>
    </w:p>
    <w:p>
      <w:pPr>
        <w:ind w:right="2659" w:firstLine="564"/>
        <w:spacing w:after="0"/>
        <w:tabs>
          <w:tab w:leader="none" w:pos="946"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net interest expense of such Person and its Restricted Subsidiaries for such period, whether paid or accrued and whether or not capitalized (including, without limitation, amortization of original issue discount,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payments, if any, pursuant to Hedging Obligations but excluding amortization of debt issuance costs), to the extent that any such expense was deducted in computing such Consolidated Net Income; plus</w:t>
      </w:r>
    </w:p>
    <w:p>
      <w:pPr>
        <w:spacing w:after="0" w:line="188" w:lineRule="exact"/>
        <w:rPr>
          <w:rFonts w:ascii="Courier New" w:cs="Courier New" w:eastAsia="Courier New" w:hAnsi="Courier New"/>
          <w:sz w:val="16"/>
          <w:szCs w:val="16"/>
          <w:color w:val="auto"/>
        </w:rPr>
      </w:pPr>
    </w:p>
    <w:p>
      <w:pPr>
        <w:ind w:right="2659" w:firstLine="564"/>
        <w:spacing w:after="0" w:line="258" w:lineRule="auto"/>
        <w:tabs>
          <w:tab w:leader="none" w:pos="946"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amortization (including amortization of goodwill and other intangibles but excluding amortization of prepaid cash expenses that were paid in a prior period), other non-cash expenses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were deducted in computing such Consolidated Net Income; minus</w:t>
      </w:r>
    </w:p>
    <w:p>
      <w:pPr>
        <w:spacing w:after="0" w:line="175" w:lineRule="exact"/>
        <w:rPr>
          <w:rFonts w:ascii="Courier New" w:cs="Courier New" w:eastAsia="Courier New" w:hAnsi="Courier New"/>
          <w:sz w:val="15"/>
          <w:szCs w:val="15"/>
          <w:color w:val="auto"/>
        </w:rPr>
      </w:pPr>
    </w:p>
    <w:p>
      <w:pPr>
        <w:ind w:right="2839" w:firstLine="564"/>
        <w:spacing w:after="0" w:line="262" w:lineRule="auto"/>
        <w:tabs>
          <w:tab w:leader="none" w:pos="946"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non-cash items increasing such Consolidated Net Income for such period, other than items that were accrued in the ordinary course of business, in each case, on a consolidated basis and determined in accordance with GAAP.</w:t>
      </w:r>
    </w:p>
    <w:p>
      <w:pPr>
        <w:spacing w:after="0" w:line="171" w:lineRule="exact"/>
        <w:rPr>
          <w:sz w:val="20"/>
          <w:szCs w:val="20"/>
          <w:color w:val="auto"/>
        </w:rPr>
      </w:pPr>
    </w:p>
    <w:p>
      <w:pPr>
        <w:ind w:right="2659" w:firstLine="567"/>
        <w:spacing w:after="0" w:line="257" w:lineRule="auto"/>
        <w:rPr>
          <w:sz w:val="20"/>
          <w:szCs w:val="20"/>
          <w:color w:val="auto"/>
        </w:rPr>
      </w:pPr>
      <w:r>
        <w:rPr>
          <w:rFonts w:ascii="Courier New" w:cs="Courier New" w:eastAsia="Courier New" w:hAnsi="Courier New"/>
          <w:sz w:val="15"/>
          <w:szCs w:val="15"/>
          <w:color w:val="auto"/>
        </w:rPr>
        <w:t>Notwithstanding the preceding, the provision for taxes based on the income or profits of, and the depreciation and amortization and other non-cash charges of, a Restricted Subsidiary of the Company shall be added to Consolidated Net Income to compute Consolidated Cash Flow of the Company only to the extent that a corresponding amount would be permitted at the date of determination to be dividended to the Company by such Restricted Subsidiary without prior approval (that has not been obtained), pursuant to the terms of its charter and all agreements, instruments, judgments, decrees, orders, statutes, rules and governmental regulations applicable to that Subsidiary or its stockholders (other than restrictions in effect on the Issue Date and other than restrictions that are created or exist in compliance with Section 4.08 hereof).</w:t>
      </w:r>
    </w:p>
    <w:p>
      <w:pPr>
        <w:spacing w:after="0" w:line="181" w:lineRule="exact"/>
        <w:rPr>
          <w:sz w:val="20"/>
          <w:szCs w:val="20"/>
          <w:color w:val="auto"/>
        </w:rPr>
      </w:pPr>
    </w:p>
    <w:p>
      <w:pPr>
        <w:ind w:right="2759" w:firstLine="567"/>
        <w:spacing w:after="0" w:line="239" w:lineRule="auto"/>
        <w:rPr>
          <w:sz w:val="20"/>
          <w:szCs w:val="20"/>
          <w:color w:val="auto"/>
        </w:rPr>
      </w:pPr>
      <w:r>
        <w:rPr>
          <w:rFonts w:ascii="Courier New" w:cs="Courier New" w:eastAsia="Courier New" w:hAnsi="Courier New"/>
          <w:sz w:val="16"/>
          <w:szCs w:val="16"/>
          <w:color w:val="auto"/>
        </w:rPr>
        <w:t>"Consolidated Net Income" means, with respect to any specified Person for any period, the aggregate of the Net Income of such Person and its Restricted Subsidiaries for such period, on a consolidated basis, determined in accordance with GAAP; provided that:</w:t>
      </w:r>
    </w:p>
    <w:p>
      <w:pPr>
        <w:spacing w:after="0" w:line="187" w:lineRule="exact"/>
        <w:rPr>
          <w:sz w:val="20"/>
          <w:szCs w:val="20"/>
          <w:color w:val="auto"/>
        </w:rPr>
      </w:pPr>
    </w:p>
    <w:p>
      <w:pPr>
        <w:ind w:right="2839" w:firstLine="564"/>
        <w:spacing w:after="0" w:line="239" w:lineRule="auto"/>
        <w:tabs>
          <w:tab w:leader="none" w:pos="946"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Income (but not loss) of any Person that is accounted for by the equity method of accounting shall be included only to the extent of the amount of dividends or distributions paid in cash to the specified Person or a Restricted Subsidiary thereof;</w:t>
      </w:r>
    </w:p>
    <w:p>
      <w:pPr>
        <w:spacing w:after="0" w:line="187" w:lineRule="exact"/>
        <w:rPr>
          <w:rFonts w:ascii="Courier New" w:cs="Courier New" w:eastAsia="Courier New" w:hAnsi="Courier New"/>
          <w:sz w:val="16"/>
          <w:szCs w:val="16"/>
          <w:color w:val="auto"/>
        </w:rPr>
      </w:pPr>
    </w:p>
    <w:p>
      <w:pPr>
        <w:ind w:right="2759" w:firstLine="564"/>
        <w:spacing w:after="0" w:line="238" w:lineRule="auto"/>
        <w:tabs>
          <w:tab w:leader="none" w:pos="946"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Income of any Restricted Subsidiary shall be excluded to the extent that the declaration or payment of dividends or similar distributions by that Restricted</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81" w:right="1440" w:bottom="1440" w:gutter="0" w:footer="0" w:header="0"/>
        </w:sectPr>
      </w:pPr>
    </w:p>
    <w:bookmarkStart w:id="245" w:name="page246"/>
    <w:bookmarkEnd w:id="245"/>
    <w:p>
      <w:pPr>
        <w:ind w:right="2839"/>
        <w:spacing w:after="0" w:line="258" w:lineRule="auto"/>
        <w:rPr>
          <w:sz w:val="20"/>
          <w:szCs w:val="20"/>
          <w:color w:val="auto"/>
        </w:rPr>
      </w:pPr>
      <w:r>
        <w:rPr>
          <w:rFonts w:ascii="Courier New" w:cs="Courier New" w:eastAsia="Courier New" w:hAnsi="Courier New"/>
          <w:sz w:val="15"/>
          <w:szCs w:val="15"/>
          <w:color w:val="auto"/>
        </w:rPr>
        <w:t>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(other than restrictions in effect on the Issue Date and other than restrictions that are created or exist in compliance with Section 4.08 hereof);</w:t>
      </w:r>
    </w:p>
    <w:p>
      <w:pPr>
        <w:spacing w:after="0" w:line="176" w:lineRule="exact"/>
        <w:rPr>
          <w:sz w:val="20"/>
          <w:szCs w:val="20"/>
          <w:color w:val="auto"/>
        </w:rPr>
      </w:pPr>
    </w:p>
    <w:p>
      <w:pPr>
        <w:ind w:right="2759" w:firstLine="564"/>
        <w:spacing w:after="0" w:line="238" w:lineRule="auto"/>
        <w:tabs>
          <w:tab w:leader="none" w:pos="946"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Income (but not loss) of any Unrestricted Subsidiary shall be excluded, whether or not distributed to the specified Person or one of its Subsidiaries; and</w:t>
      </w:r>
    </w:p>
    <w:p>
      <w:pPr>
        <w:spacing w:after="0" w:line="184" w:lineRule="exact"/>
        <w:rPr>
          <w:rFonts w:ascii="Courier New" w:cs="Courier New" w:eastAsia="Courier New" w:hAnsi="Courier New"/>
          <w:sz w:val="16"/>
          <w:szCs w:val="16"/>
          <w:color w:val="auto"/>
        </w:rPr>
      </w:pPr>
    </w:p>
    <w:p>
      <w:pPr>
        <w:ind w:left="940" w:hanging="376"/>
        <w:spacing w:after="0"/>
        <w:tabs>
          <w:tab w:leader="none" w:pos="940"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cumulative effect of a change in accounting principles shall be</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excluded.</w:t>
      </w:r>
    </w:p>
    <w:p>
      <w:pPr>
        <w:spacing w:after="0" w:line="186" w:lineRule="exact"/>
        <w:rPr>
          <w:sz w:val="20"/>
          <w:szCs w:val="20"/>
          <w:color w:val="auto"/>
        </w:rPr>
      </w:pPr>
    </w:p>
    <w:p>
      <w:pPr>
        <w:ind w:right="2659" w:firstLine="567"/>
        <w:spacing w:after="0" w:line="239" w:lineRule="auto"/>
        <w:rPr>
          <w:sz w:val="20"/>
          <w:szCs w:val="20"/>
          <w:color w:val="auto"/>
        </w:rPr>
      </w:pPr>
      <w:r>
        <w:rPr>
          <w:rFonts w:ascii="Courier New" w:cs="Courier New" w:eastAsia="Courier New" w:hAnsi="Courier New"/>
          <w:sz w:val="16"/>
          <w:szCs w:val="16"/>
          <w:color w:val="auto"/>
        </w:rPr>
        <w:t>"Consolidated Net Tangible Assets" of the Company as of any date means the total amount of assets of the Company and its Restricted Subsidiaries (less applicable reserves) on a consolidated basis at the end of the fiscal quarter immediately preceding such date, as determined in accordance with GAAP, less Intangible Assets.</w:t>
      </w:r>
    </w:p>
    <w:p>
      <w:pPr>
        <w:spacing w:after="0" w:line="189" w:lineRule="exact"/>
        <w:rPr>
          <w:sz w:val="20"/>
          <w:szCs w:val="20"/>
          <w:color w:val="auto"/>
        </w:rPr>
      </w:pPr>
    </w:p>
    <w:p>
      <w:pPr>
        <w:ind w:right="2659" w:firstLine="567"/>
        <w:spacing w:after="0" w:line="259" w:lineRule="auto"/>
        <w:rPr>
          <w:sz w:val="20"/>
          <w:szCs w:val="20"/>
          <w:color w:val="auto"/>
        </w:rPr>
      </w:pPr>
      <w:r>
        <w:rPr>
          <w:rFonts w:ascii="Courier New" w:cs="Courier New" w:eastAsia="Courier New" w:hAnsi="Courier New"/>
          <w:sz w:val="15"/>
          <w:szCs w:val="15"/>
          <w:color w:val="auto"/>
        </w:rPr>
        <w:t>"Continuing Directors" means, as of any date of determination, any member of the Board of Directors who (i) was a member of such Board of Directors on the date hereof or (ii) was nominated for election or elected to such Board of Directors with the approval of a majority of the Continuing Directors who were members of such Board at the time of such nomination or election.</w:t>
      </w:r>
    </w:p>
    <w:p>
      <w:pPr>
        <w:spacing w:after="0" w:line="174" w:lineRule="exact"/>
        <w:rPr>
          <w:sz w:val="20"/>
          <w:szCs w:val="20"/>
          <w:color w:val="auto"/>
        </w:rPr>
      </w:pPr>
    </w:p>
    <w:p>
      <w:pPr>
        <w:ind w:right="2759" w:firstLine="567"/>
        <w:spacing w:after="0" w:line="238" w:lineRule="auto"/>
        <w:rPr>
          <w:sz w:val="20"/>
          <w:szCs w:val="20"/>
          <w:color w:val="auto"/>
        </w:rPr>
      </w:pPr>
      <w:r>
        <w:rPr>
          <w:rFonts w:ascii="Courier New" w:cs="Courier New" w:eastAsia="Courier New" w:hAnsi="Courier New"/>
          <w:sz w:val="16"/>
          <w:szCs w:val="16"/>
          <w:color w:val="auto"/>
        </w:rPr>
        <w:t>"Corporate Trust Office of the Trustee" shall be at the address of the Trustee specified in Section 13.02 hereof or such other address as to which the Trustee may give notice to the Company.</w:t>
      </w:r>
    </w:p>
    <w:p>
      <w:pPr>
        <w:spacing w:after="0" w:line="18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"Credit Facility" means, with respect to the Company or any of 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Restricted Subsidiaries:</w:t>
      </w:r>
    </w:p>
    <w:p>
      <w:pPr>
        <w:spacing w:after="0" w:line="186" w:lineRule="exact"/>
        <w:rPr>
          <w:sz w:val="20"/>
          <w:szCs w:val="20"/>
          <w:color w:val="auto"/>
        </w:rPr>
      </w:pPr>
    </w:p>
    <w:p>
      <w:pPr>
        <w:ind w:right="2659" w:firstLine="564"/>
        <w:spacing w:after="0" w:line="257" w:lineRule="auto"/>
        <w:tabs>
          <w:tab w:leader="none" w:pos="946"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certain Credit Facility, dated as of December 4, 1998, by and among the Company, certain of the Company's Subsidiaries, the lenders party thereto, JPMorgan Chase Bank (as successor to The Chase Manhattan Bank), as Administrative Agent, Citicorp USA, Inc. (as successor to Salomon Smith Barney Inc.), as Syndication Agent, Credit Lyonnais New York Branch (as successor to Credit Lyonnais Chicago Branch), as Co-Documentation Agent and Bank One, NA (as successor to NBD Bank), as Co-Documentation Agent providing for up to $575.0 million of revolving credit borrowings and $525.0 million in term loans, in each case including any related notes, guarantees, collateral documents, instruments and agreements executed in connection therewith, and in each case as amended, modified, renewed, refunded, replaced or refinanced from time to time; and</w:t>
      </w:r>
    </w:p>
    <w:p>
      <w:pPr>
        <w:spacing w:after="0" w:line="181" w:lineRule="exact"/>
        <w:rPr>
          <w:rFonts w:ascii="Courier New" w:cs="Courier New" w:eastAsia="Courier New" w:hAnsi="Courier New"/>
          <w:sz w:val="15"/>
          <w:szCs w:val="15"/>
          <w:color w:val="auto"/>
        </w:rPr>
      </w:pPr>
    </w:p>
    <w:p>
      <w:pPr>
        <w:ind w:right="2659" w:firstLine="564"/>
        <w:spacing w:after="0" w:line="239" w:lineRule="auto"/>
        <w:tabs>
          <w:tab w:leader="none" w:pos="946" w:val="left"/>
        </w:tabs>
        <w:numPr>
          <w:ilvl w:val="0"/>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or more debt facilities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in each case, as amended, restated, modified, renewed, refunded, replaced or refinanced in whole or in part from time to time.</w:t>
      </w:r>
    </w:p>
    <w:p>
      <w:pPr>
        <w:spacing w:after="0" w:line="36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81" w:right="1440" w:bottom="1440" w:gutter="0" w:footer="0" w:header="0"/>
        </w:sectPr>
      </w:pPr>
    </w:p>
    <w:bookmarkStart w:id="246" w:name="page247"/>
    <w:bookmarkEnd w:id="246"/>
    <w:p>
      <w:pPr>
        <w:ind w:right="3419" w:firstLine="567"/>
        <w:spacing w:after="0" w:line="237" w:lineRule="auto"/>
        <w:rPr>
          <w:sz w:val="20"/>
          <w:szCs w:val="20"/>
          <w:color w:val="auto"/>
        </w:rPr>
      </w:pPr>
      <w:r>
        <w:rPr>
          <w:rFonts w:ascii="Courier New" w:cs="Courier New" w:eastAsia="Courier New" w:hAnsi="Courier New"/>
          <w:sz w:val="16"/>
          <w:szCs w:val="16"/>
          <w:color w:val="auto"/>
        </w:rPr>
        <w:t>"Custom" means Custom Lawn Care Service, Inc., a Subsidiary of the Company.</w:t>
      </w:r>
    </w:p>
    <w:p>
      <w:pPr>
        <w:spacing w:after="0" w:line="188" w:lineRule="exact"/>
        <w:rPr>
          <w:sz w:val="20"/>
          <w:szCs w:val="20"/>
          <w:color w:val="auto"/>
        </w:rPr>
      </w:pPr>
    </w:p>
    <w:p>
      <w:pPr>
        <w:ind w:right="3119" w:firstLine="567"/>
        <w:spacing w:after="0" w:line="237" w:lineRule="auto"/>
        <w:rPr>
          <w:sz w:val="20"/>
          <w:szCs w:val="20"/>
          <w:color w:val="auto"/>
        </w:rPr>
      </w:pPr>
      <w:r>
        <w:rPr>
          <w:rFonts w:ascii="Courier New" w:cs="Courier New" w:eastAsia="Courier New" w:hAnsi="Courier New"/>
          <w:sz w:val="16"/>
          <w:szCs w:val="16"/>
          <w:color w:val="auto"/>
        </w:rPr>
        <w:t>"Default" means any event that is, or with the passage of time or the giving of notice or both would be, an Event of Default.</w:t>
      </w:r>
    </w:p>
    <w:p>
      <w:pPr>
        <w:spacing w:after="0" w:line="188" w:lineRule="exact"/>
        <w:rPr>
          <w:sz w:val="20"/>
          <w:szCs w:val="20"/>
          <w:color w:val="auto"/>
        </w:rPr>
      </w:pPr>
    </w:p>
    <w:p>
      <w:pPr>
        <w:ind w:right="2659" w:firstLine="567"/>
        <w:spacing w:after="0" w:line="239" w:lineRule="auto"/>
        <w:rPr>
          <w:sz w:val="20"/>
          <w:szCs w:val="20"/>
          <w:color w:val="auto"/>
        </w:rPr>
      </w:pPr>
      <w:r>
        <w:rPr>
          <w:rFonts w:ascii="Courier New" w:cs="Courier New" w:eastAsia="Courier New" w:hAnsi="Courier New"/>
          <w:sz w:val="16"/>
          <w:szCs w:val="16"/>
          <w:color w:val="auto"/>
        </w:rPr>
        <w:t>"Definitive Note" means a certificated Note registered in the name of the Holder thereof and issued in accordance with Section 2.06 hereof, in the form of Exhibit A hereto except that such Note shall not bear the Global Note Legend and shall not have the "Schedule of Exchanges of Interests in the Global Note" attached thereto.</w:t>
      </w:r>
    </w:p>
    <w:p>
      <w:pPr>
        <w:spacing w:after="0" w:line="189" w:lineRule="exact"/>
        <w:rPr>
          <w:sz w:val="20"/>
          <w:szCs w:val="20"/>
          <w:color w:val="auto"/>
        </w:rPr>
      </w:pPr>
    </w:p>
    <w:p>
      <w:pPr>
        <w:ind w:right="2759" w:firstLine="567"/>
        <w:spacing w:after="0" w:line="239" w:lineRule="auto"/>
        <w:rPr>
          <w:sz w:val="20"/>
          <w:szCs w:val="20"/>
          <w:color w:val="auto"/>
        </w:rPr>
      </w:pPr>
      <w:r>
        <w:rPr>
          <w:rFonts w:ascii="Courier New" w:cs="Courier New" w:eastAsia="Courier New" w:hAnsi="Courier New"/>
          <w:sz w:val="16"/>
          <w:szCs w:val="16"/>
          <w:color w:val="auto"/>
        </w:rPr>
        <w:t>"Depositary"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89" w:lineRule="exact"/>
        <w:rPr>
          <w:sz w:val="20"/>
          <w:szCs w:val="20"/>
          <w:color w:val="auto"/>
        </w:rPr>
      </w:pPr>
    </w:p>
    <w:p>
      <w:pPr>
        <w:ind w:right="2759" w:firstLine="567"/>
        <w:spacing w:after="0" w:line="258" w:lineRule="auto"/>
        <w:rPr>
          <w:sz w:val="20"/>
          <w:szCs w:val="20"/>
          <w:color w:val="auto"/>
        </w:rPr>
      </w:pPr>
      <w:r>
        <w:rPr>
          <w:rFonts w:ascii="Courier New" w:cs="Courier New" w:eastAsia="Courier New" w:hAnsi="Courier New"/>
          <w:sz w:val="15"/>
          <w:szCs w:val="15"/>
          <w:color w:val="auto"/>
        </w:rPr>
        <w:t>"Designated Noncash Consideration" means the fair market value of noncash consideration received by the Company or one of its Restricted Subsidiaries in connection with an Asset Sale that is designated as Designated Noncash Consideration pursuant to an Officers' Certificate, setting forth the basis of such valuation, executed by the principal executive officer and the principal financial officer of the Company, less the amount of cash or Cash Equivalents received in connection with a sale of such Designated Noncash Consideration.</w:t>
      </w:r>
    </w:p>
    <w:p>
      <w:pPr>
        <w:spacing w:after="0" w:line="176" w:lineRule="exact"/>
        <w:rPr>
          <w:sz w:val="20"/>
          <w:szCs w:val="20"/>
          <w:color w:val="auto"/>
        </w:rPr>
      </w:pPr>
    </w:p>
    <w:p>
      <w:pPr>
        <w:ind w:right="2659" w:firstLine="567"/>
        <w:spacing w:after="0"/>
        <w:rPr>
          <w:sz w:val="20"/>
          <w:szCs w:val="20"/>
          <w:color w:val="auto"/>
        </w:rPr>
      </w:pPr>
      <w:r>
        <w:rPr>
          <w:rFonts w:ascii="Courier New" w:cs="Courier New" w:eastAsia="Courier New" w:hAnsi="Courier New"/>
          <w:sz w:val="16"/>
          <w:szCs w:val="16"/>
          <w:color w:val="auto"/>
        </w:rPr>
        <w:t>"Disqualified Stock" means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91 days after the date on which the Notes mature. Notwithstanding the preceding sentence, any Capital Stock that would constitute Disqualified Stock solely because the holders thereof have the right to require the Company to repurchase such Capital Stock upon the occurrence of a change of control or an asset sale shall not constitute Disqualified Stock.</w:t>
      </w:r>
    </w:p>
    <w:p>
      <w:pPr>
        <w:spacing w:after="0" w:line="189" w:lineRule="exact"/>
        <w:rPr>
          <w:sz w:val="20"/>
          <w:szCs w:val="20"/>
          <w:color w:val="auto"/>
        </w:rPr>
      </w:pPr>
    </w:p>
    <w:p>
      <w:pPr>
        <w:ind w:right="2839" w:firstLine="567"/>
        <w:spacing w:after="0" w:line="238" w:lineRule="auto"/>
        <w:rPr>
          <w:sz w:val="20"/>
          <w:szCs w:val="20"/>
          <w:color w:val="auto"/>
        </w:rPr>
      </w:pPr>
      <w:r>
        <w:rPr>
          <w:rFonts w:ascii="Courier New" w:cs="Courier New" w:eastAsia="Courier New" w:hAnsi="Courier New"/>
          <w:sz w:val="16"/>
          <w:szCs w:val="16"/>
          <w:color w:val="auto"/>
        </w:rPr>
        <w:t>"Domestic Restricted Subsidiary" means, with respect to the Company, any Restricted Subsidiary that was formed under the laws of the United States of America or any State thereof.</w:t>
      </w:r>
    </w:p>
    <w:p>
      <w:pPr>
        <w:spacing w:after="0" w:line="188" w:lineRule="exact"/>
        <w:rPr>
          <w:sz w:val="20"/>
          <w:szCs w:val="20"/>
          <w:color w:val="auto"/>
        </w:rPr>
      </w:pPr>
    </w:p>
    <w:p>
      <w:pPr>
        <w:ind w:right="2759" w:firstLine="567"/>
        <w:spacing w:after="0" w:line="238" w:lineRule="auto"/>
        <w:rPr>
          <w:sz w:val="20"/>
          <w:szCs w:val="20"/>
          <w:color w:val="auto"/>
        </w:rPr>
      </w:pPr>
      <w:r>
        <w:rPr>
          <w:rFonts w:ascii="Courier New" w:cs="Courier New" w:eastAsia="Courier New" w:hAnsi="Courier New"/>
          <w:sz w:val="16"/>
          <w:szCs w:val="16"/>
          <w:color w:val="auto"/>
        </w:rPr>
        <w:t>"Equity Interests" means Capital Stock and all warrants, options or other rights to acquire Capital Stock (but excluding any debt security that is convertible into, or exchangeable for, Capital Stock).</w:t>
      </w:r>
    </w:p>
    <w:p>
      <w:pPr>
        <w:spacing w:after="0" w:line="188" w:lineRule="exact"/>
        <w:rPr>
          <w:sz w:val="20"/>
          <w:szCs w:val="20"/>
          <w:color w:val="auto"/>
        </w:rPr>
      </w:pPr>
    </w:p>
    <w:p>
      <w:pPr>
        <w:ind w:right="3119" w:firstLine="567"/>
        <w:spacing w:after="0" w:line="237" w:lineRule="auto"/>
        <w:rPr>
          <w:sz w:val="20"/>
          <w:szCs w:val="20"/>
          <w:color w:val="auto"/>
        </w:rPr>
      </w:pPr>
      <w:r>
        <w:rPr>
          <w:rFonts w:ascii="Courier New" w:cs="Courier New" w:eastAsia="Courier New" w:hAnsi="Courier New"/>
          <w:sz w:val="16"/>
          <w:szCs w:val="16"/>
          <w:color w:val="auto"/>
        </w:rPr>
        <w:t>"Euroclear" means Morgan Guaranty Trust Company of New York, Brussels office, as operator of the Euroclear system.</w:t>
      </w:r>
    </w:p>
    <w:p>
      <w:pPr>
        <w:spacing w:after="0" w:line="18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"Exchange Act" means the Securities Exchange Act of 1934, as amended.</w:t>
      </w:r>
    </w:p>
    <w:p>
      <w:pPr>
        <w:spacing w:after="0" w:line="186" w:lineRule="exact"/>
        <w:rPr>
          <w:sz w:val="20"/>
          <w:szCs w:val="20"/>
          <w:color w:val="auto"/>
        </w:rPr>
      </w:pPr>
    </w:p>
    <w:p>
      <w:pPr>
        <w:ind w:right="3419" w:firstLine="567"/>
        <w:spacing w:after="0" w:line="237" w:lineRule="auto"/>
        <w:rPr>
          <w:sz w:val="20"/>
          <w:szCs w:val="20"/>
          <w:color w:val="auto"/>
        </w:rPr>
      </w:pPr>
      <w:r>
        <w:rPr>
          <w:rFonts w:ascii="Courier New" w:cs="Courier New" w:eastAsia="Courier New" w:hAnsi="Courier New"/>
          <w:sz w:val="16"/>
          <w:szCs w:val="16"/>
          <w:color w:val="auto"/>
        </w:rPr>
        <w:t>"Exchange Notes" means the Series B Notes issued in the Registered Exchange Offer pursuant to Section 2.06(f) hereof.</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81" w:right="1440" w:bottom="1440" w:gutter="0" w:footer="0" w:header="0"/>
        </w:sectPr>
      </w:pPr>
    </w:p>
    <w:bookmarkStart w:id="247" w:name="page248"/>
    <w:bookmarkEnd w:id="247"/>
    <w:p>
      <w:pPr>
        <w:ind w:right="2839" w:firstLine="567"/>
        <w:spacing w:after="0" w:line="237" w:lineRule="auto"/>
        <w:rPr>
          <w:sz w:val="20"/>
          <w:szCs w:val="20"/>
          <w:color w:val="auto"/>
        </w:rPr>
      </w:pPr>
      <w:r>
        <w:rPr>
          <w:rFonts w:ascii="Courier New" w:cs="Courier New" w:eastAsia="Courier New" w:hAnsi="Courier New"/>
          <w:sz w:val="16"/>
          <w:szCs w:val="16"/>
          <w:color w:val="auto"/>
        </w:rPr>
        <w:t>"Exchange Offer Registration Statement" has the meaning set forth in the Registration Rights Agreement.</w:t>
      </w:r>
    </w:p>
    <w:p>
      <w:pPr>
        <w:spacing w:after="0" w:line="188" w:lineRule="exact"/>
        <w:rPr>
          <w:sz w:val="20"/>
          <w:szCs w:val="20"/>
          <w:color w:val="auto"/>
        </w:rPr>
      </w:pPr>
    </w:p>
    <w:p>
      <w:pPr>
        <w:ind w:right="2659" w:firstLine="567"/>
        <w:spacing w:after="0" w:line="239" w:lineRule="auto"/>
        <w:rPr>
          <w:sz w:val="20"/>
          <w:szCs w:val="20"/>
          <w:color w:val="auto"/>
        </w:rPr>
      </w:pPr>
      <w:r>
        <w:rPr>
          <w:rFonts w:ascii="Courier New" w:cs="Courier New" w:eastAsia="Courier New" w:hAnsi="Courier New"/>
          <w:sz w:val="16"/>
          <w:szCs w:val="16"/>
          <w:color w:val="auto"/>
        </w:rPr>
        <w:t>"Exclusive Agency and Marketing Agreement" means the Exclusive Agency and Marketing Agreement between the Company and Monsanto Company, dated as of September 30, 1998 (as amended and restated as of November 11, 1998) as the same may be amended, modified, restated, extended, renewed or replaced from time to time.</w:t>
      </w:r>
    </w:p>
    <w:p>
      <w:pPr>
        <w:spacing w:after="0" w:line="189" w:lineRule="exact"/>
        <w:rPr>
          <w:sz w:val="20"/>
          <w:szCs w:val="20"/>
          <w:color w:val="auto"/>
        </w:rPr>
      </w:pPr>
    </w:p>
    <w:p>
      <w:pPr>
        <w:ind w:right="2759" w:firstLine="567"/>
        <w:spacing w:after="0" w:line="238" w:lineRule="auto"/>
        <w:rPr>
          <w:sz w:val="20"/>
          <w:szCs w:val="20"/>
          <w:color w:val="auto"/>
        </w:rPr>
      </w:pPr>
      <w:r>
        <w:rPr>
          <w:rFonts w:ascii="Courier New" w:cs="Courier New" w:eastAsia="Courier New" w:hAnsi="Courier New"/>
          <w:sz w:val="16"/>
          <w:szCs w:val="16"/>
          <w:color w:val="auto"/>
        </w:rPr>
        <w:t>"Existing Indebtedness" means Indebtedness of the Company and its Restricted Subsidiaries (in addition to Indebtedness under the Credit Facility) in existence on the date hereof, until such amounts are repaid.</w:t>
      </w:r>
    </w:p>
    <w:p>
      <w:pPr>
        <w:spacing w:after="0" w:line="188" w:lineRule="exact"/>
        <w:rPr>
          <w:sz w:val="20"/>
          <w:szCs w:val="20"/>
          <w:color w:val="auto"/>
        </w:rPr>
      </w:pPr>
    </w:p>
    <w:p>
      <w:pPr>
        <w:ind w:right="2659" w:firstLine="567"/>
        <w:spacing w:after="0"/>
        <w:rPr>
          <w:sz w:val="20"/>
          <w:szCs w:val="20"/>
          <w:color w:val="auto"/>
        </w:rPr>
      </w:pPr>
      <w:r>
        <w:rPr>
          <w:rFonts w:ascii="Courier New" w:cs="Courier New" w:eastAsia="Courier New" w:hAnsi="Courier New"/>
          <w:sz w:val="16"/>
          <w:szCs w:val="16"/>
          <w:color w:val="auto"/>
        </w:rPr>
        <w:t>"fair market value" means, with respect to any asset or property, the price which could be negotiated in an arm's-length, free market transaction, for cash, between a willing seller and a willing and able buyer, neither of whom is under undue pressure or compulsion to complete the transaction. Unless the TIA otherwise requires, fair market value shall be determined by the Board of Directors of the Company acting reasonably and in good faith and shall be evidenced by a Board Resolution of the Board of Directors of the Company delivered to the Trustee.</w:t>
      </w:r>
    </w:p>
    <w:p>
      <w:pPr>
        <w:spacing w:after="0" w:line="187" w:lineRule="exact"/>
        <w:rPr>
          <w:sz w:val="20"/>
          <w:szCs w:val="20"/>
          <w:color w:val="auto"/>
        </w:rPr>
      </w:pPr>
    </w:p>
    <w:p>
      <w:pPr>
        <w:ind w:right="2659" w:firstLine="567"/>
        <w:spacing w:after="0" w:line="237" w:lineRule="auto"/>
        <w:rPr>
          <w:sz w:val="20"/>
          <w:szCs w:val="20"/>
          <w:color w:val="auto"/>
        </w:rPr>
      </w:pPr>
      <w:r>
        <w:rPr>
          <w:rFonts w:ascii="Courier New" w:cs="Courier New" w:eastAsia="Courier New" w:hAnsi="Courier New"/>
          <w:sz w:val="16"/>
          <w:szCs w:val="16"/>
          <w:color w:val="auto"/>
        </w:rPr>
        <w:t>"Fixed Charges" means, with respect to any Person for any period, the sum, without duplication, of:</w:t>
      </w:r>
    </w:p>
    <w:p>
      <w:pPr>
        <w:spacing w:after="0" w:line="188" w:lineRule="exact"/>
        <w:rPr>
          <w:sz w:val="20"/>
          <w:szCs w:val="20"/>
          <w:color w:val="auto"/>
        </w:rPr>
      </w:pPr>
    </w:p>
    <w:p>
      <w:pPr>
        <w:ind w:right="2759" w:firstLine="564"/>
        <w:spacing w:after="0"/>
        <w:tabs>
          <w:tab w:leader="none" w:pos="946"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net interest expense of such Person and its Restricted Subsidiaries for such period, whether paid or accrued, including, without limitation, amortization of original issue discount,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payments, if any, pursuant to Hedging Obligations, but excluding amortization of debt issuance costs and other non-cash amortization; plus</w:t>
      </w:r>
    </w:p>
    <w:p>
      <w:pPr>
        <w:spacing w:after="0" w:line="187" w:lineRule="exact"/>
        <w:rPr>
          <w:rFonts w:ascii="Courier New" w:cs="Courier New" w:eastAsia="Courier New" w:hAnsi="Courier New"/>
          <w:sz w:val="16"/>
          <w:szCs w:val="16"/>
          <w:color w:val="auto"/>
        </w:rPr>
      </w:pPr>
    </w:p>
    <w:p>
      <w:pPr>
        <w:ind w:right="3699" w:firstLine="564"/>
        <w:spacing w:after="0" w:line="267" w:lineRule="auto"/>
        <w:tabs>
          <w:tab w:leader="none" w:pos="946"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interest of such Person and its Restricted Subsidiaries that was capitalized during such period; plus</w:t>
      </w:r>
    </w:p>
    <w:p>
      <w:pPr>
        <w:spacing w:after="0" w:line="167" w:lineRule="exact"/>
        <w:rPr>
          <w:rFonts w:ascii="Courier New" w:cs="Courier New" w:eastAsia="Courier New" w:hAnsi="Courier New"/>
          <w:sz w:val="15"/>
          <w:szCs w:val="15"/>
          <w:color w:val="auto"/>
        </w:rPr>
      </w:pPr>
    </w:p>
    <w:p>
      <w:pPr>
        <w:ind w:right="2759" w:firstLine="564"/>
        <w:spacing w:after="0" w:line="239" w:lineRule="auto"/>
        <w:tabs>
          <w:tab w:leader="none" w:pos="946"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expense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187" w:lineRule="exact"/>
        <w:rPr>
          <w:rFonts w:ascii="Courier New" w:cs="Courier New" w:eastAsia="Courier New" w:hAnsi="Courier New"/>
          <w:sz w:val="16"/>
          <w:szCs w:val="16"/>
          <w:color w:val="auto"/>
        </w:rPr>
      </w:pPr>
    </w:p>
    <w:p>
      <w:pPr>
        <w:ind w:right="2659" w:firstLine="564"/>
        <w:spacing w:after="0"/>
        <w:tabs>
          <w:tab w:leader="none" w:pos="946"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product of (a) all dividend payments, whether or not in cash, on any series of preferred stock of such Person or any of its Restricted Subsidiaries, other than dividend payments on Equity Interests payable solely in Equity Interests of the Company (other than Disqualified Stock) or to the Company or a Restricted Subsidiary of the Company, times (b) a fraction, the numerator of which is one and the denominator of which is one minus the then current combined federal, state and local statutory tax rate of such Person, expressed as a decimal, in each case, on a consolidated basis and in accordance with GAAP.</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81" w:right="1440" w:bottom="1440" w:gutter="0" w:footer="0" w:header="0"/>
        </w:sectPr>
      </w:pPr>
    </w:p>
    <w:bookmarkStart w:id="248" w:name="page249"/>
    <w:bookmarkEnd w:id="248"/>
    <w:p>
      <w:pPr>
        <w:ind w:right="2659" w:firstLine="567"/>
        <w:spacing w:after="0" w:line="257" w:lineRule="auto"/>
        <w:rPr>
          <w:sz w:val="20"/>
          <w:szCs w:val="20"/>
          <w:color w:val="auto"/>
        </w:rPr>
      </w:pPr>
      <w:r>
        <w:rPr>
          <w:rFonts w:ascii="Courier New" w:cs="Courier New" w:eastAsia="Courier New" w:hAnsi="Courier New"/>
          <w:sz w:val="15"/>
          <w:szCs w:val="15"/>
          <w:color w:val="auto"/>
        </w:rPr>
        <w:t>"Fixed Charge Coverage Ratio" means with respect to any specified Person for any period, the ratio of the Consolidated Cash Flow of such Person and its Restricted Subsidiaries for such period to the Fixed Charges of such Person for such period. In the event that the specified Person or any of its Restricted Subsidiaries incurs, assumes, Guarantees or redeems any Indebtedness (other than revolving credit borrowings) or issues or redeems preferred stock subsequent to the commencement of the period for which the Fixed Charge Coverage Ratio is being calculated but prior to the date on which the event for which the calculation of the Fixed Charge Coverage Ratio is made (the "Calculation Date"), then the Fixed Charge Coverage Ratio shall be calculated giving pro forma effect to such incurrence, assumption, Guarantee or redemption of Indebtedness, or such issuance or redemption of preferred stock, as if the same had occurred at the beginning of the applicable four-quarter reference period.</w:t>
      </w:r>
    </w:p>
    <w:p>
      <w:pPr>
        <w:spacing w:after="0" w:line="181"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In addition, for purposes of calculating the Fixed Charge Coverage Ratio:</w:t>
      </w:r>
    </w:p>
    <w:p>
      <w:pPr>
        <w:spacing w:after="0" w:line="194" w:lineRule="exact"/>
        <w:rPr>
          <w:sz w:val="20"/>
          <w:szCs w:val="20"/>
          <w:color w:val="auto"/>
        </w:rPr>
      </w:pPr>
    </w:p>
    <w:p>
      <w:pPr>
        <w:ind w:right="2659" w:firstLine="564"/>
        <w:spacing w:after="0"/>
        <w:tabs>
          <w:tab w:leader="none" w:pos="946"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that have been made by the specified Person or any of its Restricted Subsidiaries, including through mergers or consolidations and including any related financing transactions, during the four-quarter reference period or subsequent to such reference period and on or prior to the Calculation Date shall be deemed to have occurred on the first day of the four-quarter reference period and Consolidated Cash Flow for such reference period shall be calculated without giving effect to clause (3) of the proviso set forth in the definition of Consolidated Net Income;</w:t>
      </w:r>
    </w:p>
    <w:p>
      <w:pPr>
        <w:spacing w:after="0" w:line="186" w:lineRule="exact"/>
        <w:rPr>
          <w:rFonts w:ascii="Courier New" w:cs="Courier New" w:eastAsia="Courier New" w:hAnsi="Courier New"/>
          <w:sz w:val="16"/>
          <w:szCs w:val="16"/>
          <w:color w:val="auto"/>
        </w:rPr>
      </w:pPr>
    </w:p>
    <w:p>
      <w:pPr>
        <w:ind w:right="2659" w:firstLine="564"/>
        <w:spacing w:after="0" w:line="238" w:lineRule="auto"/>
        <w:tabs>
          <w:tab w:leader="none" w:pos="946"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Cash Flow attributable to discontinued operations, as determined in accordance with GAAP, and operations or businesses disposed of prior to the Calculation Date, shall be excluded; and</w:t>
      </w:r>
    </w:p>
    <w:p>
      <w:pPr>
        <w:spacing w:after="0" w:line="188" w:lineRule="exact"/>
        <w:rPr>
          <w:rFonts w:ascii="Courier New" w:cs="Courier New" w:eastAsia="Courier New" w:hAnsi="Courier New"/>
          <w:sz w:val="16"/>
          <w:szCs w:val="16"/>
          <w:color w:val="auto"/>
        </w:rPr>
      </w:pPr>
    </w:p>
    <w:p>
      <w:pPr>
        <w:ind w:right="2659" w:firstLine="564"/>
        <w:spacing w:after="0" w:line="239" w:lineRule="auto"/>
        <w:tabs>
          <w:tab w:leader="none" w:pos="946"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Fixed Charges attributable to discontinued operations, as determined in accordance with GAAP, and operations or businesses disposed of prior to the Calculation Date, shall be excluded, but only to the extent that the obligations giving rise to such Fixed Charges will not be obligations of the specified Person or any of its Restricted Subsidiaries following the Calculation Date.</w:t>
      </w:r>
    </w:p>
    <w:p>
      <w:pPr>
        <w:spacing w:after="0" w:line="190" w:lineRule="exact"/>
        <w:rPr>
          <w:sz w:val="20"/>
          <w:szCs w:val="20"/>
          <w:color w:val="auto"/>
        </w:rPr>
      </w:pPr>
    </w:p>
    <w:p>
      <w:pPr>
        <w:ind w:right="2759" w:firstLine="567"/>
        <w:spacing w:after="0" w:line="238" w:lineRule="auto"/>
        <w:rPr>
          <w:sz w:val="20"/>
          <w:szCs w:val="20"/>
          <w:color w:val="auto"/>
        </w:rPr>
      </w:pPr>
      <w:r>
        <w:rPr>
          <w:rFonts w:ascii="Courier New" w:cs="Courier New" w:eastAsia="Courier New" w:hAnsi="Courier New"/>
          <w:sz w:val="16"/>
          <w:szCs w:val="16"/>
          <w:color w:val="auto"/>
        </w:rPr>
        <w:t>"Foreign Subsidiary" means, with respect to the Company, any Subsidiary that was not formed under the laws of the United States of America or any state thereof.</w:t>
      </w:r>
    </w:p>
    <w:p>
      <w:pPr>
        <w:spacing w:after="0" w:line="188" w:lineRule="exact"/>
        <w:rPr>
          <w:sz w:val="20"/>
          <w:szCs w:val="20"/>
          <w:color w:val="auto"/>
        </w:rPr>
      </w:pPr>
    </w:p>
    <w:p>
      <w:pPr>
        <w:ind w:right="2839" w:firstLine="567"/>
        <w:spacing w:after="0" w:line="239" w:lineRule="auto"/>
        <w:rPr>
          <w:sz w:val="20"/>
          <w:szCs w:val="20"/>
          <w:color w:val="auto"/>
        </w:rPr>
      </w:pPr>
      <w:r>
        <w:rPr>
          <w:rFonts w:ascii="Courier New" w:cs="Courier New" w:eastAsia="Courier New" w:hAnsi="Courier New"/>
          <w:sz w:val="16"/>
          <w:szCs w:val="16"/>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90" w:lineRule="exact"/>
        <w:rPr>
          <w:sz w:val="20"/>
          <w:szCs w:val="20"/>
          <w:color w:val="auto"/>
        </w:rPr>
      </w:pPr>
    </w:p>
    <w:p>
      <w:pPr>
        <w:ind w:right="2759" w:firstLine="567"/>
        <w:spacing w:after="0" w:line="267" w:lineRule="auto"/>
        <w:rPr>
          <w:sz w:val="20"/>
          <w:szCs w:val="20"/>
          <w:color w:val="auto"/>
        </w:rPr>
      </w:pPr>
      <w:r>
        <w:rPr>
          <w:rFonts w:ascii="Courier New" w:cs="Courier New" w:eastAsia="Courier New" w:hAnsi="Courier New"/>
          <w:sz w:val="15"/>
          <w:szCs w:val="15"/>
          <w:color w:val="auto"/>
        </w:rPr>
        <w:t>"Global Note Legend" means the legend set forth in Section 2.06(g)(ii), which is required to be placed on all Global Notes issued under this Indenture.</w:t>
      </w:r>
    </w:p>
    <w:p>
      <w:pPr>
        <w:spacing w:after="0" w:line="168" w:lineRule="exact"/>
        <w:rPr>
          <w:sz w:val="20"/>
          <w:szCs w:val="20"/>
          <w:color w:val="auto"/>
        </w:rPr>
      </w:pPr>
    </w:p>
    <w:p>
      <w:pPr>
        <w:ind w:right="3319" w:firstLine="567"/>
        <w:spacing w:after="0" w:line="239" w:lineRule="auto"/>
        <w:rPr>
          <w:sz w:val="20"/>
          <w:szCs w:val="20"/>
          <w:color w:val="auto"/>
        </w:rPr>
      </w:pPr>
      <w:r>
        <w:rPr>
          <w:rFonts w:ascii="Courier New" w:cs="Courier New" w:eastAsia="Courier New" w:hAnsi="Courier New"/>
          <w:sz w:val="16"/>
          <w:szCs w:val="16"/>
          <w:color w:val="auto"/>
        </w:rPr>
        <w:t>"Global Notes" means, individually and collectively, each of the Restricted Global Notes and the Unrestricted Global Notes, in the form of Exhibit A hereto issued in accordance with Section 2.01, 2.06(b)(iv), 2.06(d)(ii) or 2.06(f) hereof.</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81" w:right="1440" w:bottom="1440" w:gutter="0" w:footer="0" w:header="0"/>
        </w:sectPr>
      </w:pPr>
    </w:p>
    <w:bookmarkStart w:id="249" w:name="page250"/>
    <w:bookmarkEnd w:id="249"/>
    <w:p>
      <w:pPr>
        <w:ind w:right="3219" w:firstLine="567"/>
        <w:spacing w:after="0" w:line="238" w:lineRule="auto"/>
        <w:rPr>
          <w:sz w:val="20"/>
          <w:szCs w:val="20"/>
          <w:color w:val="auto"/>
        </w:rPr>
      </w:pPr>
      <w:r>
        <w:rPr>
          <w:rFonts w:ascii="Courier New" w:cs="Courier New" w:eastAsia="Courier New" w:hAnsi="Courier New"/>
          <w:sz w:val="16"/>
          <w:szCs w:val="16"/>
          <w:color w:val="auto"/>
        </w:rPr>
        <w:t>"Government Securities" means direct obligations of, or obligations guaranteed by, the United States of America, and the payment for which the United States pledges its full faith and credit.</w:t>
      </w:r>
    </w:p>
    <w:p>
      <w:pPr>
        <w:spacing w:after="0" w:line="188" w:lineRule="exact"/>
        <w:rPr>
          <w:sz w:val="20"/>
          <w:szCs w:val="20"/>
          <w:color w:val="auto"/>
        </w:rPr>
      </w:pPr>
    </w:p>
    <w:p>
      <w:pPr>
        <w:ind w:right="3039" w:firstLine="567"/>
        <w:spacing w:after="0" w:line="239" w:lineRule="auto"/>
        <w:rPr>
          <w:sz w:val="20"/>
          <w:szCs w:val="20"/>
          <w:color w:val="auto"/>
        </w:rPr>
      </w:pPr>
      <w:r>
        <w:rPr>
          <w:rFonts w:ascii="Courier New" w:cs="Courier New" w:eastAsia="Courier New" w:hAnsi="Courier New"/>
          <w:sz w:val="16"/>
          <w:szCs w:val="16"/>
          <w:color w:val="auto"/>
        </w:rPr>
        <w:t>"Guarantee"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w:t>
      </w:r>
    </w:p>
    <w:p>
      <w:pPr>
        <w:spacing w:after="0" w:line="185"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"Guarantors" means:</w:t>
      </w:r>
    </w:p>
    <w:p>
      <w:pPr>
        <w:spacing w:after="0" w:line="186" w:lineRule="exact"/>
        <w:rPr>
          <w:sz w:val="20"/>
          <w:szCs w:val="20"/>
          <w:color w:val="auto"/>
        </w:rPr>
      </w:pPr>
    </w:p>
    <w:p>
      <w:pPr>
        <w:ind w:right="2659" w:firstLine="564"/>
        <w:spacing w:after="0" w:line="237" w:lineRule="auto"/>
        <w:tabs>
          <w:tab w:leader="none" w:pos="946" w:val="left"/>
        </w:tabs>
        <w:numPr>
          <w:ilvl w:val="0"/>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Domestic Restricted Subsidiary of the Company on the date hereof, except for Custom and Sanford; and</w:t>
      </w:r>
    </w:p>
    <w:p>
      <w:pPr>
        <w:spacing w:after="0" w:line="187" w:lineRule="exact"/>
        <w:rPr>
          <w:rFonts w:ascii="Courier New" w:cs="Courier New" w:eastAsia="Courier New" w:hAnsi="Courier New"/>
          <w:sz w:val="16"/>
          <w:szCs w:val="16"/>
          <w:color w:val="auto"/>
        </w:rPr>
      </w:pPr>
    </w:p>
    <w:p>
      <w:pPr>
        <w:ind w:right="3419" w:firstLine="564"/>
        <w:spacing w:after="0" w:line="267" w:lineRule="auto"/>
        <w:tabs>
          <w:tab w:leader="none" w:pos="946"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Subsidiary of the Company that executes a Subsidiary Guarantee in accordance with the provisions of this Indenture;</w:t>
      </w:r>
    </w:p>
    <w:p>
      <w:pPr>
        <w:spacing w:after="0" w:line="16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and their respective successors and assigns.</w:t>
      </w:r>
    </w:p>
    <w:p>
      <w:pPr>
        <w:spacing w:after="0" w:line="186" w:lineRule="exact"/>
        <w:rPr>
          <w:sz w:val="20"/>
          <w:szCs w:val="20"/>
          <w:color w:val="auto"/>
        </w:rPr>
      </w:pPr>
    </w:p>
    <w:p>
      <w:pPr>
        <w:ind w:right="2839" w:firstLine="567"/>
        <w:spacing w:after="0" w:line="237" w:lineRule="auto"/>
        <w:rPr>
          <w:sz w:val="20"/>
          <w:szCs w:val="20"/>
          <w:color w:val="auto"/>
        </w:rPr>
      </w:pPr>
      <w:r>
        <w:rPr>
          <w:rFonts w:ascii="Courier New" w:cs="Courier New" w:eastAsia="Courier New" w:hAnsi="Courier New"/>
          <w:sz w:val="16"/>
          <w:szCs w:val="16"/>
          <w:color w:val="auto"/>
        </w:rPr>
        <w:t>"Hedging Obligations" means, with respect to any Person, the obligations of such Person under:</w:t>
      </w:r>
    </w:p>
    <w:p>
      <w:pPr>
        <w:spacing w:after="0" w:line="188" w:lineRule="exact"/>
        <w:rPr>
          <w:sz w:val="20"/>
          <w:szCs w:val="20"/>
          <w:color w:val="auto"/>
        </w:rPr>
      </w:pPr>
    </w:p>
    <w:p>
      <w:pPr>
        <w:ind w:right="3039" w:firstLine="564"/>
        <w:spacing w:after="0" w:line="238" w:lineRule="auto"/>
        <w:tabs>
          <w:tab w:leader="none" w:pos="946"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rate swap agreements, interest rate cap agreements and interest rate collar agreements or exchange rate or raw materials price risk agreements; and</w:t>
      </w:r>
    </w:p>
    <w:p>
      <w:pPr>
        <w:spacing w:after="0" w:line="188" w:lineRule="exact"/>
        <w:rPr>
          <w:rFonts w:ascii="Courier New" w:cs="Courier New" w:eastAsia="Courier New" w:hAnsi="Courier New"/>
          <w:sz w:val="16"/>
          <w:szCs w:val="16"/>
          <w:color w:val="auto"/>
        </w:rPr>
      </w:pPr>
    </w:p>
    <w:p>
      <w:pPr>
        <w:ind w:right="3119" w:firstLine="564"/>
        <w:spacing w:after="0" w:line="238" w:lineRule="auto"/>
        <w:tabs>
          <w:tab w:leader="none" w:pos="946"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agreements or arrangements designed to protect such Person against fluctuations in interest rates, in each case pursuant to any Credit Facilities permitted pursuant to Section 4.09 hereof.</w:t>
      </w:r>
    </w:p>
    <w:p>
      <w:pPr>
        <w:spacing w:after="0" w:line="18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"Holder" means a Person in whose name a Note is registered.</w:t>
      </w:r>
    </w:p>
    <w:p>
      <w:pPr>
        <w:spacing w:after="0" w:line="186" w:lineRule="exact"/>
        <w:rPr>
          <w:sz w:val="20"/>
          <w:szCs w:val="20"/>
          <w:color w:val="auto"/>
        </w:rPr>
      </w:pPr>
    </w:p>
    <w:p>
      <w:pPr>
        <w:ind w:right="2659" w:firstLine="567"/>
        <w:spacing w:after="0" w:line="239" w:lineRule="auto"/>
        <w:rPr>
          <w:sz w:val="20"/>
          <w:szCs w:val="20"/>
          <w:color w:val="auto"/>
        </w:rPr>
      </w:pPr>
      <w:r>
        <w:rPr>
          <w:rFonts w:ascii="Courier New" w:cs="Courier New" w:eastAsia="Courier New" w:hAnsi="Courier New"/>
          <w:sz w:val="16"/>
          <w:szCs w:val="16"/>
          <w:color w:val="auto"/>
        </w:rPr>
        <w:t>"IAI Global Note" means the global Note in the form of Exhibit A hereto bearing the Global Note Legend and the Private Placement Legend and deposited with or on behalf of and registered in the name of the Depositary or its nominee that will be issued in a denomination equal to the outstanding principal amount of the Notes sold to Institutional Accredited Investors.</w:t>
      </w:r>
    </w:p>
    <w:p>
      <w:pPr>
        <w:spacing w:after="0" w:line="189" w:lineRule="exact"/>
        <w:rPr>
          <w:sz w:val="20"/>
          <w:szCs w:val="20"/>
          <w:color w:val="auto"/>
        </w:rPr>
      </w:pPr>
    </w:p>
    <w:p>
      <w:pPr>
        <w:ind w:right="2659" w:firstLine="567"/>
        <w:spacing w:after="0" w:line="239" w:lineRule="auto"/>
        <w:rPr>
          <w:sz w:val="20"/>
          <w:szCs w:val="20"/>
          <w:color w:val="auto"/>
        </w:rPr>
      </w:pPr>
      <w:r>
        <w:rPr>
          <w:rFonts w:ascii="Courier New" w:cs="Courier New" w:eastAsia="Courier New" w:hAnsi="Courier New"/>
          <w:sz w:val="16"/>
          <w:szCs w:val="16"/>
          <w:color w:val="auto"/>
        </w:rPr>
        <w:t>"Incur" means issue, create, assume, Guarantee, incur or otherwise become liable for; provided, however, that any Indebtedness or Capital Stock of a Person existing at the time such Person becomes a Restricted Subsidiary (whether by merger, consolidation, acquisition or otherwise) will be deemed to be Incurred by such Restricted Subsidiary at the time it becomes a Restricted Subsidiary; and the terms "Incurred" and "Incurrence" have meanings correlative to the foregoing.</w:t>
      </w:r>
    </w:p>
    <w:p>
      <w:pPr>
        <w:spacing w:after="0" w:line="192" w:lineRule="exact"/>
        <w:rPr>
          <w:sz w:val="20"/>
          <w:szCs w:val="20"/>
          <w:color w:val="auto"/>
        </w:rPr>
      </w:pPr>
    </w:p>
    <w:p>
      <w:pPr>
        <w:ind w:right="3119" w:firstLine="567"/>
        <w:spacing w:after="0" w:line="238" w:lineRule="auto"/>
        <w:rPr>
          <w:sz w:val="20"/>
          <w:szCs w:val="20"/>
          <w:color w:val="auto"/>
        </w:rPr>
      </w:pPr>
      <w:r>
        <w:rPr>
          <w:rFonts w:ascii="Courier New" w:cs="Courier New" w:eastAsia="Courier New" w:hAnsi="Courier New"/>
          <w:sz w:val="16"/>
          <w:szCs w:val="16"/>
          <w:color w:val="auto"/>
        </w:rPr>
        <w:t>"Indebtedness" means, with respect to any specified Person, without duplication, any indebtedness of such Person, whether or not contingent, in respect of:</w:t>
      </w:r>
    </w:p>
    <w:p>
      <w:pPr>
        <w:spacing w:after="0" w:line="18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(1) borrowed money;</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81" w:right="1440" w:bottom="1440" w:gutter="0" w:footer="0" w:header="0"/>
        </w:sectPr>
      </w:pPr>
    </w:p>
    <w:bookmarkStart w:id="250" w:name="page251"/>
    <w:bookmarkEnd w:id="250"/>
    <w:p>
      <w:pPr>
        <w:ind w:right="3319" w:firstLine="564"/>
        <w:spacing w:after="0" w:line="237" w:lineRule="auto"/>
        <w:tabs>
          <w:tab w:leader="none" w:pos="946"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evidenced by bonds, notes, debentures or similar instruments or letters of credit (or reimbursement agreements in respect thereof);</w:t>
      </w:r>
    </w:p>
    <w:p>
      <w:pPr>
        <w:spacing w:after="0" w:line="183" w:lineRule="exact"/>
        <w:rPr>
          <w:rFonts w:ascii="Courier New" w:cs="Courier New" w:eastAsia="Courier New" w:hAnsi="Courier New"/>
          <w:sz w:val="16"/>
          <w:szCs w:val="16"/>
          <w:color w:val="auto"/>
        </w:rPr>
      </w:pPr>
    </w:p>
    <w:p>
      <w:pPr>
        <w:ind w:left="940" w:hanging="376"/>
        <w:spacing w:after="0"/>
        <w:tabs>
          <w:tab w:leader="none" w:pos="940"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banker's acceptances;</w:t>
      </w:r>
    </w:p>
    <w:p>
      <w:pPr>
        <w:spacing w:after="0" w:line="182" w:lineRule="exact"/>
        <w:rPr>
          <w:rFonts w:ascii="Courier New" w:cs="Courier New" w:eastAsia="Courier New" w:hAnsi="Courier New"/>
          <w:sz w:val="16"/>
          <w:szCs w:val="16"/>
          <w:color w:val="auto"/>
        </w:rPr>
      </w:pPr>
    </w:p>
    <w:p>
      <w:pPr>
        <w:ind w:left="940" w:hanging="376"/>
        <w:spacing w:after="0"/>
        <w:tabs>
          <w:tab w:leader="none" w:pos="940"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representing Capital Lease Obligations;</w:t>
      </w:r>
    </w:p>
    <w:p>
      <w:pPr>
        <w:spacing w:after="0" w:line="186" w:lineRule="exact"/>
        <w:rPr>
          <w:rFonts w:ascii="Courier New" w:cs="Courier New" w:eastAsia="Courier New" w:hAnsi="Courier New"/>
          <w:sz w:val="16"/>
          <w:szCs w:val="16"/>
          <w:color w:val="auto"/>
        </w:rPr>
      </w:pPr>
    </w:p>
    <w:p>
      <w:pPr>
        <w:jc w:val="both"/>
        <w:ind w:right="2659" w:firstLine="564"/>
        <w:spacing w:after="0" w:line="267" w:lineRule="auto"/>
        <w:tabs>
          <w:tab w:leader="none" w:pos="946"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deferred and unpaid of the purchase price of any property, except any such balance that constitutes an accrued expense or trade payable; or</w:t>
      </w:r>
    </w:p>
    <w:p>
      <w:pPr>
        <w:spacing w:after="0" w:line="163" w:lineRule="exact"/>
        <w:rPr>
          <w:rFonts w:ascii="Courier New" w:cs="Courier New" w:eastAsia="Courier New" w:hAnsi="Courier New"/>
          <w:sz w:val="15"/>
          <w:szCs w:val="15"/>
          <w:color w:val="auto"/>
        </w:rPr>
      </w:pPr>
    </w:p>
    <w:p>
      <w:pPr>
        <w:ind w:left="940" w:hanging="376"/>
        <w:spacing w:after="0"/>
        <w:tabs>
          <w:tab w:leader="none" w:pos="940"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representing any Hedging Obligations,</w:t>
      </w:r>
    </w:p>
    <w:p>
      <w:pPr>
        <w:spacing w:after="0" w:line="186" w:lineRule="exact"/>
        <w:rPr>
          <w:sz w:val="20"/>
          <w:szCs w:val="20"/>
          <w:color w:val="auto"/>
        </w:rPr>
      </w:pPr>
    </w:p>
    <w:p>
      <w:pPr>
        <w:ind w:right="2659" w:firstLine="567"/>
        <w:spacing w:after="0" w:line="258" w:lineRule="auto"/>
        <w:rPr>
          <w:sz w:val="20"/>
          <w:szCs w:val="20"/>
          <w:color w:val="auto"/>
        </w:rPr>
      </w:pPr>
      <w:r>
        <w:rPr>
          <w:rFonts w:ascii="Courier New" w:cs="Courier New" w:eastAsia="Courier New" w:hAnsi="Courier New"/>
          <w:sz w:val="15"/>
          <w:szCs w:val="15"/>
          <w:color w:val="auto"/>
        </w:rPr>
        <w:t>if and to the extent any of the preceding items (other than letters of credit and Hedging Obligations) would appear as a liability upon a balance sheet of the specified Person prepared in accordance with GAAP. In addition, the term "Indebtedness" includes, without duplication, all Indebtedness of others secured by a Lien on any asset of the specified Person (whether or not such Indebtedness is assumed by the specified Person) and, to the extent not otherwise included, the Guarantee by such Person of any indebtedness of any other Person.</w:t>
      </w:r>
    </w:p>
    <w:p>
      <w:pPr>
        <w:spacing w:after="0" w:line="172"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The amount of any Indebtedness outstanding as of any date shall be:</w:t>
      </w:r>
    </w:p>
    <w:p>
      <w:pPr>
        <w:spacing w:after="0" w:line="186" w:lineRule="exact"/>
        <w:rPr>
          <w:sz w:val="20"/>
          <w:szCs w:val="20"/>
          <w:color w:val="auto"/>
        </w:rPr>
      </w:pPr>
    </w:p>
    <w:p>
      <w:pPr>
        <w:ind w:right="3039" w:firstLine="564"/>
        <w:spacing w:after="0" w:line="237" w:lineRule="auto"/>
        <w:tabs>
          <w:tab w:leader="none" w:pos="946"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accreted value thereof, in the case of any Indebtedness issued with original issue discount; and</w:t>
      </w:r>
    </w:p>
    <w:p>
      <w:pPr>
        <w:spacing w:after="0" w:line="187" w:lineRule="exact"/>
        <w:rPr>
          <w:rFonts w:ascii="Courier New" w:cs="Courier New" w:eastAsia="Courier New" w:hAnsi="Courier New"/>
          <w:sz w:val="16"/>
          <w:szCs w:val="16"/>
          <w:color w:val="auto"/>
        </w:rPr>
      </w:pPr>
    </w:p>
    <w:p>
      <w:pPr>
        <w:ind w:right="2759" w:firstLine="564"/>
        <w:spacing w:after="0" w:line="237" w:lineRule="auto"/>
        <w:tabs>
          <w:tab w:leader="none" w:pos="946"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thereof, together with any interest thereon that is more than 30 days past due, in the case of any other Indebtedness.</w:t>
      </w:r>
    </w:p>
    <w:p>
      <w:pPr>
        <w:spacing w:after="0" w:line="188"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"Indenture" means this Indenture, as amended or supplemented from time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time.</w:t>
      </w:r>
    </w:p>
    <w:p>
      <w:pPr>
        <w:spacing w:after="0" w:line="186" w:lineRule="exact"/>
        <w:rPr>
          <w:sz w:val="20"/>
          <w:szCs w:val="20"/>
          <w:color w:val="auto"/>
        </w:rPr>
      </w:pPr>
    </w:p>
    <w:p>
      <w:pPr>
        <w:ind w:right="2659" w:firstLine="567"/>
        <w:spacing w:after="0" w:line="237" w:lineRule="auto"/>
        <w:rPr>
          <w:sz w:val="20"/>
          <w:szCs w:val="20"/>
          <w:color w:val="auto"/>
        </w:rPr>
      </w:pPr>
      <w:r>
        <w:rPr>
          <w:rFonts w:ascii="Courier New" w:cs="Courier New" w:eastAsia="Courier New" w:hAnsi="Courier New"/>
          <w:sz w:val="16"/>
          <w:szCs w:val="16"/>
          <w:color w:val="auto"/>
        </w:rPr>
        <w:t>"Indirect Participant" means a Person who holds a beneficial interest in a Global Note through a Participant.</w:t>
      </w:r>
    </w:p>
    <w:p>
      <w:pPr>
        <w:spacing w:after="0" w:line="188" w:lineRule="exact"/>
        <w:rPr>
          <w:sz w:val="20"/>
          <w:szCs w:val="20"/>
          <w:color w:val="auto"/>
        </w:rPr>
      </w:pPr>
    </w:p>
    <w:p>
      <w:pPr>
        <w:ind w:right="3119" w:firstLine="567"/>
        <w:spacing w:after="0" w:line="237" w:lineRule="auto"/>
        <w:rPr>
          <w:sz w:val="20"/>
          <w:szCs w:val="20"/>
          <w:color w:val="auto"/>
        </w:rPr>
      </w:pPr>
      <w:r>
        <w:rPr>
          <w:rFonts w:ascii="Courier New" w:cs="Courier New" w:eastAsia="Courier New" w:hAnsi="Courier New"/>
          <w:sz w:val="16"/>
          <w:szCs w:val="16"/>
          <w:color w:val="auto"/>
        </w:rPr>
        <w:t>"Initial Notes" means $200.0 million in aggregate principal amount of Notes issued under this Indenture on the date hereof.</w:t>
      </w:r>
    </w:p>
    <w:p>
      <w:pPr>
        <w:spacing w:after="0" w:line="188" w:lineRule="exact"/>
        <w:rPr>
          <w:sz w:val="20"/>
          <w:szCs w:val="20"/>
          <w:color w:val="auto"/>
        </w:rPr>
      </w:pPr>
    </w:p>
    <w:p>
      <w:pPr>
        <w:ind w:right="2659" w:firstLine="567"/>
        <w:spacing w:after="0" w:line="237" w:lineRule="auto"/>
        <w:rPr>
          <w:sz w:val="20"/>
          <w:szCs w:val="20"/>
          <w:color w:val="auto"/>
        </w:rPr>
      </w:pPr>
      <w:r>
        <w:rPr>
          <w:rFonts w:ascii="Courier New" w:cs="Courier New" w:eastAsia="Courier New" w:hAnsi="Courier New"/>
          <w:sz w:val="16"/>
          <w:szCs w:val="16"/>
          <w:color w:val="auto"/>
        </w:rPr>
        <w:t>"Initial Purchaser(s)" shall have the meaning assigned to such term in the Offering Memorandum.</w:t>
      </w:r>
    </w:p>
    <w:p>
      <w:pPr>
        <w:spacing w:after="0" w:line="188" w:lineRule="exact"/>
        <w:rPr>
          <w:sz w:val="20"/>
          <w:szCs w:val="20"/>
          <w:color w:val="auto"/>
        </w:rPr>
      </w:pPr>
    </w:p>
    <w:p>
      <w:pPr>
        <w:ind w:right="2939" w:firstLine="567"/>
        <w:spacing w:after="0" w:line="258" w:lineRule="auto"/>
        <w:rPr>
          <w:sz w:val="20"/>
          <w:szCs w:val="20"/>
          <w:color w:val="auto"/>
        </w:rPr>
      </w:pPr>
      <w:r>
        <w:rPr>
          <w:rFonts w:ascii="Courier New" w:cs="Courier New" w:eastAsia="Courier New" w:hAnsi="Courier New"/>
          <w:sz w:val="15"/>
          <w:szCs w:val="15"/>
          <w:color w:val="auto"/>
        </w:rPr>
        <w:t>"Intangible Assets" means all unamortized debt discount and expense, unamortized deferred charges, goodwill, patents, trademarks, service marks, trade names, copyrights, write-ups of assets over their carrying value at the date of the Indenture or the date of acquisition, if acquired subsequent thereto, and all other items which would be treated as intangibles on the consolidated balance sheets of such Person prepared in accordance with GAAP.</w:t>
      </w:r>
    </w:p>
    <w:p>
      <w:pPr>
        <w:spacing w:after="0" w:line="177" w:lineRule="exact"/>
        <w:rPr>
          <w:sz w:val="20"/>
          <w:szCs w:val="20"/>
          <w:color w:val="auto"/>
        </w:rPr>
      </w:pPr>
    </w:p>
    <w:p>
      <w:pPr>
        <w:ind w:right="2659" w:firstLine="567"/>
        <w:spacing w:after="0" w:line="238" w:lineRule="auto"/>
        <w:rPr>
          <w:sz w:val="20"/>
          <w:szCs w:val="20"/>
          <w:color w:val="auto"/>
        </w:rPr>
      </w:pPr>
      <w:r>
        <w:rPr>
          <w:rFonts w:ascii="Courier New" w:cs="Courier New" w:eastAsia="Courier New" w:hAnsi="Courier New"/>
          <w:sz w:val="16"/>
          <w:szCs w:val="16"/>
          <w:color w:val="auto"/>
        </w:rPr>
        <w:t>"Investment Grade Rating" means, a debt rating of the Notes of BBB - or higher by S&amp;P and Baa3 or higher by Moody's or the equivalent of such ratings by S&amp;P and Moody's</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81" w:right="1440" w:bottom="1440" w:gutter="0" w:footer="0" w:header="0"/>
        </w:sectPr>
      </w:pPr>
    </w:p>
    <w:bookmarkStart w:id="251" w:name="page252"/>
    <w:bookmarkEnd w:id="251"/>
    <w:p>
      <w:pPr>
        <w:ind w:right="3039"/>
        <w:spacing w:after="0" w:line="238" w:lineRule="auto"/>
        <w:rPr>
          <w:sz w:val="20"/>
          <w:szCs w:val="20"/>
          <w:color w:val="auto"/>
        </w:rPr>
      </w:pPr>
      <w:r>
        <w:rPr>
          <w:rFonts w:ascii="Courier New" w:cs="Courier New" w:eastAsia="Courier New" w:hAnsi="Courier New"/>
          <w:sz w:val="16"/>
          <w:szCs w:val="16"/>
          <w:color w:val="auto"/>
        </w:rPr>
        <w:t>or in the event S&amp;P or Moody's shall cease rating the Notes and the Company shall select any other Rating Agency, the equivalent of such ratings by such other Rating Agency.</w:t>
      </w:r>
    </w:p>
    <w:p>
      <w:pPr>
        <w:spacing w:after="0" w:line="188" w:lineRule="exact"/>
        <w:rPr>
          <w:sz w:val="20"/>
          <w:szCs w:val="20"/>
          <w:color w:val="auto"/>
        </w:rPr>
      </w:pPr>
    </w:p>
    <w:p>
      <w:pPr>
        <w:ind w:right="2759" w:firstLine="567"/>
        <w:spacing w:after="0" w:line="257" w:lineRule="auto"/>
        <w:rPr>
          <w:sz w:val="20"/>
          <w:szCs w:val="20"/>
          <w:color w:val="auto"/>
        </w:rPr>
      </w:pPr>
      <w:r>
        <w:rPr>
          <w:rFonts w:ascii="Courier New" w:cs="Courier New" w:eastAsia="Courier New" w:hAnsi="Courier New"/>
          <w:sz w:val="15"/>
          <w:szCs w:val="15"/>
          <w:color w:val="auto"/>
        </w:rPr>
        <w:t>"Investments" means, with respect to any Person, all investments by such Person in other Persons (including Affiliates) in the forms of direct or indirect loans (including guarantees of Indebtedness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the Company or any Subsidiary of the Company sells or otherwise disposes of any Equity Interests of any direct or indirect Subsidiary of the Company such that, after giving effect to any such sale or disposition, such Person is no longer a Subsidiary of the Company, the Company shall be deemed to have made an Investment on the date of any such sale or disposition equal to the fair market value of the Equity Interests of such Subsidiary not sold or disposed of in an amount determined as provided in the final paragraph of Section 4.07 hereof.</w:t>
      </w:r>
    </w:p>
    <w:p>
      <w:pPr>
        <w:spacing w:after="0" w:line="181" w:lineRule="exact"/>
        <w:rPr>
          <w:sz w:val="20"/>
          <w:szCs w:val="20"/>
          <w:color w:val="auto"/>
        </w:rPr>
      </w:pPr>
    </w:p>
    <w:p>
      <w:pPr>
        <w:ind w:right="3119" w:firstLine="567"/>
        <w:spacing w:after="0" w:line="237" w:lineRule="auto"/>
        <w:rPr>
          <w:sz w:val="20"/>
          <w:szCs w:val="20"/>
          <w:color w:val="auto"/>
        </w:rPr>
      </w:pPr>
      <w:r>
        <w:rPr>
          <w:rFonts w:ascii="Courier New" w:cs="Courier New" w:eastAsia="Courier New" w:hAnsi="Courier New"/>
          <w:sz w:val="16"/>
          <w:szCs w:val="16"/>
          <w:color w:val="auto"/>
        </w:rPr>
        <w:t>"Issue Date" means the date of first issuance of the Notes under this Indenture.</w:t>
      </w:r>
    </w:p>
    <w:p>
      <w:pPr>
        <w:spacing w:after="0" w:line="188" w:lineRule="exact"/>
        <w:rPr>
          <w:sz w:val="20"/>
          <w:szCs w:val="20"/>
          <w:color w:val="auto"/>
        </w:rPr>
      </w:pPr>
    </w:p>
    <w:p>
      <w:pPr>
        <w:ind w:right="2659" w:firstLine="567"/>
        <w:spacing w:after="0" w:line="239" w:lineRule="auto"/>
        <w:rPr>
          <w:sz w:val="20"/>
          <w:szCs w:val="20"/>
          <w:color w:val="auto"/>
        </w:rPr>
      </w:pPr>
      <w:r>
        <w:rPr>
          <w:rFonts w:ascii="Courier New" w:cs="Courier New" w:eastAsia="Courier New" w:hAnsi="Courier New"/>
          <w:sz w:val="16"/>
          <w:szCs w:val="16"/>
          <w:color w:val="auto"/>
        </w:rPr>
        <w:t>"Legal Holiday" means a Saturday, a Sunday or a day on which banking institutions in the City of New York, or the city in which the principal corporate trust office of the Trustee is located,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92" w:lineRule="exact"/>
        <w:rPr>
          <w:sz w:val="20"/>
          <w:szCs w:val="20"/>
          <w:color w:val="auto"/>
        </w:rPr>
      </w:pPr>
    </w:p>
    <w:p>
      <w:pPr>
        <w:ind w:right="2759" w:firstLine="567"/>
        <w:spacing w:after="0" w:line="238" w:lineRule="auto"/>
        <w:rPr>
          <w:sz w:val="20"/>
          <w:szCs w:val="20"/>
          <w:color w:val="auto"/>
        </w:rPr>
      </w:pPr>
      <w:r>
        <w:rPr>
          <w:rFonts w:ascii="Courier New" w:cs="Courier New" w:eastAsia="Courier New" w:hAnsi="Courier New"/>
          <w:sz w:val="16"/>
          <w:szCs w:val="16"/>
          <w:color w:val="auto"/>
        </w:rPr>
        <w:t>"Letter of Transmittal" means the letter of transmittal to be prepared by the Company and sent to all Holders of the Notes for use by such Holders in connection with the Registered Exchange Offer.</w:t>
      </w:r>
    </w:p>
    <w:p>
      <w:pPr>
        <w:spacing w:after="0" w:line="188" w:lineRule="exact"/>
        <w:rPr>
          <w:sz w:val="20"/>
          <w:szCs w:val="20"/>
          <w:color w:val="auto"/>
        </w:rPr>
      </w:pPr>
    </w:p>
    <w:p>
      <w:pPr>
        <w:ind w:right="2659" w:firstLine="567"/>
        <w:spacing w:after="0" w:line="258" w:lineRule="auto"/>
        <w:rPr>
          <w:sz w:val="20"/>
          <w:szCs w:val="20"/>
          <w:color w:val="auto"/>
        </w:rPr>
      </w:pPr>
      <w:r>
        <w:rPr>
          <w:rFonts w:ascii="Courier New" w:cs="Courier New" w:eastAsia="Courier New" w:hAnsi="Courier New"/>
          <w:sz w:val="15"/>
          <w:szCs w:val="15"/>
          <w:color w:val="auto"/>
        </w:rPr>
        <w:t>"Lien"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76" w:lineRule="exact"/>
        <w:rPr>
          <w:sz w:val="20"/>
          <w:szCs w:val="20"/>
          <w:color w:val="auto"/>
        </w:rPr>
      </w:pPr>
    </w:p>
    <w:p>
      <w:pPr>
        <w:ind w:right="2939" w:firstLine="567"/>
        <w:spacing w:after="0" w:line="237" w:lineRule="auto"/>
        <w:rPr>
          <w:sz w:val="20"/>
          <w:szCs w:val="20"/>
          <w:color w:val="auto"/>
        </w:rPr>
      </w:pPr>
      <w:r>
        <w:rPr>
          <w:rFonts w:ascii="Courier New" w:cs="Courier New" w:eastAsia="Courier New" w:hAnsi="Courier New"/>
          <w:sz w:val="16"/>
          <w:szCs w:val="16"/>
          <w:color w:val="auto"/>
        </w:rPr>
        <w:t>"Moody's" means Moody's Investors Service, Inc. or any successor rating agency.</w:t>
      </w:r>
    </w:p>
    <w:p>
      <w:pPr>
        <w:spacing w:after="0" w:line="188" w:lineRule="exact"/>
        <w:rPr>
          <w:sz w:val="20"/>
          <w:szCs w:val="20"/>
          <w:color w:val="auto"/>
        </w:rPr>
      </w:pPr>
    </w:p>
    <w:p>
      <w:pPr>
        <w:ind w:right="2659" w:firstLine="567"/>
        <w:spacing w:after="0" w:line="258" w:lineRule="auto"/>
        <w:rPr>
          <w:sz w:val="20"/>
          <w:szCs w:val="20"/>
          <w:color w:val="auto"/>
        </w:rPr>
      </w:pPr>
      <w:r>
        <w:rPr>
          <w:rFonts w:ascii="Courier New" w:cs="Courier New" w:eastAsia="Courier New" w:hAnsi="Courier New"/>
          <w:sz w:val="15"/>
          <w:szCs w:val="15"/>
          <w:color w:val="auto"/>
        </w:rPr>
        <w:t>"Net Cash Proceeds" with respect to any issuance or sale of Capital Stock, means the cash proceeds of such issuance or sale net of attorneys' fees, accountants' fees, underwriters' or placement agents' fees, listing fees, discounts or commissions and brokerage, consultant and other fees and charges actually Incurred in connection with such issuance or sale and net of taxes paid or payable as a result of such issuance or sale (after taking into account any available tax credit or deductions and any tax sharing arrangements).</w:t>
      </w:r>
    </w:p>
    <w:p>
      <w:pPr>
        <w:spacing w:after="0" w:line="35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81" w:right="1440" w:bottom="1440" w:gutter="0" w:footer="0" w:header="0"/>
        </w:sectPr>
      </w:pPr>
    </w:p>
    <w:bookmarkStart w:id="252" w:name="page253"/>
    <w:bookmarkEnd w:id="252"/>
    <w:p>
      <w:pPr>
        <w:ind w:left="3" w:right="2759" w:firstLine="567"/>
        <w:spacing w:after="0" w:line="239" w:lineRule="auto"/>
        <w:rPr>
          <w:sz w:val="20"/>
          <w:szCs w:val="20"/>
          <w:color w:val="auto"/>
        </w:rPr>
      </w:pPr>
      <w:r>
        <w:rPr>
          <w:rFonts w:ascii="Courier New" w:cs="Courier New" w:eastAsia="Courier New" w:hAnsi="Courier New"/>
          <w:sz w:val="16"/>
          <w:szCs w:val="16"/>
          <w:color w:val="auto"/>
        </w:rPr>
        <w:t>"Net Income" means, with respect to any Person, the net income (loss) of such Person and its Restricted Subsidiaries, determined in accordance with GAAP and before any reduction in respect of preferred stock dividends, excluding, however:</w:t>
      </w:r>
    </w:p>
    <w:p>
      <w:pPr>
        <w:spacing w:after="0" w:line="187" w:lineRule="exact"/>
        <w:rPr>
          <w:sz w:val="20"/>
          <w:szCs w:val="20"/>
          <w:color w:val="auto"/>
        </w:rPr>
      </w:pPr>
    </w:p>
    <w:p>
      <w:pPr>
        <w:ind w:left="3" w:right="3499" w:firstLine="564"/>
        <w:spacing w:after="0" w:line="237" w:lineRule="auto"/>
        <w:tabs>
          <w:tab w:leader="none" w:pos="949"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any extraordinary gain or loss, together with any related provision for taxes on such extraordinary gain or loss; and</w:t>
      </w:r>
    </w:p>
    <w:p>
      <w:pPr>
        <w:spacing w:after="0" w:line="187" w:lineRule="exact"/>
        <w:rPr>
          <w:rFonts w:ascii="Courier New" w:cs="Courier New" w:eastAsia="Courier New" w:hAnsi="Courier New"/>
          <w:sz w:val="16"/>
          <w:szCs w:val="16"/>
          <w:color w:val="auto"/>
        </w:rPr>
      </w:pPr>
    </w:p>
    <w:p>
      <w:pPr>
        <w:ind w:left="3" w:right="2759" w:firstLine="564"/>
        <w:spacing w:after="0" w:line="237" w:lineRule="auto"/>
        <w:tabs>
          <w:tab w:leader="none" w:pos="949"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non-cash expenses attributable to grants or exercises of employee stock options.</w:t>
      </w:r>
    </w:p>
    <w:p>
      <w:pPr>
        <w:spacing w:after="0" w:line="188" w:lineRule="exact"/>
        <w:rPr>
          <w:sz w:val="20"/>
          <w:szCs w:val="20"/>
          <w:color w:val="auto"/>
        </w:rPr>
      </w:pPr>
    </w:p>
    <w:p>
      <w:pPr>
        <w:ind w:left="3" w:right="2659" w:firstLine="567"/>
        <w:spacing w:after="0"/>
        <w:rPr>
          <w:sz w:val="20"/>
          <w:szCs w:val="20"/>
          <w:color w:val="auto"/>
        </w:rPr>
      </w:pPr>
      <w:r>
        <w:rPr>
          <w:rFonts w:ascii="Courier New" w:cs="Courier New" w:eastAsia="Courier New" w:hAnsi="Courier New"/>
          <w:sz w:val="16"/>
          <w:szCs w:val="16"/>
          <w:color w:val="auto"/>
        </w:rPr>
        <w:t>"Net Proceeds" means the aggregate cash proceeds received by the Company or any of its Restricted Subsidiaries in respect of any Asset Sale (including, without limitation, any cash received upon the sale or other disposition of any non-cash consideration received in any Asset Sale), net of the direct costs relating to such Asset Sale, including, without limitation, legal, accounting and investment banking fees, and sales commissions, and any relocation expenses incurred as a result thereof, taxes paid or payable as a result thereof, in each case after taking into account any available tax credits or deductions and any tax sharing arrangements and amounts required to be applied to the repayment of Indebtedness, other than Senior Debt, secured by a Lien on the asset or assets that were the subject of such Asset Sale.</w:t>
      </w:r>
    </w:p>
    <w:p>
      <w:pPr>
        <w:spacing w:after="0" w:line="185" w:lineRule="exact"/>
        <w:rPr>
          <w:sz w:val="20"/>
          <w:szCs w:val="20"/>
          <w:color w:val="auto"/>
        </w:rPr>
      </w:pPr>
    </w:p>
    <w:p>
      <w:pPr>
        <w:ind w:left="563"/>
        <w:spacing w:after="0"/>
        <w:rPr>
          <w:sz w:val="20"/>
          <w:szCs w:val="20"/>
          <w:color w:val="auto"/>
        </w:rPr>
      </w:pPr>
      <w:r>
        <w:rPr>
          <w:rFonts w:ascii="Courier New" w:cs="Courier New" w:eastAsia="Courier New" w:hAnsi="Courier New"/>
          <w:sz w:val="16"/>
          <w:szCs w:val="16"/>
          <w:color w:val="auto"/>
        </w:rPr>
        <w:t>"Non-Recourse Debt" means Indebtedness:</w:t>
      </w:r>
    </w:p>
    <w:p>
      <w:pPr>
        <w:spacing w:after="0" w:line="186" w:lineRule="exact"/>
        <w:rPr>
          <w:sz w:val="20"/>
          <w:szCs w:val="20"/>
          <w:color w:val="auto"/>
        </w:rPr>
      </w:pPr>
    </w:p>
    <w:p>
      <w:pPr>
        <w:ind w:left="943" w:hanging="376"/>
        <w:spacing w:after="0"/>
        <w:tabs>
          <w:tab w:leader="none" w:pos="943" w:val="left"/>
        </w:tabs>
        <w:numPr>
          <w:ilvl w:val="1"/>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which neither the Company nor any of its Restricted Subsidiaries</w:t>
      </w:r>
    </w:p>
    <w:p>
      <w:pPr>
        <w:spacing w:after="0" w:line="11" w:lineRule="exact"/>
        <w:rPr>
          <w:rFonts w:ascii="Courier New" w:cs="Courier New" w:eastAsia="Courier New" w:hAnsi="Courier New"/>
          <w:sz w:val="15"/>
          <w:szCs w:val="15"/>
          <w:color w:val="auto"/>
        </w:rPr>
      </w:pPr>
    </w:p>
    <w:p>
      <w:pPr>
        <w:ind w:left="3" w:right="2659" w:hanging="3"/>
        <w:spacing w:after="0" w:line="238" w:lineRule="auto"/>
        <w:tabs>
          <w:tab w:leader="none" w:pos="381"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provides credit support of any kind (including any undertaking, agreement or instrument that would constitute Indebtedness), (b) is directly or indirectly liable as a guarantor or otherwise, or (c) constitutes the lender;</w:t>
      </w:r>
    </w:p>
    <w:p>
      <w:pPr>
        <w:spacing w:after="0" w:line="188" w:lineRule="exact"/>
        <w:rPr>
          <w:rFonts w:ascii="Courier New" w:cs="Courier New" w:eastAsia="Courier New" w:hAnsi="Courier New"/>
          <w:sz w:val="16"/>
          <w:szCs w:val="16"/>
          <w:color w:val="auto"/>
        </w:rPr>
      </w:pPr>
    </w:p>
    <w:p>
      <w:pPr>
        <w:ind w:left="3" w:right="2659" w:firstLine="564"/>
        <w:spacing w:after="0" w:line="239" w:lineRule="auto"/>
        <w:tabs>
          <w:tab w:leader="none" w:pos="949" w:val="left"/>
        </w:tabs>
        <w:numPr>
          <w:ilvl w:val="1"/>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with respect to which (including any rights that the holders thereof may have to take enforcement action against an Unrestricted Subsidiary) would permit upon notice, lapse of time or both any holder of any other Indebtedness (other than the Notes) of the Company or any of its Restricted Subsidiaries to declare a default on such other Indebtedness or cause the payment thereof to be accelerated or payable prior to its stated maturity; and</w:t>
      </w:r>
    </w:p>
    <w:p>
      <w:pPr>
        <w:spacing w:after="0" w:line="191" w:lineRule="exact"/>
        <w:rPr>
          <w:rFonts w:ascii="Courier New" w:cs="Courier New" w:eastAsia="Courier New" w:hAnsi="Courier New"/>
          <w:sz w:val="16"/>
          <w:szCs w:val="16"/>
          <w:color w:val="auto"/>
        </w:rPr>
      </w:pPr>
    </w:p>
    <w:p>
      <w:pPr>
        <w:ind w:left="3" w:right="2839" w:firstLine="564"/>
        <w:spacing w:after="0" w:line="238" w:lineRule="auto"/>
        <w:tabs>
          <w:tab w:leader="none" w:pos="949" w:val="left"/>
        </w:tabs>
        <w:numPr>
          <w:ilvl w:val="1"/>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which the lenders have been notified in writing that they will not have any recourse to the stock or assets of the Company or any of its Restricted Subsidiaries.</w:t>
      </w:r>
    </w:p>
    <w:p>
      <w:pPr>
        <w:spacing w:after="0" w:line="184" w:lineRule="exact"/>
        <w:rPr>
          <w:sz w:val="20"/>
          <w:szCs w:val="20"/>
          <w:color w:val="auto"/>
        </w:rPr>
      </w:pPr>
    </w:p>
    <w:p>
      <w:pPr>
        <w:ind w:left="563"/>
        <w:spacing w:after="0"/>
        <w:rPr>
          <w:sz w:val="20"/>
          <w:szCs w:val="20"/>
          <w:color w:val="auto"/>
        </w:rPr>
      </w:pPr>
      <w:r>
        <w:rPr>
          <w:rFonts w:ascii="Courier New" w:cs="Courier New" w:eastAsia="Courier New" w:hAnsi="Courier New"/>
          <w:sz w:val="16"/>
          <w:szCs w:val="16"/>
          <w:color w:val="auto"/>
        </w:rPr>
        <w:t>"Non-U.S. Person" means a Person who is not a U.S. Person.</w:t>
      </w:r>
    </w:p>
    <w:p>
      <w:pPr>
        <w:spacing w:after="0" w:line="186" w:lineRule="exact"/>
        <w:rPr>
          <w:sz w:val="20"/>
          <w:szCs w:val="20"/>
          <w:color w:val="auto"/>
        </w:rPr>
      </w:pPr>
    </w:p>
    <w:p>
      <w:pPr>
        <w:ind w:left="3" w:right="2659" w:firstLine="567"/>
        <w:spacing w:after="0" w:line="237" w:lineRule="auto"/>
        <w:rPr>
          <w:sz w:val="20"/>
          <w:szCs w:val="20"/>
          <w:color w:val="auto"/>
        </w:rPr>
      </w:pPr>
      <w:r>
        <w:rPr>
          <w:rFonts w:ascii="Courier New" w:cs="Courier New" w:eastAsia="Courier New" w:hAnsi="Courier New"/>
          <w:sz w:val="16"/>
          <w:szCs w:val="16"/>
          <w:color w:val="auto"/>
        </w:rPr>
        <w:t>"Note Custodian" means the Trustee, as custodian with respect to the Notes in global form, or any successor entity thereto.</w:t>
      </w:r>
    </w:p>
    <w:p>
      <w:pPr>
        <w:spacing w:after="0" w:line="188" w:lineRule="exact"/>
        <w:rPr>
          <w:sz w:val="20"/>
          <w:szCs w:val="20"/>
          <w:color w:val="auto"/>
        </w:rPr>
      </w:pPr>
    </w:p>
    <w:p>
      <w:pPr>
        <w:ind w:left="563"/>
        <w:spacing w:after="0"/>
        <w:rPr>
          <w:sz w:val="20"/>
          <w:szCs w:val="20"/>
          <w:color w:val="auto"/>
        </w:rPr>
      </w:pPr>
      <w:r>
        <w:rPr>
          <w:rFonts w:ascii="Courier New" w:cs="Courier New" w:eastAsia="Courier New" w:hAnsi="Courier New"/>
          <w:sz w:val="15"/>
          <w:szCs w:val="15"/>
          <w:color w:val="auto"/>
        </w:rPr>
        <w:t>"Notes" has the meaning assigned to it in the preamble to this Indenture.</w:t>
      </w:r>
    </w:p>
    <w:p>
      <w:pPr>
        <w:spacing w:after="0" w:line="194" w:lineRule="exact"/>
        <w:rPr>
          <w:sz w:val="20"/>
          <w:szCs w:val="20"/>
          <w:color w:val="auto"/>
        </w:rPr>
      </w:pPr>
    </w:p>
    <w:p>
      <w:pPr>
        <w:ind w:left="3" w:right="2939" w:firstLine="567"/>
        <w:spacing w:after="0" w:line="238" w:lineRule="auto"/>
        <w:rPr>
          <w:sz w:val="20"/>
          <w:szCs w:val="20"/>
          <w:color w:val="auto"/>
        </w:rPr>
      </w:pPr>
      <w:r>
        <w:rPr>
          <w:rFonts w:ascii="Courier New" w:cs="Courier New" w:eastAsia="Courier New" w:hAnsi="Courier New"/>
          <w:sz w:val="16"/>
          <w:szCs w:val="16"/>
          <w:color w:val="auto"/>
        </w:rPr>
        <w:t>"Obligations" means any principal, interest, penalties, fees, indemnifications, reimbursements, damages and other liabilities payable under the documentation governing any Indebtedness.</w:t>
      </w:r>
    </w:p>
    <w:p>
      <w:pPr>
        <w:spacing w:after="0" w:line="184" w:lineRule="exact"/>
        <w:rPr>
          <w:sz w:val="20"/>
          <w:szCs w:val="20"/>
          <w:color w:val="auto"/>
        </w:rPr>
      </w:pPr>
    </w:p>
    <w:p>
      <w:pPr>
        <w:ind w:left="563"/>
        <w:spacing w:after="0"/>
        <w:rPr>
          <w:sz w:val="20"/>
          <w:szCs w:val="20"/>
          <w:color w:val="auto"/>
        </w:rPr>
      </w:pPr>
      <w:r>
        <w:rPr>
          <w:rFonts w:ascii="Courier New" w:cs="Courier New" w:eastAsia="Courier New" w:hAnsi="Courier New"/>
          <w:sz w:val="16"/>
          <w:szCs w:val="16"/>
          <w:color w:val="auto"/>
        </w:rPr>
        <w:t>"Offering" means the offering of the Initial Notes by the Company.</w:t>
      </w:r>
    </w:p>
    <w:p>
      <w:pPr>
        <w:spacing w:after="0" w:line="36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2"/>
          </w:cols>
          <w:pgMar w:left="237" w:top="481" w:right="1440" w:bottom="1440" w:gutter="0" w:footer="0" w:header="0"/>
        </w:sectPr>
      </w:pPr>
    </w:p>
    <w:bookmarkStart w:id="253" w:name="page254"/>
    <w:bookmarkEnd w:id="253"/>
    <w:p>
      <w:pPr>
        <w:ind w:right="3119" w:firstLine="567"/>
        <w:spacing w:after="0" w:line="237" w:lineRule="auto"/>
        <w:rPr>
          <w:sz w:val="20"/>
          <w:szCs w:val="20"/>
          <w:color w:val="auto"/>
        </w:rPr>
      </w:pPr>
      <w:r>
        <w:rPr>
          <w:rFonts w:ascii="Courier New" w:cs="Courier New" w:eastAsia="Courier New" w:hAnsi="Courier New"/>
          <w:sz w:val="16"/>
          <w:szCs w:val="16"/>
          <w:color w:val="auto"/>
        </w:rPr>
        <w:t>"Offering Memorandum" means the Offering Memorandum, dated October 1, 2003, pursuant to which the Initial Notes were offered and sold.</w:t>
      </w:r>
    </w:p>
    <w:p>
      <w:pPr>
        <w:spacing w:after="0" w:line="188" w:lineRule="exact"/>
        <w:rPr>
          <w:sz w:val="20"/>
          <w:szCs w:val="20"/>
          <w:color w:val="auto"/>
        </w:rPr>
      </w:pPr>
    </w:p>
    <w:p>
      <w:pPr>
        <w:ind w:right="2759" w:firstLine="567"/>
        <w:spacing w:after="0" w:line="239" w:lineRule="auto"/>
        <w:rPr>
          <w:sz w:val="20"/>
          <w:szCs w:val="20"/>
          <w:color w:val="auto"/>
        </w:rPr>
      </w:pPr>
      <w:r>
        <w:rPr>
          <w:rFonts w:ascii="Courier New" w:cs="Courier New" w:eastAsia="Courier New" w:hAnsi="Courier New"/>
          <w:sz w:val="16"/>
          <w:szCs w:val="16"/>
          <w:color w:val="auto"/>
        </w:rPr>
        <w:t>"Officer" means, with respect to the Company or any Guarantor, any Chairman of the Board, Vice Chairman of the Board, President, Chief Executive Officer, Chief Operating Officer, Chief Financial Officer, Executive Vice President, Senior Vice President, Vice President, Treasurer or Secretary of the Company or any Guarantor.</w:t>
      </w:r>
    </w:p>
    <w:p>
      <w:pPr>
        <w:spacing w:after="0" w:line="189" w:lineRule="exact"/>
        <w:rPr>
          <w:sz w:val="20"/>
          <w:szCs w:val="20"/>
          <w:color w:val="auto"/>
        </w:rPr>
      </w:pPr>
    </w:p>
    <w:p>
      <w:pPr>
        <w:ind w:right="2659" w:firstLine="567"/>
        <w:spacing w:after="0" w:line="237" w:lineRule="auto"/>
        <w:rPr>
          <w:sz w:val="20"/>
          <w:szCs w:val="20"/>
          <w:color w:val="auto"/>
        </w:rPr>
      </w:pPr>
      <w:r>
        <w:rPr>
          <w:rFonts w:ascii="Courier New" w:cs="Courier New" w:eastAsia="Courier New" w:hAnsi="Courier New"/>
          <w:sz w:val="16"/>
          <w:szCs w:val="16"/>
          <w:color w:val="auto"/>
        </w:rPr>
        <w:t>"Officers' Certificate" means a certificate that meets the requirements of Section 13.05 and has been signed by two Officers.</w:t>
      </w:r>
    </w:p>
    <w:p>
      <w:pPr>
        <w:spacing w:after="0" w:line="188" w:lineRule="exact"/>
        <w:rPr>
          <w:sz w:val="20"/>
          <w:szCs w:val="20"/>
          <w:color w:val="auto"/>
        </w:rPr>
      </w:pPr>
    </w:p>
    <w:p>
      <w:pPr>
        <w:ind w:right="2659" w:firstLine="567"/>
        <w:spacing w:after="0" w:line="239" w:lineRule="auto"/>
        <w:rPr>
          <w:sz w:val="20"/>
          <w:szCs w:val="20"/>
          <w:color w:val="auto"/>
        </w:rPr>
      </w:pPr>
      <w:r>
        <w:rPr>
          <w:rFonts w:ascii="Courier New" w:cs="Courier New" w:eastAsia="Courier New" w:hAnsi="Courier New"/>
          <w:sz w:val="16"/>
          <w:szCs w:val="16"/>
          <w:color w:val="auto"/>
        </w:rPr>
        <w:t>"Opinion of Counsel" means an opinion in form and substance reasonably satisfactory to the Trustee and from legal counsel who is reasonably acceptable to the Trustee, that meets the requirements of Section 13.05 hereof. The counsel may be an employee of or counsel to the Company, any Subsidiary of the Company or the Trustee.</w:t>
      </w:r>
    </w:p>
    <w:p>
      <w:pPr>
        <w:spacing w:after="0" w:line="189" w:lineRule="exact"/>
        <w:rPr>
          <w:sz w:val="20"/>
          <w:szCs w:val="20"/>
          <w:color w:val="auto"/>
        </w:rPr>
      </w:pPr>
    </w:p>
    <w:p>
      <w:pPr>
        <w:jc w:val="both"/>
        <w:ind w:right="2659" w:firstLine="567"/>
        <w:spacing w:after="0" w:line="239" w:lineRule="auto"/>
        <w:rPr>
          <w:sz w:val="20"/>
          <w:szCs w:val="20"/>
          <w:color w:val="auto"/>
        </w:rPr>
      </w:pPr>
      <w:r>
        <w:rPr>
          <w:rFonts w:ascii="Courier New" w:cs="Courier New" w:eastAsia="Courier New" w:hAnsi="Courier New"/>
          <w:sz w:val="16"/>
          <w:szCs w:val="16"/>
          <w:color w:val="auto"/>
        </w:rPr>
        <w:t>"Participant" means, with respect to the Depositary, Euroclear or CEDEL, a Person who has an account with the Depositary, Euroclear or CEDEL, respectively (and, with respect to The Depository Trust Company, shall include Euroclear and CEDEL).</w:t>
      </w:r>
    </w:p>
    <w:p>
      <w:pPr>
        <w:spacing w:after="0" w:line="183"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"Permitted Investments" means:</w:t>
      </w:r>
    </w:p>
    <w:p>
      <w:pPr>
        <w:spacing w:after="0" w:line="183" w:lineRule="exact"/>
        <w:rPr>
          <w:sz w:val="20"/>
          <w:szCs w:val="20"/>
          <w:color w:val="auto"/>
        </w:rPr>
      </w:pPr>
    </w:p>
    <w:p>
      <w:pPr>
        <w:ind w:left="940" w:hanging="376"/>
        <w:spacing w:after="0"/>
        <w:tabs>
          <w:tab w:leader="none" w:pos="940"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Investment in the Company or in a Restricted Subsidiary of the</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Company;</w:t>
      </w:r>
    </w:p>
    <w:p>
      <w:pPr>
        <w:spacing w:after="0" w:line="182" w:lineRule="exact"/>
        <w:rPr>
          <w:rFonts w:ascii="Courier New" w:cs="Courier New" w:eastAsia="Courier New" w:hAnsi="Courier New"/>
          <w:sz w:val="16"/>
          <w:szCs w:val="16"/>
          <w:color w:val="auto"/>
        </w:rPr>
      </w:pPr>
    </w:p>
    <w:p>
      <w:pPr>
        <w:ind w:left="940" w:hanging="376"/>
        <w:spacing w:after="0"/>
        <w:tabs>
          <w:tab w:leader="none" w:pos="940"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Investment in Cash Equivalents;</w:t>
      </w:r>
    </w:p>
    <w:p>
      <w:pPr>
        <w:spacing w:after="0" w:line="186" w:lineRule="exact"/>
        <w:rPr>
          <w:rFonts w:ascii="Courier New" w:cs="Courier New" w:eastAsia="Courier New" w:hAnsi="Courier New"/>
          <w:sz w:val="16"/>
          <w:szCs w:val="16"/>
          <w:color w:val="auto"/>
        </w:rPr>
      </w:pPr>
    </w:p>
    <w:p>
      <w:pPr>
        <w:ind w:right="3119" w:firstLine="564"/>
        <w:spacing w:after="0" w:line="237" w:lineRule="auto"/>
        <w:tabs>
          <w:tab w:leader="none" w:pos="946"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Investment by the Company or any Restricted Subsidiary of the Company in a Person, if as a result of such Investment:</w:t>
      </w:r>
    </w:p>
    <w:p>
      <w:pPr>
        <w:spacing w:after="0" w:line="183" w:lineRule="exact"/>
        <w:rPr>
          <w:rFonts w:ascii="Courier New" w:cs="Courier New" w:eastAsia="Courier New" w:hAnsi="Courier New"/>
          <w:sz w:val="16"/>
          <w:szCs w:val="16"/>
          <w:color w:val="auto"/>
        </w:rPr>
      </w:pPr>
    </w:p>
    <w:p>
      <w:pPr>
        <w:ind w:left="1520" w:hanging="388"/>
        <w:spacing w:after="0"/>
        <w:tabs>
          <w:tab w:leader="none" w:pos="1520" w:val="left"/>
        </w:tabs>
        <w:numPr>
          <w:ilvl w:val="1"/>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Person becomes a Restricted Subsidiary of the Company; or</w:t>
      </w:r>
    </w:p>
    <w:p>
      <w:pPr>
        <w:spacing w:after="0" w:line="186" w:lineRule="exact"/>
        <w:rPr>
          <w:rFonts w:ascii="Courier New" w:cs="Courier New" w:eastAsia="Courier New" w:hAnsi="Courier New"/>
          <w:sz w:val="16"/>
          <w:szCs w:val="16"/>
          <w:color w:val="auto"/>
        </w:rPr>
      </w:pPr>
    </w:p>
    <w:p>
      <w:pPr>
        <w:ind w:left="560" w:right="2659" w:firstLine="572"/>
        <w:spacing w:after="0" w:line="238" w:lineRule="auto"/>
        <w:tabs>
          <w:tab w:leader="none" w:pos="1506" w:val="left"/>
        </w:tabs>
        <w:numPr>
          <w:ilvl w:val="1"/>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Person is merged, consolidated or amalgamated with or into, or transfers or conveys substantially all of its assets to, or is liquidated into, the Company or a Restricted Subsidiary of the Company;</w:t>
      </w:r>
    </w:p>
    <w:p>
      <w:pPr>
        <w:spacing w:after="0" w:line="188" w:lineRule="exact"/>
        <w:rPr>
          <w:rFonts w:ascii="Courier New" w:cs="Courier New" w:eastAsia="Courier New" w:hAnsi="Courier New"/>
          <w:sz w:val="16"/>
          <w:szCs w:val="16"/>
          <w:color w:val="auto"/>
        </w:rPr>
      </w:pPr>
    </w:p>
    <w:p>
      <w:pPr>
        <w:ind w:right="3039" w:firstLine="564"/>
        <w:spacing w:after="0" w:line="238" w:lineRule="auto"/>
        <w:tabs>
          <w:tab w:leader="none" w:pos="946"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Investment made as a result of the receipt of non-cash consideration from an Asset Sale that was made pursuant to and in compliance with Section 4.10 hereof;</w:t>
      </w:r>
    </w:p>
    <w:p>
      <w:pPr>
        <w:spacing w:after="0" w:line="188" w:lineRule="exact"/>
        <w:rPr>
          <w:rFonts w:ascii="Courier New" w:cs="Courier New" w:eastAsia="Courier New" w:hAnsi="Courier New"/>
          <w:sz w:val="16"/>
          <w:szCs w:val="16"/>
          <w:color w:val="auto"/>
        </w:rPr>
      </w:pPr>
    </w:p>
    <w:p>
      <w:pPr>
        <w:ind w:right="3219" w:firstLine="564"/>
        <w:spacing w:after="0" w:line="237" w:lineRule="auto"/>
        <w:tabs>
          <w:tab w:leader="none" w:pos="946"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acquisition of assets solely in exchange for the issuance of Equity Interests (other than Disqualified Stock) of the Company;</w:t>
      </w:r>
    </w:p>
    <w:p>
      <w:pPr>
        <w:spacing w:after="0" w:line="187" w:lineRule="exact"/>
        <w:rPr>
          <w:rFonts w:ascii="Courier New" w:cs="Courier New" w:eastAsia="Courier New" w:hAnsi="Courier New"/>
          <w:sz w:val="16"/>
          <w:szCs w:val="16"/>
          <w:color w:val="auto"/>
        </w:rPr>
      </w:pPr>
    </w:p>
    <w:p>
      <w:pPr>
        <w:ind w:right="2839" w:firstLine="564"/>
        <w:spacing w:after="0" w:line="237" w:lineRule="auto"/>
        <w:tabs>
          <w:tab w:leader="none" w:pos="946"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accounts or notes receivable acquired in the ordinary course of business;</w:t>
      </w:r>
    </w:p>
    <w:p>
      <w:pPr>
        <w:spacing w:after="0" w:line="187" w:lineRule="exact"/>
        <w:rPr>
          <w:rFonts w:ascii="Courier New" w:cs="Courier New" w:eastAsia="Courier New" w:hAnsi="Courier New"/>
          <w:sz w:val="16"/>
          <w:szCs w:val="16"/>
          <w:color w:val="auto"/>
        </w:rPr>
      </w:pPr>
    </w:p>
    <w:p>
      <w:pPr>
        <w:jc w:val="both"/>
        <w:ind w:right="3219" w:firstLine="564"/>
        <w:spacing w:after="0" w:line="238" w:lineRule="auto"/>
        <w:tabs>
          <w:tab w:leader="none" w:pos="946"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designation of one or more Subsidiaries of the Company whose assets and operations are exclusively related to the professional business segment of the Company;</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81" w:right="1440" w:bottom="1440" w:gutter="0" w:footer="0" w:header="0"/>
        </w:sectPr>
      </w:pPr>
    </w:p>
    <w:bookmarkStart w:id="254" w:name="page255"/>
    <w:bookmarkEnd w:id="254"/>
    <w:p>
      <w:pPr>
        <w:ind w:left="-560" w:right="3219" w:firstLine="564"/>
        <w:spacing w:after="0" w:line="267" w:lineRule="auto"/>
        <w:tabs>
          <w:tab w:leader="none" w:pos="386"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by the Company or any of its Restricted Subsidiaries pursuant to the Exclusive Agency and Marketing Agreement; and</w:t>
      </w:r>
    </w:p>
    <w:p>
      <w:pPr>
        <w:spacing w:after="0" w:line="167" w:lineRule="exact"/>
        <w:rPr>
          <w:rFonts w:ascii="Courier New" w:cs="Courier New" w:eastAsia="Courier New" w:hAnsi="Courier New"/>
          <w:sz w:val="15"/>
          <w:szCs w:val="15"/>
          <w:color w:val="auto"/>
        </w:rPr>
      </w:pPr>
    </w:p>
    <w:p>
      <w:pPr>
        <w:ind w:left="-560" w:right="2659" w:firstLine="564"/>
        <w:spacing w:after="0" w:line="259" w:lineRule="auto"/>
        <w:tabs>
          <w:tab w:leader="none" w:pos="386"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Investments in any Person having an aggregate fair market value (measured on the date each such Investment was made and without giving effect to subsequent changes in value), when taken together with all other Investments made pursuant to this clause (9) that are at any time outstanding, not to exceed the greater of (x) $75.0 million and (y) 5% of Consolidated Net Tangible Assets.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"Permitted Liens" means:</w:t>
      </w:r>
    </w:p>
    <w:p>
      <w:pPr>
        <w:spacing w:after="0" w:line="186" w:lineRule="exact"/>
        <w:rPr>
          <w:sz w:val="20"/>
          <w:szCs w:val="20"/>
          <w:color w:val="auto"/>
        </w:rPr>
      </w:pPr>
    </w:p>
    <w:p>
      <w:pPr>
        <w:ind w:left="-560" w:right="3039" w:firstLine="564"/>
        <w:spacing w:after="0" w:line="237" w:lineRule="auto"/>
        <w:tabs>
          <w:tab w:leader="none" w:pos="386"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securing Senior Debt that was permitted by the terms of this Indenture to be incurred;</w:t>
      </w:r>
    </w:p>
    <w:p>
      <w:pPr>
        <w:spacing w:after="0" w:line="183" w:lineRule="exact"/>
        <w:rPr>
          <w:rFonts w:ascii="Courier New" w:cs="Courier New" w:eastAsia="Courier New" w:hAnsi="Courier New"/>
          <w:sz w:val="16"/>
          <w:szCs w:val="16"/>
          <w:color w:val="auto"/>
        </w:rPr>
      </w:pPr>
    </w:p>
    <w:p>
      <w:pPr>
        <w:ind w:left="380" w:hanging="376"/>
        <w:spacing w:after="0"/>
        <w:tabs>
          <w:tab w:leader="none" w:pos="380"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 favor of the Company or the Guarantors;</w:t>
      </w:r>
    </w:p>
    <w:p>
      <w:pPr>
        <w:spacing w:after="0" w:line="186" w:lineRule="exact"/>
        <w:rPr>
          <w:rFonts w:ascii="Courier New" w:cs="Courier New" w:eastAsia="Courier New" w:hAnsi="Courier New"/>
          <w:sz w:val="16"/>
          <w:szCs w:val="16"/>
          <w:color w:val="auto"/>
        </w:rPr>
      </w:pPr>
    </w:p>
    <w:p>
      <w:pPr>
        <w:ind w:left="-560" w:right="2659" w:firstLine="564"/>
        <w:spacing w:after="0" w:line="239" w:lineRule="auto"/>
        <w:tabs>
          <w:tab w:leader="none" w:pos="386"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property of a Person existing at the time such Person is merged with or into or consolidated with the Company or any Subsidiary of the Company; provided that such Liens were not entered into in contemplation of such merger or consolidation and do not extend to any assets other than those of the Person merged into or consolidated with the Company or the Subsidiary;</w:t>
      </w:r>
    </w:p>
    <w:p>
      <w:pPr>
        <w:spacing w:after="0" w:line="188" w:lineRule="exact"/>
        <w:rPr>
          <w:rFonts w:ascii="Courier New" w:cs="Courier New" w:eastAsia="Courier New" w:hAnsi="Courier New"/>
          <w:sz w:val="16"/>
          <w:szCs w:val="16"/>
          <w:color w:val="auto"/>
        </w:rPr>
      </w:pPr>
    </w:p>
    <w:p>
      <w:pPr>
        <w:ind w:left="-560" w:right="2839" w:firstLine="564"/>
        <w:spacing w:after="0" w:line="238" w:lineRule="auto"/>
        <w:tabs>
          <w:tab w:leader="none" w:pos="386"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property existing at the time of acquisition thereof by the Company or any Subsidiary of the Company, provided that such Liens were not entered into in contemplation of such acquisition;</w:t>
      </w:r>
    </w:p>
    <w:p>
      <w:pPr>
        <w:spacing w:after="0" w:line="188" w:lineRule="exact"/>
        <w:rPr>
          <w:rFonts w:ascii="Courier New" w:cs="Courier New" w:eastAsia="Courier New" w:hAnsi="Courier New"/>
          <w:sz w:val="16"/>
          <w:szCs w:val="16"/>
          <w:color w:val="auto"/>
        </w:rPr>
      </w:pPr>
    </w:p>
    <w:p>
      <w:pPr>
        <w:ind w:left="-560" w:right="2839" w:firstLine="564"/>
        <w:spacing w:after="0" w:line="238" w:lineRule="auto"/>
        <w:tabs>
          <w:tab w:leader="none" w:pos="386"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to secure the performance of statutory obligations, surety or appeal bonds, performance bonds or other obligations of a like nature incurred in the ordinary course of business;</w:t>
      </w:r>
    </w:p>
    <w:p>
      <w:pPr>
        <w:spacing w:after="0" w:line="188" w:lineRule="exact"/>
        <w:rPr>
          <w:rFonts w:ascii="Courier New" w:cs="Courier New" w:eastAsia="Courier New" w:hAnsi="Courier New"/>
          <w:sz w:val="16"/>
          <w:szCs w:val="16"/>
          <w:color w:val="auto"/>
        </w:rPr>
      </w:pPr>
    </w:p>
    <w:p>
      <w:pPr>
        <w:ind w:left="-560" w:right="2759" w:firstLine="564"/>
        <w:spacing w:after="0" w:line="238" w:lineRule="auto"/>
        <w:tabs>
          <w:tab w:leader="none" w:pos="386"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to secure Indebtedness (including Capital Lease Obligations) permitted by clause (4) of the second paragraph of Section 4.09 hereof covering only the assets acquired with such Indebtedness;</w:t>
      </w:r>
    </w:p>
    <w:p>
      <w:pPr>
        <w:spacing w:after="0" w:line="184" w:lineRule="exact"/>
        <w:rPr>
          <w:rFonts w:ascii="Courier New" w:cs="Courier New" w:eastAsia="Courier New" w:hAnsi="Courier New"/>
          <w:sz w:val="16"/>
          <w:szCs w:val="16"/>
          <w:color w:val="auto"/>
        </w:rPr>
      </w:pPr>
    </w:p>
    <w:p>
      <w:pPr>
        <w:ind w:left="380" w:hanging="376"/>
        <w:spacing w:after="0"/>
        <w:tabs>
          <w:tab w:leader="none" w:pos="380"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existing on the date hereof;</w:t>
      </w:r>
    </w:p>
    <w:p>
      <w:pPr>
        <w:spacing w:after="0" w:line="186" w:lineRule="exact"/>
        <w:rPr>
          <w:rFonts w:ascii="Courier New" w:cs="Courier New" w:eastAsia="Courier New" w:hAnsi="Courier New"/>
          <w:sz w:val="16"/>
          <w:szCs w:val="16"/>
          <w:color w:val="auto"/>
        </w:rPr>
      </w:pPr>
    </w:p>
    <w:p>
      <w:pPr>
        <w:ind w:left="-560" w:right="2759" w:firstLine="564"/>
        <w:spacing w:after="0" w:line="237" w:lineRule="auto"/>
        <w:tabs>
          <w:tab w:leader="none" w:pos="386"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Assets of Guarantors to secure Senior Debt of such Guarantor that was permitted by this Indenture to be incurred;</w:t>
      </w:r>
    </w:p>
    <w:p>
      <w:pPr>
        <w:spacing w:after="0" w:line="187" w:lineRule="exact"/>
        <w:rPr>
          <w:rFonts w:ascii="Courier New" w:cs="Courier New" w:eastAsia="Courier New" w:hAnsi="Courier New"/>
          <w:sz w:val="16"/>
          <w:szCs w:val="16"/>
          <w:color w:val="auto"/>
        </w:rPr>
      </w:pPr>
    </w:p>
    <w:p>
      <w:pPr>
        <w:ind w:left="-560" w:right="2759" w:firstLine="564"/>
        <w:spacing w:after="0" w:line="239" w:lineRule="auto"/>
        <w:tabs>
          <w:tab w:leader="none" w:pos="386"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for taxes, assessments or governmental charges or claims that are not yet delinquent or that are being contested in good faith by appropriate proceedings promptly instituted and diligently concluded, provided that any reserve or other appropriate provision as shall be required in conformity with GAAP shall have been made therefor;</w:t>
      </w:r>
    </w:p>
    <w:p>
      <w:pPr>
        <w:spacing w:after="0" w:line="188" w:lineRule="exact"/>
        <w:rPr>
          <w:rFonts w:ascii="Courier New" w:cs="Courier New" w:eastAsia="Courier New" w:hAnsi="Courier New"/>
          <w:sz w:val="16"/>
          <w:szCs w:val="16"/>
          <w:color w:val="auto"/>
        </w:rPr>
      </w:pPr>
    </w:p>
    <w:p>
      <w:pPr>
        <w:ind w:left="-560" w:right="2839" w:firstLine="564"/>
        <w:spacing w:after="0" w:line="238" w:lineRule="auto"/>
        <w:tabs>
          <w:tab w:leader="none" w:pos="480"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incurred in the ordinary course of business of the Company or any Subsidiary of the Company with respect to obligations that do not exceed $5.0 million at any one time outstanding; and</w:t>
      </w:r>
    </w:p>
    <w:p>
      <w:pPr>
        <w:spacing w:after="0" w:line="366"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659"/>
          </w:cols>
          <w:pgMar w:left="800" w:top="481" w:right="1440" w:bottom="1440" w:gutter="0" w:footer="0" w:header="0"/>
        </w:sectPr>
      </w:pPr>
    </w:p>
    <w:bookmarkStart w:id="255" w:name="page256"/>
    <w:bookmarkEnd w:id="255"/>
    <w:p>
      <w:pPr>
        <w:ind w:right="2659" w:firstLine="564"/>
        <w:spacing w:after="0" w:line="237" w:lineRule="auto"/>
        <w:tabs>
          <w:tab w:leader="none" w:pos="1040"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assets of Unrestricted Subsidiaries that secure Non Recourse Debt of Unrestricted Subsidiaries.</w:t>
      </w:r>
    </w:p>
    <w:p>
      <w:pPr>
        <w:spacing w:after="0" w:line="188" w:lineRule="exact"/>
        <w:rPr>
          <w:sz w:val="20"/>
          <w:szCs w:val="20"/>
          <w:color w:val="auto"/>
        </w:rPr>
      </w:pPr>
    </w:p>
    <w:p>
      <w:pPr>
        <w:ind w:right="2659" w:firstLine="567"/>
        <w:spacing w:after="0" w:line="239" w:lineRule="auto"/>
        <w:rPr>
          <w:sz w:val="20"/>
          <w:szCs w:val="20"/>
          <w:color w:val="auto"/>
        </w:rPr>
      </w:pPr>
      <w:r>
        <w:rPr>
          <w:rFonts w:ascii="Courier New" w:cs="Courier New" w:eastAsia="Courier New" w:hAnsi="Courier New"/>
          <w:sz w:val="16"/>
          <w:szCs w:val="16"/>
          <w:color w:val="auto"/>
        </w:rPr>
        <w:t>"Permitted Refinancing Indebtedness" means any Indebtedness of the Company or any of its Restricted Subsidiaries issued in exchange for, or the net proceeds of which are used to extend, refinance, renew, replace, defease or refund other Indebtedness of the Company or any of its Restricted Subsidiaries (other than intercompany Indebtedness); provided that:</w:t>
      </w:r>
    </w:p>
    <w:p>
      <w:pPr>
        <w:spacing w:after="0" w:line="189" w:lineRule="exact"/>
        <w:rPr>
          <w:sz w:val="20"/>
          <w:szCs w:val="20"/>
          <w:color w:val="auto"/>
        </w:rPr>
      </w:pPr>
    </w:p>
    <w:p>
      <w:pPr>
        <w:ind w:right="2659" w:firstLine="564"/>
        <w:spacing w:after="0" w:line="239" w:lineRule="auto"/>
        <w:tabs>
          <w:tab w:leader="none" w:pos="946"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(or accreted value, if applicable) of such Permitted Refinancing Indebtedness does not exceed the principal amount of (or accreted value, if applicable), plus accrued interest on, the Indebtedness so extended, refinanced, renewed, replaced, defeased or refunded (plus the amount of reasonable expenses incurred in connection therewith including premiums paid, if any, to the holders thereof);</w:t>
      </w:r>
    </w:p>
    <w:p>
      <w:pPr>
        <w:spacing w:after="0" w:line="190" w:lineRule="exact"/>
        <w:rPr>
          <w:rFonts w:ascii="Courier New" w:cs="Courier New" w:eastAsia="Courier New" w:hAnsi="Courier New"/>
          <w:sz w:val="16"/>
          <w:szCs w:val="16"/>
          <w:color w:val="auto"/>
        </w:rPr>
      </w:pPr>
    </w:p>
    <w:p>
      <w:pPr>
        <w:ind w:right="2759" w:firstLine="564"/>
        <w:spacing w:after="0" w:line="239" w:lineRule="auto"/>
        <w:tabs>
          <w:tab w:leader="none" w:pos="946"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188" w:lineRule="exact"/>
        <w:rPr>
          <w:rFonts w:ascii="Courier New" w:cs="Courier New" w:eastAsia="Courier New" w:hAnsi="Courier New"/>
          <w:sz w:val="16"/>
          <w:szCs w:val="16"/>
          <w:color w:val="auto"/>
        </w:rPr>
      </w:pPr>
    </w:p>
    <w:p>
      <w:pPr>
        <w:ind w:right="2659" w:firstLine="564"/>
        <w:spacing w:after="0" w:line="239" w:lineRule="auto"/>
        <w:tabs>
          <w:tab w:leader="none" w:pos="946"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Indebtedness being extended, refinanced, renewed, replaced, defeased or refunded is subordinated in right of payment to the Notes, such Permitted Refinancing Indebtedness has a final maturity date later than the final maturity date of, and is subordinated in right of payment to, the Notes on terms at least as favorable to the Holders of Notes as those contained in the documentation governing the Indebtedness being extended, refinanced, renewed, replaced, defeased or refunded; and</w:t>
      </w:r>
    </w:p>
    <w:p>
      <w:pPr>
        <w:spacing w:after="0" w:line="191" w:lineRule="exact"/>
        <w:rPr>
          <w:rFonts w:ascii="Courier New" w:cs="Courier New" w:eastAsia="Courier New" w:hAnsi="Courier New"/>
          <w:sz w:val="16"/>
          <w:szCs w:val="16"/>
          <w:color w:val="auto"/>
        </w:rPr>
      </w:pPr>
    </w:p>
    <w:p>
      <w:pPr>
        <w:ind w:right="3039" w:firstLine="564"/>
        <w:spacing w:after="0" w:line="267" w:lineRule="auto"/>
        <w:tabs>
          <w:tab w:leader="none" w:pos="946"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Indebtedness shall not be incurred by a Restricted Subsidiary that is not a Guarantor to refinance debt of the Company or a Guarantor.</w:t>
      </w:r>
    </w:p>
    <w:p>
      <w:pPr>
        <w:spacing w:after="0" w:line="168" w:lineRule="exact"/>
        <w:rPr>
          <w:sz w:val="20"/>
          <w:szCs w:val="20"/>
          <w:color w:val="auto"/>
        </w:rPr>
      </w:pPr>
    </w:p>
    <w:p>
      <w:pPr>
        <w:ind w:right="2939" w:firstLine="567"/>
        <w:spacing w:after="0" w:line="239" w:lineRule="auto"/>
        <w:rPr>
          <w:sz w:val="20"/>
          <w:szCs w:val="20"/>
          <w:color w:val="auto"/>
        </w:rPr>
      </w:pPr>
      <w:r>
        <w:rPr>
          <w:rFonts w:ascii="Courier New" w:cs="Courier New" w:eastAsia="Courier New" w:hAnsi="Courier New"/>
          <w:sz w:val="16"/>
          <w:szCs w:val="16"/>
          <w:color w:val="auto"/>
        </w:rPr>
        <w:t>"Person" means any individual, corporation, limited liability company, partnership, joint venture, association, joint-stock company, trust or unincorporated organization (including any subdivision or ongoing business of any such entity or substantially all of the assets of any such entity, subdivision or business).</w:t>
      </w:r>
    </w:p>
    <w:p>
      <w:pPr>
        <w:spacing w:after="0" w:line="189" w:lineRule="exact"/>
        <w:rPr>
          <w:sz w:val="20"/>
          <w:szCs w:val="20"/>
          <w:color w:val="auto"/>
        </w:rPr>
      </w:pPr>
    </w:p>
    <w:p>
      <w:pPr>
        <w:ind w:right="3119" w:firstLine="567"/>
        <w:spacing w:after="0" w:line="237" w:lineRule="auto"/>
        <w:rPr>
          <w:sz w:val="20"/>
          <w:szCs w:val="20"/>
          <w:color w:val="auto"/>
        </w:rPr>
      </w:pPr>
      <w:r>
        <w:rPr>
          <w:rFonts w:ascii="Courier New" w:cs="Courier New" w:eastAsia="Courier New" w:hAnsi="Courier New"/>
          <w:sz w:val="16"/>
          <w:szCs w:val="16"/>
          <w:color w:val="auto"/>
        </w:rPr>
        <w:t>"Principals" means the Hagedorn Partnership, L.P., and any Partner or Affiliate thereof or of such Partner.</w:t>
      </w:r>
    </w:p>
    <w:p>
      <w:pPr>
        <w:spacing w:after="0" w:line="18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"Private Placement Legend" means the legend set forth in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2.06(g)(i) to be placed on all Notes issued under this Indenture except where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otherwise permitted by the provisions of this Indenture.</w:t>
      </w:r>
    </w:p>
    <w:p>
      <w:pPr>
        <w:spacing w:after="0" w:line="186" w:lineRule="exact"/>
        <w:rPr>
          <w:sz w:val="20"/>
          <w:szCs w:val="20"/>
          <w:color w:val="auto"/>
        </w:rPr>
      </w:pPr>
    </w:p>
    <w:p>
      <w:pPr>
        <w:ind w:right="2839" w:firstLine="567"/>
        <w:spacing w:after="0" w:line="237" w:lineRule="auto"/>
        <w:rPr>
          <w:sz w:val="20"/>
          <w:szCs w:val="20"/>
          <w:color w:val="auto"/>
        </w:rPr>
      </w:pPr>
      <w:r>
        <w:rPr>
          <w:rFonts w:ascii="Courier New" w:cs="Courier New" w:eastAsia="Courier New" w:hAnsi="Courier New"/>
          <w:sz w:val="16"/>
          <w:szCs w:val="16"/>
          <w:color w:val="auto"/>
        </w:rPr>
        <w:t>A "Public Market" exists at any time with respect to the Common Stock of the Company if:</w:t>
      </w:r>
    </w:p>
    <w:p>
      <w:pPr>
        <w:spacing w:after="0" w:line="188" w:lineRule="exact"/>
        <w:rPr>
          <w:sz w:val="20"/>
          <w:szCs w:val="20"/>
          <w:color w:val="auto"/>
        </w:rPr>
      </w:pPr>
    </w:p>
    <w:p>
      <w:pPr>
        <w:ind w:right="2939" w:firstLine="564"/>
        <w:spacing w:after="0" w:line="239" w:lineRule="auto"/>
        <w:tabs>
          <w:tab w:leader="none" w:pos="946"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Common Stock of the Company is then registered with the SEC pursuant to Section 12(b) or 12(g) of the Exchange Act and traded either on a national securities exchange or in the National Association of Securities Dealers Automated Quotation System; and</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481" w:right="1440" w:bottom="1440" w:gutter="0" w:footer="0" w:header="0"/>
        </w:sectPr>
      </w:pPr>
    </w:p>
    <w:bookmarkStart w:id="256" w:name="page257"/>
    <w:bookmarkEnd w:id="256"/>
    <w:p>
      <w:pPr>
        <w:ind w:right="2839" w:firstLine="564"/>
        <w:spacing w:after="0" w:line="238" w:lineRule="auto"/>
        <w:tabs>
          <w:tab w:leader="none" w:pos="946"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15% of the total issued and outstanding Common Stock of the Company has been distributed prior to such time by means of an effective registration statement under the Securities Act.</w:t>
      </w:r>
    </w:p>
    <w:p>
      <w:pPr>
        <w:spacing w:after="0" w:line="18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"QIB" means a "qualified institutional buyer" as defined in Rule 144A.</w:t>
      </w:r>
    </w:p>
    <w:p>
      <w:pPr>
        <w:spacing w:after="0" w:line="186" w:lineRule="exact"/>
        <w:rPr>
          <w:sz w:val="20"/>
          <w:szCs w:val="20"/>
          <w:color w:val="auto"/>
        </w:rPr>
      </w:pPr>
    </w:p>
    <w:p>
      <w:pPr>
        <w:ind w:right="2659" w:firstLine="567"/>
        <w:spacing w:after="0"/>
        <w:rPr>
          <w:sz w:val="20"/>
          <w:szCs w:val="20"/>
          <w:color w:val="auto"/>
        </w:rPr>
      </w:pPr>
      <w:r>
        <w:rPr>
          <w:rFonts w:ascii="Courier New" w:cs="Courier New" w:eastAsia="Courier New" w:hAnsi="Courier New"/>
          <w:sz w:val="16"/>
          <w:szCs w:val="16"/>
          <w:color w:val="auto"/>
        </w:rPr>
        <w:t>"Qualified Securitization Transaction" means any transaction or series of transactions pursuant to which the Company or any of its Restricted Subsidiaries may sell, convey or otherwise transfer to (a) a Securitization Entity (in the case of a transfer by the Company or any of its Restricted Subsidiaries) and (b) any other Person (in case of a transfer by a Securitization Entity), or may grant a security interest in, any accounts receivable or equipment (whether now existing or arising or acquired in the future) of the Company or any of its Restricted Subsidiaries, and any assets related thereto including, without limitation, all collateral securing such accounts receivable and equipment, all contracts and contract rights and all Guarantees or other obligations in respect of such accounts receivable and equipment, proceeds of such accounts receivable and equipment and other assets (including contract rights) which are customarily transferred or in respect of which security interests are customarily granted in connection with asset securitization transactions involving accounts receivable and equipment.</w:t>
      </w:r>
    </w:p>
    <w:p>
      <w:pPr>
        <w:spacing w:after="0" w:line="191" w:lineRule="exact"/>
        <w:rPr>
          <w:sz w:val="20"/>
          <w:szCs w:val="20"/>
          <w:color w:val="auto"/>
        </w:rPr>
      </w:pPr>
    </w:p>
    <w:p>
      <w:pPr>
        <w:ind w:right="2659" w:firstLine="567"/>
        <w:spacing w:after="0" w:line="239" w:lineRule="auto"/>
        <w:rPr>
          <w:sz w:val="20"/>
          <w:szCs w:val="20"/>
          <w:color w:val="auto"/>
        </w:rPr>
      </w:pPr>
      <w:r>
        <w:rPr>
          <w:rFonts w:ascii="Courier New" w:cs="Courier New" w:eastAsia="Courier New" w:hAnsi="Courier New"/>
          <w:sz w:val="16"/>
          <w:szCs w:val="16"/>
          <w:color w:val="auto"/>
        </w:rPr>
        <w:t>"Rating Agency" means each of S&amp;P and Moody's, or if S&amp;P or Moody's or both shall not make a rating on the Notes publicly available (for reasons outside the control of the Company), a statistical rating agency or agencies, as the case may be, nationally recognized in the United States and selected by the Company (as certified by a resolution of the Board of Directors) which shall be substituted for S&amp;P's or Moody's, or both, as the case may be.</w:t>
      </w:r>
    </w:p>
    <w:p>
      <w:pPr>
        <w:spacing w:after="0" w:line="190" w:lineRule="exact"/>
        <w:rPr>
          <w:sz w:val="20"/>
          <w:szCs w:val="20"/>
          <w:color w:val="auto"/>
        </w:rPr>
      </w:pPr>
    </w:p>
    <w:p>
      <w:pPr>
        <w:ind w:right="2759" w:firstLine="567"/>
        <w:spacing w:after="0" w:line="237" w:lineRule="auto"/>
        <w:rPr>
          <w:sz w:val="20"/>
          <w:szCs w:val="20"/>
          <w:color w:val="auto"/>
        </w:rPr>
      </w:pPr>
      <w:r>
        <w:rPr>
          <w:rFonts w:ascii="Courier New" w:cs="Courier New" w:eastAsia="Courier New" w:hAnsi="Courier New"/>
          <w:sz w:val="16"/>
          <w:szCs w:val="16"/>
          <w:color w:val="auto"/>
        </w:rPr>
        <w:t>"Registered Exchange Offer" has the meaning set forth in the Registration Rights Agreement.</w:t>
      </w:r>
    </w:p>
    <w:p>
      <w:pPr>
        <w:spacing w:after="0" w:line="188" w:lineRule="exact"/>
        <w:rPr>
          <w:sz w:val="20"/>
          <w:szCs w:val="20"/>
          <w:color w:val="auto"/>
        </w:rPr>
      </w:pPr>
    </w:p>
    <w:p>
      <w:pPr>
        <w:ind w:right="2659" w:firstLine="567"/>
        <w:spacing w:after="0" w:line="237" w:lineRule="auto"/>
        <w:rPr>
          <w:sz w:val="20"/>
          <w:szCs w:val="20"/>
          <w:color w:val="auto"/>
        </w:rPr>
      </w:pPr>
      <w:r>
        <w:rPr>
          <w:rFonts w:ascii="Courier New" w:cs="Courier New" w:eastAsia="Courier New" w:hAnsi="Courier New"/>
          <w:sz w:val="16"/>
          <w:szCs w:val="16"/>
          <w:color w:val="auto"/>
        </w:rPr>
        <w:t>"Registration Default Damages" means all amounts owing pursuant to Section 8 of the Registration Rights Agreement.</w:t>
      </w:r>
    </w:p>
    <w:p>
      <w:pPr>
        <w:spacing w:after="0" w:line="188" w:lineRule="exact"/>
        <w:rPr>
          <w:sz w:val="20"/>
          <w:szCs w:val="20"/>
          <w:color w:val="auto"/>
        </w:rPr>
      </w:pPr>
    </w:p>
    <w:p>
      <w:pPr>
        <w:ind w:right="2659" w:firstLine="567"/>
        <w:spacing w:after="0"/>
        <w:rPr>
          <w:sz w:val="20"/>
          <w:szCs w:val="20"/>
          <w:color w:val="auto"/>
        </w:rPr>
      </w:pPr>
      <w:r>
        <w:rPr>
          <w:rFonts w:ascii="Courier New" w:cs="Courier New" w:eastAsia="Courier New" w:hAnsi="Courier New"/>
          <w:sz w:val="16"/>
          <w:szCs w:val="16"/>
          <w:color w:val="auto"/>
        </w:rPr>
        <w:t>"Registration Rights Agreement" means the Registration Rights Agreement, dated as of the date hereof, by and among the Company, the Guarantors named on the signature pages thereof, and the Initial Purchasers, as such agreement may be amended, modified or supplemented from time to time and, relating to rights given by the Company and the Guarantors to the purchasers of the Initial Notes to register such Initial Notes under the Securities Act and, with respect to any Additional Notes, one or more registration rights agreements, if any, between the Company and the other parties thereto, as such agreement(s) may be amended, modified or supplemented from time to time, relating to rights given by the Company to the purchasers of Additional Notes to register such Additional Notes under the Securities Act.</w:t>
      </w:r>
    </w:p>
    <w:p>
      <w:pPr>
        <w:spacing w:after="0" w:line="185"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"Regulation S" means Regulation S promulgated under the Securities Act.</w:t>
      </w:r>
    </w:p>
    <w:p>
      <w:pPr>
        <w:spacing w:after="0" w:line="186" w:lineRule="exact"/>
        <w:rPr>
          <w:sz w:val="20"/>
          <w:szCs w:val="20"/>
          <w:color w:val="auto"/>
        </w:rPr>
      </w:pPr>
    </w:p>
    <w:p>
      <w:pPr>
        <w:ind w:right="2659" w:firstLine="567"/>
        <w:spacing w:after="0" w:line="259" w:lineRule="auto"/>
        <w:rPr>
          <w:sz w:val="20"/>
          <w:szCs w:val="20"/>
          <w:color w:val="auto"/>
        </w:rPr>
      </w:pPr>
      <w:r>
        <w:rPr>
          <w:rFonts w:ascii="Courier New" w:cs="Courier New" w:eastAsia="Courier New" w:hAnsi="Courier New"/>
          <w:sz w:val="15"/>
          <w:szCs w:val="15"/>
          <w:color w:val="auto"/>
        </w:rPr>
        <w:t>"Regulation S Global Note" means a permanent global Note in the form of Exhibit A hereto bearing the Global Note Legend and the Private Placement Legend and deposited with or on behalf of and registered in the name of the Depositary or its nominee, issued in a denomination equal to the outstanding principal amount of the Notes initially sold in reliance on Rule 903 of Regulation S.</w:t>
      </w:r>
    </w:p>
    <w:p>
      <w:pPr>
        <w:spacing w:after="0" w:line="35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81" w:right="1440" w:bottom="1440" w:gutter="0" w:footer="0" w:header="0"/>
        </w:sectPr>
      </w:pPr>
    </w:p>
    <w:bookmarkStart w:id="257" w:name="page258"/>
    <w:bookmarkEnd w:id="257"/>
    <w:p>
      <w:pPr>
        <w:ind w:right="2759" w:firstLine="567"/>
        <w:spacing w:after="0" w:line="239" w:lineRule="auto"/>
        <w:rPr>
          <w:sz w:val="20"/>
          <w:szCs w:val="20"/>
          <w:color w:val="auto"/>
        </w:rPr>
      </w:pPr>
      <w:r>
        <w:rPr>
          <w:rFonts w:ascii="Courier New" w:cs="Courier New" w:eastAsia="Courier New" w:hAnsi="Courier New"/>
          <w:sz w:val="16"/>
          <w:szCs w:val="16"/>
          <w:color w:val="auto"/>
        </w:rPr>
        <w:t>"Related Business" means the business conducted (or proposed to be conducted) by the Company and its Subsidiaries as of the Issue Date and any and all businesses that in the good faith judgment of the Board of Directors of the Company are reasonably related thereto.</w:t>
      </w:r>
    </w:p>
    <w:p>
      <w:pPr>
        <w:spacing w:after="0" w:line="183"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"Related Party" with respect to any Principal means:</w:t>
      </w:r>
    </w:p>
    <w:p>
      <w:pPr>
        <w:spacing w:after="0" w:line="186" w:lineRule="exact"/>
        <w:rPr>
          <w:sz w:val="20"/>
          <w:szCs w:val="20"/>
          <w:color w:val="auto"/>
        </w:rPr>
      </w:pPr>
    </w:p>
    <w:p>
      <w:pPr>
        <w:ind w:right="2759" w:firstLine="564"/>
        <w:spacing w:after="0" w:line="267" w:lineRule="auto"/>
        <w:tabs>
          <w:tab w:leader="none" w:pos="946"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controlling stockholder, 80% or more owned Subsidiary, or spouse or immediate family member (in the case of an individual) of such Principal; or</w:t>
      </w:r>
    </w:p>
    <w:p>
      <w:pPr>
        <w:spacing w:after="0" w:line="167" w:lineRule="exact"/>
        <w:rPr>
          <w:rFonts w:ascii="Courier New" w:cs="Courier New" w:eastAsia="Courier New" w:hAnsi="Courier New"/>
          <w:sz w:val="15"/>
          <w:szCs w:val="15"/>
          <w:color w:val="auto"/>
        </w:rPr>
      </w:pPr>
    </w:p>
    <w:p>
      <w:pPr>
        <w:ind w:right="2659" w:firstLine="564"/>
        <w:spacing w:after="0" w:line="239" w:lineRule="auto"/>
        <w:tabs>
          <w:tab w:leader="none" w:pos="946"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trust, corporation, partnership or other entity, the beneficiaries, stockholders, partners, owners or Persons beneficially holding an 80% or more controlling interest of which consist of such Principal and/or such other Persons referred to in the immediately preceding clause (1).</w:t>
      </w:r>
    </w:p>
    <w:p>
      <w:pPr>
        <w:spacing w:after="0" w:line="187" w:lineRule="exact"/>
        <w:rPr>
          <w:sz w:val="20"/>
          <w:szCs w:val="20"/>
          <w:color w:val="auto"/>
        </w:rPr>
      </w:pPr>
    </w:p>
    <w:p>
      <w:pPr>
        <w:ind w:right="2759" w:firstLine="567"/>
        <w:spacing w:after="0" w:line="239" w:lineRule="auto"/>
        <w:rPr>
          <w:sz w:val="20"/>
          <w:szCs w:val="20"/>
          <w:color w:val="auto"/>
        </w:rPr>
      </w:pPr>
      <w:r>
        <w:rPr>
          <w:rFonts w:ascii="Courier New" w:cs="Courier New" w:eastAsia="Courier New" w:hAnsi="Courier New"/>
          <w:sz w:val="16"/>
          <w:szCs w:val="16"/>
          <w:color w:val="auto"/>
        </w:rPr>
        <w:t>"Responsible Officer," when used with respect to the Trustee, means any officer within the Corporate Trust Services department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92" w:lineRule="exact"/>
        <w:rPr>
          <w:sz w:val="20"/>
          <w:szCs w:val="20"/>
          <w:color w:val="auto"/>
        </w:rPr>
      </w:pPr>
    </w:p>
    <w:p>
      <w:pPr>
        <w:ind w:right="2839" w:firstLine="567"/>
        <w:spacing w:after="0" w:line="237" w:lineRule="auto"/>
        <w:rPr>
          <w:sz w:val="20"/>
          <w:szCs w:val="20"/>
          <w:color w:val="auto"/>
        </w:rPr>
      </w:pPr>
      <w:r>
        <w:rPr>
          <w:rFonts w:ascii="Courier New" w:cs="Courier New" w:eastAsia="Courier New" w:hAnsi="Courier New"/>
          <w:sz w:val="16"/>
          <w:szCs w:val="16"/>
          <w:color w:val="auto"/>
        </w:rPr>
        <w:t>"Restricted Definitive Note" means a Definitive Note bearing the Private Placement Legend.</w:t>
      </w:r>
    </w:p>
    <w:p>
      <w:pPr>
        <w:spacing w:after="0" w:line="188" w:lineRule="exact"/>
        <w:rPr>
          <w:sz w:val="20"/>
          <w:szCs w:val="20"/>
          <w:color w:val="auto"/>
        </w:rPr>
      </w:pPr>
    </w:p>
    <w:p>
      <w:pPr>
        <w:ind w:right="2659" w:firstLine="567"/>
        <w:spacing w:after="0" w:line="237" w:lineRule="auto"/>
        <w:rPr>
          <w:sz w:val="20"/>
          <w:szCs w:val="20"/>
          <w:color w:val="auto"/>
        </w:rPr>
      </w:pPr>
      <w:r>
        <w:rPr>
          <w:rFonts w:ascii="Courier New" w:cs="Courier New" w:eastAsia="Courier New" w:hAnsi="Courier New"/>
          <w:sz w:val="16"/>
          <w:szCs w:val="16"/>
          <w:color w:val="auto"/>
        </w:rPr>
        <w:t>"Restricted Global Note" means a Global Note bearing the Private Placement Legend.</w:t>
      </w:r>
    </w:p>
    <w:p>
      <w:pPr>
        <w:spacing w:after="0" w:line="188" w:lineRule="exact"/>
        <w:rPr>
          <w:sz w:val="20"/>
          <w:szCs w:val="20"/>
          <w:color w:val="auto"/>
        </w:rPr>
      </w:pPr>
    </w:p>
    <w:p>
      <w:pPr>
        <w:ind w:right="3419" w:firstLine="567"/>
        <w:spacing w:after="0" w:line="237" w:lineRule="auto"/>
        <w:rPr>
          <w:sz w:val="20"/>
          <w:szCs w:val="20"/>
          <w:color w:val="auto"/>
        </w:rPr>
      </w:pPr>
      <w:r>
        <w:rPr>
          <w:rFonts w:ascii="Courier New" w:cs="Courier New" w:eastAsia="Courier New" w:hAnsi="Courier New"/>
          <w:sz w:val="16"/>
          <w:szCs w:val="16"/>
          <w:color w:val="auto"/>
        </w:rPr>
        <w:t>"Restricted Investment" means an Investment other than a Permitted Investment.</w:t>
      </w:r>
    </w:p>
    <w:p>
      <w:pPr>
        <w:spacing w:after="0" w:line="188" w:lineRule="exact"/>
        <w:rPr>
          <w:sz w:val="20"/>
          <w:szCs w:val="20"/>
          <w:color w:val="auto"/>
        </w:rPr>
      </w:pPr>
    </w:p>
    <w:p>
      <w:pPr>
        <w:ind w:right="3219" w:firstLine="567"/>
        <w:spacing w:after="0" w:line="237" w:lineRule="auto"/>
        <w:rPr>
          <w:sz w:val="20"/>
          <w:szCs w:val="20"/>
          <w:color w:val="auto"/>
        </w:rPr>
      </w:pPr>
      <w:r>
        <w:rPr>
          <w:rFonts w:ascii="Courier New" w:cs="Courier New" w:eastAsia="Courier New" w:hAnsi="Courier New"/>
          <w:sz w:val="16"/>
          <w:szCs w:val="16"/>
          <w:color w:val="auto"/>
        </w:rPr>
        <w:t>"Restricted Period" means the 40-day restricted period as defined in Regulation S.</w:t>
      </w:r>
    </w:p>
    <w:p>
      <w:pPr>
        <w:spacing w:after="0" w:line="188" w:lineRule="exact"/>
        <w:rPr>
          <w:sz w:val="20"/>
          <w:szCs w:val="20"/>
          <w:color w:val="auto"/>
        </w:rPr>
      </w:pPr>
    </w:p>
    <w:p>
      <w:pPr>
        <w:ind w:right="2839" w:firstLine="567"/>
        <w:spacing w:after="0" w:line="237" w:lineRule="auto"/>
        <w:rPr>
          <w:sz w:val="20"/>
          <w:szCs w:val="20"/>
          <w:color w:val="auto"/>
        </w:rPr>
      </w:pPr>
      <w:r>
        <w:rPr>
          <w:rFonts w:ascii="Courier New" w:cs="Courier New" w:eastAsia="Courier New" w:hAnsi="Courier New"/>
          <w:sz w:val="16"/>
          <w:szCs w:val="16"/>
          <w:color w:val="auto"/>
        </w:rPr>
        <w:t>"Restricted Subsidiary" of a Person means any Subsidiary of the referent Person that is not an Unrestricted Subsidiary.</w:t>
      </w:r>
    </w:p>
    <w:p>
      <w:pPr>
        <w:spacing w:after="0" w:line="18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"Rule 144" means Rule 144 promulgated under the Securities Act.</w:t>
      </w:r>
    </w:p>
    <w:p>
      <w:pPr>
        <w:spacing w:after="0" w:line="183"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"Rule 144A" means Rule 144A promulgated under the Securities Act.</w:t>
      </w:r>
    </w:p>
    <w:p>
      <w:pPr>
        <w:spacing w:after="0" w:line="183"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"Rule 903" means Rule 903 promulgated under the Securities Act.</w:t>
      </w:r>
    </w:p>
    <w:p>
      <w:pPr>
        <w:spacing w:after="0" w:line="183"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"Rule 904" means Rule 904 promulgated the Securities Act.</w:t>
      </w:r>
    </w:p>
    <w:p>
      <w:pPr>
        <w:spacing w:after="0" w:line="183"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"Sanford" means Sanford Scientific, Inc., a Subsidiary of the Company.</w:t>
      </w:r>
    </w:p>
    <w:p>
      <w:pPr>
        <w:spacing w:after="0" w:line="186" w:lineRule="exact"/>
        <w:rPr>
          <w:sz w:val="20"/>
          <w:szCs w:val="20"/>
          <w:color w:val="auto"/>
        </w:rPr>
      </w:pPr>
    </w:p>
    <w:p>
      <w:pPr>
        <w:ind w:right="2759" w:firstLine="567"/>
        <w:spacing w:after="0" w:line="237" w:lineRule="auto"/>
        <w:rPr>
          <w:sz w:val="20"/>
          <w:szCs w:val="20"/>
          <w:color w:val="auto"/>
        </w:rPr>
      </w:pPr>
      <w:r>
        <w:rPr>
          <w:rFonts w:ascii="Courier New" w:cs="Courier New" w:eastAsia="Courier New" w:hAnsi="Courier New"/>
          <w:sz w:val="16"/>
          <w:szCs w:val="16"/>
          <w:color w:val="auto"/>
        </w:rPr>
        <w:t>"S&amp;P" means Standard &amp; Poor's Rating Services, a division of McGraw Hill, Inc., a New York corporation, or any successor rating agency.</w:t>
      </w:r>
    </w:p>
    <w:p>
      <w:pPr>
        <w:spacing w:after="0" w:line="18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"SEC" means the Securities and Exchange Commission.</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481" w:right="1440" w:bottom="1440" w:gutter="0" w:footer="0" w:header="0"/>
        </w:sectPr>
      </w:pPr>
    </w:p>
    <w:bookmarkStart w:id="258" w:name="page259"/>
    <w:bookmarkEnd w:id="258"/>
    <w:p>
      <w:pPr>
        <w:ind w:left="1143"/>
        <w:spacing w:after="0"/>
        <w:rPr>
          <w:sz w:val="20"/>
          <w:szCs w:val="20"/>
          <w:color w:val="auto"/>
        </w:rPr>
      </w:pPr>
      <w:r>
        <w:rPr>
          <w:rFonts w:ascii="Courier New" w:cs="Courier New" w:eastAsia="Courier New" w:hAnsi="Courier New"/>
          <w:sz w:val="16"/>
          <w:szCs w:val="16"/>
          <w:color w:val="auto"/>
        </w:rPr>
        <w:t>"Securities Act" means the Securities Act of 1933, as amended.</w:t>
      </w:r>
    </w:p>
    <w:p>
      <w:pPr>
        <w:spacing w:after="0" w:line="186" w:lineRule="exact"/>
        <w:rPr>
          <w:sz w:val="20"/>
          <w:szCs w:val="20"/>
          <w:color w:val="auto"/>
        </w:rPr>
      </w:pPr>
    </w:p>
    <w:p>
      <w:pPr>
        <w:ind w:left="3" w:right="2659" w:firstLine="1135"/>
        <w:spacing w:after="0" w:line="257" w:lineRule="auto"/>
        <w:rPr>
          <w:sz w:val="20"/>
          <w:szCs w:val="20"/>
          <w:color w:val="auto"/>
        </w:rPr>
      </w:pPr>
      <w:r>
        <w:rPr>
          <w:rFonts w:ascii="Courier New" w:cs="Courier New" w:eastAsia="Courier New" w:hAnsi="Courier New"/>
          <w:sz w:val="15"/>
          <w:szCs w:val="15"/>
          <w:color w:val="auto"/>
        </w:rPr>
        <w:t>"Securitization Entity" means a Wholly Owned Subsidiary of the Company (or another Person in which the Company or any Subsidiary of the Company makes an Investment and to which the Company or any Subsidiary of the Company transfers accounts receivable or equipment and related assets) that engages in no activities other than in connection with the financing of accounts receivable or equipment and that is a Securitization Entity (a) no portion of the Indebtedness or any other Obligations (contingent or otherwise) of which (i) is guaranteed by the Company or any Restricted Subsidiary of the Company (excluding guarantees of Obligations (other than the principal of, and interest on, Indebtedness)) pursuant to Standard Securitization Undertakings, (ii) is recourse to or obligates the Company or any Restricted Subsidiary of the Company in any way other than pursuant to Standard Securitization Undertakings or (iii) subjects any property or asset of the Company or any Restricted Subsidiary of the Company, directly or indirectly, contingently or otherwise, to the satisfaction thereof, other than pursuant to Standard Securitization Undertakings, (b) with which neither the Company nor any Restricted Subsidiary of the Company has any material contract, agreement, arrangement or understanding other than on terms no less favorable to the Company or such Restricted Subsidiary than those that might be obtained at the time from Persons that are not Affiliates of the Company, other than fees payable in the ordinary course of business in connection with servicing receivables of such entity, and</w:t>
      </w:r>
    </w:p>
    <w:p>
      <w:pPr>
        <w:spacing w:after="0" w:line="180" w:lineRule="exact"/>
        <w:rPr>
          <w:sz w:val="20"/>
          <w:szCs w:val="20"/>
          <w:color w:val="auto"/>
        </w:rPr>
      </w:pPr>
    </w:p>
    <w:p>
      <w:pPr>
        <w:ind w:left="3" w:right="2759" w:hanging="3"/>
        <w:spacing w:after="0" w:line="238" w:lineRule="auto"/>
        <w:tabs>
          <w:tab w:leader="none" w:pos="381" w:val="left"/>
        </w:tabs>
        <w:numPr>
          <w:ilvl w:val="0"/>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which neither the Company nor any Restricted Subsidiary of the Company has any obligation to maintain or preserve such entity's financial condition or cause such entity to achieve certain levels of operating results.</w:t>
      </w:r>
    </w:p>
    <w:p>
      <w:pPr>
        <w:spacing w:after="0" w:line="188" w:lineRule="exact"/>
        <w:rPr>
          <w:sz w:val="20"/>
          <w:szCs w:val="20"/>
          <w:color w:val="auto"/>
        </w:rPr>
      </w:pPr>
    </w:p>
    <w:p>
      <w:pPr>
        <w:ind w:left="3" w:right="3499" w:firstLine="1135"/>
        <w:spacing w:after="0" w:line="267" w:lineRule="auto"/>
        <w:rPr>
          <w:sz w:val="20"/>
          <w:szCs w:val="20"/>
          <w:color w:val="auto"/>
        </w:rPr>
      </w:pPr>
      <w:r>
        <w:rPr>
          <w:rFonts w:ascii="Courier New" w:cs="Courier New" w:eastAsia="Courier New" w:hAnsi="Courier New"/>
          <w:sz w:val="15"/>
          <w:szCs w:val="15"/>
          <w:color w:val="auto"/>
        </w:rPr>
        <w:t>"Shelf Registration Statement" means the Shelf Registration Statement as defined in the Registration Rights Agreement.</w:t>
      </w:r>
    </w:p>
    <w:p>
      <w:pPr>
        <w:spacing w:after="0" w:line="168" w:lineRule="exact"/>
        <w:rPr>
          <w:sz w:val="20"/>
          <w:szCs w:val="20"/>
          <w:color w:val="auto"/>
        </w:rPr>
      </w:pPr>
    </w:p>
    <w:p>
      <w:pPr>
        <w:ind w:left="3" w:right="2839" w:firstLine="1135"/>
        <w:spacing w:after="0" w:line="239" w:lineRule="auto"/>
        <w:rPr>
          <w:sz w:val="20"/>
          <w:szCs w:val="20"/>
          <w:color w:val="auto"/>
        </w:rPr>
      </w:pPr>
      <w:r>
        <w:rPr>
          <w:rFonts w:ascii="Courier New" w:cs="Courier New" w:eastAsia="Courier New" w:hAnsi="Courier New"/>
          <w:sz w:val="16"/>
          <w:szCs w:val="16"/>
          <w:color w:val="auto"/>
        </w:rPr>
        <w:t>"Significant Subsidiary" means any Subsidiary that would be a "significant subsidiary" as defined in Article 1, Rule 1-02 of Regulation S-X, promulgated pursuant to the Securities Act, as such Regulation is in effect on the date hereof.</w:t>
      </w:r>
    </w:p>
    <w:p>
      <w:pPr>
        <w:spacing w:after="0" w:line="187" w:lineRule="exact"/>
        <w:rPr>
          <w:sz w:val="20"/>
          <w:szCs w:val="20"/>
          <w:color w:val="auto"/>
        </w:rPr>
      </w:pPr>
    </w:p>
    <w:p>
      <w:pPr>
        <w:ind w:left="3" w:right="3319" w:firstLine="1135"/>
        <w:spacing w:after="0" w:line="239" w:lineRule="auto"/>
        <w:rPr>
          <w:sz w:val="20"/>
          <w:szCs w:val="20"/>
          <w:color w:val="auto"/>
        </w:rPr>
      </w:pPr>
      <w:r>
        <w:rPr>
          <w:rFonts w:ascii="Courier New" w:cs="Courier New" w:eastAsia="Courier New" w:hAnsi="Courier New"/>
          <w:sz w:val="16"/>
          <w:szCs w:val="16"/>
          <w:color w:val="auto"/>
        </w:rPr>
        <w:t>"Standard Securitization Undertakings" means representations, warranties, covenants and indemnities entered into by the Company or any Subsidiary of the Company that are reasonably customary in an accounts receivable or equipment transaction.</w:t>
      </w:r>
    </w:p>
    <w:p>
      <w:pPr>
        <w:spacing w:after="0" w:line="187" w:lineRule="exact"/>
        <w:rPr>
          <w:sz w:val="20"/>
          <w:szCs w:val="20"/>
          <w:color w:val="auto"/>
        </w:rPr>
      </w:pPr>
    </w:p>
    <w:p>
      <w:pPr>
        <w:ind w:left="3" w:right="2659" w:firstLine="1135"/>
        <w:spacing w:after="0" w:line="239" w:lineRule="auto"/>
        <w:rPr>
          <w:sz w:val="20"/>
          <w:szCs w:val="20"/>
          <w:color w:val="auto"/>
        </w:rPr>
      </w:pPr>
      <w:r>
        <w:rPr>
          <w:rFonts w:ascii="Courier New" w:cs="Courier New" w:eastAsia="Courier New" w:hAnsi="Courier New"/>
          <w:sz w:val="16"/>
          <w:szCs w:val="16"/>
          <w:color w:val="auto"/>
        </w:rPr>
        <w:t>"Stated Maturity" means, with respect to any installment of interest or principal on any series of Indebtedness, the date on which such payment of interest or principal was scheduled to be paid in the original documentation governing such Indebtedness, and shall not include any contingent obligations to repay, redeem or repurchase any such interest or principal prior to the date originally scheduled for the payment thereof.</w:t>
      </w:r>
    </w:p>
    <w:p>
      <w:pPr>
        <w:spacing w:after="0" w:line="186" w:lineRule="exact"/>
        <w:rPr>
          <w:sz w:val="20"/>
          <w:szCs w:val="20"/>
          <w:color w:val="auto"/>
        </w:rPr>
      </w:pPr>
    </w:p>
    <w:p>
      <w:pPr>
        <w:ind w:left="1143"/>
        <w:spacing w:after="0"/>
        <w:rPr>
          <w:sz w:val="20"/>
          <w:szCs w:val="20"/>
          <w:color w:val="auto"/>
        </w:rPr>
      </w:pPr>
      <w:r>
        <w:rPr>
          <w:rFonts w:ascii="Courier New" w:cs="Courier New" w:eastAsia="Courier New" w:hAnsi="Courier New"/>
          <w:sz w:val="16"/>
          <w:szCs w:val="16"/>
          <w:color w:val="auto"/>
        </w:rPr>
        <w:t>"Subsidiary" means, with respect to any Person:</w:t>
      </w:r>
    </w:p>
    <w:p>
      <w:pPr>
        <w:spacing w:after="0" w:line="186" w:lineRule="exact"/>
        <w:rPr>
          <w:sz w:val="20"/>
          <w:szCs w:val="20"/>
          <w:color w:val="auto"/>
        </w:rPr>
      </w:pPr>
    </w:p>
    <w:p>
      <w:pPr>
        <w:ind w:left="3" w:right="2659" w:firstLine="1132"/>
        <w:spacing w:after="0" w:line="239" w:lineRule="auto"/>
        <w:tabs>
          <w:tab w:leader="none" w:pos="1516"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w:t>
      </w:r>
    </w:p>
    <w:p>
      <w:pPr>
        <w:spacing w:after="0" w:line="200" w:lineRule="exact"/>
        <w:rPr>
          <w:sz w:val="20"/>
          <w:szCs w:val="20"/>
          <w:color w:val="auto"/>
        </w:rPr>
      </w:pPr>
    </w:p>
    <w:p>
      <w:pPr>
        <w:spacing w:after="0" w:line="350"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2"/>
          </w:cols>
          <w:pgMar w:left="237" w:top="659" w:right="1440" w:bottom="1440" w:gutter="0" w:footer="0" w:header="0"/>
        </w:sectPr>
      </w:pPr>
    </w:p>
    <w:bookmarkStart w:id="259" w:name="page260"/>
    <w:bookmarkEnd w:id="259"/>
    <w:p>
      <w:pPr>
        <w:ind w:right="2939" w:firstLine="1132"/>
        <w:spacing w:after="0" w:line="239" w:lineRule="auto"/>
        <w:tabs>
          <w:tab w:leader="none" w:pos="1513"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partnership (a) the sole general partner or the managing general partner of which is such Person or a Subsidiary of such Person or (b) the only general partners of which are such Person or of one or more Subsidiaries of such Person (or any combination thereof).</w:t>
      </w:r>
    </w:p>
    <w:p>
      <w:pPr>
        <w:spacing w:after="0" w:line="187" w:lineRule="exact"/>
        <w:rPr>
          <w:sz w:val="20"/>
          <w:szCs w:val="20"/>
          <w:color w:val="auto"/>
        </w:rPr>
      </w:pPr>
    </w:p>
    <w:p>
      <w:pPr>
        <w:jc w:val="both"/>
        <w:ind w:right="3119" w:firstLine="1135"/>
        <w:spacing w:after="0" w:line="238" w:lineRule="auto"/>
        <w:rPr>
          <w:sz w:val="20"/>
          <w:szCs w:val="20"/>
          <w:color w:val="auto"/>
        </w:rPr>
      </w:pPr>
      <w:r>
        <w:rPr>
          <w:rFonts w:ascii="Courier New" w:cs="Courier New" w:eastAsia="Courier New" w:hAnsi="Courier New"/>
          <w:sz w:val="16"/>
          <w:szCs w:val="16"/>
          <w:color w:val="auto"/>
        </w:rPr>
        <w:t>"Subsidiary Guarantee" means the subordinated Guarantee by each Guarantor of the Company's payment obligations under this Indenture and the Notes, executed pursuant to the provisions of this Indenture.</w:t>
      </w:r>
    </w:p>
    <w:p>
      <w:pPr>
        <w:spacing w:after="0" w:line="188" w:lineRule="exact"/>
        <w:rPr>
          <w:sz w:val="20"/>
          <w:szCs w:val="20"/>
          <w:color w:val="auto"/>
        </w:rPr>
      </w:pPr>
    </w:p>
    <w:p>
      <w:pPr>
        <w:ind w:right="3319" w:firstLine="1135"/>
        <w:spacing w:after="0" w:line="238" w:lineRule="auto"/>
        <w:rPr>
          <w:sz w:val="20"/>
          <w:szCs w:val="20"/>
          <w:color w:val="auto"/>
        </w:rPr>
      </w:pPr>
      <w:r>
        <w:rPr>
          <w:rFonts w:ascii="Courier New" w:cs="Courier New" w:eastAsia="Courier New" w:hAnsi="Courier New"/>
          <w:sz w:val="16"/>
          <w:szCs w:val="16"/>
          <w:color w:val="auto"/>
        </w:rPr>
        <w:t>"TIA" means the Trust Indenture Act of 1939 (15 U.S.C. Sections77aaa-77bbbb) as in effect on the date on which this Indenture is qualified under the TIA.</w:t>
      </w:r>
    </w:p>
    <w:p>
      <w:pPr>
        <w:spacing w:after="0" w:line="188" w:lineRule="exact"/>
        <w:rPr>
          <w:sz w:val="20"/>
          <w:szCs w:val="20"/>
          <w:color w:val="auto"/>
        </w:rPr>
      </w:pPr>
    </w:p>
    <w:p>
      <w:pPr>
        <w:ind w:right="2839" w:firstLine="1135"/>
        <w:spacing w:after="0" w:line="238" w:lineRule="auto"/>
        <w:rPr>
          <w:sz w:val="20"/>
          <w:szCs w:val="20"/>
          <w:color w:val="auto"/>
        </w:rPr>
      </w:pPr>
      <w:r>
        <w:rPr>
          <w:rFonts w:ascii="Courier New" w:cs="Courier New" w:eastAsia="Courier New" w:hAnsi="Courier New"/>
          <w:sz w:val="16"/>
          <w:szCs w:val="16"/>
          <w:color w:val="auto"/>
        </w:rPr>
        <w:t>"Trustee" means the party named as such above until a successor replaces it in accordance with the applicable provisions of this Indenture and thereafter means the successor serving hereunder.</w:t>
      </w:r>
    </w:p>
    <w:p>
      <w:pPr>
        <w:spacing w:after="0" w:line="188" w:lineRule="exact"/>
        <w:rPr>
          <w:sz w:val="20"/>
          <w:szCs w:val="20"/>
          <w:color w:val="auto"/>
        </w:rPr>
      </w:pPr>
    </w:p>
    <w:p>
      <w:pPr>
        <w:ind w:right="2939" w:firstLine="1135"/>
        <w:spacing w:after="0" w:line="267" w:lineRule="auto"/>
        <w:rPr>
          <w:sz w:val="20"/>
          <w:szCs w:val="20"/>
          <w:color w:val="auto"/>
        </w:rPr>
      </w:pPr>
      <w:r>
        <w:rPr>
          <w:rFonts w:ascii="Courier New" w:cs="Courier New" w:eastAsia="Courier New" w:hAnsi="Courier New"/>
          <w:sz w:val="15"/>
          <w:szCs w:val="15"/>
          <w:color w:val="auto"/>
        </w:rPr>
        <w:t>"Unrestricted Definitive Note" means one or more Definitive Notes that do not bear and are not required to bear the Private Placement Legend.</w:t>
      </w:r>
    </w:p>
    <w:p>
      <w:pPr>
        <w:spacing w:after="0" w:line="168"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"Unrestricted Global Note" means a permanent global Note in the form of Exhibit A attached hereto that bears the Global Note Legend and that has the "Schedule of Exchanges of Interests in the Global Note" attached thereto, and that is deposited with or on behalf of and registered in the name of the Depositary, representing a series of Notes that do not bear the Private Placement Legend.</w:t>
      </w:r>
    </w:p>
    <w:p>
      <w:pPr>
        <w:spacing w:after="0" w:line="190" w:lineRule="exact"/>
        <w:rPr>
          <w:sz w:val="20"/>
          <w:szCs w:val="20"/>
          <w:color w:val="auto"/>
        </w:rPr>
      </w:pPr>
    </w:p>
    <w:p>
      <w:pPr>
        <w:jc w:val="both"/>
        <w:ind w:right="2839" w:firstLine="1135"/>
        <w:spacing w:after="0" w:line="238" w:lineRule="auto"/>
        <w:rPr>
          <w:sz w:val="20"/>
          <w:szCs w:val="20"/>
          <w:color w:val="auto"/>
        </w:rPr>
      </w:pPr>
      <w:r>
        <w:rPr>
          <w:rFonts w:ascii="Courier New" w:cs="Courier New" w:eastAsia="Courier New" w:hAnsi="Courier New"/>
          <w:sz w:val="16"/>
          <w:szCs w:val="16"/>
          <w:color w:val="auto"/>
        </w:rPr>
        <w:t>"Unrestricted Subsidiary" means any Subsidiary of the Company that is designated by the Board of Directors as an Unrestricted Subsidiary pursuant to a Board Resolution, but only to the extent that such Subsidiary:</w:t>
      </w:r>
    </w:p>
    <w:p>
      <w:pPr>
        <w:spacing w:after="0" w:line="184" w:lineRule="exact"/>
        <w:rPr>
          <w:sz w:val="20"/>
          <w:szCs w:val="20"/>
          <w:color w:val="auto"/>
        </w:rPr>
      </w:pPr>
    </w:p>
    <w:p>
      <w:pPr>
        <w:ind w:left="1520" w:hanging="388"/>
        <w:spacing w:after="0"/>
        <w:tabs>
          <w:tab w:leader="none" w:pos="1520"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no Indebtedness other than Non-Recourse Debt;</w:t>
      </w:r>
    </w:p>
    <w:p>
      <w:pPr>
        <w:spacing w:after="0" w:line="186" w:lineRule="exact"/>
        <w:rPr>
          <w:rFonts w:ascii="Courier New" w:cs="Courier New" w:eastAsia="Courier New" w:hAnsi="Courier New"/>
          <w:sz w:val="16"/>
          <w:szCs w:val="16"/>
          <w:color w:val="auto"/>
        </w:rPr>
      </w:pPr>
    </w:p>
    <w:p>
      <w:pPr>
        <w:ind w:right="2839" w:firstLine="1132"/>
        <w:spacing w:after="0" w:line="239" w:lineRule="auto"/>
        <w:tabs>
          <w:tab w:leader="none" w:pos="1513"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not party to any agreement, contract, 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190" w:lineRule="exact"/>
        <w:rPr>
          <w:rFonts w:ascii="Courier New" w:cs="Courier New" w:eastAsia="Courier New" w:hAnsi="Courier New"/>
          <w:sz w:val="16"/>
          <w:szCs w:val="16"/>
          <w:color w:val="auto"/>
        </w:rPr>
      </w:pPr>
    </w:p>
    <w:p>
      <w:pPr>
        <w:ind w:right="2659" w:firstLine="1132"/>
        <w:spacing w:after="0" w:line="239" w:lineRule="auto"/>
        <w:tabs>
          <w:tab w:leader="none" w:pos="1513"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 Person with respect to which neither the Company nor any of its Restricted Subsidiaries has any direct or indirect obligation (a) to subscribe for additional Equity Interests or (b) to maintain or preserve such Person's financial condition or to cause such Person to achieve any specified levels of operating results; and</w:t>
      </w:r>
    </w:p>
    <w:p>
      <w:pPr>
        <w:spacing w:after="0" w:line="188" w:lineRule="exact"/>
        <w:rPr>
          <w:rFonts w:ascii="Courier New" w:cs="Courier New" w:eastAsia="Courier New" w:hAnsi="Courier New"/>
          <w:sz w:val="16"/>
          <w:szCs w:val="16"/>
          <w:color w:val="auto"/>
        </w:rPr>
      </w:pPr>
    </w:p>
    <w:p>
      <w:pPr>
        <w:ind w:right="2759" w:firstLine="1132"/>
        <w:spacing w:after="0" w:line="238" w:lineRule="auto"/>
        <w:tabs>
          <w:tab w:leader="none" w:pos="1513"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not guaranteed or otherwise directly or indirectly provided credit support for any Indebtedness of the Company or any of its Restricted Subsidiaries.</w:t>
      </w:r>
    </w:p>
    <w:p>
      <w:pPr>
        <w:spacing w:after="0" w:line="188"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Any designation of a Subsidiary of the Company as an Unrestricted Subsidiary shall be evidenced to the Trustee by filing with the Trustee a certified copy of the Board Resolution giving effect to such designation and an Officers' Certificate certifying that such</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481" w:right="1440" w:bottom="1440" w:gutter="0" w:footer="0" w:header="0"/>
        </w:sectPr>
      </w:pPr>
    </w:p>
    <w:bookmarkStart w:id="260" w:name="page261"/>
    <w:bookmarkEnd w:id="260"/>
    <w:p>
      <w:pPr>
        <w:ind w:right="2659"/>
        <w:spacing w:after="0" w:line="257" w:lineRule="auto"/>
        <w:rPr>
          <w:sz w:val="20"/>
          <w:szCs w:val="20"/>
          <w:color w:val="auto"/>
        </w:rPr>
      </w:pPr>
      <w:r>
        <w:rPr>
          <w:rFonts w:ascii="Courier New" w:cs="Courier New" w:eastAsia="Courier New" w:hAnsi="Courier New"/>
          <w:sz w:val="15"/>
          <w:szCs w:val="15"/>
          <w:color w:val="auto"/>
        </w:rPr>
        <w:t>designation complied with the preceding conditions and was permitted by Section 4.07 hereof. If, at any time, any Unrestricted Subsidiary would fail to meet the preceding requirements as an Unrestricted Subsidiary, it shall thereafter cease to be an Unrestricted Subsidiary for purposes of this Indenture and any Indebtedness of such Subsidiary shall be deemed to be incurred by a Restricted Subsidiary of the Company as of such date and, if such Indebtedness is not permitted to be incurred as of such date pursuant to Section 4.09 hereof, the Company shall be in default of such covenant. The Board of Directors of the Company may at any time designate any Unrestricted Subsidiary to be a Restricted Subsidiary; provided that such designation shall be deemed to be an incurrence of Indebtedness by a Restricted Subsidiary of the Company of any outstanding Indebtedness of such Unrestricted Subsidiary and such designation shall only be permitted if (1) such Indebtedness is permitted pursuant to Section 4.09 hereof, calculated on a pro forma basis as if such designation had occurred at the beginning of the four-quarter reference period; and (2) no Default or Event of Default would be in existence following such designation.</w:t>
      </w:r>
    </w:p>
    <w:p>
      <w:pPr>
        <w:spacing w:after="0" w:line="181" w:lineRule="exact"/>
        <w:rPr>
          <w:sz w:val="20"/>
          <w:szCs w:val="20"/>
          <w:color w:val="auto"/>
        </w:rPr>
      </w:pPr>
    </w:p>
    <w:p>
      <w:pPr>
        <w:ind w:right="3039" w:firstLine="1135"/>
        <w:spacing w:after="0" w:line="260" w:lineRule="auto"/>
        <w:rPr>
          <w:sz w:val="20"/>
          <w:szCs w:val="20"/>
          <w:color w:val="auto"/>
        </w:rPr>
      </w:pPr>
      <w:r>
        <w:rPr>
          <w:rFonts w:ascii="Courier New" w:cs="Courier New" w:eastAsia="Courier New" w:hAnsi="Courier New"/>
          <w:sz w:val="15"/>
          <w:szCs w:val="15"/>
          <w:color w:val="auto"/>
        </w:rPr>
        <w:t>If a Guarantor is designated as an Unrestricted Subsidiary, the Subsidiary Guarantee of that Guarantor shall be released. If an Unrestricted Subsidiary becomes a Restricted Subsidiary, such Restricted Subsidiary shall become a Guarantor in accordance with the terms of this Indenture.</w:t>
      </w:r>
    </w:p>
    <w:p>
      <w:pPr>
        <w:spacing w:after="0" w:line="173" w:lineRule="exact"/>
        <w:rPr>
          <w:sz w:val="20"/>
          <w:szCs w:val="20"/>
          <w:color w:val="auto"/>
        </w:rPr>
      </w:pPr>
    </w:p>
    <w:p>
      <w:pPr>
        <w:ind w:right="2939" w:firstLine="1135"/>
        <w:spacing w:after="0" w:line="237" w:lineRule="auto"/>
        <w:rPr>
          <w:sz w:val="20"/>
          <w:szCs w:val="20"/>
          <w:color w:val="auto"/>
        </w:rPr>
      </w:pPr>
      <w:r>
        <w:rPr>
          <w:rFonts w:ascii="Courier New" w:cs="Courier New" w:eastAsia="Courier New" w:hAnsi="Courier New"/>
          <w:sz w:val="16"/>
          <w:szCs w:val="16"/>
          <w:color w:val="auto"/>
        </w:rPr>
        <w:t>"U.S. Person" means a U.S. person as defined in Rule 902(o) under the Securities Act.</w:t>
      </w:r>
    </w:p>
    <w:p>
      <w:pPr>
        <w:spacing w:after="0" w:line="188" w:lineRule="exact"/>
        <w:rPr>
          <w:sz w:val="20"/>
          <w:szCs w:val="20"/>
          <w:color w:val="auto"/>
        </w:rPr>
      </w:pPr>
    </w:p>
    <w:p>
      <w:pPr>
        <w:jc w:val="both"/>
        <w:ind w:right="2659" w:firstLine="1135"/>
        <w:spacing w:after="0" w:line="238" w:lineRule="auto"/>
        <w:rPr>
          <w:sz w:val="20"/>
          <w:szCs w:val="20"/>
          <w:color w:val="auto"/>
        </w:rPr>
      </w:pPr>
      <w:r>
        <w:rPr>
          <w:rFonts w:ascii="Courier New" w:cs="Courier New" w:eastAsia="Courier New" w:hAnsi="Courier New"/>
          <w:sz w:val="16"/>
          <w:szCs w:val="16"/>
          <w:color w:val="auto"/>
        </w:rPr>
        <w:t>"Voting Stock" of any Person as of any date means the Capital Stock of such Person that is at the time entitled to vote in the election of the Board of Directors of such Person.</w:t>
      </w:r>
    </w:p>
    <w:p>
      <w:pPr>
        <w:spacing w:after="0" w:line="184"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"Weighted Average Life to Maturity" means, when applied to 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Indebtedness at any date, the number of years obtained by dividing:</w:t>
      </w:r>
    </w:p>
    <w:p>
      <w:pPr>
        <w:spacing w:after="0" w:line="186" w:lineRule="exact"/>
        <w:rPr>
          <w:sz w:val="20"/>
          <w:szCs w:val="20"/>
          <w:color w:val="auto"/>
        </w:rPr>
      </w:pPr>
    </w:p>
    <w:p>
      <w:pPr>
        <w:ind w:right="2659" w:firstLine="1132"/>
        <w:spacing w:after="0" w:line="239" w:lineRule="auto"/>
        <w:tabs>
          <w:tab w:leader="none" w:pos="1513"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w:t>
      </w:r>
    </w:p>
    <w:p>
      <w:pPr>
        <w:spacing w:after="0" w:line="184" w:lineRule="exact"/>
        <w:rPr>
          <w:rFonts w:ascii="Courier New" w:cs="Courier New" w:eastAsia="Courier New" w:hAnsi="Courier New"/>
          <w:sz w:val="16"/>
          <w:szCs w:val="16"/>
          <w:color w:val="auto"/>
        </w:rPr>
      </w:pPr>
    </w:p>
    <w:p>
      <w:pPr>
        <w:ind w:left="1520" w:hanging="388"/>
        <w:spacing w:after="0"/>
        <w:tabs>
          <w:tab w:leader="none" w:pos="1520"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then outstanding principal amount of such Indebtedness.</w:t>
      </w:r>
    </w:p>
    <w:p>
      <w:pPr>
        <w:spacing w:after="0" w:line="186" w:lineRule="exact"/>
        <w:rPr>
          <w:sz w:val="20"/>
          <w:szCs w:val="20"/>
          <w:color w:val="auto"/>
        </w:rPr>
      </w:pPr>
    </w:p>
    <w:p>
      <w:pPr>
        <w:ind w:right="3039" w:firstLine="1135"/>
        <w:spacing w:after="0" w:line="239" w:lineRule="auto"/>
        <w:rPr>
          <w:sz w:val="20"/>
          <w:szCs w:val="20"/>
          <w:color w:val="auto"/>
        </w:rPr>
      </w:pPr>
      <w:r>
        <w:rPr>
          <w:rFonts w:ascii="Courier New" w:cs="Courier New" w:eastAsia="Courier New" w:hAnsi="Courier New"/>
          <w:sz w:val="16"/>
          <w:szCs w:val="16"/>
          <w:color w:val="auto"/>
        </w:rPr>
        <w:t>"Wholly Owned Restricted Subsidiary" of any Person means a Restricted Subsidiary of such Person all of the outstanding Capital Stock or other ownership interests of which (other than directors' qualifying shares) shall at the time be owned by such Person and/or by one or more Wholly Owned Restricted Subsidiaries of such Person.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1.02 Other Definitions.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2840" w:type="dxa"/>
            <w:vAlign w:val="bottom"/>
          </w:tcPr>
          <w:p>
            <w:pPr>
              <w:spacing w:after="0"/>
              <w:rPr>
                <w:sz w:val="15"/>
                <w:szCs w:val="15"/>
                <w:color w:val="auto"/>
              </w:rPr>
            </w:pPr>
          </w:p>
        </w:tc>
        <w:tc>
          <w:tcPr>
            <w:tcW w:w="3220" w:type="dxa"/>
            <w:vAlign w:val="bottom"/>
          </w:tcPr>
          <w:p>
            <w:pPr>
              <w:jc w:val="center"/>
              <w:ind w:left="2201"/>
              <w:spacing w:after="0"/>
              <w:rPr>
                <w:sz w:val="20"/>
                <w:szCs w:val="20"/>
                <w:color w:val="auto"/>
              </w:rPr>
            </w:pPr>
            <w:r>
              <w:rPr>
                <w:rFonts w:ascii="Courier New" w:cs="Courier New" w:eastAsia="Courier New" w:hAnsi="Courier New"/>
                <w:sz w:val="16"/>
                <w:szCs w:val="16"/>
                <w:color w:val="auto"/>
                <w:w w:val="97"/>
              </w:rPr>
              <w:t>Defined in</w:t>
            </w:r>
          </w:p>
        </w:tc>
      </w:tr>
      <w:tr>
        <w:trPr>
          <w:trHeight w:val="182"/>
        </w:trPr>
        <w:tc>
          <w:tcPr>
            <w:tcW w:w="2840" w:type="dxa"/>
            <w:vAlign w:val="bottom"/>
          </w:tcPr>
          <w:p>
            <w:pPr>
              <w:ind w:left="1140"/>
              <w:spacing w:after="0"/>
              <w:rPr>
                <w:sz w:val="20"/>
                <w:szCs w:val="20"/>
                <w:color w:val="auto"/>
              </w:rPr>
            </w:pPr>
            <w:r>
              <w:rPr>
                <w:rFonts w:ascii="Courier New" w:cs="Courier New" w:eastAsia="Courier New" w:hAnsi="Courier New"/>
                <w:sz w:val="16"/>
                <w:szCs w:val="16"/>
                <w:color w:val="auto"/>
              </w:rPr>
              <w:t>Term</w:t>
            </w:r>
          </w:p>
        </w:tc>
        <w:tc>
          <w:tcPr>
            <w:tcW w:w="3220" w:type="dxa"/>
            <w:vAlign w:val="bottom"/>
          </w:tcPr>
          <w:p>
            <w:pPr>
              <w:ind w:left="2360"/>
              <w:spacing w:after="0"/>
              <w:rPr>
                <w:sz w:val="20"/>
                <w:szCs w:val="20"/>
                <w:color w:val="auto"/>
              </w:rPr>
            </w:pPr>
            <w:r>
              <w:rPr>
                <w:rFonts w:ascii="Courier New" w:cs="Courier New" w:eastAsia="Courier New" w:hAnsi="Courier New"/>
                <w:sz w:val="16"/>
                <w:szCs w:val="16"/>
                <w:color w:val="auto"/>
              </w:rPr>
              <w:t>Section</w:t>
            </w:r>
          </w:p>
        </w:tc>
      </w:tr>
      <w:tr>
        <w:trPr>
          <w:trHeight w:val="182"/>
        </w:trPr>
        <w:tc>
          <w:tcPr>
            <w:tcW w:w="2840" w:type="dxa"/>
            <w:vAlign w:val="bottom"/>
          </w:tcPr>
          <w:p>
            <w:pPr>
              <w:ind w:left="1140"/>
              <w:spacing w:after="0"/>
              <w:rPr>
                <w:sz w:val="20"/>
                <w:szCs w:val="20"/>
                <w:color w:val="auto"/>
              </w:rPr>
            </w:pPr>
            <w:r>
              <w:rPr>
                <w:rFonts w:ascii="Courier New" w:cs="Courier New" w:eastAsia="Courier New" w:hAnsi="Courier New"/>
                <w:sz w:val="16"/>
                <w:szCs w:val="16"/>
                <w:color w:val="auto"/>
              </w:rPr>
              <w:t>----</w:t>
            </w:r>
          </w:p>
        </w:tc>
        <w:tc>
          <w:tcPr>
            <w:tcW w:w="3220" w:type="dxa"/>
            <w:vAlign w:val="bottom"/>
          </w:tcPr>
          <w:p>
            <w:pPr>
              <w:ind w:left="2360"/>
              <w:spacing w:after="0"/>
              <w:rPr>
                <w:sz w:val="20"/>
                <w:szCs w:val="20"/>
                <w:color w:val="auto"/>
              </w:rPr>
            </w:pPr>
            <w:r>
              <w:rPr>
                <w:rFonts w:ascii="Courier New" w:cs="Courier New" w:eastAsia="Courier New" w:hAnsi="Courier New"/>
                <w:sz w:val="16"/>
                <w:szCs w:val="16"/>
                <w:color w:val="auto"/>
              </w:rPr>
              <w:t>-------</w:t>
            </w:r>
          </w:p>
        </w:tc>
      </w:tr>
      <w:tr>
        <w:trPr>
          <w:trHeight w:val="546"/>
        </w:trPr>
        <w:tc>
          <w:tcPr>
            <w:tcW w:w="2840" w:type="dxa"/>
            <w:vAlign w:val="bottom"/>
          </w:tcPr>
          <w:p>
            <w:pPr>
              <w:spacing w:after="0"/>
              <w:rPr>
                <w:sz w:val="20"/>
                <w:szCs w:val="20"/>
                <w:color w:val="auto"/>
              </w:rPr>
            </w:pPr>
            <w:r>
              <w:rPr>
                <w:rFonts w:ascii="Courier New" w:cs="Courier New" w:eastAsia="Courier New" w:hAnsi="Courier New"/>
                <w:sz w:val="16"/>
                <w:szCs w:val="16"/>
                <w:color w:val="auto"/>
              </w:rPr>
              <w:t>"Affiliate Transaction"</w:t>
            </w:r>
          </w:p>
        </w:tc>
        <w:tc>
          <w:tcPr>
            <w:tcW w:w="3220" w:type="dxa"/>
            <w:vAlign w:val="bottom"/>
          </w:tcPr>
          <w:p>
            <w:pPr>
              <w:jc w:val="center"/>
              <w:ind w:left="2201"/>
              <w:spacing w:after="0"/>
              <w:rPr>
                <w:sz w:val="20"/>
                <w:szCs w:val="20"/>
                <w:color w:val="auto"/>
              </w:rPr>
            </w:pPr>
            <w:r>
              <w:rPr>
                <w:rFonts w:ascii="Courier New" w:cs="Courier New" w:eastAsia="Courier New" w:hAnsi="Courier New"/>
                <w:sz w:val="16"/>
                <w:szCs w:val="16"/>
                <w:color w:val="auto"/>
                <w:w w:val="98"/>
              </w:rPr>
              <w:t>4.11</w:t>
            </w:r>
          </w:p>
        </w:tc>
      </w:tr>
      <w:tr>
        <w:trPr>
          <w:trHeight w:val="182"/>
        </w:trPr>
        <w:tc>
          <w:tcPr>
            <w:tcW w:w="2840" w:type="dxa"/>
            <w:vAlign w:val="bottom"/>
          </w:tcPr>
          <w:p>
            <w:pPr>
              <w:spacing w:after="0"/>
              <w:rPr>
                <w:sz w:val="20"/>
                <w:szCs w:val="20"/>
                <w:color w:val="auto"/>
              </w:rPr>
            </w:pPr>
            <w:r>
              <w:rPr>
                <w:rFonts w:ascii="Courier New" w:cs="Courier New" w:eastAsia="Courier New" w:hAnsi="Courier New"/>
                <w:sz w:val="16"/>
                <w:szCs w:val="16"/>
                <w:color w:val="auto"/>
              </w:rPr>
              <w:t>"Applicable Premium"</w:t>
            </w:r>
          </w:p>
        </w:tc>
        <w:tc>
          <w:tcPr>
            <w:tcW w:w="3220" w:type="dxa"/>
            <w:vAlign w:val="bottom"/>
          </w:tcPr>
          <w:p>
            <w:pPr>
              <w:jc w:val="center"/>
              <w:ind w:left="2201"/>
              <w:spacing w:after="0"/>
              <w:rPr>
                <w:sz w:val="20"/>
                <w:szCs w:val="20"/>
                <w:color w:val="auto"/>
              </w:rPr>
            </w:pPr>
            <w:r>
              <w:rPr>
                <w:rFonts w:ascii="Courier New" w:cs="Courier New" w:eastAsia="Courier New" w:hAnsi="Courier New"/>
                <w:sz w:val="16"/>
                <w:szCs w:val="16"/>
                <w:color w:val="auto"/>
                <w:w w:val="98"/>
              </w:rPr>
              <w:t>3.07</w:t>
            </w:r>
          </w:p>
        </w:tc>
      </w:tr>
      <w:tr>
        <w:trPr>
          <w:trHeight w:val="182"/>
        </w:trPr>
        <w:tc>
          <w:tcPr>
            <w:tcW w:w="2840" w:type="dxa"/>
            <w:vAlign w:val="bottom"/>
          </w:tcPr>
          <w:p>
            <w:pPr>
              <w:spacing w:after="0"/>
              <w:rPr>
                <w:sz w:val="20"/>
                <w:szCs w:val="20"/>
                <w:color w:val="auto"/>
              </w:rPr>
            </w:pPr>
            <w:r>
              <w:rPr>
                <w:rFonts w:ascii="Courier New" w:cs="Courier New" w:eastAsia="Courier New" w:hAnsi="Courier New"/>
                <w:sz w:val="16"/>
                <w:szCs w:val="16"/>
                <w:color w:val="auto"/>
              </w:rPr>
              <w:t>"Asset Sale Offer"</w:t>
            </w:r>
          </w:p>
        </w:tc>
        <w:tc>
          <w:tcPr>
            <w:tcW w:w="3220" w:type="dxa"/>
            <w:vAlign w:val="bottom"/>
          </w:tcPr>
          <w:p>
            <w:pPr>
              <w:jc w:val="center"/>
              <w:ind w:left="2201"/>
              <w:spacing w:after="0"/>
              <w:rPr>
                <w:sz w:val="20"/>
                <w:szCs w:val="20"/>
                <w:color w:val="auto"/>
              </w:rPr>
            </w:pPr>
            <w:r>
              <w:rPr>
                <w:rFonts w:ascii="Courier New" w:cs="Courier New" w:eastAsia="Courier New" w:hAnsi="Courier New"/>
                <w:sz w:val="16"/>
                <w:szCs w:val="16"/>
                <w:color w:val="auto"/>
                <w:w w:val="98"/>
              </w:rPr>
              <w:t>4.10</w:t>
            </w:r>
          </w:p>
        </w:tc>
      </w:tr>
      <w:tr>
        <w:trPr>
          <w:trHeight w:val="546"/>
        </w:trPr>
        <w:tc>
          <w:tcPr>
            <w:tcW w:w="2840" w:type="dxa"/>
            <w:vAlign w:val="bottom"/>
          </w:tcPr>
          <w:p>
            <w:pPr>
              <w:spacing w:after="0"/>
              <w:rPr>
                <w:sz w:val="24"/>
                <w:szCs w:val="24"/>
                <w:color w:val="auto"/>
              </w:rPr>
            </w:pPr>
          </w:p>
        </w:tc>
        <w:tc>
          <w:tcPr>
            <w:tcW w:w="3220" w:type="dxa"/>
            <w:vAlign w:val="bottom"/>
          </w:tcPr>
          <w:p>
            <w:pPr>
              <w:jc w:val="right"/>
              <w:ind w:right="2281"/>
              <w:spacing w:after="0"/>
              <w:rPr>
                <w:sz w:val="20"/>
                <w:szCs w:val="20"/>
                <w:color w:val="auto"/>
              </w:rPr>
            </w:pPr>
            <w:r>
              <w:rPr>
                <w:rFonts w:ascii="Courier New" w:cs="Courier New" w:eastAsia="Courier New" w:hAnsi="Courier New"/>
                <w:sz w:val="16"/>
                <w:szCs w:val="16"/>
                <w:color w:val="auto"/>
              </w:rPr>
              <w:t>21</w:t>
            </w:r>
          </w:p>
        </w:tc>
      </w:tr>
    </w:tbl>
    <w:p>
      <w:pPr>
        <w:sectPr>
          <w:pgSz w:w="11900" w:h="16838" w:orient="portrait"/>
          <w:cols w:equalWidth="0" w:num="1">
            <w:col w:w="10219"/>
          </w:cols>
          <w:pgMar w:left="240" w:top="481" w:right="1440" w:bottom="1440" w:gutter="0" w:footer="0" w:header="0"/>
        </w:sectPr>
      </w:pPr>
    </w:p>
    <w:bookmarkStart w:id="261" w:name="page262"/>
    <w:bookmarkEnd w:id="261"/>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402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Defined in</w:t>
            </w:r>
          </w:p>
        </w:tc>
      </w:tr>
      <w:tr>
        <w:trPr>
          <w:trHeight w:val="182"/>
        </w:trPr>
        <w:tc>
          <w:tcPr>
            <w:tcW w:w="4020" w:type="dxa"/>
            <w:vAlign w:val="bottom"/>
          </w:tcPr>
          <w:p>
            <w:pPr>
              <w:ind w:left="1140"/>
              <w:spacing w:after="0"/>
              <w:rPr>
                <w:sz w:val="20"/>
                <w:szCs w:val="20"/>
                <w:color w:val="auto"/>
              </w:rPr>
            </w:pPr>
            <w:r>
              <w:rPr>
                <w:rFonts w:ascii="Courier New" w:cs="Courier New" w:eastAsia="Courier New" w:hAnsi="Courier New"/>
                <w:sz w:val="16"/>
                <w:szCs w:val="16"/>
                <w:color w:val="auto"/>
              </w:rPr>
              <w:t>Term</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Section</w:t>
            </w:r>
          </w:p>
        </w:tc>
      </w:tr>
      <w:tr>
        <w:trPr>
          <w:trHeight w:val="182"/>
        </w:trPr>
        <w:tc>
          <w:tcPr>
            <w:tcW w:w="4020" w:type="dxa"/>
            <w:vAlign w:val="bottom"/>
          </w:tcPr>
          <w:p>
            <w:pPr>
              <w:ind w:left="1140"/>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020" w:type="dxa"/>
            <w:vAlign w:val="bottom"/>
          </w:tcPr>
          <w:p>
            <w:pPr>
              <w:spacing w:after="0"/>
              <w:rPr>
                <w:sz w:val="20"/>
                <w:szCs w:val="20"/>
                <w:color w:val="auto"/>
              </w:rPr>
            </w:pPr>
            <w:r>
              <w:rPr>
                <w:rFonts w:ascii="Courier New" w:cs="Courier New" w:eastAsia="Courier New" w:hAnsi="Courier New"/>
                <w:sz w:val="16"/>
                <w:szCs w:val="16"/>
                <w:color w:val="auto"/>
              </w:rPr>
              <w:t>"Authentication Order"</w:t>
            </w: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2.02</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"Change of Control Offer"</w:t>
            </w: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4.15</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"Change of Control Payment"</w:t>
            </w: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4.15</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"Change of Control Payment Date"</w:t>
            </w: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4.15</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"Covenant Defeasance"</w:t>
            </w: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8.03</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"Designated Senior Debt"</w:t>
            </w: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10.02</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"Event of Default"</w:t>
            </w: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6.01</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"Excess Proceeds"</w:t>
            </w: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4.10</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"Holdco"</w:t>
            </w: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5.01</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"Legal Defeasance"</w:t>
            </w: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8.02</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"Offer Amount"</w:t>
            </w: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3.09</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"Offer Period"</w:t>
            </w: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3.09</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"Paying Agent"</w:t>
            </w: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2.03</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"Payment Blockage Notice"</w:t>
            </w: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10.04</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"Permitted Debt"</w:t>
            </w: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4.09</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"Permitted Junior Securities"</w:t>
            </w: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10.02</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"Purchase Date"</w:t>
            </w: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3.09</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"Redemption Date"</w:t>
            </w: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3.07</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"Registrar"</w:t>
            </w: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2.03</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"Representative"</w:t>
            </w: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10.02</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"Restricted Payments"</w:t>
            </w: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4.07</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"Revocation"</w:t>
            </w: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4.07</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"Senior Debt"</w:t>
            </w: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10.02</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"Suspended Covenants"</w:t>
            </w: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4.19</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"Treasury Rate"</w:t>
            </w: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3.07</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1.03 Trust Indenture Act Definitions.</w:t>
      </w:r>
    </w:p>
    <w:p>
      <w:pPr>
        <w:spacing w:after="0" w:line="186" w:lineRule="exact"/>
        <w:rPr>
          <w:sz w:val="20"/>
          <w:szCs w:val="20"/>
          <w:color w:val="auto"/>
        </w:rPr>
      </w:pPr>
    </w:p>
    <w:p>
      <w:pPr>
        <w:ind w:right="3039" w:firstLine="1135"/>
        <w:spacing w:after="0" w:line="267" w:lineRule="auto"/>
        <w:rPr>
          <w:sz w:val="20"/>
          <w:szCs w:val="20"/>
          <w:color w:val="auto"/>
        </w:rPr>
      </w:pPr>
      <w:r>
        <w:rPr>
          <w:rFonts w:ascii="Courier New" w:cs="Courier New" w:eastAsia="Courier New" w:hAnsi="Courier New"/>
          <w:sz w:val="15"/>
          <w:szCs w:val="15"/>
          <w:color w:val="auto"/>
        </w:rPr>
        <w:t>Whenever this Indenture refers to a provision of the TIA, the provision is incorporated by reference in and made a part of this Indenture.</w:t>
      </w:r>
    </w:p>
    <w:p>
      <w:pPr>
        <w:spacing w:after="0" w:line="164" w:lineRule="exact"/>
        <w:rPr>
          <w:sz w:val="20"/>
          <w:szCs w:val="20"/>
          <w:color w:val="auto"/>
        </w:rPr>
      </w:pPr>
    </w:p>
    <w:p>
      <w:pPr>
        <w:jc w:val="right"/>
        <w:ind w:right="2939"/>
        <w:spacing w:after="0"/>
        <w:rPr>
          <w:sz w:val="20"/>
          <w:szCs w:val="20"/>
          <w:color w:val="auto"/>
        </w:rPr>
      </w:pPr>
      <w:r>
        <w:rPr>
          <w:rFonts w:ascii="Courier New" w:cs="Courier New" w:eastAsia="Courier New" w:hAnsi="Courier New"/>
          <w:sz w:val="16"/>
          <w:szCs w:val="16"/>
          <w:color w:val="auto"/>
        </w:rPr>
        <w:t>The following TIA terms used in this Indenture have the following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meanings:</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"indenture securities" means the Notes;</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"indenture security Holder" means a Holder of a Note;</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"indenture to be qualified" means this Indenture;</w:t>
      </w:r>
    </w:p>
    <w:p>
      <w:pPr>
        <w:spacing w:after="0" w:line="183" w:lineRule="exact"/>
        <w:rPr>
          <w:sz w:val="20"/>
          <w:szCs w:val="20"/>
          <w:color w:val="auto"/>
        </w:rPr>
      </w:pPr>
    </w:p>
    <w:p>
      <w:pPr>
        <w:jc w:val="right"/>
        <w:ind w:right="2939"/>
        <w:spacing w:after="0"/>
        <w:rPr>
          <w:sz w:val="20"/>
          <w:szCs w:val="20"/>
          <w:color w:val="auto"/>
        </w:rPr>
      </w:pPr>
      <w:r>
        <w:rPr>
          <w:rFonts w:ascii="Courier New" w:cs="Courier New" w:eastAsia="Courier New" w:hAnsi="Courier New"/>
          <w:sz w:val="16"/>
          <w:szCs w:val="16"/>
          <w:color w:val="auto"/>
        </w:rPr>
        <w:t>"indenture trustee" or "institutional trustee" means the Trustee;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w:t>
      </w:r>
    </w:p>
    <w:p>
      <w:pPr>
        <w:spacing w:after="0" w:line="186" w:lineRule="exact"/>
        <w:rPr>
          <w:sz w:val="20"/>
          <w:szCs w:val="20"/>
          <w:color w:val="auto"/>
        </w:rPr>
      </w:pPr>
    </w:p>
    <w:p>
      <w:pPr>
        <w:ind w:right="3119" w:firstLine="1135"/>
        <w:spacing w:after="0" w:line="238" w:lineRule="auto"/>
        <w:rPr>
          <w:sz w:val="20"/>
          <w:szCs w:val="20"/>
          <w:color w:val="auto"/>
        </w:rPr>
      </w:pPr>
      <w:r>
        <w:rPr>
          <w:rFonts w:ascii="Courier New" w:cs="Courier New" w:eastAsia="Courier New" w:hAnsi="Courier New"/>
          <w:sz w:val="16"/>
          <w:szCs w:val="16"/>
          <w:color w:val="auto"/>
        </w:rPr>
        <w:t>"obligor" on the Notes or the Subsidiary Guarantees means the Company and the Guarantors, respectively and any successor obligor upon the Notes and the Subsidiary Guarantees, respectively.</w:t>
      </w:r>
    </w:p>
    <w:p>
      <w:pPr>
        <w:spacing w:after="0" w:line="200" w:lineRule="exact"/>
        <w:rPr>
          <w:sz w:val="20"/>
          <w:szCs w:val="20"/>
          <w:color w:val="auto"/>
        </w:rPr>
      </w:pPr>
    </w:p>
    <w:p>
      <w:pPr>
        <w:spacing w:after="0" w:line="34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841" w:right="1440" w:bottom="1440" w:gutter="0" w:footer="0" w:header="0"/>
        </w:sectPr>
      </w:pPr>
    </w:p>
    <w:bookmarkStart w:id="262" w:name="page263"/>
    <w:bookmarkEnd w:id="262"/>
    <w:p>
      <w:pPr>
        <w:jc w:val="both"/>
        <w:ind w:right="2659" w:firstLine="1135"/>
        <w:spacing w:after="0" w:line="238" w:lineRule="auto"/>
        <w:rPr>
          <w:sz w:val="20"/>
          <w:szCs w:val="20"/>
          <w:color w:val="auto"/>
        </w:rPr>
      </w:pPr>
      <w:r>
        <w:rPr>
          <w:rFonts w:ascii="Courier New" w:cs="Courier New" w:eastAsia="Courier New" w:hAnsi="Courier New"/>
          <w:sz w:val="16"/>
          <w:szCs w:val="16"/>
          <w:color w:val="auto"/>
        </w:rPr>
        <w:t>All other terms used in this Indenture that are defined by the TIA, defined by TIA reference to another statute or defined by SEC rule under the TIA have the meanings so assigned to them.</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1.04 Rules of Construction.</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Unless the context otherwise requires:</w:t>
      </w:r>
    </w:p>
    <w:p>
      <w:pPr>
        <w:spacing w:after="0" w:line="183" w:lineRule="exact"/>
        <w:rPr>
          <w:sz w:val="20"/>
          <w:szCs w:val="20"/>
          <w:color w:val="auto"/>
        </w:rPr>
      </w:pPr>
    </w:p>
    <w:p>
      <w:pPr>
        <w:ind w:left="2080" w:hanging="381"/>
        <w:spacing w:after="0"/>
        <w:tabs>
          <w:tab w:leader="none" w:pos="2080"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term has the meaning assigned to it;</w:t>
      </w:r>
    </w:p>
    <w:p>
      <w:pPr>
        <w:spacing w:after="0" w:line="186" w:lineRule="exact"/>
        <w:rPr>
          <w:rFonts w:ascii="Courier New" w:cs="Courier New" w:eastAsia="Courier New" w:hAnsi="Courier New"/>
          <w:sz w:val="16"/>
          <w:szCs w:val="16"/>
          <w:color w:val="auto"/>
        </w:rPr>
      </w:pPr>
    </w:p>
    <w:p>
      <w:pPr>
        <w:ind w:left="1140" w:right="2839" w:firstLine="559"/>
        <w:spacing w:after="0" w:line="237" w:lineRule="auto"/>
        <w:tabs>
          <w:tab w:leader="none" w:pos="2086"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accounting term not otherwise defined has the meaning assigned to it in accordance with GAAP;</w:t>
      </w:r>
    </w:p>
    <w:p>
      <w:pPr>
        <w:spacing w:after="0" w:line="183" w:lineRule="exact"/>
        <w:rPr>
          <w:rFonts w:ascii="Courier New" w:cs="Courier New" w:eastAsia="Courier New" w:hAnsi="Courier New"/>
          <w:sz w:val="16"/>
          <w:szCs w:val="16"/>
          <w:color w:val="auto"/>
        </w:rPr>
      </w:pPr>
    </w:p>
    <w:p>
      <w:pPr>
        <w:ind w:left="2080" w:hanging="381"/>
        <w:spacing w:after="0"/>
        <w:tabs>
          <w:tab w:leader="none" w:pos="2080"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is not exclusive;</w:t>
      </w:r>
    </w:p>
    <w:p>
      <w:pPr>
        <w:spacing w:after="0" w:line="186" w:lineRule="exact"/>
        <w:rPr>
          <w:rFonts w:ascii="Courier New" w:cs="Courier New" w:eastAsia="Courier New" w:hAnsi="Courier New"/>
          <w:sz w:val="16"/>
          <w:szCs w:val="16"/>
          <w:color w:val="auto"/>
        </w:rPr>
      </w:pPr>
    </w:p>
    <w:p>
      <w:pPr>
        <w:ind w:left="1140" w:right="3219" w:firstLine="559"/>
        <w:spacing w:after="0" w:line="237" w:lineRule="auto"/>
        <w:tabs>
          <w:tab w:leader="none" w:pos="2086"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words in the singular include the plural, and in the plural include the singular;</w:t>
      </w:r>
    </w:p>
    <w:p>
      <w:pPr>
        <w:spacing w:after="0" w:line="183" w:lineRule="exact"/>
        <w:rPr>
          <w:rFonts w:ascii="Courier New" w:cs="Courier New" w:eastAsia="Courier New" w:hAnsi="Courier New"/>
          <w:sz w:val="16"/>
          <w:szCs w:val="16"/>
          <w:color w:val="auto"/>
        </w:rPr>
      </w:pPr>
    </w:p>
    <w:p>
      <w:pPr>
        <w:ind w:left="2080" w:hanging="381"/>
        <w:spacing w:after="0"/>
        <w:tabs>
          <w:tab w:leader="none" w:pos="2080"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provisions apply to successive events and transactions;</w:t>
      </w:r>
    </w:p>
    <w:p>
      <w:pPr>
        <w:ind w:left="1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spacing w:after="0" w:line="186" w:lineRule="exact"/>
        <w:rPr>
          <w:rFonts w:ascii="Courier New" w:cs="Courier New" w:eastAsia="Courier New" w:hAnsi="Courier New"/>
          <w:sz w:val="16"/>
          <w:szCs w:val="16"/>
          <w:color w:val="auto"/>
        </w:rPr>
      </w:pPr>
    </w:p>
    <w:p>
      <w:pPr>
        <w:ind w:left="1140" w:right="2759" w:firstLine="559"/>
        <w:spacing w:after="0" w:line="238" w:lineRule="auto"/>
        <w:tabs>
          <w:tab w:leader="none" w:pos="2086"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to sections of or rules under the Securities Act shall be deemed to include substitute, replacement or successor sections or rules adopted by the SEC from time to time.</w:t>
      </w:r>
    </w:p>
    <w:p>
      <w:pPr>
        <w:spacing w:after="0" w:line="184" w:lineRule="exact"/>
        <w:rPr>
          <w:sz w:val="20"/>
          <w:szCs w:val="20"/>
          <w:color w:val="auto"/>
        </w:rPr>
      </w:pPr>
    </w:p>
    <w:p>
      <w:pPr>
        <w:jc w:val="right"/>
        <w:ind w:right="5959"/>
        <w:spacing w:after="0"/>
        <w:rPr>
          <w:sz w:val="20"/>
          <w:szCs w:val="20"/>
          <w:color w:val="auto"/>
        </w:rPr>
      </w:pPr>
      <w:r>
        <w:rPr>
          <w:rFonts w:ascii="Courier New" w:cs="Courier New" w:eastAsia="Courier New" w:hAnsi="Courier New"/>
          <w:sz w:val="16"/>
          <w:szCs w:val="16"/>
          <w:color w:val="auto"/>
        </w:rPr>
        <w:t>ARTICLE 2.</w:t>
      </w:r>
    </w:p>
    <w:p>
      <w:pPr>
        <w:spacing w:after="0" w:line="1" w:lineRule="exact"/>
        <w:rPr>
          <w:sz w:val="20"/>
          <w:szCs w:val="20"/>
          <w:color w:val="auto"/>
        </w:rPr>
      </w:pPr>
    </w:p>
    <w:p>
      <w:pPr>
        <w:jc w:val="right"/>
        <w:ind w:right="5959"/>
        <w:spacing w:after="0"/>
        <w:rPr>
          <w:sz w:val="20"/>
          <w:szCs w:val="20"/>
          <w:color w:val="auto"/>
        </w:rPr>
      </w:pPr>
      <w:r>
        <w:rPr>
          <w:rFonts w:ascii="Courier New" w:cs="Courier New" w:eastAsia="Courier New" w:hAnsi="Courier New"/>
          <w:sz w:val="16"/>
          <w:szCs w:val="16"/>
          <w:color w:val="auto"/>
        </w:rPr>
        <w:t>THE NOTES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2.01 Unlimited in Amount, Form and Dating.</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 General.</w:t>
      </w:r>
    </w:p>
    <w:p>
      <w:pPr>
        <w:spacing w:after="0" w:line="186" w:lineRule="exact"/>
        <w:rPr>
          <w:sz w:val="20"/>
          <w:szCs w:val="20"/>
          <w:color w:val="auto"/>
        </w:rPr>
      </w:pPr>
    </w:p>
    <w:p>
      <w:pPr>
        <w:ind w:right="2939" w:firstLine="1135"/>
        <w:spacing w:after="0" w:line="237" w:lineRule="auto"/>
        <w:rPr>
          <w:sz w:val="20"/>
          <w:szCs w:val="20"/>
          <w:color w:val="auto"/>
        </w:rPr>
      </w:pPr>
      <w:r>
        <w:rPr>
          <w:rFonts w:ascii="Courier New" w:cs="Courier New" w:eastAsia="Courier New" w:hAnsi="Courier New"/>
          <w:sz w:val="16"/>
          <w:szCs w:val="16"/>
          <w:color w:val="auto"/>
        </w:rPr>
        <w:t>The aggregate principal amount of Notes that may be authenticated and delivered under this Indenture is unlimited.</w:t>
      </w:r>
    </w:p>
    <w:p>
      <w:pPr>
        <w:spacing w:after="0" w:line="188"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The Company may issue Additional Notes after Notes have been issued. The Notes together with any Additional Notes would be treated as a single series for all purposes under this Indenture, including, without limitation, waivers, amendments, redemptions and offers to purchase.</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(b) General Form.</w:t>
      </w:r>
    </w:p>
    <w:p>
      <w:pPr>
        <w:spacing w:after="0" w:line="186"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The Notes and the Trustee's certificate of authentication shall be substantially in the form of Exhibit A hereto. The Notes may have notations, legends or endorsements required by law, stock exchange rule or usage. Each Note shall be dated the date of its authentication. The Notes shall be in denominations of $1,000 and integral multiples thereof.</w:t>
      </w:r>
    </w:p>
    <w:p>
      <w:pPr>
        <w:spacing w:after="0" w:line="189" w:lineRule="exact"/>
        <w:rPr>
          <w:sz w:val="20"/>
          <w:szCs w:val="20"/>
          <w:color w:val="auto"/>
        </w:rPr>
      </w:pPr>
    </w:p>
    <w:p>
      <w:pPr>
        <w:ind w:right="2839" w:firstLine="1135"/>
        <w:spacing w:after="0" w:line="239" w:lineRule="auto"/>
        <w:rPr>
          <w:sz w:val="20"/>
          <w:szCs w:val="20"/>
          <w:color w:val="auto"/>
        </w:rPr>
      </w:pPr>
      <w:r>
        <w:rPr>
          <w:rFonts w:ascii="Courier New" w:cs="Courier New" w:eastAsia="Courier New" w:hAnsi="Courier New"/>
          <w:sz w:val="16"/>
          <w:szCs w:val="16"/>
          <w:color w:val="auto"/>
        </w:rPr>
        <w:t>The terms and provisions contained in the Notes shall constitute, and are hereby expressly made, a part of this Indenture and the Company, the Guarantors and the Trustee, by their execution and delivery of this Indenture, expressly agree to such terms and provisions and</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481" w:right="1440" w:bottom="1440" w:gutter="0" w:footer="0" w:header="0"/>
        </w:sectPr>
      </w:pPr>
    </w:p>
    <w:bookmarkStart w:id="263" w:name="page264"/>
    <w:bookmarkEnd w:id="263"/>
    <w:p>
      <w:pPr>
        <w:jc w:val="both"/>
        <w:ind w:right="2759"/>
        <w:spacing w:after="0" w:line="238" w:lineRule="auto"/>
        <w:rPr>
          <w:sz w:val="20"/>
          <w:szCs w:val="20"/>
          <w:color w:val="auto"/>
        </w:rPr>
      </w:pPr>
      <w:r>
        <w:rPr>
          <w:rFonts w:ascii="Courier New" w:cs="Courier New" w:eastAsia="Courier New" w:hAnsi="Courier New"/>
          <w:sz w:val="16"/>
          <w:szCs w:val="16"/>
          <w:color w:val="auto"/>
        </w:rPr>
        <w:t>to be bound thereby. However, to the extent any provision of any Note conflicts with the express provisions of this Indenture, the provisions of this Indenture shall govern and be controlling.</w:t>
      </w:r>
    </w:p>
    <w:p>
      <w:pPr>
        <w:spacing w:after="0" w:line="184"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(c) Global Notes.</w:t>
      </w:r>
    </w:p>
    <w:p>
      <w:pPr>
        <w:spacing w:after="0" w:line="186"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Notes issued in global form shall be substantially in the form of Exhibit A attached hereto (including the Global Note Legend thereon and the "Schedule of Exchanges of Interests in the Global Note" attached thereto). Notes issued in definitive form shall be substantially in the form of Exhibit A attached hereto (but without the Global Note Legend thereon and without the "Schedule of Exchanges of Interests in the Global Note" attached thereto). Each Global Note shall represent such of the outstanding Notes as shall be specified therein and each shall provide that it shall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shall be made by the Trustee or the Note Custodian, at the direction of the Trustee, in accordance with instructions given by the Holder thereof as required by Section 2.06 hereof.</w:t>
      </w:r>
    </w:p>
    <w:p>
      <w:pPr>
        <w:spacing w:after="0" w:line="188"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(d) Euroclear and CEDEL Procedures Applicable.</w:t>
      </w:r>
    </w:p>
    <w:p>
      <w:pPr>
        <w:spacing w:after="0" w:line="186"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The provisions of the "Operating Procedures of the Euroclear System" and "Terms and Conditions Governing Use of Euroclear" and the "General Terms and Conditions of CEDEL Bank" and "Customer Handbook" of CEDEL Bank shall be applicable to transfers of beneficial interests in the Regulation S Global Notes that are held by Participants through Euroclear or CEDEL Bank.</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2.02 Execution and Authentication.</w:t>
      </w:r>
    </w:p>
    <w:p>
      <w:pPr>
        <w:spacing w:after="0" w:line="186" w:lineRule="exact"/>
        <w:rPr>
          <w:sz w:val="20"/>
          <w:szCs w:val="20"/>
          <w:color w:val="auto"/>
        </w:rPr>
      </w:pPr>
    </w:p>
    <w:p>
      <w:pPr>
        <w:ind w:right="3219" w:firstLine="1135"/>
        <w:spacing w:after="0" w:line="237" w:lineRule="auto"/>
        <w:rPr>
          <w:sz w:val="20"/>
          <w:szCs w:val="20"/>
          <w:color w:val="auto"/>
        </w:rPr>
      </w:pPr>
      <w:r>
        <w:rPr>
          <w:rFonts w:ascii="Courier New" w:cs="Courier New" w:eastAsia="Courier New" w:hAnsi="Courier New"/>
          <w:sz w:val="16"/>
          <w:szCs w:val="16"/>
          <w:color w:val="auto"/>
        </w:rPr>
        <w:t>Two Officers shall sign the Notes for the Company by manual or facsimile signature.</w:t>
      </w:r>
    </w:p>
    <w:p>
      <w:pPr>
        <w:spacing w:after="0" w:line="188" w:lineRule="exact"/>
        <w:rPr>
          <w:sz w:val="20"/>
          <w:szCs w:val="20"/>
          <w:color w:val="auto"/>
        </w:rPr>
      </w:pPr>
    </w:p>
    <w:p>
      <w:pPr>
        <w:ind w:right="3119" w:firstLine="1135"/>
        <w:spacing w:after="0" w:line="238" w:lineRule="auto"/>
        <w:rPr>
          <w:sz w:val="20"/>
          <w:szCs w:val="20"/>
          <w:color w:val="auto"/>
        </w:rPr>
      </w:pPr>
      <w:r>
        <w:rPr>
          <w:rFonts w:ascii="Courier New" w:cs="Courier New" w:eastAsia="Courier New" w:hAnsi="Courier New"/>
          <w:sz w:val="16"/>
          <w:szCs w:val="16"/>
          <w:color w:val="auto"/>
        </w:rPr>
        <w:t>If an Officer whose signature is on a Note no longer holds that office at the time a Note is authenticated, the Note shall nevertheless be valid.</w:t>
      </w:r>
    </w:p>
    <w:p>
      <w:pPr>
        <w:spacing w:after="0" w:line="188" w:lineRule="exact"/>
        <w:rPr>
          <w:sz w:val="20"/>
          <w:szCs w:val="20"/>
          <w:color w:val="auto"/>
        </w:rPr>
      </w:pPr>
    </w:p>
    <w:p>
      <w:pPr>
        <w:ind w:right="2939" w:firstLine="1135"/>
        <w:spacing w:after="0" w:line="238" w:lineRule="auto"/>
        <w:rPr>
          <w:sz w:val="20"/>
          <w:szCs w:val="20"/>
          <w:color w:val="auto"/>
        </w:rPr>
      </w:pPr>
      <w:r>
        <w:rPr>
          <w:rFonts w:ascii="Courier New" w:cs="Courier New" w:eastAsia="Courier New" w:hAnsi="Courier New"/>
          <w:sz w:val="16"/>
          <w:szCs w:val="16"/>
          <w:color w:val="auto"/>
        </w:rPr>
        <w:t>A Note shall not be valid until authenticated by the manual signature of the Trustee. The signature shall be conclusive evidence that the Note has been authenticated under this Indenture.</w:t>
      </w:r>
    </w:p>
    <w:p>
      <w:pPr>
        <w:spacing w:after="0" w:line="188" w:lineRule="exact"/>
        <w:rPr>
          <w:sz w:val="20"/>
          <w:szCs w:val="20"/>
          <w:color w:val="auto"/>
        </w:rPr>
      </w:pPr>
    </w:p>
    <w:p>
      <w:pPr>
        <w:ind w:right="2659" w:firstLine="1135"/>
        <w:spacing w:after="0" w:line="238" w:lineRule="auto"/>
        <w:rPr>
          <w:sz w:val="20"/>
          <w:szCs w:val="20"/>
          <w:color w:val="auto"/>
        </w:rPr>
      </w:pPr>
      <w:r>
        <w:rPr>
          <w:rFonts w:ascii="Courier New" w:cs="Courier New" w:eastAsia="Courier New" w:hAnsi="Courier New"/>
          <w:sz w:val="16"/>
          <w:szCs w:val="16"/>
          <w:color w:val="auto"/>
        </w:rPr>
        <w:t>The Trustee shall, upon a written order of the Company signed by two Officers (an "Authentication Order"), authenticate Notes for original issue up to an unlimited aggregate principal amount.</w:t>
      </w:r>
    </w:p>
    <w:p>
      <w:pPr>
        <w:spacing w:after="0" w:line="188" w:lineRule="exact"/>
        <w:rPr>
          <w:sz w:val="20"/>
          <w:szCs w:val="20"/>
          <w:color w:val="auto"/>
        </w:rPr>
      </w:pPr>
    </w:p>
    <w:p>
      <w:pPr>
        <w:ind w:right="2939" w:firstLine="1135"/>
        <w:spacing w:after="0" w:line="239" w:lineRule="auto"/>
        <w:rPr>
          <w:sz w:val="20"/>
          <w:szCs w:val="20"/>
          <w:color w:val="auto"/>
        </w:rPr>
      </w:pPr>
      <w:r>
        <w:rPr>
          <w:rFonts w:ascii="Courier New" w:cs="Courier New" w:eastAsia="Courier New" w:hAnsi="Courier New"/>
          <w:sz w:val="16"/>
          <w:szCs w:val="16"/>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481" w:right="1440" w:bottom="1440" w:gutter="0" w:footer="0" w:header="0"/>
        </w:sectPr>
      </w:pPr>
    </w:p>
    <w:bookmarkStart w:id="264" w:name="page265"/>
    <w:bookmarkEnd w:id="264"/>
    <w:p>
      <w:pPr>
        <w:ind w:right="2839"/>
        <w:spacing w:after="0" w:line="237" w:lineRule="auto"/>
        <w:rPr>
          <w:sz w:val="20"/>
          <w:szCs w:val="20"/>
          <w:color w:val="auto"/>
        </w:rPr>
      </w:pPr>
      <w:r>
        <w:rPr>
          <w:rFonts w:ascii="Courier New" w:cs="Courier New" w:eastAsia="Courier New" w:hAnsi="Courier New"/>
          <w:sz w:val="16"/>
          <w:szCs w:val="16"/>
          <w:color w:val="auto"/>
        </w:rPr>
        <w:t>by such agent. An authenticating agent has the same rights as an Agent to deal with Holders or an Affiliate of the Company.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2.03 Registrar and Paying Agent.</w:t>
      </w:r>
    </w:p>
    <w:p>
      <w:pPr>
        <w:spacing w:after="0" w:line="186"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The Company shall maintain an office or agency where Notes may be presented for registration of transfer or for exchange ("Registrar") and an office or agency where Notes may be presented for payment ("Paying Agent"). The Registrar shall keep a register of the Notes and of their transfer and exchange. 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shall notify the Trustee in writing of the name and address of any Agent not a party to this Indenture. If the Company fails to appoint or maintain another entity as Registrar or Paying Agent, the Trustee shall act as such. The Company or any of its Subsidiaries may act as Paying Agent or Registrar.</w:t>
      </w:r>
    </w:p>
    <w:p>
      <w:pPr>
        <w:spacing w:after="0" w:line="18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The Company initially appoints The Depository Trust Company ("DTC")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act as Depositary with respect to the Global Notes.</w:t>
      </w:r>
    </w:p>
    <w:p>
      <w:pPr>
        <w:spacing w:after="0" w:line="186" w:lineRule="exact"/>
        <w:rPr>
          <w:sz w:val="20"/>
          <w:szCs w:val="20"/>
          <w:color w:val="auto"/>
        </w:rPr>
      </w:pPr>
    </w:p>
    <w:p>
      <w:pPr>
        <w:ind w:right="2759" w:firstLine="1135"/>
        <w:spacing w:after="0" w:line="267" w:lineRule="auto"/>
        <w:rPr>
          <w:sz w:val="20"/>
          <w:szCs w:val="20"/>
          <w:color w:val="auto"/>
        </w:rPr>
      </w:pPr>
      <w:r>
        <w:rPr>
          <w:rFonts w:ascii="Courier New" w:cs="Courier New" w:eastAsia="Courier New" w:hAnsi="Courier New"/>
          <w:sz w:val="15"/>
          <w:szCs w:val="15"/>
          <w:color w:val="auto"/>
        </w:rPr>
        <w:t>The Company initially appoints the Trustee to act as the Registrar and Paying Agent and to act as Note Custodian with respect to the Global Notes.</w:t>
      </w:r>
    </w:p>
    <w:p>
      <w:pPr>
        <w:spacing w:after="0" w:line="168" w:lineRule="exact"/>
        <w:rPr>
          <w:sz w:val="20"/>
          <w:szCs w:val="20"/>
          <w:color w:val="auto"/>
        </w:rPr>
      </w:pPr>
    </w:p>
    <w:p>
      <w:pPr>
        <w:ind w:right="2839" w:firstLine="1135"/>
        <w:spacing w:after="0" w:line="238" w:lineRule="auto"/>
        <w:rPr>
          <w:sz w:val="20"/>
          <w:szCs w:val="20"/>
          <w:color w:val="auto"/>
        </w:rPr>
      </w:pPr>
      <w:r>
        <w:rPr>
          <w:rFonts w:ascii="Courier New" w:cs="Courier New" w:eastAsia="Courier New" w:hAnsi="Courier New"/>
          <w:sz w:val="16"/>
          <w:szCs w:val="16"/>
          <w:color w:val="auto"/>
        </w:rPr>
        <w:t>If then required by DTC, the Trustee is authorized to enter into a letter of representations with DTC in the form provided to the Trustee by the Company and to act in accordance with such letter.</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2.04 Paying Agent to Hold Money in Trust.</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The Company shall require each Paying Agent other than the Trustee to agree in writing that the Paying Agent will hold in trust for the benefit of Holders or the Trustee all money held by the Paying Agent for the payment of principal, premium or Registration Default Damages, if any, or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shall have no further liability for the money. If the Company or a Subsidiary acts as Paying Agent, it shall segregate and hold in a separate trust fund for the benefit of the Holders all money held by it as Paying Agent. Upon any bankruptcy or reorganization proceedings relating to the Company, the Trustee shall serve as Paying Agent for the Notes.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2.05 Holder Lists.</w:t>
      </w:r>
    </w:p>
    <w:p>
      <w:pPr>
        <w:spacing w:after="0" w:line="186"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The Trustee shall preserve in as current a form as is reasonably practicable the most recent list available to it of the names and addresses of all Holders and shall otherwise comply with TIA Section312(a). If the Trustee is not the Registrar, the Company shall furnish to the Trustee at least seven Business Days before each interest paymeNt date and at such other times as the Trustee may request in writing, a list in such form and as of such date as the Trustee may</w:t>
      </w:r>
    </w:p>
    <w:p>
      <w:pPr>
        <w:spacing w:after="0" w:line="36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481" w:right="1440" w:bottom="1440" w:gutter="0" w:footer="0" w:header="0"/>
        </w:sectPr>
      </w:pPr>
    </w:p>
    <w:bookmarkStart w:id="265" w:name="page266"/>
    <w:bookmarkEnd w:id="265"/>
    <w:p>
      <w:pPr>
        <w:ind w:right="2939"/>
        <w:spacing w:after="0" w:line="237" w:lineRule="auto"/>
        <w:rPr>
          <w:sz w:val="20"/>
          <w:szCs w:val="20"/>
          <w:color w:val="auto"/>
        </w:rPr>
      </w:pPr>
      <w:r>
        <w:rPr>
          <w:rFonts w:ascii="Courier New" w:cs="Courier New" w:eastAsia="Courier New" w:hAnsi="Courier New"/>
          <w:sz w:val="16"/>
          <w:szCs w:val="16"/>
          <w:color w:val="auto"/>
        </w:rPr>
        <w:t>reasonably require of the names and addresses of the Holders of Notes and the Company shall otherwise comply with TIA Section312(a).</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2.06 Transfer and Exchange.</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 Transfer and Exchange of Global Notes.</w:t>
      </w:r>
    </w:p>
    <w:p>
      <w:pPr>
        <w:spacing w:after="0" w:line="186"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A Global Note may not be transferred as a whole except by the Depositary to a nominee of the Depositary, by a nominee of the Depositary to the Depositary or to another nominee of the Depositary, the Depositary or any such nominee to a successor Depositary or a nominee of such successor Depositary. All Global Notes will be exchanged by the Company for Definitive Notes if (i) 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 or (ii) the Company in its sole discretion determines that the Global Notes (in whole but not in part) should be exchanged for Definitive Notes and delivers a written notice to such effect to the Trustee. Upon the occurrence of either of the preceding events in (i) or (ii)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(c) or (f) hereof.</w:t>
      </w:r>
    </w:p>
    <w:p>
      <w:pPr>
        <w:spacing w:after="0" w:line="17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(b) Transfer and Exchange of Beneficial Interests in the Global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w:t>
      </w:r>
    </w:p>
    <w:p>
      <w:pPr>
        <w:spacing w:after="0" w:line="186" w:lineRule="exact"/>
        <w:rPr>
          <w:sz w:val="20"/>
          <w:szCs w:val="20"/>
          <w:color w:val="auto"/>
        </w:rPr>
      </w:pPr>
    </w:p>
    <w:p>
      <w:pPr>
        <w:ind w:right="2659" w:firstLine="1135"/>
        <w:spacing w:after="0" w:line="258" w:lineRule="auto"/>
        <w:rPr>
          <w:sz w:val="20"/>
          <w:szCs w:val="20"/>
          <w:color w:val="auto"/>
        </w:rPr>
      </w:pPr>
      <w:r>
        <w:rPr>
          <w:rFonts w:ascii="Courier New" w:cs="Courier New" w:eastAsia="Courier New" w:hAnsi="Courier New"/>
          <w:sz w:val="15"/>
          <w:szCs w:val="15"/>
          <w:color w:val="auto"/>
        </w:rPr>
        <w:t>The transfer and exchange of beneficial interests in 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(i) or (ii) below, as applicable, as well as one or more of the other following subparagraphs, as applicable:</w:t>
      </w:r>
    </w:p>
    <w:p>
      <w:pPr>
        <w:spacing w:after="0" w:line="176" w:lineRule="exact"/>
        <w:rPr>
          <w:sz w:val="20"/>
          <w:szCs w:val="20"/>
          <w:color w:val="auto"/>
        </w:rPr>
      </w:pPr>
    </w:p>
    <w:p>
      <w:pPr>
        <w:ind w:left="1140" w:right="2659" w:firstLine="559"/>
        <w:spacing w:after="0"/>
        <w:tabs>
          <w:tab w:leader="none" w:pos="2086"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of Beneficial Interests in the Same Global Note. Beneficial interests in any Restricted Global Note may be transferred to Persons who take delivery thereof in the form of a beneficial interest in the same Restricted Global Note in accordance with the transfer restrictions yet forth in the Private Placement Legend.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2.06(b)(i).</w:t>
      </w:r>
    </w:p>
    <w:p>
      <w:pPr>
        <w:spacing w:after="0" w:line="188" w:lineRule="exact"/>
        <w:rPr>
          <w:rFonts w:ascii="Courier New" w:cs="Courier New" w:eastAsia="Courier New" w:hAnsi="Courier New"/>
          <w:sz w:val="16"/>
          <w:szCs w:val="16"/>
          <w:color w:val="auto"/>
        </w:rPr>
      </w:pPr>
    </w:p>
    <w:p>
      <w:pPr>
        <w:ind w:left="1140" w:right="2659" w:firstLine="559"/>
        <w:spacing w:after="0" w:line="238" w:lineRule="auto"/>
        <w:tabs>
          <w:tab w:leader="none" w:pos="2180"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Transfers and Exchanges of Beneficial Interests in Global Notes. In connection with all transfers and exchanges of beneficial interests that are not</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481" w:right="1440" w:bottom="1440" w:gutter="0" w:footer="0" w:header="0"/>
        </w:sectPr>
      </w:pPr>
    </w:p>
    <w:bookmarkStart w:id="266" w:name="page267"/>
    <w:bookmarkEnd w:id="266"/>
    <w:p>
      <w:pPr>
        <w:ind w:left="8" w:right="2659"/>
        <w:spacing w:after="0" w:line="257" w:lineRule="auto"/>
        <w:rPr>
          <w:sz w:val="20"/>
          <w:szCs w:val="20"/>
          <w:color w:val="auto"/>
        </w:rPr>
      </w:pPr>
      <w:r>
        <w:rPr>
          <w:rFonts w:ascii="Courier New" w:cs="Courier New" w:eastAsia="Courier New" w:hAnsi="Courier New"/>
          <w:sz w:val="15"/>
          <w:szCs w:val="15"/>
          <w:color w:val="auto"/>
        </w:rPr>
        <w:t>subject to Section 2.06(b)(i) above, the transferor of such beneficial interest must deliver to the Depositary either (A) (1)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(2) instructions given in accordance with the Applicable Procedures containing information regarding the Participant account to be credited with such increase or (B) (1) a written order from a Participant or an Indirect Participant given to the Depositary in accordance with the Applicable Procedures directing the Depositary to cause to be issued a Definitive Note in an amount equal to the beneficial interest to be transferred or exchanged and (2) instructions given by the Depositary to the Registrar containing information regarding the Person in whose name such Definitive Note shall be registered to effect the transfer or exchange referred to in (1) above. Upon consummation of a Registered Exchange Offer by the Company in accordance with Section 2.06(f) hereof, the requirements of this Section 2.06(b)(ii) shall be deemed to have been satisfied upon receipt by the Registrar of the instructions contained in the Letter of Transmittal delivered by the Holder of such beneficial interests in the Restricted Global Notes.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2.06(h) hereof.</w:t>
      </w:r>
    </w:p>
    <w:p>
      <w:pPr>
        <w:spacing w:after="0" w:line="200" w:lineRule="exact"/>
        <w:rPr>
          <w:sz w:val="20"/>
          <w:szCs w:val="20"/>
          <w:color w:val="auto"/>
        </w:rPr>
      </w:pPr>
    </w:p>
    <w:p>
      <w:pPr>
        <w:spacing w:after="0" w:line="344" w:lineRule="exact"/>
        <w:rPr>
          <w:sz w:val="20"/>
          <w:szCs w:val="20"/>
          <w:color w:val="auto"/>
        </w:rPr>
      </w:pPr>
    </w:p>
    <w:p>
      <w:pPr>
        <w:ind w:left="8" w:right="2659" w:firstLine="559"/>
        <w:spacing w:after="0" w:line="239" w:lineRule="auto"/>
        <w:tabs>
          <w:tab w:leader="none" w:pos="1143" w:val="left"/>
        </w:tabs>
        <w:numPr>
          <w:ilvl w:val="1"/>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of Beneficial Interests to Another Restricted Global Note. A beneficial interest in any Restricted Global Note may be transferred to a Person who takes delivery thereof in the form of a beneficial interest in another Restricted Global Note if the transfer complies with the requirements of Section 2.06(b)(ii) above and the Registrar receives the following:</w:t>
      </w:r>
    </w:p>
    <w:p>
      <w:pPr>
        <w:spacing w:after="0" w:line="190" w:lineRule="exact"/>
        <w:rPr>
          <w:rFonts w:ascii="Courier New" w:cs="Courier New" w:eastAsia="Courier New" w:hAnsi="Courier New"/>
          <w:sz w:val="16"/>
          <w:szCs w:val="16"/>
          <w:color w:val="auto"/>
        </w:rPr>
      </w:pPr>
    </w:p>
    <w:p>
      <w:pPr>
        <w:ind w:left="568" w:right="2659" w:firstLine="567"/>
        <w:spacing w:after="0" w:line="239" w:lineRule="auto"/>
        <w:tabs>
          <w:tab w:leader="none" w:pos="1514" w:val="left"/>
        </w:tabs>
        <w:numPr>
          <w:ilvl w:val="2"/>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transferee will take delivery in the form of a beneficial interest in the 144A Global Note, then the transferor must deliver a certificate in the form of Exhibit B hereto, including the certifications in item (1) thereof;</w:t>
      </w:r>
    </w:p>
    <w:p>
      <w:pPr>
        <w:spacing w:after="0" w:line="369" w:lineRule="exact"/>
        <w:rPr>
          <w:rFonts w:ascii="Courier New" w:cs="Courier New" w:eastAsia="Courier New" w:hAnsi="Courier New"/>
          <w:sz w:val="16"/>
          <w:szCs w:val="16"/>
          <w:color w:val="auto"/>
        </w:rPr>
      </w:pPr>
    </w:p>
    <w:p>
      <w:pPr>
        <w:ind w:left="568" w:right="2759" w:firstLine="567"/>
        <w:spacing w:after="0" w:line="239" w:lineRule="auto"/>
        <w:tabs>
          <w:tab w:leader="none" w:pos="1514" w:val="left"/>
        </w:tabs>
        <w:numPr>
          <w:ilvl w:val="2"/>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transferee will take delivery in the form of a beneficial interest in the Regulation S Global Note, then the transferor must deliver a certificate in the form of Exhibit B hereto, including the certifications in item (2) thereof; and</w:t>
      </w:r>
    </w:p>
    <w:p>
      <w:pPr>
        <w:spacing w:after="0" w:line="188" w:lineRule="exact"/>
        <w:rPr>
          <w:rFonts w:ascii="Courier New" w:cs="Courier New" w:eastAsia="Courier New" w:hAnsi="Courier New"/>
          <w:sz w:val="16"/>
          <w:szCs w:val="16"/>
          <w:color w:val="auto"/>
        </w:rPr>
      </w:pPr>
    </w:p>
    <w:p>
      <w:pPr>
        <w:ind w:left="568" w:right="2659" w:firstLine="567"/>
        <w:spacing w:after="0" w:line="239" w:lineRule="auto"/>
        <w:tabs>
          <w:tab w:leader="none" w:pos="1514" w:val="left"/>
        </w:tabs>
        <w:numPr>
          <w:ilvl w:val="2"/>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transferee will take delivery in the form of a beneficial interest in the IAI Global Note, then the transferor must deliver a certificate in the form of Exhibit B hereto, including the certifications and certificates and Opinion of Counsel required by item (3) thereof, if applicable.</w:t>
      </w:r>
    </w:p>
    <w:p>
      <w:pPr>
        <w:spacing w:after="0" w:line="190" w:lineRule="exact"/>
        <w:rPr>
          <w:rFonts w:ascii="Courier New" w:cs="Courier New" w:eastAsia="Courier New" w:hAnsi="Courier New"/>
          <w:sz w:val="16"/>
          <w:szCs w:val="16"/>
          <w:color w:val="auto"/>
        </w:rPr>
      </w:pPr>
    </w:p>
    <w:p>
      <w:pPr>
        <w:ind w:left="-572" w:right="2659" w:firstLine="572"/>
        <w:spacing w:after="0" w:line="239" w:lineRule="auto"/>
        <w:tabs>
          <w:tab w:leader="none" w:pos="468"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and Exchange of Beneficial Interests in a Restricted Global Note for Beneficial Interests in the Unrestricted Global Note. A beneficial interest in any Restricted Global Note may be exchanged by any holder thereof for a beneficial interest in an Unrestricted Global Note or transferred to a Person who takes delivery thereof in the form of a beneficial interest</w:t>
      </w:r>
    </w:p>
    <w:p>
      <w:pPr>
        <w:spacing w:after="0" w:line="368" w:lineRule="exact"/>
        <w:rPr>
          <w:sz w:val="20"/>
          <w:szCs w:val="20"/>
          <w:color w:val="auto"/>
        </w:rPr>
      </w:pPr>
    </w:p>
    <w:p>
      <w:pPr>
        <w:ind w:left="2548"/>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9087"/>
          </w:cols>
          <w:pgMar w:left="1372" w:top="481" w:right="1440" w:bottom="1440" w:gutter="0" w:footer="0" w:header="0"/>
        </w:sectPr>
      </w:pPr>
    </w:p>
    <w:bookmarkStart w:id="267" w:name="page268"/>
    <w:bookmarkEnd w:id="267"/>
    <w:p>
      <w:pPr>
        <w:ind w:left="560" w:right="2839"/>
        <w:spacing w:after="0" w:line="237" w:lineRule="auto"/>
        <w:rPr>
          <w:sz w:val="20"/>
          <w:szCs w:val="20"/>
          <w:color w:val="auto"/>
        </w:rPr>
      </w:pPr>
      <w:r>
        <w:rPr>
          <w:rFonts w:ascii="Courier New" w:cs="Courier New" w:eastAsia="Courier New" w:hAnsi="Courier New"/>
          <w:sz w:val="16"/>
          <w:szCs w:val="16"/>
          <w:color w:val="auto"/>
        </w:rPr>
        <w:t>in an Unrestricted Global Note if the exchange or transfer complies with the requirements of Section 2.06(b)(ii) above and:</w:t>
      </w:r>
    </w:p>
    <w:p>
      <w:pPr>
        <w:spacing w:after="0" w:line="188" w:lineRule="exact"/>
        <w:rPr>
          <w:sz w:val="20"/>
          <w:szCs w:val="20"/>
          <w:color w:val="auto"/>
        </w:rPr>
      </w:pPr>
    </w:p>
    <w:p>
      <w:pPr>
        <w:ind w:left="1700" w:right="2659" w:firstLine="567"/>
        <w:spacing w:after="0"/>
        <w:tabs>
          <w:tab w:leader="none" w:pos="2646"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exchange or transfer is effected pursuant to the Registered Exchange Offer in accordance with the Registration Rights Agreement and the holder of the beneficial interest to be transferred, in the case of an exchange, or the transferee, in the case of a transfer, certifies in the applicable Letter of Transmittal or via the Depositary's book-entry system that it is not (1) a Broker-Dealer, (2) a Person participating in the distribution of the Exchange Notes or (3) a Person who is an affiliate (as defined in Rule 144) of the Company;</w:t>
      </w:r>
    </w:p>
    <w:p>
      <w:pPr>
        <w:spacing w:after="0" w:line="188" w:lineRule="exact"/>
        <w:rPr>
          <w:rFonts w:ascii="Courier New" w:cs="Courier New" w:eastAsia="Courier New" w:hAnsi="Courier New"/>
          <w:sz w:val="16"/>
          <w:szCs w:val="16"/>
          <w:color w:val="auto"/>
        </w:rPr>
      </w:pPr>
    </w:p>
    <w:p>
      <w:pPr>
        <w:ind w:left="1700" w:right="3039" w:firstLine="567"/>
        <w:spacing w:after="0" w:line="238" w:lineRule="auto"/>
        <w:tabs>
          <w:tab w:leader="none" w:pos="2646"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transfer is effected pursuant to the Shelf Registration Statement in accordance with the Registration Rights Agreement;</w:t>
      </w:r>
    </w:p>
    <w:p>
      <w:pPr>
        <w:spacing w:after="0" w:line="188" w:lineRule="exact"/>
        <w:rPr>
          <w:rFonts w:ascii="Courier New" w:cs="Courier New" w:eastAsia="Courier New" w:hAnsi="Courier New"/>
          <w:sz w:val="16"/>
          <w:szCs w:val="16"/>
          <w:color w:val="auto"/>
        </w:rPr>
      </w:pPr>
    </w:p>
    <w:p>
      <w:pPr>
        <w:ind w:left="1700" w:right="3219" w:firstLine="567"/>
        <w:spacing w:after="0" w:line="262" w:lineRule="auto"/>
        <w:tabs>
          <w:tab w:leader="none" w:pos="2646"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transfer is effected by a Broker-Dealer pursuant to the Exchange Offer Registration Statement in accordance with the Registration Rights Agreement; or</w:t>
      </w:r>
    </w:p>
    <w:p>
      <w:pPr>
        <w:spacing w:after="0" w:line="167" w:lineRule="exact"/>
        <w:rPr>
          <w:rFonts w:ascii="Courier New" w:cs="Courier New" w:eastAsia="Courier New" w:hAnsi="Courier New"/>
          <w:sz w:val="15"/>
          <w:szCs w:val="15"/>
          <w:color w:val="auto"/>
        </w:rPr>
      </w:pPr>
    </w:p>
    <w:p>
      <w:pPr>
        <w:ind w:left="2640" w:hanging="373"/>
        <w:spacing w:after="0"/>
        <w:tabs>
          <w:tab w:leader="none" w:pos="2640"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Registrar receives the following:</w:t>
      </w:r>
    </w:p>
    <w:p>
      <w:pPr>
        <w:spacing w:after="0" w:line="186" w:lineRule="exact"/>
        <w:rPr>
          <w:rFonts w:ascii="Courier New" w:cs="Courier New" w:eastAsia="Courier New" w:hAnsi="Courier New"/>
          <w:sz w:val="16"/>
          <w:szCs w:val="16"/>
          <w:color w:val="auto"/>
        </w:rPr>
      </w:pPr>
    </w:p>
    <w:p>
      <w:pPr>
        <w:ind w:left="2260" w:right="2659" w:firstLine="574"/>
        <w:spacing w:after="0" w:line="239" w:lineRule="auto"/>
        <w:tabs>
          <w:tab w:leader="none" w:pos="3206" w:val="left"/>
        </w:tabs>
        <w:numPr>
          <w:ilvl w:val="1"/>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w:t>
      </w:r>
    </w:p>
    <w:p>
      <w:pPr>
        <w:spacing w:after="0" w:line="190" w:lineRule="exact"/>
        <w:rPr>
          <w:rFonts w:ascii="Courier New" w:cs="Courier New" w:eastAsia="Courier New" w:hAnsi="Courier New"/>
          <w:sz w:val="16"/>
          <w:szCs w:val="16"/>
          <w:color w:val="auto"/>
        </w:rPr>
      </w:pPr>
    </w:p>
    <w:p>
      <w:pPr>
        <w:ind w:left="2260" w:right="2659" w:firstLine="574"/>
        <w:spacing w:after="0" w:line="239" w:lineRule="auto"/>
        <w:tabs>
          <w:tab w:leader="none" w:pos="3206" w:val="left"/>
        </w:tabs>
        <w:numPr>
          <w:ilvl w:val="1"/>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w:t>
      </w:r>
    </w:p>
    <w:p>
      <w:pPr>
        <w:spacing w:after="0" w:line="192" w:lineRule="exact"/>
        <w:rPr>
          <w:sz w:val="20"/>
          <w:szCs w:val="20"/>
          <w:color w:val="auto"/>
        </w:rPr>
      </w:pPr>
    </w:p>
    <w:p>
      <w:pPr>
        <w:ind w:left="1700" w:right="2759"/>
        <w:spacing w:after="0" w:line="258" w:lineRule="auto"/>
        <w:rPr>
          <w:sz w:val="20"/>
          <w:szCs w:val="20"/>
          <w:color w:val="auto"/>
        </w:rPr>
      </w:pPr>
      <w:r>
        <w:rPr>
          <w:rFonts w:ascii="Courier New" w:cs="Courier New" w:eastAsia="Courier New" w:hAnsi="Courier New"/>
          <w:sz w:val="15"/>
          <w:szCs w:val="15"/>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end that the restrictions on transfer contained herein and in the Private Placement Legend are no longer required in order to maintain compliance with the Securities Act.</w:t>
      </w:r>
    </w:p>
    <w:p>
      <w:pPr>
        <w:spacing w:after="0" w:line="176"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If any such transfer is effected pursuant to subparagraph (B) or (D) above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subparagraph (B) or (D) above.</w:t>
      </w:r>
    </w:p>
    <w:p>
      <w:pPr>
        <w:spacing w:after="0" w:line="200" w:lineRule="exact"/>
        <w:rPr>
          <w:sz w:val="20"/>
          <w:szCs w:val="20"/>
          <w:color w:val="auto"/>
        </w:rPr>
      </w:pPr>
    </w:p>
    <w:p>
      <w:pPr>
        <w:spacing w:after="0" w:line="35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481" w:right="1440" w:bottom="1440" w:gutter="0" w:footer="0" w:header="0"/>
        </w:sectPr>
      </w:pPr>
    </w:p>
    <w:bookmarkStart w:id="268" w:name="page269"/>
    <w:bookmarkEnd w:id="268"/>
    <w:p>
      <w:pPr>
        <w:ind w:right="2839" w:firstLine="1135"/>
        <w:spacing w:after="0" w:line="238" w:lineRule="auto"/>
        <w:rPr>
          <w:sz w:val="20"/>
          <w:szCs w:val="20"/>
          <w:color w:val="auto"/>
        </w:rPr>
      </w:pPr>
      <w:r>
        <w:rPr>
          <w:rFonts w:ascii="Courier New" w:cs="Courier New" w:eastAsia="Courier New" w:hAnsi="Courier New"/>
          <w:sz w:val="16"/>
          <w:szCs w:val="16"/>
          <w:color w:val="auto"/>
        </w:rPr>
        <w:t>Beneficial interests in an Unrestricted Global Note cannot be exchanged for, or transferred to Persons who take delivery thereof in the form of, a beneficial interest in a Restricted Global Note.</w:t>
      </w:r>
    </w:p>
    <w:p>
      <w:pPr>
        <w:spacing w:after="0" w:line="184"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(c) Transfer or Exchange of Beneficial Interests for Definitive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w:t>
      </w:r>
    </w:p>
    <w:p>
      <w:pPr>
        <w:spacing w:after="0" w:line="186" w:lineRule="exact"/>
        <w:rPr>
          <w:sz w:val="20"/>
          <w:szCs w:val="20"/>
          <w:color w:val="auto"/>
        </w:rPr>
      </w:pPr>
    </w:p>
    <w:p>
      <w:pPr>
        <w:ind w:left="560" w:right="2659" w:firstLine="572"/>
        <w:spacing w:after="0" w:line="258" w:lineRule="auto"/>
        <w:tabs>
          <w:tab w:leader="none" w:pos="1506"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Interests in Restricted Global Notes to Restricted Definitive Notes.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77" w:lineRule="exact"/>
        <w:rPr>
          <w:rFonts w:ascii="Courier New" w:cs="Courier New" w:eastAsia="Courier New" w:hAnsi="Courier New"/>
          <w:sz w:val="15"/>
          <w:szCs w:val="15"/>
          <w:color w:val="auto"/>
        </w:rPr>
      </w:pPr>
    </w:p>
    <w:p>
      <w:pPr>
        <w:ind w:left="1140" w:right="2759" w:firstLine="559"/>
        <w:spacing w:after="0" w:line="256" w:lineRule="auto"/>
        <w:tabs>
          <w:tab w:leader="none" w:pos="2086"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beneficial interest in a Restricted Global Note proposes to exchange such beneficial interest for a Restricted Definitive Note, a certificate from such holder in the form of Exhibit C hereto, including the certifications in item</w:t>
      </w:r>
    </w:p>
    <w:p>
      <w:pPr>
        <w:ind w:left="1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(2)(a) thereof;</w:t>
      </w:r>
    </w:p>
    <w:p>
      <w:pPr>
        <w:spacing w:after="0" w:line="186" w:lineRule="exact"/>
        <w:rPr>
          <w:rFonts w:ascii="Courier New" w:cs="Courier New" w:eastAsia="Courier New" w:hAnsi="Courier New"/>
          <w:sz w:val="15"/>
          <w:szCs w:val="15"/>
          <w:color w:val="auto"/>
        </w:rPr>
      </w:pPr>
    </w:p>
    <w:p>
      <w:pPr>
        <w:jc w:val="both"/>
        <w:ind w:left="1140" w:right="2759" w:firstLine="559"/>
        <w:spacing w:after="0" w:line="239" w:lineRule="auto"/>
        <w:tabs>
          <w:tab w:leader="none" w:pos="2086" w:val="left"/>
        </w:tabs>
        <w:numPr>
          <w:ilvl w:val="1"/>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beneficial interest is being transferred to a QIB in accordance with Rule 144A, a certificate to the effect set forth in Exhibit B hereto, including the certifications in item (1) thereof;</w:t>
      </w:r>
    </w:p>
    <w:p>
      <w:pPr>
        <w:spacing w:after="0" w:line="365" w:lineRule="exact"/>
        <w:rPr>
          <w:rFonts w:ascii="Courier New" w:cs="Courier New" w:eastAsia="Courier New" w:hAnsi="Courier New"/>
          <w:sz w:val="16"/>
          <w:szCs w:val="16"/>
          <w:color w:val="auto"/>
        </w:rPr>
      </w:pPr>
    </w:p>
    <w:p>
      <w:pPr>
        <w:ind w:left="2080" w:hanging="381"/>
        <w:spacing w:after="0"/>
        <w:tabs>
          <w:tab w:leader="none" w:pos="2080" w:val="left"/>
        </w:tabs>
        <w:numPr>
          <w:ilvl w:val="1"/>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beneficial interest is being transferred to a</w:t>
      </w:r>
    </w:p>
    <w:p>
      <w:pPr>
        <w:spacing w:after="0" w:line="5" w:lineRule="exact"/>
        <w:rPr>
          <w:sz w:val="20"/>
          <w:szCs w:val="20"/>
          <w:color w:val="auto"/>
        </w:rPr>
      </w:pPr>
    </w:p>
    <w:p>
      <w:pPr>
        <w:ind w:left="1140" w:right="2759"/>
        <w:spacing w:after="0" w:line="262" w:lineRule="auto"/>
        <w:rPr>
          <w:sz w:val="20"/>
          <w:szCs w:val="20"/>
          <w:color w:val="auto"/>
        </w:rPr>
      </w:pPr>
      <w:r>
        <w:rPr>
          <w:rFonts w:ascii="Courier New" w:cs="Courier New" w:eastAsia="Courier New" w:hAnsi="Courier New"/>
          <w:sz w:val="15"/>
          <w:szCs w:val="15"/>
          <w:color w:val="auto"/>
        </w:rPr>
        <w:t>Non-U.S. Person in an offshore transaction in accordance with Rule 903 or Rule 904, a certificate to the effect set forth in Exhibit B hereto, including the certifications in item (2) thereof;</w:t>
      </w:r>
    </w:p>
    <w:p>
      <w:pPr>
        <w:spacing w:after="0" w:line="353" w:lineRule="exact"/>
        <w:rPr>
          <w:sz w:val="20"/>
          <w:szCs w:val="20"/>
          <w:color w:val="auto"/>
        </w:rPr>
      </w:pPr>
    </w:p>
    <w:p>
      <w:pPr>
        <w:ind w:left="1140" w:right="2659" w:firstLine="559"/>
        <w:spacing w:after="0" w:line="256" w:lineRule="auto"/>
        <w:tabs>
          <w:tab w:leader="none" w:pos="2086"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beneficial interest is being transferred pursuant to an exemption from the registration requirements of the Securities Act in accordance with Rule 144, a certificate to the effect set forth in Exhibit B hereto, including the certifications in item</w:t>
      </w:r>
    </w:p>
    <w:p>
      <w:pPr>
        <w:ind w:left="1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(3)(a) thereof;</w:t>
      </w:r>
    </w:p>
    <w:p>
      <w:pPr>
        <w:spacing w:after="0" w:line="368" w:lineRule="exact"/>
        <w:rPr>
          <w:rFonts w:ascii="Courier New" w:cs="Courier New" w:eastAsia="Courier New" w:hAnsi="Courier New"/>
          <w:sz w:val="15"/>
          <w:szCs w:val="15"/>
          <w:color w:val="auto"/>
        </w:rPr>
      </w:pPr>
    </w:p>
    <w:p>
      <w:pPr>
        <w:ind w:left="1140" w:right="2659" w:firstLine="559"/>
        <w:spacing w:after="0" w:line="239" w:lineRule="auto"/>
        <w:tabs>
          <w:tab w:leader="none" w:pos="2086"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beneficial interest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w:t>
      </w:r>
    </w:p>
    <w:p>
      <w:pPr>
        <w:spacing w:after="0" w:line="191" w:lineRule="exact"/>
        <w:rPr>
          <w:rFonts w:ascii="Courier New" w:cs="Courier New" w:eastAsia="Courier New" w:hAnsi="Courier New"/>
          <w:sz w:val="16"/>
          <w:szCs w:val="16"/>
          <w:color w:val="auto"/>
        </w:rPr>
      </w:pPr>
    </w:p>
    <w:p>
      <w:pPr>
        <w:ind w:left="1140" w:right="2759" w:firstLine="559"/>
        <w:spacing w:after="0" w:line="256" w:lineRule="auto"/>
        <w:tabs>
          <w:tab w:leader="none" w:pos="2086"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beneficial interest is being transferred to the Company or any of its Subsidiaries, a certificate to the effect set forth in Exhibit B hereto, including the certifications in item</w:t>
      </w:r>
    </w:p>
    <w:p>
      <w:pPr>
        <w:ind w:left="1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(3)(b) thereof; or</w:t>
      </w:r>
    </w:p>
    <w:p>
      <w:pPr>
        <w:spacing w:after="0" w:line="186" w:lineRule="exact"/>
        <w:rPr>
          <w:rFonts w:ascii="Courier New" w:cs="Courier New" w:eastAsia="Courier New" w:hAnsi="Courier New"/>
          <w:sz w:val="15"/>
          <w:szCs w:val="15"/>
          <w:color w:val="auto"/>
        </w:rPr>
      </w:pPr>
    </w:p>
    <w:p>
      <w:pPr>
        <w:ind w:left="1140" w:right="2759" w:firstLine="559"/>
        <w:spacing w:after="0" w:line="239" w:lineRule="auto"/>
        <w:tabs>
          <w:tab w:leader="none" w:pos="2086"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beneficial interest is being transferred pursuant to an effective registration statement under the Securities Act, a certificate to the effect set forth in Exhibit B hereto, including the certifications in item (3)(c) thereof,</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481" w:right="1440" w:bottom="1440" w:gutter="0" w:footer="0" w:header="0"/>
        </w:sectPr>
      </w:pPr>
    </w:p>
    <w:bookmarkStart w:id="269" w:name="page270"/>
    <w:bookmarkEnd w:id="269"/>
    <w:p>
      <w:pPr>
        <w:ind w:right="2659"/>
        <w:spacing w:after="0" w:line="257" w:lineRule="auto"/>
        <w:rPr>
          <w:sz w:val="20"/>
          <w:szCs w:val="20"/>
          <w:color w:val="auto"/>
        </w:rPr>
      </w:pPr>
      <w:r>
        <w:rPr>
          <w:rFonts w:ascii="Courier New" w:cs="Courier New" w:eastAsia="Courier New" w:hAnsi="Courier New"/>
          <w:sz w:val="15"/>
          <w:szCs w:val="15"/>
          <w:color w:val="auto"/>
        </w:rPr>
        <w:t>the Trustee shall cause the aggregate principal amount of the applicable Global Note to be reduced accordingly pursuant to Section 2.06(h) hereof, and the Company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2.06(c)(i) shall bear the Private Placement Legend and shall be subject to all restrictions on transfer contained therein.</w:t>
      </w:r>
    </w:p>
    <w:p>
      <w:pPr>
        <w:spacing w:after="0" w:line="181" w:lineRule="exact"/>
        <w:rPr>
          <w:sz w:val="20"/>
          <w:szCs w:val="20"/>
          <w:color w:val="auto"/>
        </w:rPr>
      </w:pPr>
    </w:p>
    <w:p>
      <w:pPr>
        <w:ind w:right="2759" w:firstLine="559"/>
        <w:spacing w:after="0" w:line="239" w:lineRule="auto"/>
        <w:tabs>
          <w:tab w:leader="none" w:pos="1040"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Interests in Restricted Global Notes to Unrestricted Definitive Notes. A holder of a beneficial interest in a Restricted Global Note may exchange such beneficial interest for an Unrestricted Definitive Note or may transfer such beneficial interest to a Person who takes delivery thereof in the form of an Unrestricted Definitive Note only if:</w:t>
      </w:r>
    </w:p>
    <w:p>
      <w:pPr>
        <w:spacing w:after="0" w:line="190" w:lineRule="exact"/>
        <w:rPr>
          <w:rFonts w:ascii="Courier New" w:cs="Courier New" w:eastAsia="Courier New" w:hAnsi="Courier New"/>
          <w:sz w:val="16"/>
          <w:szCs w:val="16"/>
          <w:color w:val="auto"/>
        </w:rPr>
      </w:pPr>
    </w:p>
    <w:p>
      <w:pPr>
        <w:ind w:left="560" w:right="2759" w:firstLine="567"/>
        <w:spacing w:after="0"/>
        <w:tabs>
          <w:tab w:leader="none" w:pos="1506" w:val="left"/>
        </w:tabs>
        <w:numPr>
          <w:ilvl w:val="1"/>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exchange or transfer is effected pursuant to the Registered Exchange Offer in accordance with the Registration Rights Agreement and the holder of such beneficial interest, in the case of an exchange, or the transferee, in the case of a transfer, certifies in the applicable Letter of Transmittal that it is not (1) a Broker-Dealer, (2) a Person participating in the distribution of the Exchange Notes or (3) a Person who is an affiliate (as defined in Rule 144) of the Company;</w:t>
      </w:r>
    </w:p>
    <w:p>
      <w:pPr>
        <w:spacing w:after="0" w:line="187" w:lineRule="exact"/>
        <w:rPr>
          <w:rFonts w:ascii="Courier New" w:cs="Courier New" w:eastAsia="Courier New" w:hAnsi="Courier New"/>
          <w:sz w:val="16"/>
          <w:szCs w:val="16"/>
          <w:color w:val="auto"/>
        </w:rPr>
      </w:pPr>
    </w:p>
    <w:p>
      <w:pPr>
        <w:ind w:left="560" w:right="3039" w:firstLine="567"/>
        <w:spacing w:after="0" w:line="238" w:lineRule="auto"/>
        <w:tabs>
          <w:tab w:leader="none" w:pos="1506" w:val="left"/>
        </w:tabs>
        <w:numPr>
          <w:ilvl w:val="1"/>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transfer is effected pursuant to the Shelf Registration Statement in accordance with the Registration Rights Agreement;</w:t>
      </w:r>
    </w:p>
    <w:p>
      <w:pPr>
        <w:spacing w:after="0" w:line="188" w:lineRule="exact"/>
        <w:rPr>
          <w:rFonts w:ascii="Courier New" w:cs="Courier New" w:eastAsia="Courier New" w:hAnsi="Courier New"/>
          <w:sz w:val="16"/>
          <w:szCs w:val="16"/>
          <w:color w:val="auto"/>
        </w:rPr>
      </w:pPr>
    </w:p>
    <w:p>
      <w:pPr>
        <w:ind w:left="560" w:right="3219" w:firstLine="567"/>
        <w:spacing w:after="0" w:line="262" w:lineRule="auto"/>
        <w:tabs>
          <w:tab w:leader="none" w:pos="1506" w:val="left"/>
        </w:tabs>
        <w:numPr>
          <w:ilvl w:val="1"/>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transfer is effected by a Broker-Dealer pursuant to the Exchange Offer Registration Statement in accordance with the Registration Rights Agreement; or</w:t>
      </w:r>
    </w:p>
    <w:p>
      <w:pPr>
        <w:spacing w:after="0" w:line="167" w:lineRule="exact"/>
        <w:rPr>
          <w:rFonts w:ascii="Courier New" w:cs="Courier New" w:eastAsia="Courier New" w:hAnsi="Courier New"/>
          <w:sz w:val="15"/>
          <w:szCs w:val="15"/>
          <w:color w:val="auto"/>
        </w:rPr>
      </w:pPr>
    </w:p>
    <w:p>
      <w:pPr>
        <w:ind w:left="1500" w:hanging="373"/>
        <w:spacing w:after="0"/>
        <w:tabs>
          <w:tab w:leader="none" w:pos="1500" w:val="left"/>
        </w:tabs>
        <w:numPr>
          <w:ilvl w:val="1"/>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Registrar receives the following:</w:t>
      </w:r>
    </w:p>
    <w:p>
      <w:pPr>
        <w:spacing w:after="0" w:line="186" w:lineRule="exact"/>
        <w:rPr>
          <w:rFonts w:ascii="Courier New" w:cs="Courier New" w:eastAsia="Courier New" w:hAnsi="Courier New"/>
          <w:sz w:val="16"/>
          <w:szCs w:val="16"/>
          <w:color w:val="auto"/>
        </w:rPr>
      </w:pPr>
    </w:p>
    <w:p>
      <w:pPr>
        <w:ind w:left="1120" w:right="2659" w:firstLine="574"/>
        <w:spacing w:after="0" w:line="239" w:lineRule="auto"/>
        <w:tabs>
          <w:tab w:leader="none" w:pos="2066" w:val="left"/>
        </w:tabs>
        <w:numPr>
          <w:ilvl w:val="2"/>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holder of such beneficial interest in a Restricted Global Note proposes to exchange such beneficial interest for a Definitive Note that does not bear the Private Placement Legend, a certificate from such holder in the form of Exhibit C hereto, including the certifications in item (1)(b) thereof; or</w:t>
      </w:r>
    </w:p>
    <w:p>
      <w:pPr>
        <w:spacing w:after="0" w:line="190" w:lineRule="exact"/>
        <w:rPr>
          <w:rFonts w:ascii="Courier New" w:cs="Courier New" w:eastAsia="Courier New" w:hAnsi="Courier New"/>
          <w:sz w:val="16"/>
          <w:szCs w:val="16"/>
          <w:color w:val="auto"/>
        </w:rPr>
      </w:pPr>
    </w:p>
    <w:p>
      <w:pPr>
        <w:ind w:left="1120" w:right="2659" w:firstLine="574"/>
        <w:spacing w:after="0" w:line="239" w:lineRule="auto"/>
        <w:tabs>
          <w:tab w:leader="none" w:pos="2066" w:val="left"/>
        </w:tabs>
        <w:numPr>
          <w:ilvl w:val="2"/>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holder of such beneficial interest in a Restricted Global Note proposes to transfer such beneficial interest to a Person who shall take delivery thereof in the form of a Definitive Note that does not</w:t>
      </w:r>
    </w:p>
    <w:p>
      <w:pPr>
        <w:spacing w:after="0" w:line="200" w:lineRule="exact"/>
        <w:rPr>
          <w:sz w:val="20"/>
          <w:szCs w:val="20"/>
          <w:color w:val="auto"/>
        </w:rPr>
      </w:pPr>
    </w:p>
    <w:p>
      <w:pPr>
        <w:spacing w:after="0" w:line="34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9079"/>
          </w:cols>
          <w:pgMar w:left="1380" w:top="481" w:right="1440" w:bottom="1440" w:gutter="0" w:footer="0" w:header="0"/>
        </w:sectPr>
      </w:pPr>
    </w:p>
    <w:bookmarkStart w:id="270" w:name="page271"/>
    <w:bookmarkEnd w:id="270"/>
    <w:p>
      <w:pPr>
        <w:ind w:left="1120" w:right="2839"/>
        <w:spacing w:after="0" w:line="238" w:lineRule="auto"/>
        <w:rPr>
          <w:sz w:val="20"/>
          <w:szCs w:val="20"/>
          <w:color w:val="auto"/>
        </w:rPr>
      </w:pPr>
      <w:r>
        <w:rPr>
          <w:rFonts w:ascii="Courier New" w:cs="Courier New" w:eastAsia="Courier New" w:hAnsi="Courier New"/>
          <w:sz w:val="16"/>
          <w:szCs w:val="16"/>
          <w:color w:val="auto"/>
        </w:rPr>
        <w:t>bear the Private Placement Legend, a certificate from such holder in the form of Exhibit B hereto, including the certifications in item (4) thereof;</w:t>
      </w:r>
    </w:p>
    <w:p>
      <w:pPr>
        <w:spacing w:after="0" w:line="188" w:lineRule="exact"/>
        <w:rPr>
          <w:sz w:val="20"/>
          <w:szCs w:val="20"/>
          <w:color w:val="auto"/>
        </w:rPr>
      </w:pPr>
    </w:p>
    <w:p>
      <w:pPr>
        <w:ind w:right="2659"/>
        <w:spacing w:after="0" w:line="258" w:lineRule="auto"/>
        <w:rPr>
          <w:sz w:val="20"/>
          <w:szCs w:val="20"/>
          <w:color w:val="auto"/>
        </w:rPr>
      </w:pPr>
      <w:r>
        <w:rPr>
          <w:rFonts w:ascii="Courier New" w:cs="Courier New" w:eastAsia="Courier New" w:hAnsi="Courier New"/>
          <w:sz w:val="15"/>
          <w:szCs w:val="15"/>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6" w:lineRule="exact"/>
        <w:rPr>
          <w:sz w:val="20"/>
          <w:szCs w:val="20"/>
          <w:color w:val="auto"/>
        </w:rPr>
      </w:pPr>
    </w:p>
    <w:p>
      <w:pPr>
        <w:ind w:right="2659" w:firstLine="559"/>
        <w:spacing w:after="0" w:line="256" w:lineRule="auto"/>
        <w:tabs>
          <w:tab w:leader="none" w:pos="1135"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Interests in Unrestricted Global Notes to Unrestricted Definitive Notes. If any holder of a 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2.06(b)(ii) hereof, the Trustee shall cause the aggregate principal amount of the applicable Global Note to be reduced accordingly pursuant to Section 2.06(h) hereof, and the Company shall execute and the Trustee shall authenticate and deliver to the Person designated in the instructions a Definitive Note in the appropriate principal amount. Any Definitive Note issued in exchange for a beneficial interest pursuant to this Section</w:t>
      </w:r>
    </w:p>
    <w:p>
      <w:pPr>
        <w:spacing w:after="0" w:line="8" w:lineRule="exact"/>
        <w:rPr>
          <w:rFonts w:ascii="Courier New" w:cs="Courier New" w:eastAsia="Courier New" w:hAnsi="Courier New"/>
          <w:sz w:val="15"/>
          <w:szCs w:val="15"/>
          <w:color w:val="auto"/>
        </w:rPr>
      </w:pPr>
    </w:p>
    <w:p>
      <w:pPr>
        <w:ind w:right="275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2.06(c)(iii)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pursuant to this Section 2.06(c)(iii) shall not bear the Private Placement Legend.</w:t>
      </w:r>
    </w:p>
    <w:p>
      <w:pPr>
        <w:spacing w:after="0" w:line="172" w:lineRule="exact"/>
        <w:rPr>
          <w:sz w:val="20"/>
          <w:szCs w:val="20"/>
          <w:color w:val="auto"/>
        </w:rPr>
      </w:pPr>
    </w:p>
    <w:p>
      <w:pPr>
        <w:ind w:left="940" w:hanging="381"/>
        <w:spacing w:after="0"/>
        <w:tabs>
          <w:tab w:leader="none" w:pos="940" w:val="left"/>
        </w:tabs>
        <w:numPr>
          <w:ilvl w:val="0"/>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and Exchange of Definitive Notes for Beneficial</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Interests.</w:t>
      </w:r>
    </w:p>
    <w:p>
      <w:pPr>
        <w:spacing w:after="0" w:line="186" w:lineRule="exact"/>
        <w:rPr>
          <w:sz w:val="20"/>
          <w:szCs w:val="20"/>
          <w:color w:val="auto"/>
        </w:rPr>
      </w:pPr>
    </w:p>
    <w:p>
      <w:pPr>
        <w:ind w:right="2759" w:firstLine="559"/>
        <w:spacing w:after="0" w:line="239" w:lineRule="auto"/>
        <w:tabs>
          <w:tab w:leader="none" w:pos="946" w:val="left"/>
        </w:tabs>
        <w:numPr>
          <w:ilvl w:val="0"/>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Definitive Notes to Beneficial Interests in Restricted Global Notes. If any Holder of a Restricted 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91" w:lineRule="exact"/>
        <w:rPr>
          <w:rFonts w:ascii="Courier New" w:cs="Courier New" w:eastAsia="Courier New" w:hAnsi="Courier New"/>
          <w:sz w:val="16"/>
          <w:szCs w:val="16"/>
          <w:color w:val="auto"/>
        </w:rPr>
      </w:pPr>
    </w:p>
    <w:p>
      <w:pPr>
        <w:ind w:left="560" w:right="2659" w:firstLine="567"/>
        <w:spacing w:after="0" w:line="256" w:lineRule="auto"/>
        <w:tabs>
          <w:tab w:leader="none" w:pos="1506" w:val="left"/>
        </w:tabs>
        <w:numPr>
          <w:ilvl w:val="1"/>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Restricted Definitive Note proposes to exchange such Note for a beneficial interest in a Restricted Global Note, a certificate from such Holder in the form of Exhibit C hereto, including the certifications in item</w:t>
      </w:r>
    </w:p>
    <w:p>
      <w:pPr>
        <w:ind w:left="5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(2)(b) thereof;</w:t>
      </w:r>
    </w:p>
    <w:p>
      <w:pPr>
        <w:spacing w:after="0" w:line="186" w:lineRule="exact"/>
        <w:rPr>
          <w:rFonts w:ascii="Courier New" w:cs="Courier New" w:eastAsia="Courier New" w:hAnsi="Courier New"/>
          <w:sz w:val="15"/>
          <w:szCs w:val="15"/>
          <w:color w:val="auto"/>
        </w:rPr>
      </w:pPr>
    </w:p>
    <w:p>
      <w:pPr>
        <w:ind w:left="560" w:right="3219" w:firstLine="567"/>
        <w:spacing w:after="0" w:line="260" w:lineRule="auto"/>
        <w:tabs>
          <w:tab w:leader="none" w:pos="1506" w:val="left"/>
        </w:tabs>
        <w:numPr>
          <w:ilvl w:val="1"/>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Restricted Definitive Note is being transferred to a QIB in accordance with Rule 144A, a certificate to the effect set forth in Exhibit B hereto, including the certifications in item (1) thereof;</w:t>
      </w:r>
    </w:p>
    <w:p>
      <w:pPr>
        <w:spacing w:after="0" w:line="173" w:lineRule="exact"/>
        <w:rPr>
          <w:rFonts w:ascii="Courier New" w:cs="Courier New" w:eastAsia="Courier New" w:hAnsi="Courier New"/>
          <w:sz w:val="15"/>
          <w:szCs w:val="15"/>
          <w:color w:val="auto"/>
        </w:rPr>
      </w:pPr>
    </w:p>
    <w:p>
      <w:pPr>
        <w:ind w:left="560" w:right="2659" w:firstLine="567"/>
        <w:spacing w:after="0" w:line="238" w:lineRule="auto"/>
        <w:tabs>
          <w:tab w:leader="none" w:pos="1506" w:val="left"/>
        </w:tabs>
        <w:numPr>
          <w:ilvl w:val="1"/>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Restricted Definitive Note is being transferred to a Non-U.S. Person in an offshore transaction in accordance with Rule 903 or</w:t>
      </w:r>
    </w:p>
    <w:p>
      <w:pPr>
        <w:spacing w:after="0" w:line="366"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9079"/>
          </w:cols>
          <w:pgMar w:left="1380" w:top="481" w:right="1440" w:bottom="1440" w:gutter="0" w:footer="0" w:header="0"/>
        </w:sectPr>
      </w:pPr>
    </w:p>
    <w:bookmarkStart w:id="271" w:name="page272"/>
    <w:bookmarkEnd w:id="271"/>
    <w:p>
      <w:pPr>
        <w:ind w:left="560" w:right="2839"/>
        <w:spacing w:after="0" w:line="237" w:lineRule="auto"/>
        <w:rPr>
          <w:sz w:val="20"/>
          <w:szCs w:val="20"/>
          <w:color w:val="auto"/>
        </w:rPr>
      </w:pPr>
      <w:r>
        <w:rPr>
          <w:rFonts w:ascii="Courier New" w:cs="Courier New" w:eastAsia="Courier New" w:hAnsi="Courier New"/>
          <w:sz w:val="16"/>
          <w:szCs w:val="16"/>
          <w:color w:val="auto"/>
        </w:rPr>
        <w:t>Rule 904, a certificate to the effect set forth in Exhibit B hereto, including the certifications in item (2) thereof;</w:t>
      </w:r>
    </w:p>
    <w:p>
      <w:pPr>
        <w:spacing w:after="0" w:line="188" w:lineRule="exact"/>
        <w:rPr>
          <w:sz w:val="20"/>
          <w:szCs w:val="20"/>
          <w:color w:val="auto"/>
        </w:rPr>
      </w:pPr>
    </w:p>
    <w:p>
      <w:pPr>
        <w:ind w:left="560" w:right="2839" w:firstLine="567"/>
        <w:spacing w:after="0" w:line="259" w:lineRule="auto"/>
        <w:tabs>
          <w:tab w:leader="none" w:pos="1506" w:val="left"/>
        </w:tabs>
        <w:numPr>
          <w:ilvl w:val="1"/>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Restricted Definitive Note is being transferred pursuant to an exemption from the registration requirements of the Securities Act in accordance with Rule 144, a certificate to the effect set forth in Exhibit B hereto, including the certifications in item (3)(a) thereof;</w:t>
      </w:r>
    </w:p>
    <w:p>
      <w:pPr>
        <w:spacing w:after="0" w:line="356" w:lineRule="exact"/>
        <w:rPr>
          <w:rFonts w:ascii="Courier New" w:cs="Courier New" w:eastAsia="Courier New" w:hAnsi="Courier New"/>
          <w:sz w:val="15"/>
          <w:szCs w:val="15"/>
          <w:color w:val="auto"/>
        </w:rPr>
      </w:pPr>
    </w:p>
    <w:p>
      <w:pPr>
        <w:ind w:left="560" w:right="2659" w:firstLine="567"/>
        <w:spacing w:after="0" w:line="256" w:lineRule="auto"/>
        <w:tabs>
          <w:tab w:leader="none" w:pos="1506" w:val="left"/>
        </w:tabs>
        <w:numPr>
          <w:ilvl w:val="1"/>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Restricted Definitive Note is being transferred to an Institutional Accredited Investor in reliance on an exemption from the registration requirements of the Securities Act other than those listed in subparagraphs</w:t>
      </w:r>
    </w:p>
    <w:p>
      <w:pPr>
        <w:spacing w:after="0" w:line="2" w:lineRule="exact"/>
        <w:rPr>
          <w:rFonts w:ascii="Courier New" w:cs="Courier New" w:eastAsia="Courier New" w:hAnsi="Courier New"/>
          <w:sz w:val="15"/>
          <w:szCs w:val="15"/>
          <w:color w:val="auto"/>
        </w:rPr>
      </w:pPr>
    </w:p>
    <w:p>
      <w:pPr>
        <w:ind w:left="560" w:right="2839" w:hanging="1"/>
        <w:spacing w:after="0" w:line="239" w:lineRule="auto"/>
        <w:tabs>
          <w:tab w:leader="none" w:pos="938" w:val="left"/>
        </w:tabs>
        <w:numPr>
          <w:ilvl w:val="0"/>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(D) above, a certificate to the effect set forth in Exhibit B hereto, including the certifications, certificates and Opinion of Counsel required by item (3) thereof, if applicable;</w:t>
      </w:r>
    </w:p>
    <w:p>
      <w:pPr>
        <w:spacing w:after="0" w:line="187" w:lineRule="exact"/>
        <w:rPr>
          <w:rFonts w:ascii="Courier New" w:cs="Courier New" w:eastAsia="Courier New" w:hAnsi="Courier New"/>
          <w:sz w:val="16"/>
          <w:szCs w:val="16"/>
          <w:color w:val="auto"/>
        </w:rPr>
      </w:pPr>
    </w:p>
    <w:p>
      <w:pPr>
        <w:ind w:left="560" w:right="3219" w:firstLine="567"/>
        <w:spacing w:after="0" w:line="260" w:lineRule="auto"/>
        <w:tabs>
          <w:tab w:leader="none" w:pos="1506" w:val="left"/>
        </w:tabs>
        <w:numPr>
          <w:ilvl w:val="1"/>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Restricted Definitive Note is being transferred to the Company or any of its Subsidiaries, a certificate to the effect set forth in Exhibit B hereto, including the certifications in item (3)(b) thereof; or</w:t>
      </w:r>
    </w:p>
    <w:p>
      <w:pPr>
        <w:spacing w:after="0" w:line="173" w:lineRule="exact"/>
        <w:rPr>
          <w:rFonts w:ascii="Courier New" w:cs="Courier New" w:eastAsia="Courier New" w:hAnsi="Courier New"/>
          <w:sz w:val="15"/>
          <w:szCs w:val="15"/>
          <w:color w:val="auto"/>
        </w:rPr>
      </w:pPr>
    </w:p>
    <w:p>
      <w:pPr>
        <w:ind w:left="560" w:right="2939" w:firstLine="567"/>
        <w:spacing w:after="0" w:line="239" w:lineRule="auto"/>
        <w:tabs>
          <w:tab w:leader="none" w:pos="1506" w:val="left"/>
        </w:tabs>
        <w:numPr>
          <w:ilvl w:val="1"/>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Restricted Definitive Note is being transferred pursuant to an effective registration statement under the Securities Act, a certificate to the effect set forth in Exhibit B hereto, including the certifications in item (3)(c) thereof,</w:t>
      </w:r>
    </w:p>
    <w:p>
      <w:pPr>
        <w:spacing w:after="0" w:line="189"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the Trustee shall cancel the Restricted Definitive Note, increase or cause to be increased the aggregate principal amount of, in the case of clause (A) above, the appropriate Restricted Global Note, in the case of clause (B) above, the 144A Global Note, in the case of clause (c) above, the Regulation S Global Note, and in all other cases, the IAI Global Note.</w:t>
      </w:r>
    </w:p>
    <w:p>
      <w:pPr>
        <w:spacing w:after="0" w:line="190" w:lineRule="exact"/>
        <w:rPr>
          <w:sz w:val="20"/>
          <w:szCs w:val="20"/>
          <w:color w:val="auto"/>
        </w:rPr>
      </w:pPr>
    </w:p>
    <w:p>
      <w:pPr>
        <w:ind w:right="2759" w:firstLine="559"/>
        <w:spacing w:after="0" w:line="239" w:lineRule="auto"/>
        <w:tabs>
          <w:tab w:leader="none" w:pos="1040"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Definitive Notes to Beneficial Interests in Unrestricted Global Notes.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w:t>
      </w:r>
    </w:p>
    <w:p>
      <w:pPr>
        <w:spacing w:after="0" w:line="190" w:lineRule="exact"/>
        <w:rPr>
          <w:rFonts w:ascii="Courier New" w:cs="Courier New" w:eastAsia="Courier New" w:hAnsi="Courier New"/>
          <w:sz w:val="16"/>
          <w:szCs w:val="16"/>
          <w:color w:val="auto"/>
        </w:rPr>
      </w:pPr>
    </w:p>
    <w:p>
      <w:pPr>
        <w:ind w:left="560" w:right="2839" w:firstLine="567"/>
        <w:spacing w:after="0" w:line="258" w:lineRule="auto"/>
        <w:tabs>
          <w:tab w:leader="none" w:pos="1506" w:val="left"/>
        </w:tabs>
        <w:numPr>
          <w:ilvl w:val="1"/>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exchange or transfer is effected pursuant to the Registered Exchange Offer in accordance with the Registration Rights Agreement and the Holder, in the case of an exchange, or the transferee, in the case of a transfer, certifies in the applicable Letter of Transmittal that it is not (1) a Broker-Dealer, (2) a Person participating in the distribution of the Exchange Notes or (3) a Person who is an affiliate (as defined in Rule 144) of the Company;</w:t>
      </w:r>
    </w:p>
    <w:p>
      <w:pPr>
        <w:spacing w:after="0" w:line="175" w:lineRule="exact"/>
        <w:rPr>
          <w:rFonts w:ascii="Courier New" w:cs="Courier New" w:eastAsia="Courier New" w:hAnsi="Courier New"/>
          <w:sz w:val="15"/>
          <w:szCs w:val="15"/>
          <w:color w:val="auto"/>
        </w:rPr>
      </w:pPr>
    </w:p>
    <w:p>
      <w:pPr>
        <w:ind w:left="560" w:right="3039" w:firstLine="567"/>
        <w:spacing w:after="0" w:line="238" w:lineRule="auto"/>
        <w:tabs>
          <w:tab w:leader="none" w:pos="1506" w:val="left"/>
        </w:tabs>
        <w:numPr>
          <w:ilvl w:val="1"/>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transfer is effected pursuant to the Shelf Registration Statement in accordance with the Registration Rights Agreement;</w:t>
      </w:r>
    </w:p>
    <w:p>
      <w:pPr>
        <w:spacing w:after="0" w:line="200" w:lineRule="exact"/>
        <w:rPr>
          <w:sz w:val="20"/>
          <w:szCs w:val="20"/>
          <w:color w:val="auto"/>
        </w:rPr>
      </w:pPr>
    </w:p>
    <w:p>
      <w:pPr>
        <w:spacing w:after="0" w:line="348"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9079"/>
          </w:cols>
          <w:pgMar w:left="1380" w:top="481" w:right="1440" w:bottom="1440" w:gutter="0" w:footer="0" w:header="0"/>
        </w:sectPr>
      </w:pPr>
    </w:p>
    <w:bookmarkStart w:id="272" w:name="page273"/>
    <w:bookmarkEnd w:id="272"/>
    <w:p>
      <w:pPr>
        <w:ind w:left="1700" w:right="3219" w:firstLine="567"/>
        <w:spacing w:after="0" w:line="262" w:lineRule="auto"/>
        <w:tabs>
          <w:tab w:leader="none" w:pos="2646"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transfer is effected by a Broker-Dealer pursuant to the Exchange Offer Registration Statement in accordance with the Registration Rights Agreement; or</w:t>
      </w:r>
    </w:p>
    <w:p>
      <w:pPr>
        <w:spacing w:after="0" w:line="167" w:lineRule="exact"/>
        <w:rPr>
          <w:rFonts w:ascii="Courier New" w:cs="Courier New" w:eastAsia="Courier New" w:hAnsi="Courier New"/>
          <w:sz w:val="15"/>
          <w:szCs w:val="15"/>
          <w:color w:val="auto"/>
        </w:rPr>
      </w:pPr>
    </w:p>
    <w:p>
      <w:pPr>
        <w:ind w:left="2640" w:hanging="373"/>
        <w:spacing w:after="0"/>
        <w:tabs>
          <w:tab w:leader="none" w:pos="2640" w:val="left"/>
        </w:tabs>
        <w:numPr>
          <w:ilvl w:val="0"/>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Registrar receives the following:</w:t>
      </w:r>
    </w:p>
    <w:p>
      <w:pPr>
        <w:spacing w:after="0" w:line="186" w:lineRule="exact"/>
        <w:rPr>
          <w:rFonts w:ascii="Courier New" w:cs="Courier New" w:eastAsia="Courier New" w:hAnsi="Courier New"/>
          <w:sz w:val="16"/>
          <w:szCs w:val="16"/>
          <w:color w:val="auto"/>
        </w:rPr>
      </w:pPr>
    </w:p>
    <w:p>
      <w:pPr>
        <w:ind w:left="2260" w:right="2759" w:firstLine="574"/>
        <w:spacing w:after="0" w:line="259" w:lineRule="auto"/>
        <w:tabs>
          <w:tab w:leader="none" w:pos="3206" w:val="left"/>
        </w:tabs>
        <w:numPr>
          <w:ilvl w:val="1"/>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Definitive Notes proposes to exchange such Notes for a beneficial interest in the Unrestricted Global Note, a certificate from such Holder in the form of Exhibit C hereto, including the certifications in item (l)(c) thereof; or</w:t>
      </w:r>
    </w:p>
    <w:p>
      <w:pPr>
        <w:spacing w:after="0" w:line="174" w:lineRule="exact"/>
        <w:rPr>
          <w:rFonts w:ascii="Courier New" w:cs="Courier New" w:eastAsia="Courier New" w:hAnsi="Courier New"/>
          <w:sz w:val="15"/>
          <w:szCs w:val="15"/>
          <w:color w:val="auto"/>
        </w:rPr>
      </w:pPr>
    </w:p>
    <w:p>
      <w:pPr>
        <w:ind w:left="2260" w:right="2759" w:firstLine="574"/>
        <w:spacing w:after="0" w:line="258" w:lineRule="auto"/>
        <w:tabs>
          <w:tab w:leader="none" w:pos="3206" w:val="left"/>
        </w:tabs>
        <w:numPr>
          <w:ilvl w:val="1"/>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of such Definitive Notes proposes to transfer such Notes to a Person who shall take delivery thereof in the form of a beneficial interest in the Unrestricted Global Note, a certificate from such Holder in the form of Exhibit B hereto, including the certifications in item (4) thereof;</w:t>
      </w:r>
    </w:p>
    <w:p>
      <w:pPr>
        <w:spacing w:after="0" w:line="359" w:lineRule="exact"/>
        <w:rPr>
          <w:sz w:val="20"/>
          <w:szCs w:val="20"/>
          <w:color w:val="auto"/>
        </w:rPr>
      </w:pPr>
    </w:p>
    <w:p>
      <w:pPr>
        <w:ind w:left="1140" w:right="2659"/>
        <w:spacing w:after="0" w:line="258" w:lineRule="auto"/>
        <w:rPr>
          <w:sz w:val="20"/>
          <w:szCs w:val="20"/>
          <w:color w:val="auto"/>
        </w:rPr>
      </w:pPr>
      <w:r>
        <w:rPr>
          <w:rFonts w:ascii="Courier New" w:cs="Courier New" w:eastAsia="Courier New" w:hAnsi="Courier New"/>
          <w:sz w:val="15"/>
          <w:szCs w:val="15"/>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6" w:lineRule="exact"/>
        <w:rPr>
          <w:sz w:val="20"/>
          <w:szCs w:val="20"/>
          <w:color w:val="auto"/>
        </w:rPr>
      </w:pPr>
    </w:p>
    <w:p>
      <w:pPr>
        <w:ind w:left="1140" w:right="2759"/>
        <w:spacing w:after="0" w:line="239" w:lineRule="auto"/>
        <w:rPr>
          <w:sz w:val="20"/>
          <w:szCs w:val="20"/>
          <w:color w:val="auto"/>
        </w:rPr>
      </w:pPr>
      <w:r>
        <w:rPr>
          <w:rFonts w:ascii="Courier New" w:cs="Courier New" w:eastAsia="Courier New" w:hAnsi="Courier New"/>
          <w:sz w:val="16"/>
          <w:szCs w:val="16"/>
          <w:color w:val="auto"/>
        </w:rPr>
        <w:t>Upon satisfaction of the conditions of any of the subparagraphs in this Section 2.06(d)(ii), the Trustee shall cancel the Definitive Notes and increase or cause to be increased the aggregate principal amount of the Unrestricted Global Note.</w:t>
      </w:r>
    </w:p>
    <w:p>
      <w:pPr>
        <w:spacing w:after="0" w:line="187" w:lineRule="exact"/>
        <w:rPr>
          <w:sz w:val="20"/>
          <w:szCs w:val="20"/>
          <w:color w:val="auto"/>
        </w:rPr>
      </w:pPr>
    </w:p>
    <w:p>
      <w:pPr>
        <w:ind w:left="1140" w:right="2659" w:firstLine="559"/>
        <w:spacing w:after="0"/>
        <w:tabs>
          <w:tab w:leader="none" w:pos="2275"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Unrestricted Definitive Notes to Beneficial Interests in Unrestricted Global Notes.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88" w:lineRule="exact"/>
        <w:rPr>
          <w:sz w:val="20"/>
          <w:szCs w:val="20"/>
          <w:color w:val="auto"/>
        </w:rPr>
      </w:pPr>
    </w:p>
    <w:p>
      <w:pPr>
        <w:ind w:right="2839" w:firstLine="1135"/>
        <w:spacing w:after="0" w:line="258" w:lineRule="auto"/>
        <w:rPr>
          <w:sz w:val="20"/>
          <w:szCs w:val="20"/>
          <w:color w:val="auto"/>
        </w:rPr>
      </w:pPr>
      <w:r>
        <w:rPr>
          <w:rFonts w:ascii="Courier New" w:cs="Courier New" w:eastAsia="Courier New" w:hAnsi="Courier New"/>
          <w:sz w:val="15"/>
          <w:szCs w:val="15"/>
          <w:color w:val="auto"/>
        </w:rPr>
        <w:t>If any such exchange or transfer from a Definitive Note to a beneficial interest in a Global Note is effected pursuant to subparagraphs (ii)(B), (ii)(D) or (iii) above at a time when an Unrestricted Global Note has not yet been issued, the Company shall issue and, upon receipt of an Authentication Order in accordance with Section 2.02 hereof, the Trustee shall authenticate one or mere Unrestricted Global Notes in an aggregate principal amount equal to the principal amount of Definitive Notes so transferred.</w:t>
      </w:r>
    </w:p>
    <w:p>
      <w:pPr>
        <w:spacing w:after="0" w:line="172"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(e) Transfer and Exchange of Definitive Notes for Definitive</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w:t>
      </w:r>
    </w:p>
    <w:p>
      <w:pPr>
        <w:spacing w:after="0" w:line="186" w:lineRule="exact"/>
        <w:rPr>
          <w:sz w:val="20"/>
          <w:szCs w:val="20"/>
          <w:color w:val="auto"/>
        </w:rPr>
      </w:pPr>
    </w:p>
    <w:p>
      <w:pPr>
        <w:ind w:right="3119" w:firstLine="1135"/>
        <w:spacing w:after="0" w:line="239" w:lineRule="auto"/>
        <w:rPr>
          <w:sz w:val="20"/>
          <w:szCs w:val="20"/>
          <w:color w:val="auto"/>
        </w:rPr>
      </w:pPr>
      <w:r>
        <w:rPr>
          <w:rFonts w:ascii="Courier New" w:cs="Courier New" w:eastAsia="Courier New" w:hAnsi="Courier New"/>
          <w:sz w:val="16"/>
          <w:szCs w:val="16"/>
          <w:color w:val="auto"/>
        </w:rPr>
        <w:t>Upon request by a Holder of Definitive Notes and such Holder's compliance with the provisions of this Section 2.06(e), the Registrar shall register the transfer or exchange of Definitive Notes. Prior to such registration of transfer or exchange, the requesting Holder shall</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481" w:right="1440" w:bottom="1440" w:gutter="0" w:footer="0" w:header="0"/>
        </w:sectPr>
      </w:pPr>
    </w:p>
    <w:bookmarkStart w:id="273" w:name="page274"/>
    <w:bookmarkEnd w:id="273"/>
    <w:p>
      <w:pPr>
        <w:ind w:right="2839"/>
        <w:spacing w:after="0" w:line="239" w:lineRule="auto"/>
        <w:rPr>
          <w:sz w:val="20"/>
          <w:szCs w:val="20"/>
          <w:color w:val="auto"/>
        </w:rPr>
      </w:pPr>
      <w:r>
        <w:rPr>
          <w:rFonts w:ascii="Courier New" w:cs="Courier New" w:eastAsia="Courier New" w:hAnsi="Courier New"/>
          <w:sz w:val="16"/>
          <w:szCs w:val="16"/>
          <w:color w:val="auto"/>
        </w:rPr>
        <w:t>present or surrender to the Registrar the Definitive Notes duly endorsed or accompanied by a written instruction of transfer in form satisfactory to the Registrar duly executed by such Holder or by his attorney, duly authorized in writing. In addition, the requesting Holder shall provide any additional certifications, documents and information, as applicable, required pursuant to the following provisions of this Section 2.06(e).</w:t>
      </w:r>
    </w:p>
    <w:p>
      <w:pPr>
        <w:spacing w:after="0" w:line="190" w:lineRule="exact"/>
        <w:rPr>
          <w:sz w:val="20"/>
          <w:szCs w:val="20"/>
          <w:color w:val="auto"/>
        </w:rPr>
      </w:pPr>
    </w:p>
    <w:p>
      <w:pPr>
        <w:ind w:left="560" w:right="2759" w:firstLine="572"/>
        <w:spacing w:after="0" w:line="239" w:lineRule="auto"/>
        <w:tabs>
          <w:tab w:leader="none" w:pos="1506" w:val="left"/>
        </w:tabs>
        <w:numPr>
          <w:ilvl w:val="0"/>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Definitive Notes to Restricted Definitive Notes. Any Restricted Definitive Note may be transferred to and registered in the name of Persons who take delivery thereof in the form of a Restricted Definitive Note if the Registrar receives the following:</w:t>
      </w:r>
    </w:p>
    <w:p>
      <w:pPr>
        <w:spacing w:after="0" w:line="187" w:lineRule="exact"/>
        <w:rPr>
          <w:rFonts w:ascii="Courier New" w:cs="Courier New" w:eastAsia="Courier New" w:hAnsi="Courier New"/>
          <w:sz w:val="16"/>
          <w:szCs w:val="16"/>
          <w:color w:val="auto"/>
        </w:rPr>
      </w:pPr>
    </w:p>
    <w:p>
      <w:pPr>
        <w:jc w:val="both"/>
        <w:ind w:left="1140" w:right="2839" w:firstLine="559"/>
        <w:spacing w:after="0" w:line="262" w:lineRule="auto"/>
        <w:tabs>
          <w:tab w:leader="none" w:pos="2086" w:val="left"/>
        </w:tabs>
        <w:numPr>
          <w:ilvl w:val="1"/>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transfer will be made pursuant to Rule 144A, then the transferor must deliver a certificate in the form of Exhibit B hereto, including the certifications in item (1) thereof;</w:t>
      </w:r>
    </w:p>
    <w:p>
      <w:pPr>
        <w:spacing w:after="0" w:line="171" w:lineRule="exact"/>
        <w:rPr>
          <w:rFonts w:ascii="Courier New" w:cs="Courier New" w:eastAsia="Courier New" w:hAnsi="Courier New"/>
          <w:sz w:val="15"/>
          <w:szCs w:val="15"/>
          <w:color w:val="auto"/>
        </w:rPr>
      </w:pPr>
    </w:p>
    <w:p>
      <w:pPr>
        <w:ind w:left="1140" w:right="2759" w:firstLine="559"/>
        <w:spacing w:after="0" w:line="239" w:lineRule="auto"/>
        <w:tabs>
          <w:tab w:leader="none" w:pos="2086" w:val="left"/>
        </w:tabs>
        <w:numPr>
          <w:ilvl w:val="1"/>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transfer will be made pursuant to Rule 903 or Rule 904, then the transferor must deliver a certificate in the form of Exhibit B hereto, including the certifications in item (2) thereof; and</w:t>
      </w:r>
    </w:p>
    <w:p>
      <w:pPr>
        <w:spacing w:after="0" w:line="369" w:lineRule="exact"/>
        <w:rPr>
          <w:rFonts w:ascii="Courier New" w:cs="Courier New" w:eastAsia="Courier New" w:hAnsi="Courier New"/>
          <w:sz w:val="16"/>
          <w:szCs w:val="16"/>
          <w:color w:val="auto"/>
        </w:rPr>
      </w:pPr>
    </w:p>
    <w:p>
      <w:pPr>
        <w:ind w:left="1140" w:right="2759" w:firstLine="559"/>
        <w:spacing w:after="0" w:line="259" w:lineRule="auto"/>
        <w:tabs>
          <w:tab w:leader="none" w:pos="2086" w:val="left"/>
        </w:tabs>
        <w:numPr>
          <w:ilvl w:val="1"/>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transfer will be made pursuant to any other exemption from the registration requirements of the Securities Act, then the transferor must deliver a certificate in the form of Exhibit B hereto, including the certifications, certificates and Opinion of Counsel required by item (3) thereof, if applicable.</w:t>
      </w:r>
    </w:p>
    <w:p>
      <w:pPr>
        <w:spacing w:after="0" w:line="356" w:lineRule="exact"/>
        <w:rPr>
          <w:rFonts w:ascii="Courier New" w:cs="Courier New" w:eastAsia="Courier New" w:hAnsi="Courier New"/>
          <w:sz w:val="15"/>
          <w:szCs w:val="15"/>
          <w:color w:val="auto"/>
        </w:rPr>
      </w:pPr>
    </w:p>
    <w:p>
      <w:pPr>
        <w:ind w:left="560" w:right="2759" w:firstLine="572"/>
        <w:spacing w:after="0" w:line="260" w:lineRule="auto"/>
        <w:tabs>
          <w:tab w:leader="none" w:pos="1600"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Definitive Notes to Unrestricted Definitive Notes. Any Restricted Definitive Note may be exchanged by the Holder thereof for an Unrestricted Definitive Note or transferred to a Person or Persons who take delivery thereof in the form of an Unrestricted Definitive Note if:</w:t>
      </w:r>
    </w:p>
    <w:p>
      <w:pPr>
        <w:spacing w:after="0" w:line="173" w:lineRule="exact"/>
        <w:rPr>
          <w:rFonts w:ascii="Courier New" w:cs="Courier New" w:eastAsia="Courier New" w:hAnsi="Courier New"/>
          <w:sz w:val="15"/>
          <w:szCs w:val="15"/>
          <w:color w:val="auto"/>
        </w:rPr>
      </w:pPr>
    </w:p>
    <w:p>
      <w:pPr>
        <w:ind w:left="1140" w:right="2659" w:firstLine="559"/>
        <w:spacing w:after="0" w:line="256" w:lineRule="auto"/>
        <w:tabs>
          <w:tab w:leader="none" w:pos="2086" w:val="left"/>
        </w:tabs>
        <w:numPr>
          <w:ilvl w:val="1"/>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exchange or transfer is effected pursuant to the Registered Exchange Offer in accordance with the Registration Rights Agreement and the Holder, in the case of an exchange, or the transferee, in the case of a transfer, certifies in the applicable Letter of Transmittal that it is not (1) a Broker-Dealer, (2) a Person participating in the distribution of the Exchange Notes or</w:t>
      </w:r>
    </w:p>
    <w:p>
      <w:pPr>
        <w:spacing w:after="0" w:line="3" w:lineRule="exact"/>
        <w:rPr>
          <w:rFonts w:ascii="Courier New" w:cs="Courier New" w:eastAsia="Courier New" w:hAnsi="Courier New"/>
          <w:sz w:val="15"/>
          <w:szCs w:val="15"/>
          <w:color w:val="auto"/>
        </w:rPr>
      </w:pPr>
    </w:p>
    <w:p>
      <w:pPr>
        <w:ind w:left="1140" w:right="303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(3) a Person who is an affiliate (as defined in Rule 144) of the Company;</w:t>
      </w:r>
    </w:p>
    <w:p>
      <w:pPr>
        <w:spacing w:after="0" w:line="187" w:lineRule="exact"/>
        <w:rPr>
          <w:rFonts w:ascii="Courier New" w:cs="Courier New" w:eastAsia="Courier New" w:hAnsi="Courier New"/>
          <w:sz w:val="15"/>
          <w:szCs w:val="15"/>
          <w:color w:val="auto"/>
        </w:rPr>
      </w:pPr>
    </w:p>
    <w:p>
      <w:pPr>
        <w:ind w:left="1140" w:right="2939" w:firstLine="559"/>
        <w:spacing w:after="0" w:line="238" w:lineRule="auto"/>
        <w:tabs>
          <w:tab w:leader="none" w:pos="2086" w:val="left"/>
        </w:tabs>
        <w:numPr>
          <w:ilvl w:val="1"/>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transfer is effected pursuant to the Shelf Registration Statement in accordance with the Registration Rights Agreement;</w:t>
      </w:r>
    </w:p>
    <w:p>
      <w:pPr>
        <w:spacing w:after="0" w:line="188" w:lineRule="exact"/>
        <w:rPr>
          <w:rFonts w:ascii="Courier New" w:cs="Courier New" w:eastAsia="Courier New" w:hAnsi="Courier New"/>
          <w:sz w:val="16"/>
          <w:szCs w:val="16"/>
          <w:color w:val="auto"/>
        </w:rPr>
      </w:pPr>
    </w:p>
    <w:p>
      <w:pPr>
        <w:jc w:val="both"/>
        <w:ind w:left="1140" w:right="2759" w:firstLine="559"/>
        <w:spacing w:after="0" w:line="238" w:lineRule="auto"/>
        <w:tabs>
          <w:tab w:leader="none" w:pos="2086" w:val="left"/>
        </w:tabs>
        <w:numPr>
          <w:ilvl w:val="1"/>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transfer is effected by a Broker-Dealer pursuant to the Exchange Offer Registration Statement in accordance with the Registration Rights Agreement; or</w:t>
      </w:r>
    </w:p>
    <w:p>
      <w:pPr>
        <w:spacing w:after="0" w:line="184" w:lineRule="exact"/>
        <w:rPr>
          <w:rFonts w:ascii="Courier New" w:cs="Courier New" w:eastAsia="Courier New" w:hAnsi="Courier New"/>
          <w:sz w:val="16"/>
          <w:szCs w:val="16"/>
          <w:color w:val="auto"/>
        </w:rPr>
      </w:pPr>
    </w:p>
    <w:p>
      <w:pPr>
        <w:ind w:left="2080" w:hanging="381"/>
        <w:spacing w:after="0"/>
        <w:tabs>
          <w:tab w:leader="none" w:pos="2080" w:val="left"/>
        </w:tabs>
        <w:numPr>
          <w:ilvl w:val="1"/>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Registrar receives the following:</w:t>
      </w:r>
    </w:p>
    <w:p>
      <w:pPr>
        <w:spacing w:after="0" w:line="200" w:lineRule="exact"/>
        <w:rPr>
          <w:sz w:val="20"/>
          <w:szCs w:val="20"/>
          <w:color w:val="auto"/>
        </w:rPr>
      </w:pPr>
    </w:p>
    <w:p>
      <w:pPr>
        <w:spacing w:after="0" w:line="34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481" w:right="1440" w:bottom="1440" w:gutter="0" w:footer="0" w:header="0"/>
        </w:sectPr>
      </w:pPr>
    </w:p>
    <w:bookmarkStart w:id="274" w:name="page275"/>
    <w:bookmarkEnd w:id="274"/>
    <w:p>
      <w:pPr>
        <w:ind w:left="1700" w:right="2659" w:firstLine="567"/>
        <w:spacing w:after="0" w:line="239" w:lineRule="auto"/>
        <w:tabs>
          <w:tab w:leader="none" w:pos="2646" w:val="left"/>
        </w:tabs>
        <w:numPr>
          <w:ilvl w:val="0"/>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Holder of such Restricted Definitive Notes proposes to exchange such Notes for an Unrestricted Definitive Note, a certificate from such Holder in the form of Exhibit C hereto, including the certifications in item (1)(d) thereof; or</w:t>
      </w:r>
    </w:p>
    <w:p>
      <w:pPr>
        <w:spacing w:after="0" w:line="188" w:lineRule="exact"/>
        <w:rPr>
          <w:rFonts w:ascii="Courier New" w:cs="Courier New" w:eastAsia="Courier New" w:hAnsi="Courier New"/>
          <w:sz w:val="16"/>
          <w:szCs w:val="16"/>
          <w:color w:val="auto"/>
        </w:rPr>
      </w:pPr>
    </w:p>
    <w:p>
      <w:pPr>
        <w:ind w:left="1700" w:right="2759" w:firstLine="567"/>
        <w:spacing w:after="0" w:line="239" w:lineRule="auto"/>
        <w:tabs>
          <w:tab w:leader="none" w:pos="2646" w:val="left"/>
        </w:tabs>
        <w:numPr>
          <w:ilvl w:val="0"/>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Holder of such Restricted Definitive Notes proposes to transfer such Notes to a Person who shall take delivery thereof in the form of an Unrestricted Definitive Note, a certificate from such Holder in the form of Exhibit B hereto, including the certifications in item (4) thereof;</w:t>
      </w:r>
    </w:p>
    <w:p>
      <w:pPr>
        <w:spacing w:after="0" w:line="371" w:lineRule="exact"/>
        <w:rPr>
          <w:sz w:val="20"/>
          <w:szCs w:val="20"/>
          <w:color w:val="auto"/>
        </w:rPr>
      </w:pPr>
    </w:p>
    <w:p>
      <w:pPr>
        <w:ind w:left="1140" w:right="2939"/>
        <w:spacing w:after="0" w:line="239" w:lineRule="auto"/>
        <w:rPr>
          <w:sz w:val="20"/>
          <w:szCs w:val="20"/>
          <w:color w:val="auto"/>
        </w:rPr>
      </w:pPr>
      <w:r>
        <w:rPr>
          <w:rFonts w:ascii="Courier New" w:cs="Courier New" w:eastAsia="Courier New" w:hAnsi="Courier New"/>
          <w:sz w:val="16"/>
          <w:szCs w:val="16"/>
          <w:color w:val="auto"/>
        </w:rPr>
        <w:t>and, in each such case set forth in this subparagraph (D), if the Registrar so requests, an Opinion of Counsel in form reasonably acceptable to the Company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92" w:lineRule="exact"/>
        <w:rPr>
          <w:sz w:val="20"/>
          <w:szCs w:val="20"/>
          <w:color w:val="auto"/>
        </w:rPr>
      </w:pPr>
    </w:p>
    <w:p>
      <w:pPr>
        <w:ind w:left="560" w:right="2659" w:firstLine="572"/>
        <w:spacing w:after="0" w:line="239" w:lineRule="auto"/>
        <w:tabs>
          <w:tab w:leader="none" w:pos="1695" w:val="left"/>
        </w:tabs>
        <w:numPr>
          <w:ilvl w:val="0"/>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Unrestricted Definitive Notes to Unrestricted Definitive Notes. 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(f) Registered Exchange Offer.</w:t>
      </w:r>
    </w:p>
    <w:p>
      <w:pPr>
        <w:spacing w:after="0" w:line="186"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Upon the occurrence of the Registered Exchange Offer in accordance with the Registration Rights Agreement, the Company shall issue and, upon receipt of an Authentication Order in accordance with Section 2.02 hereof, the Trustee shall authenticate (i) one or more Unrestricted Global Notes in an aggregate principal amount equal to the principal amount of the beneficial interests in the Restricted Global Notes tendered for acceptance by Persons that certify in the applicable Letters of Transmittal or via the Depositary's book-entry system that (x) they are not Broker-Dealers, (y) they are not participating in a distribution of the Exchange Notes and (z) they are not affiliates (as defined in Rule 144) of the Company, and accepted for exchange in the Registered Exchange Offer and (ii) Definitive Notes in an aggregate principal amount equal to the principal amount of the Restricted Definitive Notes accepted for exchange in the Registered Exchange Offer. Concurrently with the issuance of such Notes, the Trustee shall cause the aggregate principal amount of the applicable Restricted Global Notes to be reduced accordingly, and the Company shall execute and the Trustee shall authenticate and make available for delivery to the Persons designated by the Holders of beneficial interests in Restricted Global Notes and Restricted Definitive Notes so accepted Definitive Notes in the appropriate principal amount.</w:t>
      </w:r>
    </w:p>
    <w:p>
      <w:pPr>
        <w:spacing w:after="0" w:line="194" w:lineRule="exact"/>
        <w:rPr>
          <w:sz w:val="20"/>
          <w:szCs w:val="20"/>
          <w:color w:val="auto"/>
        </w:rPr>
      </w:pPr>
    </w:p>
    <w:p>
      <w:pPr>
        <w:ind w:right="2839" w:firstLine="1132"/>
        <w:spacing w:after="0" w:line="262" w:lineRule="auto"/>
        <w:tabs>
          <w:tab w:leader="none" w:pos="1513"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Legends. The following legends shall appear on the face of all Global Notes and Definitive Notes issued under this Indenture unless specifically stated otherwise in the applicable provisions of this Indenture.</w:t>
      </w:r>
    </w:p>
    <w:p>
      <w:pPr>
        <w:spacing w:after="0" w:line="167" w:lineRule="exact"/>
        <w:rPr>
          <w:sz w:val="20"/>
          <w:szCs w:val="20"/>
          <w:color w:val="auto"/>
        </w:rPr>
      </w:pPr>
    </w:p>
    <w:p>
      <w:pPr>
        <w:ind w:left="1520" w:hanging="388"/>
        <w:spacing w:after="0"/>
        <w:tabs>
          <w:tab w:leader="none" w:pos="1520" w:val="left"/>
        </w:tabs>
        <w:numPr>
          <w:ilvl w:val="0"/>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Private Placement Legend.</w:t>
      </w:r>
    </w:p>
    <w:p>
      <w:pPr>
        <w:spacing w:after="0" w:line="200" w:lineRule="exact"/>
        <w:rPr>
          <w:rFonts w:ascii="Courier New" w:cs="Courier New" w:eastAsia="Courier New" w:hAnsi="Courier New"/>
          <w:sz w:val="16"/>
          <w:szCs w:val="16"/>
          <w:color w:val="auto"/>
        </w:rPr>
      </w:pPr>
    </w:p>
    <w:p>
      <w:pPr>
        <w:spacing w:after="0" w:line="346" w:lineRule="exact"/>
        <w:rPr>
          <w:rFonts w:ascii="Courier New" w:cs="Courier New" w:eastAsia="Courier New" w:hAnsi="Courier New"/>
          <w:sz w:val="16"/>
          <w:szCs w:val="16"/>
          <w:color w:val="auto"/>
        </w:rPr>
      </w:pPr>
    </w:p>
    <w:p>
      <w:pPr>
        <w:ind w:left="36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481" w:right="1440" w:bottom="1440" w:gutter="0" w:footer="0" w:header="0"/>
        </w:sectPr>
      </w:pPr>
    </w:p>
    <w:bookmarkStart w:id="275" w:name="page276"/>
    <w:bookmarkEnd w:id="275"/>
    <w:p>
      <w:pPr>
        <w:ind w:right="2659" w:firstLine="572"/>
        <w:spacing w:after="0" w:line="239" w:lineRule="auto"/>
        <w:tabs>
          <w:tab w:leader="none" w:pos="946" w:val="left"/>
        </w:tabs>
        <w:numPr>
          <w:ilvl w:val="0"/>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permitted by subparagraph (B) below, each Global Note and each Definitive Note (and all Notes issued in exchange therefor or substitution thereof) shall bear the legend in substantially the following form:</w:t>
      </w:r>
    </w:p>
    <w:p>
      <w:pPr>
        <w:spacing w:after="0" w:line="187"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"THIS SECURITY AND THE SUBSIDIARY GUARANTEES ENDORSED HEREON HAVE NOT BEEN REGISTERED UNDER THE SECURITIES ACT OF 1933, AS AMENDED (THE "SECURITIES ACT"), OR THE SECURITIES LAWS OF ANY STATE OR OTHER JURISDICTION. NEITHER THIS SECURITY, THE SUBSIDIARY GUARANTEES ENDORSED HEREON NOR ANY INTEREST OR PARTICIPATION HEREIN MAY BE REOFFERED, SOLD, ASSIGNED, TRANSFERRED, PLEDGED, ENCUMBERED OR OTHERWISE DISPOSED OF IN THE ABSENCE OF SUCH REGISTRATION OR UNLESS SUCH TRANSACTION IS EXEMPT FROM, OR NOT SUBJECT TO, SUCH REGISTRATION."</w:t>
      </w:r>
    </w:p>
    <w:p>
      <w:pPr>
        <w:spacing w:after="0" w:line="187" w:lineRule="exact"/>
        <w:rPr>
          <w:sz w:val="20"/>
          <w:szCs w:val="20"/>
          <w:color w:val="auto"/>
        </w:rPr>
      </w:pPr>
    </w:p>
    <w:p>
      <w:pPr>
        <w:jc w:val="both"/>
        <w:ind w:right="2659"/>
        <w:spacing w:after="0" w:line="256" w:lineRule="auto"/>
        <w:rPr>
          <w:sz w:val="20"/>
          <w:szCs w:val="20"/>
          <w:color w:val="auto"/>
        </w:rPr>
      </w:pPr>
      <w:r>
        <w:rPr>
          <w:rFonts w:ascii="Courier New" w:cs="Courier New" w:eastAsia="Courier New" w:hAnsi="Courier New"/>
          <w:sz w:val="15"/>
          <w:szCs w:val="15"/>
          <w:color w:val="auto"/>
        </w:rPr>
        <w:t>"THE HOLDER OF THIS SECURITY AND THE SUBSIDIARY GUARANTEES ENDORSED HEREON BY ITS ACCEPTANCE HEREOF AGREES TO OFFER, SELL OR OTHERWISE TRANSFER SUCH SECURITY, PRIOR TO THE DATE (THE "RESALE RESTRICTION TERMINATION DATE")</w:t>
      </w:r>
    </w:p>
    <w:p>
      <w:pPr>
        <w:spacing w:after="0" w:line="2"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WHICH IS TWO YEARS AFTER THE LATER OF THE ORIGINAL ISSUE DATE HEREOF AND THE LAST DATE ON WHICH THE COMPANY OR ANY AFFILIATE OF THE COMPANY WAS THE OWNER OF THIS SECURITY AND THE SUBSIDIARY GUARANTEES ENDORSED HEREON (OR ANY PREDECESSOR OF SUCH SECURITY AND THE SUBSIDIARY GUARANTEES ENDORSED HEREON), ONLY (A) TO THE COMPANY, (B) PURSUANT TO A REGISTRATION STATEMENT THAT HAS BEEN DECLARED EFFECTIVE UNDER THE SECURITIES ACT, (C) FOR SO LONG AS THE SECURITIES AND THE SUBSIDIARY GUARANTEES ENDORSED HEREON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THAT OCCUR OUTSIDE THE UNITED STATES WITHIN THE MEANING OF REGULATION S UNDER THE SECURITIES ACT, (E) TO AN "ACCREDITED INVESTOR" WITHIN THE MEANING OF RULE 501(a)(1), (2), (3) OR (7) UNDER THE SECURITIES ACT THAT IS AN INSTITUTIONAL ACCREDITED INVESTOR ACQUIRING THE SECURITY FOR ITS OWN ACCOUNT OR FOR THE ACCOUNT OF SUCH AN INSTITUTIONAL ACCREDITED INVESTOR, IN EACH CASE IN A MINIMUM PRINCIPAL AMOUNT OF THE SECURITIES OF $250,000, FOR INVESTMENT PURPOSES AND NOT WITH A VIEW TO OR FOR OFFER OR SALE IN CONNECTION WITH ANY DISTRIBUTION IN VIOLATION OF THE SECURITIES ACT OR (F) PURSUANT TO ANY OTHER AVAILABLE EXEMPTION FROM THE REGISTRATION REQUIREMENTS OF THE SECURITIES ACT, SUBJECT TO THE COMPANY'S AND THE TRUSTEE'S RIGHT PRIOR TO ANY SUCH OFFER, SALE OR TRANSFER PURSUANT TO CLAUSES (D), (E) OR (F) TO REQUIRE THE</w:t>
      </w:r>
    </w:p>
    <w:p>
      <w:pPr>
        <w:spacing w:after="0" w:line="200" w:lineRule="exact"/>
        <w:rPr>
          <w:sz w:val="20"/>
          <w:szCs w:val="20"/>
          <w:color w:val="auto"/>
        </w:rPr>
      </w:pPr>
    </w:p>
    <w:p>
      <w:pPr>
        <w:spacing w:after="0" w:line="340"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9659"/>
          </w:cols>
          <w:pgMar w:left="800" w:top="481" w:right="1440" w:bottom="1440" w:gutter="0" w:footer="0" w:header="0"/>
        </w:sectPr>
      </w:pPr>
    </w:p>
    <w:bookmarkStart w:id="276" w:name="page277"/>
    <w:bookmarkEnd w:id="276"/>
    <w:p>
      <w:pPr>
        <w:jc w:val="both"/>
        <w:ind w:right="2659"/>
        <w:spacing w:after="0" w:line="262" w:lineRule="auto"/>
        <w:rPr>
          <w:sz w:val="20"/>
          <w:szCs w:val="20"/>
          <w:color w:val="auto"/>
        </w:rPr>
      </w:pPr>
      <w:r>
        <w:rPr>
          <w:rFonts w:ascii="Courier New" w:cs="Courier New" w:eastAsia="Courier New" w:hAnsi="Courier New"/>
          <w:sz w:val="15"/>
          <w:szCs w:val="15"/>
          <w:color w:val="auto"/>
        </w:rPr>
        <w:t>DELIVERY OF AN OPINION OF COUNSEL, CERTIFICATION AND/OR OTHER INFORMATION SATISFACTORY TO EACH OF THEM. THIS LEGEND WILL BE REMOVED UPON THE REQUEST OF THE HOLDER AFTER THE RESALE RESTRICTION TERMINATION DATE."</w:t>
      </w:r>
    </w:p>
    <w:p>
      <w:pPr>
        <w:spacing w:after="0" w:line="171" w:lineRule="exact"/>
        <w:rPr>
          <w:sz w:val="20"/>
          <w:szCs w:val="20"/>
          <w:color w:val="auto"/>
        </w:rPr>
      </w:pPr>
    </w:p>
    <w:p>
      <w:pPr>
        <w:ind w:left="580" w:right="2759" w:firstLine="559"/>
        <w:spacing w:after="0" w:line="259" w:lineRule="auto"/>
        <w:tabs>
          <w:tab w:leader="none" w:pos="1526" w:val="left"/>
        </w:tabs>
        <w:numPr>
          <w:ilvl w:val="1"/>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any Global Note or Definitive Note issued pursuant to subparagraphs (b)(iv), (c)(ii), (d)(ii), (d)(iii), (e)(ii), (e)(iii) or (f) to this Section 2.06 (and all Notes issued in exchange therefor or substitution thereof) shall not bear the Private Placement Legend.</w:t>
      </w:r>
    </w:p>
    <w:p>
      <w:pPr>
        <w:spacing w:after="0" w:line="174" w:lineRule="exact"/>
        <w:rPr>
          <w:rFonts w:ascii="Courier New" w:cs="Courier New" w:eastAsia="Courier New" w:hAnsi="Courier New"/>
          <w:sz w:val="15"/>
          <w:szCs w:val="15"/>
          <w:color w:val="auto"/>
        </w:rPr>
      </w:pPr>
    </w:p>
    <w:p>
      <w:pPr>
        <w:ind w:right="3039" w:firstLine="572"/>
        <w:spacing w:after="0" w:line="237" w:lineRule="auto"/>
        <w:tabs>
          <w:tab w:leader="none" w:pos="1040" w:val="left"/>
        </w:tabs>
        <w:numPr>
          <w:ilvl w:val="0"/>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Global Note Legend. Each Global Note shall bear a legend in substantially the following form:</w:t>
      </w:r>
    </w:p>
    <w:p>
      <w:pPr>
        <w:spacing w:after="0" w:line="18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"THIS GLOBAL NOTE IS HELD BY THE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THE INDENTURE, (II) THIS GLOBAL NOTE MAY BE EXCHANGED IN WHOLE BUT NOT IN PART PURSUANT TO SECTION 2.06(a) OF THE INDENTURE, (III) THIS GLOBAL NOTE MAY BE DELIVERED TO THE TRUSTEE FOR CANCELLATION PURSUANT TO SECTION 2.11 OF THE INDENTURE AND (IV) THIS GLOBAL NOTE MAY BE TRANSFERRED TO A SUCCESSOR DEPOSITARY WITH THE PRIOR WRITTEN CONSENT OF THE COMPANY."</w:t>
      </w:r>
    </w:p>
    <w:p>
      <w:pPr>
        <w:spacing w:after="0" w:line="188"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"UNLESS AND UNTIL IT IS EXCHANGED IN WHOLE OR IN PART FOR SECURITIES IN DEFINITIVE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77" w:lineRule="exact"/>
        <w:rPr>
          <w:sz w:val="20"/>
          <w:szCs w:val="20"/>
          <w:color w:val="auto"/>
        </w:rPr>
      </w:pPr>
    </w:p>
    <w:p>
      <w:pPr>
        <w:ind w:left="960" w:hanging="388"/>
        <w:spacing w:after="0"/>
        <w:tabs>
          <w:tab w:leader="none" w:pos="960" w:val="left"/>
        </w:tabs>
        <w:numPr>
          <w:ilvl w:val="0"/>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Cancellation and/or Adjustment of Global Notes.</w:t>
      </w:r>
    </w:p>
    <w:p>
      <w:pPr>
        <w:spacing w:after="0" w:line="200" w:lineRule="exact"/>
        <w:rPr>
          <w:rFonts w:ascii="Courier New" w:cs="Courier New" w:eastAsia="Courier New" w:hAnsi="Courier New"/>
          <w:sz w:val="16"/>
          <w:szCs w:val="16"/>
          <w:color w:val="auto"/>
        </w:rPr>
      </w:pPr>
    </w:p>
    <w:p>
      <w:pPr>
        <w:spacing w:after="0" w:line="346" w:lineRule="exact"/>
        <w:rPr>
          <w:rFonts w:ascii="Courier New" w:cs="Courier New" w:eastAsia="Courier New" w:hAnsi="Courier New"/>
          <w:sz w:val="16"/>
          <w:szCs w:val="16"/>
          <w:color w:val="auto"/>
        </w:rPr>
      </w:pPr>
    </w:p>
    <w:p>
      <w:pPr>
        <w:ind w:left="3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37</w:t>
      </w:r>
    </w:p>
    <w:p>
      <w:pPr>
        <w:sectPr>
          <w:pgSz w:w="11900" w:h="16838" w:orient="portrait"/>
          <w:cols w:equalWidth="0" w:num="1">
            <w:col w:w="9659"/>
          </w:cols>
          <w:pgMar w:left="800" w:top="481" w:right="1440" w:bottom="1440" w:gutter="0" w:footer="0" w:header="0"/>
        </w:sectPr>
      </w:pPr>
    </w:p>
    <w:bookmarkStart w:id="277" w:name="page278"/>
    <w:bookmarkEnd w:id="277"/>
    <w:p>
      <w:pPr>
        <w:ind w:right="2659" w:firstLine="1135"/>
        <w:spacing w:after="0"/>
        <w:rPr>
          <w:sz w:val="20"/>
          <w:szCs w:val="20"/>
          <w:color w:val="auto"/>
        </w:rPr>
      </w:pPr>
      <w:r>
        <w:rPr>
          <w:rFonts w:ascii="Courier New" w:cs="Courier New" w:eastAsia="Courier New" w:hAnsi="Courier New"/>
          <w:sz w:val="16"/>
          <w:szCs w:val="16"/>
          <w:color w:val="auto"/>
        </w:rPr>
        <w:t>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188"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(i) General Provisions Relating to Transfers and Exchanges.</w:t>
      </w:r>
    </w:p>
    <w:p>
      <w:pPr>
        <w:spacing w:after="0" w:line="186" w:lineRule="exact"/>
        <w:rPr>
          <w:sz w:val="20"/>
          <w:szCs w:val="20"/>
          <w:color w:val="auto"/>
        </w:rPr>
      </w:pPr>
    </w:p>
    <w:p>
      <w:pPr>
        <w:ind w:left="560" w:right="2759" w:firstLine="572"/>
        <w:spacing w:after="0" w:line="262" w:lineRule="auto"/>
        <w:tabs>
          <w:tab w:leader="none" w:pos="1506"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permit registrations of transfers and exchanges, the Company shall execute and the Trustee shall authenticate Global Notes and Definitive Notes upon the Company's order or at the Registrar's request.</w:t>
      </w:r>
    </w:p>
    <w:p>
      <w:pPr>
        <w:spacing w:after="0" w:line="171" w:lineRule="exact"/>
        <w:rPr>
          <w:rFonts w:ascii="Courier New" w:cs="Courier New" w:eastAsia="Courier New" w:hAnsi="Courier New"/>
          <w:sz w:val="15"/>
          <w:szCs w:val="15"/>
          <w:color w:val="auto"/>
        </w:rPr>
      </w:pPr>
    </w:p>
    <w:p>
      <w:pPr>
        <w:ind w:left="560" w:right="2659" w:firstLine="572"/>
        <w:spacing w:after="0" w:line="258" w:lineRule="auto"/>
        <w:tabs>
          <w:tab w:leader="none" w:pos="1600"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service charge shall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2.10, 3.06, 3.09, 4.10, 4.15 and 9.05 hereof).</w:t>
      </w:r>
    </w:p>
    <w:p>
      <w:pPr>
        <w:spacing w:after="0" w:line="176" w:lineRule="exact"/>
        <w:rPr>
          <w:rFonts w:ascii="Courier New" w:cs="Courier New" w:eastAsia="Courier New" w:hAnsi="Courier New"/>
          <w:sz w:val="15"/>
          <w:szCs w:val="15"/>
          <w:color w:val="auto"/>
        </w:rPr>
      </w:pPr>
    </w:p>
    <w:p>
      <w:pPr>
        <w:ind w:left="560" w:right="2839" w:firstLine="572"/>
        <w:spacing w:after="0" w:line="238" w:lineRule="auto"/>
        <w:tabs>
          <w:tab w:leader="none" w:pos="1695"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Registrar shall not be required to register the transfer of or exchange any Note selected for redemption in whole or in part, except the unredeemed portion of any Note being redeemed in part.</w:t>
      </w:r>
    </w:p>
    <w:p>
      <w:pPr>
        <w:spacing w:after="0" w:line="188" w:lineRule="exact"/>
        <w:rPr>
          <w:rFonts w:ascii="Courier New" w:cs="Courier New" w:eastAsia="Courier New" w:hAnsi="Courier New"/>
          <w:sz w:val="16"/>
          <w:szCs w:val="16"/>
          <w:color w:val="auto"/>
        </w:rPr>
      </w:pPr>
    </w:p>
    <w:p>
      <w:pPr>
        <w:ind w:left="560" w:right="2839" w:firstLine="572"/>
        <w:spacing w:after="0" w:line="239" w:lineRule="auto"/>
        <w:tabs>
          <w:tab w:leader="none" w:pos="1600"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Global Notes and Definitive Notes issued upon any registration of transfer or exchange of Global Notes or Definitive Notes shall be the valid obligations of the Company, evidencing the same debt, and entitled to the same benefits under this Indenture, as the Global Notes or Definitive Notes surrendered upon such registration of transfer or exchange.</w:t>
      </w:r>
    </w:p>
    <w:p>
      <w:pPr>
        <w:spacing w:after="0" w:line="190" w:lineRule="exact"/>
        <w:rPr>
          <w:rFonts w:ascii="Courier New" w:cs="Courier New" w:eastAsia="Courier New" w:hAnsi="Courier New"/>
          <w:sz w:val="16"/>
          <w:szCs w:val="16"/>
          <w:color w:val="auto"/>
        </w:rPr>
      </w:pPr>
    </w:p>
    <w:p>
      <w:pPr>
        <w:ind w:left="560" w:right="2659" w:firstLine="572"/>
        <w:spacing w:after="0"/>
        <w:tabs>
          <w:tab w:leader="none" w:pos="1506"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required (A) to issue, to register the transfer of or to exchange any Notes during a period beginning at the opening of business 15 days before the day of the mailing of notice of redemption under Section 3.02 hereof and ending at the close of business on such day, (B) to register the transfer of or to exchange any Note so selected for redemption in whole or in part, except the unredeemed portion of any Note being redeemed in part or (c) to register the transfer of or to exchange a Note between a record date and the next succeeding Interest Payment Date.</w:t>
      </w:r>
    </w:p>
    <w:p>
      <w:pPr>
        <w:spacing w:after="0" w:line="187" w:lineRule="exact"/>
        <w:rPr>
          <w:rFonts w:ascii="Courier New" w:cs="Courier New" w:eastAsia="Courier New" w:hAnsi="Courier New"/>
          <w:sz w:val="16"/>
          <w:szCs w:val="16"/>
          <w:color w:val="auto"/>
        </w:rPr>
      </w:pPr>
    </w:p>
    <w:p>
      <w:pPr>
        <w:ind w:left="560" w:right="2759" w:firstLine="572"/>
        <w:spacing w:after="0" w:line="238" w:lineRule="auto"/>
        <w:tabs>
          <w:tab w:leader="none" w:pos="1600"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due presentment for the registration of a transfer of any Note, the Trustee, any Agent and the Company may deem and treat the Person in whose name any</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481" w:right="1440" w:bottom="1440" w:gutter="0" w:footer="0" w:header="0"/>
        </w:sectPr>
      </w:pPr>
    </w:p>
    <w:bookmarkStart w:id="278" w:name="page279"/>
    <w:bookmarkEnd w:id="278"/>
    <w:p>
      <w:pPr>
        <w:ind w:left="560" w:right="2659"/>
        <w:spacing w:after="0" w:line="239" w:lineRule="auto"/>
        <w:rPr>
          <w:sz w:val="20"/>
          <w:szCs w:val="20"/>
          <w:color w:val="auto"/>
        </w:rPr>
      </w:pPr>
      <w:r>
        <w:rPr>
          <w:rFonts w:ascii="Courier New" w:cs="Courier New" w:eastAsia="Courier New" w:hAnsi="Courier New"/>
          <w:sz w:val="16"/>
          <w:szCs w:val="16"/>
          <w:color w:val="auto"/>
        </w:rPr>
        <w:t>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187" w:lineRule="exact"/>
        <w:rPr>
          <w:sz w:val="20"/>
          <w:szCs w:val="20"/>
          <w:color w:val="auto"/>
        </w:rPr>
      </w:pPr>
    </w:p>
    <w:p>
      <w:pPr>
        <w:ind w:left="560" w:right="3039" w:firstLine="572"/>
        <w:spacing w:after="0" w:line="267" w:lineRule="auto"/>
        <w:tabs>
          <w:tab w:leader="none" w:pos="1695"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authenticate Global Notes and Definitive Notes in accordance with the provisions of Section 2.02 hereof.</w:t>
      </w:r>
    </w:p>
    <w:p>
      <w:pPr>
        <w:spacing w:after="0" w:line="167" w:lineRule="exact"/>
        <w:rPr>
          <w:rFonts w:ascii="Courier New" w:cs="Courier New" w:eastAsia="Courier New" w:hAnsi="Courier New"/>
          <w:sz w:val="15"/>
          <w:szCs w:val="15"/>
          <w:color w:val="auto"/>
        </w:rPr>
      </w:pPr>
    </w:p>
    <w:p>
      <w:pPr>
        <w:ind w:left="560" w:right="2659" w:firstLine="572"/>
        <w:spacing w:after="0" w:line="239" w:lineRule="auto"/>
        <w:tabs>
          <w:tab w:leader="none" w:pos="1790" w:val="left"/>
        </w:tabs>
        <w:numPr>
          <w:ilvl w:val="0"/>
          <w:numId w:val="3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certifications, certificates and Opinions of Counsel required to be submitted to the Registrar pursuant to this Section 2.06 to effect a registration of transfer or exchange may be submitted by facsimile.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2.07 Replacement Notes.</w:t>
      </w:r>
    </w:p>
    <w:p>
      <w:pPr>
        <w:spacing w:after="0" w:line="186" w:lineRule="exact"/>
        <w:rPr>
          <w:sz w:val="20"/>
          <w:szCs w:val="20"/>
          <w:color w:val="auto"/>
        </w:rPr>
      </w:pPr>
    </w:p>
    <w:p>
      <w:pPr>
        <w:ind w:right="2759" w:firstLine="1135"/>
        <w:spacing w:after="0" w:line="258" w:lineRule="auto"/>
        <w:rPr>
          <w:sz w:val="20"/>
          <w:szCs w:val="20"/>
          <w:color w:val="auto"/>
        </w:rPr>
      </w:pPr>
      <w:r>
        <w:rPr>
          <w:rFonts w:ascii="Courier New" w:cs="Courier New" w:eastAsia="Courier New" w:hAnsi="Courier New"/>
          <w:sz w:val="15"/>
          <w:szCs w:val="15"/>
          <w:color w:val="auto"/>
        </w:rPr>
        <w:t>If any mutilated Note is surrendered to the Trustee or the Company and the Trustee receives evidence to its satisfaction of the destruction, loss or theft of any Note, the Company shall issue and the Trustee, upon receipt of an Authentication Order, shall authenticate a replacement Note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Note is replaced. The Company may charge for its expenses in replacing a Note.</w:t>
      </w:r>
    </w:p>
    <w:p>
      <w:pPr>
        <w:spacing w:after="0" w:line="175" w:lineRule="exact"/>
        <w:rPr>
          <w:sz w:val="20"/>
          <w:szCs w:val="20"/>
          <w:color w:val="auto"/>
        </w:rPr>
      </w:pPr>
    </w:p>
    <w:p>
      <w:pPr>
        <w:ind w:right="2939" w:firstLine="1135"/>
        <w:spacing w:after="0" w:line="238" w:lineRule="auto"/>
        <w:rPr>
          <w:sz w:val="20"/>
          <w:szCs w:val="20"/>
          <w:color w:val="auto"/>
        </w:rPr>
      </w:pPr>
      <w:r>
        <w:rPr>
          <w:rFonts w:ascii="Courier New" w:cs="Courier New" w:eastAsia="Courier New" w:hAnsi="Courier New"/>
          <w:sz w:val="16"/>
          <w:szCs w:val="16"/>
          <w:color w:val="auto"/>
        </w:rPr>
        <w:t>Every replacement Note is an additional obligation of the Company and shall be entitled to all of the benefits of this Indenture equally and proportionately with all other Notes duly issued hereunder.</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2.08 Outstanding Notes.</w:t>
      </w:r>
    </w:p>
    <w:p>
      <w:pPr>
        <w:spacing w:after="0" w:line="186"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as not outstanding. Except as set forth in Section 2.09 hereof, a Note does not cease to be outstanding because the Company or an Affiliate of the Company holds the Note; however, Notes held by the Company or a Subsidiary of the Company shall not be deemed to be outstanding for purposes of Section 3.07(b) hereof.</w:t>
      </w:r>
    </w:p>
    <w:p>
      <w:pPr>
        <w:spacing w:after="0" w:line="188" w:lineRule="exact"/>
        <w:rPr>
          <w:sz w:val="20"/>
          <w:szCs w:val="20"/>
          <w:color w:val="auto"/>
        </w:rPr>
      </w:pPr>
    </w:p>
    <w:p>
      <w:pPr>
        <w:ind w:right="2759" w:firstLine="1135"/>
        <w:spacing w:after="0" w:line="238" w:lineRule="auto"/>
        <w:rPr>
          <w:sz w:val="20"/>
          <w:szCs w:val="20"/>
          <w:color w:val="auto"/>
        </w:rPr>
      </w:pPr>
      <w:r>
        <w:rPr>
          <w:rFonts w:ascii="Courier New" w:cs="Courier New" w:eastAsia="Courier New" w:hAnsi="Courier New"/>
          <w:sz w:val="16"/>
          <w:szCs w:val="16"/>
          <w:color w:val="auto"/>
        </w:rPr>
        <w:t>If a Note is replaced pursuant to Section 2.07 hereof, it ceases to be outstanding unless the Trustee receives proof satisfactory to it that the replaced Note is held by a bona fide purchaser or protected purchaser.</w:t>
      </w:r>
    </w:p>
    <w:p>
      <w:pPr>
        <w:spacing w:after="0" w:line="188" w:lineRule="exact"/>
        <w:rPr>
          <w:sz w:val="20"/>
          <w:szCs w:val="20"/>
          <w:color w:val="auto"/>
        </w:rPr>
      </w:pPr>
    </w:p>
    <w:p>
      <w:pPr>
        <w:ind w:right="2659" w:firstLine="1135"/>
        <w:spacing w:after="0" w:line="267" w:lineRule="auto"/>
        <w:rPr>
          <w:sz w:val="20"/>
          <w:szCs w:val="20"/>
          <w:color w:val="auto"/>
        </w:rPr>
      </w:pPr>
      <w:r>
        <w:rPr>
          <w:rFonts w:ascii="Courier New" w:cs="Courier New" w:eastAsia="Courier New" w:hAnsi="Courier New"/>
          <w:sz w:val="15"/>
          <w:szCs w:val="15"/>
          <w:color w:val="auto"/>
        </w:rPr>
        <w:t>If the principal amount of any Note is considered paid under Section 4.01 hereof, it ceases to be outstanding and interest on it ceases to accrue.</w:t>
      </w:r>
    </w:p>
    <w:p>
      <w:pPr>
        <w:spacing w:after="0" w:line="168" w:lineRule="exact"/>
        <w:rPr>
          <w:sz w:val="20"/>
          <w:szCs w:val="20"/>
          <w:color w:val="auto"/>
        </w:rPr>
      </w:pPr>
    </w:p>
    <w:p>
      <w:pPr>
        <w:ind w:right="2839" w:firstLine="1135"/>
        <w:spacing w:after="0" w:line="239" w:lineRule="auto"/>
        <w:rPr>
          <w:sz w:val="20"/>
          <w:szCs w:val="20"/>
          <w:color w:val="auto"/>
        </w:rPr>
      </w:pPr>
      <w:r>
        <w:rPr>
          <w:rFonts w:ascii="Courier New" w:cs="Courier New" w:eastAsia="Courier New" w:hAnsi="Courier New"/>
          <w:sz w:val="16"/>
          <w:szCs w:val="16"/>
          <w:color w:val="auto"/>
        </w:rPr>
        <w:t>If the Paying Agent (other than the Company, a Subsidiary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200" w:lineRule="exact"/>
        <w:rPr>
          <w:sz w:val="20"/>
          <w:szCs w:val="20"/>
          <w:color w:val="auto"/>
        </w:rPr>
      </w:pPr>
    </w:p>
    <w:p>
      <w:pPr>
        <w:spacing w:after="0" w:line="34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481" w:right="1440" w:bottom="1440" w:gutter="0" w:footer="0" w:header="0"/>
        </w:sectPr>
      </w:pPr>
    </w:p>
    <w:bookmarkStart w:id="279" w:name="page280"/>
    <w:bookmarkEnd w:id="279"/>
    <w:p>
      <w:pPr>
        <w:spacing w:after="0"/>
        <w:rPr>
          <w:sz w:val="20"/>
          <w:szCs w:val="20"/>
          <w:color w:val="auto"/>
        </w:rPr>
      </w:pPr>
      <w:r>
        <w:rPr>
          <w:rFonts w:ascii="Courier New" w:cs="Courier New" w:eastAsia="Courier New" w:hAnsi="Courier New"/>
          <w:sz w:val="16"/>
          <w:szCs w:val="16"/>
          <w:color w:val="auto"/>
        </w:rPr>
        <w:t>SECTION 2.09 Treasury Notes.</w:t>
      </w:r>
    </w:p>
    <w:p>
      <w:pPr>
        <w:spacing w:after="0" w:line="186" w:lineRule="exact"/>
        <w:rPr>
          <w:sz w:val="20"/>
          <w:szCs w:val="20"/>
          <w:color w:val="auto"/>
        </w:rPr>
      </w:pPr>
    </w:p>
    <w:p>
      <w:pPr>
        <w:ind w:right="2759" w:firstLine="1135"/>
        <w:spacing w:after="0" w:line="258" w:lineRule="auto"/>
        <w:rPr>
          <w:sz w:val="20"/>
          <w:szCs w:val="20"/>
          <w:color w:val="auto"/>
        </w:rPr>
      </w:pPr>
      <w:r>
        <w:rPr>
          <w:rFonts w:ascii="Courier New" w:cs="Courier New" w:eastAsia="Courier New" w:hAnsi="Courier New"/>
          <w:sz w:val="15"/>
          <w:szCs w:val="15"/>
          <w:color w:val="auto"/>
        </w:rPr>
        <w:t>In determining whether the Holders of the required principal amount of Notes have concurred in any direction, waiver or consent, Notes owned by the Company, or by any Affiliate of the Company, shall be considered as though not outstanding, except that for the purposes of determining whether the Trustee shall be protected in relying on any such direction, waiver or consent, only Notes that the Trustee knows are so owned shall be so disregarded.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2.10 Temporary Notes.</w:t>
      </w:r>
    </w:p>
    <w:p>
      <w:pPr>
        <w:spacing w:after="0" w:line="186" w:lineRule="exact"/>
        <w:rPr>
          <w:sz w:val="20"/>
          <w:szCs w:val="20"/>
          <w:color w:val="auto"/>
        </w:rPr>
      </w:pPr>
    </w:p>
    <w:p>
      <w:pPr>
        <w:ind w:right="2759" w:firstLine="1135"/>
        <w:spacing w:after="0" w:line="258" w:lineRule="auto"/>
        <w:rPr>
          <w:sz w:val="20"/>
          <w:szCs w:val="20"/>
          <w:color w:val="auto"/>
        </w:rPr>
      </w:pPr>
      <w:r>
        <w:rPr>
          <w:rFonts w:ascii="Courier New" w:cs="Courier New" w:eastAsia="Courier New" w:hAnsi="Courier New"/>
          <w:sz w:val="15"/>
          <w:szCs w:val="15"/>
          <w:color w:val="auto"/>
        </w:rPr>
        <w:t>Until certificates representing Notes are ready for delivery, the Company may prepare and the Trustee, upon receipt of an Authentication Order, shall authenticate temporary Notes. Temporary Notes shall be substantially in the form of certificated Notes but may have variations that the Company considers appropriate for temporary Notes and as shall be reasonably acceptable to the Trustee. Without unreasonable delay, the Company shall prepare and the Trustee shall, as soon as practicable upon its receipt of an Authentication Order, authenticate Definitive Notes in exchange for temporary Notes.</w:t>
      </w:r>
    </w:p>
    <w:p>
      <w:pPr>
        <w:spacing w:after="0" w:line="176" w:lineRule="exact"/>
        <w:rPr>
          <w:sz w:val="20"/>
          <w:szCs w:val="20"/>
          <w:color w:val="auto"/>
        </w:rPr>
      </w:pPr>
    </w:p>
    <w:p>
      <w:pPr>
        <w:ind w:right="2759" w:firstLine="1135"/>
        <w:spacing w:after="0" w:line="237" w:lineRule="auto"/>
        <w:rPr>
          <w:sz w:val="20"/>
          <w:szCs w:val="20"/>
          <w:color w:val="auto"/>
        </w:rPr>
      </w:pPr>
      <w:r>
        <w:rPr>
          <w:rFonts w:ascii="Courier New" w:cs="Courier New" w:eastAsia="Courier New" w:hAnsi="Courier New"/>
          <w:sz w:val="16"/>
          <w:szCs w:val="16"/>
          <w:color w:val="auto"/>
        </w:rPr>
        <w:t>Holders of temporary Notes shall be entitled to all of the benefits of this Indenture.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2.11 Cancellation.</w:t>
      </w:r>
    </w:p>
    <w:p>
      <w:pPr>
        <w:spacing w:after="0" w:line="186" w:lineRule="exact"/>
        <w:rPr>
          <w:sz w:val="20"/>
          <w:szCs w:val="20"/>
          <w:color w:val="auto"/>
        </w:rPr>
      </w:pPr>
    </w:p>
    <w:p>
      <w:pPr>
        <w:ind w:right="2659" w:firstLine="1135"/>
        <w:spacing w:after="0" w:line="258" w:lineRule="auto"/>
        <w:rPr>
          <w:sz w:val="20"/>
          <w:szCs w:val="20"/>
          <w:color w:val="auto"/>
        </w:rPr>
      </w:pPr>
      <w:r>
        <w:rPr>
          <w:rFonts w:ascii="Courier New" w:cs="Courier New" w:eastAsia="Courier New" w:hAnsi="Courier New"/>
          <w:sz w:val="15"/>
          <w:szCs w:val="15"/>
          <w:color w:val="auto"/>
        </w:rPr>
        <w:t>The Company at any time may deliver Notes to the Trustee for cancellation. The Registrar and Paying Agent shall forward to the Trustee any Notes surrendered to them for registration of transfer, exchange or payment. The Trustee and no one else shall cancel all Notes surrendered for registration of transfer, exchange, payment, replacement or cancellation and shall destroy canceled Notes (subject to the record retention requirements of the Exchange Act). Certification of the destruction of all canceled Notes shall be delivered to the Company. The Company may not issue new Notes to replace Notes that it has paid or that have been delivered to the Trustee for cancellation.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2.12 Defaulted Interest.</w:t>
      </w:r>
    </w:p>
    <w:p>
      <w:pPr>
        <w:spacing w:after="0" w:line="186"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If the Company defaults in a payment of interest on the Notes, it shall pay the defaulted interest in any lawful manner plus, to the extent lawful, interest payable on the defaulted interest, to the Persons who are Holders on a subsequent special record date, in each case at the rate provided in the Notes and in Section 4.01 hereof. The Company shall notify the Trustee in writing of the amount of defaulted interest proposed to be paid on each Note and the date of the proposed payment. The Company shall fix or cause to be fixed each such special record date and payment date, provided that no such special record date shall be less than 10 days prior to the related payment date for such defaulted interest. At least 15 days before the special record date, the Company (or, upon the written request of the Company, the Trustee in the name and at the expense of the Company) shall mail or cause to be mailed to Holders a notice that states the special record date, the related payment date and the amount of such interest to be paid.</w:t>
      </w:r>
    </w:p>
    <w:p>
      <w:pPr>
        <w:spacing w:after="0" w:line="200" w:lineRule="exact"/>
        <w:rPr>
          <w:sz w:val="20"/>
          <w:szCs w:val="20"/>
          <w:color w:val="auto"/>
        </w:rPr>
      </w:pPr>
    </w:p>
    <w:p>
      <w:pPr>
        <w:spacing w:after="0" w:line="35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477" w:right="1440" w:bottom="1440" w:gutter="0" w:footer="0" w:header="0"/>
        </w:sectPr>
      </w:pPr>
    </w:p>
    <w:bookmarkStart w:id="280" w:name="page281"/>
    <w:bookmarkEnd w:id="280"/>
    <w:p>
      <w:pPr>
        <w:spacing w:after="0"/>
        <w:rPr>
          <w:sz w:val="20"/>
          <w:szCs w:val="20"/>
          <w:color w:val="auto"/>
        </w:rPr>
      </w:pPr>
      <w:r>
        <w:rPr>
          <w:rFonts w:ascii="Courier New" w:cs="Courier New" w:eastAsia="Courier New" w:hAnsi="Courier New"/>
          <w:sz w:val="16"/>
          <w:szCs w:val="16"/>
          <w:color w:val="auto"/>
        </w:rPr>
        <w:t>SECTION 2.13 CUSIP Numbers.</w:t>
      </w:r>
    </w:p>
    <w:p>
      <w:pPr>
        <w:spacing w:after="0" w:line="368"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The Company in issuing the Notes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the omission of such numbers. The Company will promptly notify the Trustee of any change in the CUSIP numbers.</w:t>
      </w:r>
    </w:p>
    <w:p>
      <w:pPr>
        <w:spacing w:after="0" w:line="18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3.</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REDEMPTION AND PREPAYMENT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3.01 Notices to Trustee.</w:t>
      </w:r>
    </w:p>
    <w:p>
      <w:pPr>
        <w:spacing w:after="0" w:line="186"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If the Company elects to redeem Notes pursuant to the optional redemption provisions of Section 3.07 hereof, it shall furnish to the Trustee, at least 30 days but not more than 60 days before a redemption date, an Officers' Certificate setting forth (i) the clause of this Indenture pursuant to which the redemption shall occur, (ii) the redemption date, (iii) the principal amount of Notes to be redeemed, (iv) the redemption price and (v) the CUSIP numbers of the Notes to be redeemed.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3.02 Selection of Notes to be Redeemed.</w:t>
      </w:r>
    </w:p>
    <w:p>
      <w:pPr>
        <w:spacing w:after="0" w:line="186"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If less than all of the Notes are to be redeemed or purchased in an offer to purchase at any time, the Trustee shall select the Notes to be redeemed or purchased among the Holders of the Notes in compliance with the requirements of the principal national securities exchange, if any, on which the Notes are listed or, if the Notes are not so listed, on a pro rata basis, by lot or in accordance with any other method the Trustee considers fair and appropriate. In the event of partial redemption by lot, the particular Notes to be redeemed shall be selected, unless otherwise provided herein, not less than 30 nor more than 60 days prior to the redemption date by the Trustee from the outstanding Notes not previously called for redemption.</w:t>
      </w:r>
    </w:p>
    <w:p>
      <w:pPr>
        <w:spacing w:after="0" w:line="188" w:lineRule="exact"/>
        <w:rPr>
          <w:sz w:val="20"/>
          <w:szCs w:val="20"/>
          <w:color w:val="auto"/>
        </w:rPr>
      </w:pPr>
    </w:p>
    <w:p>
      <w:pPr>
        <w:ind w:right="2759" w:firstLine="1135"/>
        <w:spacing w:after="0"/>
        <w:rPr>
          <w:sz w:val="20"/>
          <w:szCs w:val="20"/>
          <w:color w:val="auto"/>
        </w:rPr>
      </w:pPr>
      <w:r>
        <w:rPr>
          <w:rFonts w:ascii="Courier New" w:cs="Courier New" w:eastAsia="Courier New" w:hAnsi="Courier New"/>
          <w:sz w:val="16"/>
          <w:szCs w:val="16"/>
          <w:color w:val="auto"/>
        </w:rPr>
        <w:t>The Trustee shall promptly notify the Company in writing of the Notes selected for redemption and, in the case of any Note selected for partial redemption, the principal amount thereof to be redeemed. Notes and portions of Notes selected shall be in amounts of $1,000 or whole multiples of $1,000; except that if all of the Notes of a Holder are to be redeemed, the entire outstanding amount of Notes held by such Holder, even if not a multiple of $1,000, shall be redeemed. Except as provided in the preceding sentence, provisions of this Indenture that apply to Notes called for redemption also apply to portions of Notes called for redemption.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3.03 Notice of Redemption.</w:t>
      </w:r>
    </w:p>
    <w:p>
      <w:pPr>
        <w:spacing w:after="0" w:line="186" w:lineRule="exact"/>
        <w:rPr>
          <w:sz w:val="20"/>
          <w:szCs w:val="20"/>
          <w:color w:val="auto"/>
        </w:rPr>
      </w:pPr>
    </w:p>
    <w:p>
      <w:pPr>
        <w:ind w:right="2839" w:firstLine="1135"/>
        <w:spacing w:after="0" w:line="239" w:lineRule="auto"/>
        <w:rPr>
          <w:sz w:val="20"/>
          <w:szCs w:val="20"/>
          <w:color w:val="auto"/>
        </w:rPr>
      </w:pPr>
      <w:r>
        <w:rPr>
          <w:rFonts w:ascii="Courier New" w:cs="Courier New" w:eastAsia="Courier New" w:hAnsi="Courier New"/>
          <w:sz w:val="16"/>
          <w:szCs w:val="16"/>
          <w:color w:val="auto"/>
        </w:rPr>
        <w:t>Subject to the provisions of Section 3.09 hereof, at least 30 days but not more than 60 days before a redemption date, the Company shall mail or cause to be mailed, by first class mail, a notice of redemption to each Holder whose Notes are to be redeemed at its registered address.</w:t>
      </w:r>
    </w:p>
    <w:p>
      <w:pPr>
        <w:spacing w:after="0" w:line="200" w:lineRule="exact"/>
        <w:rPr>
          <w:sz w:val="20"/>
          <w:szCs w:val="20"/>
          <w:color w:val="auto"/>
        </w:rPr>
      </w:pPr>
    </w:p>
    <w:p>
      <w:pPr>
        <w:spacing w:after="0" w:line="34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477" w:right="1440" w:bottom="1440" w:gutter="0" w:footer="0" w:header="0"/>
        </w:sectPr>
      </w:pPr>
    </w:p>
    <w:bookmarkStart w:id="281" w:name="page282"/>
    <w:bookmarkEnd w:id="281"/>
    <w:p>
      <w:pPr>
        <w:ind w:left="1140"/>
        <w:spacing w:after="0"/>
        <w:rPr>
          <w:sz w:val="20"/>
          <w:szCs w:val="20"/>
          <w:color w:val="auto"/>
        </w:rPr>
      </w:pPr>
      <w:r>
        <w:rPr>
          <w:rFonts w:ascii="Courier New" w:cs="Courier New" w:eastAsia="Courier New" w:hAnsi="Courier New"/>
          <w:sz w:val="15"/>
          <w:szCs w:val="15"/>
          <w:color w:val="auto"/>
        </w:rPr>
        <w:t>The notice shall identify the Notes to be redeemed and shall state:</w:t>
      </w:r>
    </w:p>
    <w:p>
      <w:pPr>
        <w:spacing w:after="0" w:line="190" w:lineRule="exact"/>
        <w:rPr>
          <w:sz w:val="20"/>
          <w:szCs w:val="20"/>
          <w:color w:val="auto"/>
        </w:rPr>
      </w:pPr>
    </w:p>
    <w:p>
      <w:pPr>
        <w:ind w:left="1520" w:hanging="388"/>
        <w:spacing w:after="0"/>
        <w:tabs>
          <w:tab w:leader="none" w:pos="1520"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date;</w:t>
      </w:r>
    </w:p>
    <w:p>
      <w:pPr>
        <w:spacing w:after="0" w:line="182" w:lineRule="exact"/>
        <w:rPr>
          <w:rFonts w:ascii="Courier New" w:cs="Courier New" w:eastAsia="Courier New" w:hAnsi="Courier New"/>
          <w:sz w:val="16"/>
          <w:szCs w:val="16"/>
          <w:color w:val="auto"/>
        </w:rPr>
      </w:pPr>
    </w:p>
    <w:p>
      <w:pPr>
        <w:ind w:left="1520" w:hanging="388"/>
        <w:spacing w:after="0"/>
        <w:tabs>
          <w:tab w:leader="none" w:pos="1520"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price;</w:t>
      </w:r>
    </w:p>
    <w:p>
      <w:pPr>
        <w:spacing w:after="0" w:line="186" w:lineRule="exact"/>
        <w:rPr>
          <w:rFonts w:ascii="Courier New" w:cs="Courier New" w:eastAsia="Courier New" w:hAnsi="Courier New"/>
          <w:sz w:val="16"/>
          <w:szCs w:val="16"/>
          <w:color w:val="auto"/>
        </w:rPr>
      </w:pPr>
    </w:p>
    <w:p>
      <w:pPr>
        <w:ind w:right="2659" w:firstLine="1132"/>
        <w:spacing w:after="0" w:line="260" w:lineRule="auto"/>
        <w:tabs>
          <w:tab w:leader="none" w:pos="1513"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Note is being redeemed in part, the portion of the principal amount of such Note to be redeemed and that, after the redemption date upon surrender of such Note, a new Note or Notes in principal amount equal to the unredeemed portion shall be issued upon cancellation of the original Note;</w:t>
      </w:r>
    </w:p>
    <w:p>
      <w:pPr>
        <w:spacing w:after="0" w:line="169" w:lineRule="exact"/>
        <w:rPr>
          <w:rFonts w:ascii="Courier New" w:cs="Courier New" w:eastAsia="Courier New" w:hAnsi="Courier New"/>
          <w:sz w:val="15"/>
          <w:szCs w:val="15"/>
          <w:color w:val="auto"/>
        </w:rPr>
      </w:pPr>
    </w:p>
    <w:p>
      <w:pPr>
        <w:ind w:left="1520" w:hanging="388"/>
        <w:spacing w:after="0"/>
        <w:tabs>
          <w:tab w:leader="none" w:pos="1520"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address of the Paying Agent;</w:t>
      </w:r>
    </w:p>
    <w:p>
      <w:pPr>
        <w:spacing w:after="0" w:line="186" w:lineRule="exact"/>
        <w:rPr>
          <w:rFonts w:ascii="Courier New" w:cs="Courier New" w:eastAsia="Courier New" w:hAnsi="Courier New"/>
          <w:sz w:val="16"/>
          <w:szCs w:val="16"/>
          <w:color w:val="auto"/>
        </w:rPr>
      </w:pPr>
    </w:p>
    <w:p>
      <w:pPr>
        <w:ind w:right="3119" w:firstLine="1132"/>
        <w:spacing w:after="0" w:line="237" w:lineRule="auto"/>
        <w:tabs>
          <w:tab w:leader="none" w:pos="1513"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Notes called for redemption must be surrendered to the Paying Agent to collect the redemption price;</w:t>
      </w:r>
    </w:p>
    <w:p>
      <w:pPr>
        <w:spacing w:after="0" w:line="187" w:lineRule="exact"/>
        <w:rPr>
          <w:rFonts w:ascii="Courier New" w:cs="Courier New" w:eastAsia="Courier New" w:hAnsi="Courier New"/>
          <w:sz w:val="16"/>
          <w:szCs w:val="16"/>
          <w:color w:val="auto"/>
        </w:rPr>
      </w:pPr>
    </w:p>
    <w:p>
      <w:pPr>
        <w:ind w:right="2839" w:firstLine="1132"/>
        <w:spacing w:after="0" w:line="238" w:lineRule="auto"/>
        <w:tabs>
          <w:tab w:leader="none" w:pos="1513"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unless the Company defaults in making such redemption payment, interest on Notes called for redemption ceases to accrue on and after the redemption date;</w:t>
      </w:r>
    </w:p>
    <w:p>
      <w:pPr>
        <w:spacing w:after="0" w:line="188" w:lineRule="exact"/>
        <w:rPr>
          <w:rFonts w:ascii="Courier New" w:cs="Courier New" w:eastAsia="Courier New" w:hAnsi="Courier New"/>
          <w:sz w:val="16"/>
          <w:szCs w:val="16"/>
          <w:color w:val="auto"/>
        </w:rPr>
      </w:pPr>
    </w:p>
    <w:p>
      <w:pPr>
        <w:ind w:right="3119" w:firstLine="1132"/>
        <w:spacing w:after="0" w:line="267" w:lineRule="auto"/>
        <w:tabs>
          <w:tab w:leader="none" w:pos="1513"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paragraph of the Notes and/or Section of this Indenture pursuant to which the Notes called for redemption are being redeemed; and</w:t>
      </w:r>
    </w:p>
    <w:p>
      <w:pPr>
        <w:spacing w:after="0" w:line="167" w:lineRule="exact"/>
        <w:rPr>
          <w:rFonts w:ascii="Courier New" w:cs="Courier New" w:eastAsia="Courier New" w:hAnsi="Courier New"/>
          <w:sz w:val="15"/>
          <w:szCs w:val="15"/>
          <w:color w:val="auto"/>
        </w:rPr>
      </w:pPr>
    </w:p>
    <w:p>
      <w:pPr>
        <w:ind w:right="2659" w:firstLine="1132"/>
        <w:spacing w:after="0" w:line="267" w:lineRule="auto"/>
        <w:tabs>
          <w:tab w:leader="none" w:pos="1513"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no representation is made as to the correctness or accuracy of the CUSIP number, if any, listed in such notice or printed on the Notes.</w:t>
      </w:r>
    </w:p>
    <w:p>
      <w:pPr>
        <w:spacing w:after="0" w:line="168"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At the Company's request, the Trustee shall give the notice of redemption in the Company's name and at its expense; provided, however, that the Company shall have delivered to the Trustee, at least 45 days prior to the redemption date, an Officers' Certificate requesting that the Trustee give such notice and setting forth the information to be stated in such notice as provided in the preceding paragraph.</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3.04 Effect of Notice of Redemption.</w:t>
      </w:r>
    </w:p>
    <w:p>
      <w:pPr>
        <w:spacing w:after="0" w:line="186"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Once notice of redemption is mailed in accordance with Section 3.03 hereof, Notes called for redemption become irrevocably due and payable on the redemption date at the redemption price. A notice of redemption may not be conditional.</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3.05 Deposit of Redemption Price.</w:t>
      </w:r>
    </w:p>
    <w:p>
      <w:pPr>
        <w:spacing w:after="0" w:line="186"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One Business Day prior to the redemption date, the Company shall deposit with the Trustee or with the Paying Agent money sufficient to pay the redemption price of and accrued interest on all Notes to be redeemed on that date. The Trustee or the Paying Agent shall promptly return to the Company any money deposited with the Trustee or the Paying Agent by the Company in excess of the amounts necessary to pay the redemption price of, and accrued interest on, all Notes to be redeemed.</w:t>
      </w:r>
    </w:p>
    <w:p>
      <w:pPr>
        <w:spacing w:after="0" w:line="192" w:lineRule="exact"/>
        <w:rPr>
          <w:sz w:val="20"/>
          <w:szCs w:val="20"/>
          <w:color w:val="auto"/>
        </w:rPr>
      </w:pPr>
    </w:p>
    <w:p>
      <w:pPr>
        <w:ind w:right="2839" w:firstLine="1135"/>
        <w:spacing w:after="0" w:line="238" w:lineRule="auto"/>
        <w:rPr>
          <w:sz w:val="20"/>
          <w:szCs w:val="20"/>
          <w:color w:val="auto"/>
        </w:rPr>
      </w:pPr>
      <w:r>
        <w:rPr>
          <w:rFonts w:ascii="Courier New" w:cs="Courier New" w:eastAsia="Courier New" w:hAnsi="Courier New"/>
          <w:sz w:val="16"/>
          <w:szCs w:val="16"/>
          <w:color w:val="auto"/>
        </w:rPr>
        <w:t>If the Company complies with the provisions of the preceding paragraph, on and after the redemption date, interest shall cease to accrue on the Notes or the portions of Notes</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481" w:right="1440" w:bottom="1440" w:gutter="0" w:footer="0" w:header="0"/>
        </w:sectPr>
      </w:pPr>
    </w:p>
    <w:bookmarkStart w:id="282" w:name="page283"/>
    <w:bookmarkEnd w:id="282"/>
    <w:p>
      <w:pPr>
        <w:ind w:right="2659"/>
        <w:spacing w:after="0"/>
        <w:rPr>
          <w:sz w:val="20"/>
          <w:szCs w:val="20"/>
          <w:color w:val="auto"/>
        </w:rPr>
      </w:pPr>
      <w:r>
        <w:rPr>
          <w:rFonts w:ascii="Courier New" w:cs="Courier New" w:eastAsia="Courier New" w:hAnsi="Courier New"/>
          <w:sz w:val="16"/>
          <w:szCs w:val="16"/>
          <w:color w:val="auto"/>
        </w:rPr>
        <w:t>called for redemption. If a Note is redeemed on or after an interest record date but on or prior to the related interest payment date, then any accrued and unpaid interest shall be paid to the Person in whose name such Note was registered at the close of business on such record date. If any Note called for redemption shall not be so paid upon surrender for redemption because of the failure of the Company to comply with the preceding paragraph, interest shall be paid on the unpaid principal, from the redemption date until such principal is paid, and to the extent lawful on any interest not paid on such unpaid principal, in each case at the rate provided in the Notes and in Section 4.01 hereof.</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3.06 Notes Redeemed in Part.</w:t>
      </w:r>
    </w:p>
    <w:p>
      <w:pPr>
        <w:spacing w:after="0" w:line="186"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Upon surrender of a Note that is redeemed in part, the Company shall issue and, upon receipt of the Company's written request, the Trustee shall, as soon as practicable, authenticate for the Holder at the expense of the Company a new Note equal in principal amount to the unredeemed portion of the Note surrendered.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3.07 Optional Redemption.</w:t>
      </w:r>
    </w:p>
    <w:p>
      <w:pPr>
        <w:spacing w:after="0" w:line="186" w:lineRule="exact"/>
        <w:rPr>
          <w:sz w:val="20"/>
          <w:szCs w:val="20"/>
          <w:color w:val="auto"/>
        </w:rPr>
      </w:pPr>
    </w:p>
    <w:p>
      <w:pPr>
        <w:ind w:right="2659" w:firstLine="1132"/>
        <w:spacing w:after="0"/>
        <w:tabs>
          <w:tab w:leader="none" w:pos="1513" w:val="left"/>
        </w:tabs>
        <w:numPr>
          <w:ilvl w:val="0"/>
          <w:numId w:val="3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subparagraphs (b) and (c) of this Section 3.07, the Notes will not be redeemable at the Company's option prior to November 15, 2008. Thereafter, the Notes will be subject to redemption at any time at the option of the Company, in whole or in part, upon not less than 30 nor more than 60 days' notice, at the redemption prices (expressed as percentages of principal amount) set forth below plus accrued and unpaid interest and Registration Default Damages thereon, if any, to the applicable redemption date, if redeemed during the twelve-month period beginning on November 15 of the years indicated below:</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3320" w:type="dxa"/>
            <w:vAlign w:val="bottom"/>
          </w:tcPr>
          <w:p>
            <w:pPr>
              <w:spacing w:after="0"/>
              <w:rPr>
                <w:sz w:val="15"/>
                <w:szCs w:val="15"/>
                <w:color w:val="auto"/>
              </w:rPr>
            </w:pPr>
          </w:p>
        </w:tc>
        <w:tc>
          <w:tcPr>
            <w:tcW w:w="1420" w:type="dxa"/>
            <w:vAlign w:val="bottom"/>
          </w:tcPr>
          <w:p>
            <w:pPr>
              <w:ind w:left="280"/>
              <w:spacing w:after="0"/>
              <w:rPr>
                <w:sz w:val="20"/>
                <w:szCs w:val="20"/>
                <w:color w:val="auto"/>
              </w:rPr>
            </w:pPr>
            <w:r>
              <w:rPr>
                <w:rFonts w:ascii="Courier New" w:cs="Courier New" w:eastAsia="Courier New" w:hAnsi="Courier New"/>
                <w:sz w:val="16"/>
                <w:szCs w:val="16"/>
                <w:color w:val="auto"/>
              </w:rPr>
              <w:t>Percentage</w:t>
            </w:r>
          </w:p>
        </w:tc>
      </w:tr>
      <w:tr>
        <w:trPr>
          <w:trHeight w:val="182"/>
        </w:trPr>
        <w:tc>
          <w:tcPr>
            <w:tcW w:w="37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420" w:type="dxa"/>
            <w:vAlign w:val="bottom"/>
          </w:tcPr>
          <w:p>
            <w:pPr>
              <w:ind w:left="480"/>
              <w:spacing w:after="0"/>
              <w:rPr>
                <w:sz w:val="20"/>
                <w:szCs w:val="20"/>
                <w:color w:val="auto"/>
              </w:rPr>
            </w:pPr>
            <w:r>
              <w:rPr>
                <w:rFonts w:ascii="Courier New" w:cs="Courier New" w:eastAsia="Courier New" w:hAnsi="Courier New"/>
                <w:sz w:val="16"/>
                <w:szCs w:val="16"/>
                <w:color w:val="auto"/>
                <w:w w:val="95"/>
              </w:rPr>
              <w:t>----------</w:t>
            </w:r>
          </w:p>
        </w:tc>
      </w:tr>
      <w:tr>
        <w:trPr>
          <w:trHeight w:val="364"/>
        </w:trPr>
        <w:tc>
          <w:tcPr>
            <w:tcW w:w="3780" w:type="dxa"/>
            <w:vAlign w:val="bottom"/>
            <w:gridSpan w:val="2"/>
          </w:tcPr>
          <w:p>
            <w:pPr>
              <w:spacing w:after="0"/>
              <w:rPr>
                <w:sz w:val="20"/>
                <w:szCs w:val="20"/>
                <w:color w:val="auto"/>
              </w:rPr>
            </w:pPr>
            <w:r>
              <w:rPr>
                <w:rFonts w:ascii="Courier New" w:cs="Courier New" w:eastAsia="Courier New" w:hAnsi="Courier New"/>
                <w:sz w:val="16"/>
                <w:szCs w:val="16"/>
                <w:color w:val="auto"/>
              </w:rPr>
              <w:t>2008.................................</w:t>
            </w:r>
          </w:p>
        </w:tc>
        <w:tc>
          <w:tcPr>
            <w:tcW w:w="1420" w:type="dxa"/>
            <w:vAlign w:val="bottom"/>
          </w:tcPr>
          <w:p>
            <w:pPr>
              <w:ind w:left="280"/>
              <w:spacing w:after="0"/>
              <w:rPr>
                <w:sz w:val="20"/>
                <w:szCs w:val="20"/>
                <w:color w:val="auto"/>
              </w:rPr>
            </w:pPr>
            <w:r>
              <w:rPr>
                <w:rFonts w:ascii="Courier New" w:cs="Courier New" w:eastAsia="Courier New" w:hAnsi="Courier New"/>
                <w:sz w:val="16"/>
                <w:szCs w:val="16"/>
                <w:color w:val="auto"/>
              </w:rPr>
              <w:t>103.313%</w:t>
            </w:r>
          </w:p>
        </w:tc>
      </w:tr>
      <w:tr>
        <w:trPr>
          <w:trHeight w:val="182"/>
        </w:trPr>
        <w:tc>
          <w:tcPr>
            <w:tcW w:w="3780" w:type="dxa"/>
            <w:vAlign w:val="bottom"/>
            <w:gridSpan w:val="2"/>
          </w:tcPr>
          <w:p>
            <w:pPr>
              <w:spacing w:after="0"/>
              <w:rPr>
                <w:sz w:val="20"/>
                <w:szCs w:val="20"/>
                <w:color w:val="auto"/>
              </w:rPr>
            </w:pPr>
            <w:r>
              <w:rPr>
                <w:rFonts w:ascii="Courier New" w:cs="Courier New" w:eastAsia="Courier New" w:hAnsi="Courier New"/>
                <w:sz w:val="16"/>
                <w:szCs w:val="16"/>
                <w:color w:val="auto"/>
              </w:rPr>
              <w:t>2009.................................</w:t>
            </w:r>
          </w:p>
        </w:tc>
        <w:tc>
          <w:tcPr>
            <w:tcW w:w="1420" w:type="dxa"/>
            <w:vAlign w:val="bottom"/>
          </w:tcPr>
          <w:p>
            <w:pPr>
              <w:ind w:left="280"/>
              <w:spacing w:after="0"/>
              <w:rPr>
                <w:sz w:val="20"/>
                <w:szCs w:val="20"/>
                <w:color w:val="auto"/>
              </w:rPr>
            </w:pPr>
            <w:r>
              <w:rPr>
                <w:rFonts w:ascii="Courier New" w:cs="Courier New" w:eastAsia="Courier New" w:hAnsi="Courier New"/>
                <w:sz w:val="16"/>
                <w:szCs w:val="16"/>
                <w:color w:val="auto"/>
              </w:rPr>
              <w:t>102.208%</w:t>
            </w:r>
          </w:p>
        </w:tc>
      </w:tr>
      <w:tr>
        <w:trPr>
          <w:trHeight w:val="182"/>
        </w:trPr>
        <w:tc>
          <w:tcPr>
            <w:tcW w:w="3780" w:type="dxa"/>
            <w:vAlign w:val="bottom"/>
            <w:gridSpan w:val="2"/>
          </w:tcPr>
          <w:p>
            <w:pPr>
              <w:spacing w:after="0"/>
              <w:rPr>
                <w:sz w:val="20"/>
                <w:szCs w:val="20"/>
                <w:color w:val="auto"/>
              </w:rPr>
            </w:pPr>
            <w:r>
              <w:rPr>
                <w:rFonts w:ascii="Courier New" w:cs="Courier New" w:eastAsia="Courier New" w:hAnsi="Courier New"/>
                <w:sz w:val="16"/>
                <w:szCs w:val="16"/>
                <w:color w:val="auto"/>
              </w:rPr>
              <w:t>2010.................................</w:t>
            </w:r>
          </w:p>
        </w:tc>
        <w:tc>
          <w:tcPr>
            <w:tcW w:w="1420" w:type="dxa"/>
            <w:vAlign w:val="bottom"/>
          </w:tcPr>
          <w:p>
            <w:pPr>
              <w:ind w:left="280"/>
              <w:spacing w:after="0"/>
              <w:rPr>
                <w:sz w:val="20"/>
                <w:szCs w:val="20"/>
                <w:color w:val="auto"/>
              </w:rPr>
            </w:pPr>
            <w:r>
              <w:rPr>
                <w:rFonts w:ascii="Courier New" w:cs="Courier New" w:eastAsia="Courier New" w:hAnsi="Courier New"/>
                <w:sz w:val="16"/>
                <w:szCs w:val="16"/>
                <w:color w:val="auto"/>
              </w:rPr>
              <w:t>101.104%</w:t>
            </w:r>
          </w:p>
        </w:tc>
      </w:tr>
      <w:tr>
        <w:trPr>
          <w:trHeight w:val="182"/>
        </w:trPr>
        <w:tc>
          <w:tcPr>
            <w:tcW w:w="460" w:type="dxa"/>
            <w:vAlign w:val="bottom"/>
          </w:tcPr>
          <w:p>
            <w:pPr>
              <w:spacing w:after="0"/>
              <w:rPr>
                <w:sz w:val="20"/>
                <w:szCs w:val="20"/>
                <w:color w:val="auto"/>
              </w:rPr>
            </w:pPr>
            <w:r>
              <w:rPr>
                <w:rFonts w:ascii="Courier New" w:cs="Courier New" w:eastAsia="Courier New" w:hAnsi="Courier New"/>
                <w:sz w:val="16"/>
                <w:szCs w:val="16"/>
                <w:color w:val="auto"/>
              </w:rPr>
              <w:t>2011</w:t>
            </w:r>
          </w:p>
        </w:tc>
        <w:tc>
          <w:tcPr>
            <w:tcW w:w="3320" w:type="dxa"/>
            <w:vAlign w:val="bottom"/>
          </w:tcPr>
          <w:p>
            <w:pPr>
              <w:spacing w:after="0"/>
              <w:rPr>
                <w:sz w:val="20"/>
                <w:szCs w:val="20"/>
                <w:color w:val="auto"/>
              </w:rPr>
            </w:pPr>
            <w:r>
              <w:rPr>
                <w:rFonts w:ascii="Courier New" w:cs="Courier New" w:eastAsia="Courier New" w:hAnsi="Courier New"/>
                <w:sz w:val="16"/>
                <w:szCs w:val="16"/>
                <w:color w:val="auto"/>
              </w:rPr>
              <w:t>and thereafter..................</w:t>
            </w:r>
          </w:p>
        </w:tc>
        <w:tc>
          <w:tcPr>
            <w:tcW w:w="1420" w:type="dxa"/>
            <w:vAlign w:val="bottom"/>
          </w:tcPr>
          <w:p>
            <w:pPr>
              <w:ind w:left="280"/>
              <w:spacing w:after="0"/>
              <w:rPr>
                <w:sz w:val="20"/>
                <w:szCs w:val="20"/>
                <w:color w:val="auto"/>
              </w:rPr>
            </w:pPr>
            <w:r>
              <w:rPr>
                <w:rFonts w:ascii="Courier New" w:cs="Courier New" w:eastAsia="Courier New" w:hAnsi="Courier New"/>
                <w:sz w:val="16"/>
                <w:szCs w:val="16"/>
                <w:color w:val="auto"/>
              </w:rPr>
              <w:t>100.000%</w:t>
            </w:r>
          </w:p>
        </w:tc>
      </w:tr>
    </w:tbl>
    <w:p>
      <w:pPr>
        <w:spacing w:after="0" w:line="186" w:lineRule="exact"/>
        <w:rPr>
          <w:sz w:val="20"/>
          <w:szCs w:val="20"/>
          <w:color w:val="auto"/>
        </w:rPr>
      </w:pPr>
    </w:p>
    <w:p>
      <w:pPr>
        <w:ind w:right="2759" w:firstLine="1132"/>
        <w:spacing w:after="0" w:line="256" w:lineRule="auto"/>
        <w:tabs>
          <w:tab w:leader="none" w:pos="1513"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prior to November 15, 2006, the Company may redeem up to 35% of the aggregate principal amount of Notes (calculated after giving effect to any issuance of Additional Notes) issued under the Indenture with the Net Cash Proceeds of one or more Equity Offerings at a redemption price of</w:t>
      </w:r>
    </w:p>
    <w:p>
      <w:pPr>
        <w:spacing w:after="0" w:line="2" w:lineRule="exact"/>
        <w:rPr>
          <w:rFonts w:ascii="Courier New" w:cs="Courier New" w:eastAsia="Courier New" w:hAnsi="Courier New"/>
          <w:sz w:val="15"/>
          <w:szCs w:val="15"/>
          <w:color w:val="auto"/>
        </w:rPr>
      </w:pPr>
    </w:p>
    <w:p>
      <w:pPr>
        <w:ind w:right="283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106.625% of the principal amount thereof, plus accrued and unpaid interest and Registration Default Damages, if any, to the redemption date (subject to the right of holders of record on the relevant record date to receive interest due on the relevant interest payment date); provided that:</w:t>
      </w:r>
    </w:p>
    <w:p>
      <w:pPr>
        <w:spacing w:after="0" w:line="183" w:lineRule="exact"/>
        <w:rPr>
          <w:sz w:val="20"/>
          <w:szCs w:val="20"/>
          <w:color w:val="auto"/>
        </w:rPr>
      </w:pPr>
    </w:p>
    <w:p>
      <w:pPr>
        <w:ind w:left="1520" w:hanging="388"/>
        <w:spacing w:after="0"/>
        <w:tabs>
          <w:tab w:leader="none" w:pos="1520" w:val="left"/>
        </w:tabs>
        <w:numPr>
          <w:ilvl w:val="0"/>
          <w:numId w:val="3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a Public Market at the time of such redemption;</w:t>
      </w:r>
    </w:p>
    <w:p>
      <w:pPr>
        <w:spacing w:after="0" w:line="186" w:lineRule="exact"/>
        <w:rPr>
          <w:rFonts w:ascii="Courier New" w:cs="Courier New" w:eastAsia="Courier New" w:hAnsi="Courier New"/>
          <w:sz w:val="16"/>
          <w:szCs w:val="16"/>
          <w:color w:val="auto"/>
        </w:rPr>
      </w:pPr>
    </w:p>
    <w:p>
      <w:pPr>
        <w:jc w:val="both"/>
        <w:ind w:left="560" w:right="2659" w:firstLine="572"/>
        <w:spacing w:after="0" w:line="239" w:lineRule="auto"/>
        <w:tabs>
          <w:tab w:leader="none" w:pos="1506" w:val="left"/>
        </w:tabs>
        <w:numPr>
          <w:ilvl w:val="0"/>
          <w:numId w:val="3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65% of the original principal amount of the Notes (calculated after giving effect to any issuance of Additional Notes) issued under the Indenture remains outstanding after each such redemption; and</w:t>
      </w:r>
    </w:p>
    <w:p>
      <w:pPr>
        <w:spacing w:after="0" w:line="200" w:lineRule="exact"/>
        <w:rPr>
          <w:sz w:val="20"/>
          <w:szCs w:val="20"/>
          <w:color w:val="auto"/>
        </w:rPr>
      </w:pPr>
    </w:p>
    <w:p>
      <w:pPr>
        <w:spacing w:after="0" w:line="34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481" w:right="1440" w:bottom="1440" w:gutter="0" w:footer="0" w:header="0"/>
        </w:sectPr>
      </w:pPr>
    </w:p>
    <w:bookmarkStart w:id="283" w:name="page284"/>
    <w:bookmarkEnd w:id="283"/>
    <w:p>
      <w:pPr>
        <w:ind w:right="3119" w:firstLine="848"/>
        <w:spacing w:after="0" w:line="237" w:lineRule="auto"/>
        <w:tabs>
          <w:tab w:leader="none" w:pos="1229" w:val="left"/>
        </w:tabs>
        <w:numPr>
          <w:ilvl w:val="0"/>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occurs within 60 days after the closing of such Equity Offering.</w:t>
      </w:r>
    </w:p>
    <w:p>
      <w:pPr>
        <w:spacing w:after="0" w:line="188"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If the optional redemption date is on or after an interest record date and on or before the related interest payment date, the accrued and unpaid interest, if any, will be paid to the Person in whose name the Note is registered at the close of business on such record date, and no additional interest will be payable to holders whose Notes will be subject to redemption by the Company.</w:t>
      </w:r>
    </w:p>
    <w:p>
      <w:pPr>
        <w:spacing w:after="0" w:line="190" w:lineRule="exact"/>
        <w:rPr>
          <w:sz w:val="20"/>
          <w:szCs w:val="20"/>
          <w:color w:val="auto"/>
        </w:rPr>
      </w:pPr>
    </w:p>
    <w:p>
      <w:pPr>
        <w:ind w:right="2759" w:firstLine="848"/>
        <w:spacing w:after="0"/>
        <w:tabs>
          <w:tab w:leader="none" w:pos="1229"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prior to November 15, 2008, the Notes may be redeemed or purchased, by or on behalf of the Company, in whole or in part, at the Company's option, upon not less than 30 nor more than 60 days notice, at a redemption or purchase price equal to 100% of the principal amount thereof plus the Applicable Premium plus accrued and unpaid interest, if any, to the redemption or purchase date (subject to the right of holders of record on the relevant record date to receive interest due on the relevant interest payment date).</w:t>
      </w:r>
    </w:p>
    <w:p>
      <w:pPr>
        <w:spacing w:after="0" w:line="187" w:lineRule="exact"/>
        <w:rPr>
          <w:sz w:val="20"/>
          <w:szCs w:val="20"/>
          <w:color w:val="auto"/>
        </w:rPr>
      </w:pPr>
    </w:p>
    <w:p>
      <w:pPr>
        <w:ind w:right="2659" w:firstLine="851"/>
        <w:spacing w:after="0" w:line="258" w:lineRule="auto"/>
        <w:rPr>
          <w:sz w:val="20"/>
          <w:szCs w:val="20"/>
          <w:color w:val="auto"/>
        </w:rPr>
      </w:pPr>
      <w:r>
        <w:rPr>
          <w:rFonts w:ascii="Courier New" w:cs="Courier New" w:eastAsia="Courier New" w:hAnsi="Courier New"/>
          <w:sz w:val="15"/>
          <w:szCs w:val="15"/>
          <w:color w:val="auto"/>
        </w:rPr>
        <w:t>"Applicable Premium" means, with respect to a Note at any Redemption Date, the greater of (i) 1.0% of the principal amount of such Note and (ii) the excess of (A) the present value at such time of (1) the redemption price of such Note at November 15, 2008 (such redemption price being set forth in the table above) plus (2) all required interest payments due on such Note through November 15, 2008, computed using a discount rate equal to the Treasury Rate plus 50 basis points, over (B) the principal amount of such Note.</w:t>
      </w:r>
    </w:p>
    <w:p>
      <w:pPr>
        <w:spacing w:after="0" w:line="176" w:lineRule="exact"/>
        <w:rPr>
          <w:sz w:val="20"/>
          <w:szCs w:val="20"/>
          <w:color w:val="auto"/>
        </w:rPr>
      </w:pPr>
    </w:p>
    <w:p>
      <w:pPr>
        <w:ind w:right="2659" w:firstLine="851"/>
        <w:spacing w:after="0" w:line="257" w:lineRule="auto"/>
        <w:rPr>
          <w:sz w:val="20"/>
          <w:szCs w:val="20"/>
          <w:color w:val="auto"/>
        </w:rPr>
      </w:pPr>
      <w:r>
        <w:rPr>
          <w:rFonts w:ascii="Courier New" w:cs="Courier New" w:eastAsia="Courier New" w:hAnsi="Courier New"/>
          <w:sz w:val="15"/>
          <w:szCs w:val="15"/>
          <w:color w:val="auto"/>
        </w:rPr>
        <w:t>"Treasury Rate" means the yield to maturity at the time of computation of United States Treasury securities with a constant maturity (as compiled and published in the most recent Federal Reserve Statistical Release H.15 (519) which has become publicly available at least two business days prior to the Redemption Date (or, if such Statistical Release is no longer published, any publicly available source or similar market data)) most nearly equal to the period from the Redemption Date to November 15, 2008; provided, however, that if the period from the Redemption Date to November 15, 2008 is not equal to the constant maturity of a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period from the Redemption Date to November 15, 2008 is less than one year, the weekly average yield on actually traded United States Treasury securities adjusted to a constant maturity of one year shall be used.</w:t>
      </w:r>
    </w:p>
    <w:p>
      <w:pPr>
        <w:spacing w:after="0" w:line="181" w:lineRule="exact"/>
        <w:rPr>
          <w:sz w:val="20"/>
          <w:szCs w:val="20"/>
          <w:color w:val="auto"/>
        </w:rPr>
      </w:pPr>
    </w:p>
    <w:p>
      <w:pPr>
        <w:ind w:right="2659" w:firstLine="848"/>
        <w:spacing w:after="0" w:line="237" w:lineRule="auto"/>
        <w:tabs>
          <w:tab w:leader="none" w:pos="1229" w:val="left"/>
        </w:tabs>
        <w:numPr>
          <w:ilvl w:val="0"/>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redemption pursuant to this Section 3.07 shall be made pursuant to the provisions of Section 3.01 through 3.06 hereof.</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3.08 Mandatory Redemption.</w:t>
      </w:r>
    </w:p>
    <w:p>
      <w:pPr>
        <w:spacing w:after="0" w:line="186" w:lineRule="exact"/>
        <w:rPr>
          <w:sz w:val="20"/>
          <w:szCs w:val="20"/>
          <w:color w:val="auto"/>
        </w:rPr>
      </w:pPr>
    </w:p>
    <w:p>
      <w:pPr>
        <w:ind w:right="3219" w:firstLine="851"/>
        <w:spacing w:after="0" w:line="237" w:lineRule="auto"/>
        <w:rPr>
          <w:sz w:val="20"/>
          <w:szCs w:val="20"/>
          <w:color w:val="auto"/>
        </w:rPr>
      </w:pPr>
      <w:r>
        <w:rPr>
          <w:rFonts w:ascii="Courier New" w:cs="Courier New" w:eastAsia="Courier New" w:hAnsi="Courier New"/>
          <w:sz w:val="16"/>
          <w:szCs w:val="16"/>
          <w:color w:val="auto"/>
        </w:rPr>
        <w:t>The Company shall not be required to make mandatory redemption or sinking fiend payments with respect to the Notes.</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1027" w:right="1440" w:bottom="1440" w:gutter="0" w:footer="0" w:header="0"/>
        </w:sectPr>
      </w:pPr>
    </w:p>
    <w:bookmarkStart w:id="284" w:name="page285"/>
    <w:bookmarkEnd w:id="284"/>
    <w:p>
      <w:pPr>
        <w:spacing w:after="0"/>
        <w:rPr>
          <w:sz w:val="20"/>
          <w:szCs w:val="20"/>
          <w:color w:val="auto"/>
        </w:rPr>
      </w:pPr>
      <w:r>
        <w:rPr>
          <w:rFonts w:ascii="Courier New" w:cs="Courier New" w:eastAsia="Courier New" w:hAnsi="Courier New"/>
          <w:sz w:val="16"/>
          <w:szCs w:val="16"/>
          <w:color w:val="auto"/>
        </w:rPr>
        <w:t>SECTION 3.09 Offer to Repurchase by Application of Excess Proceeds.</w:t>
      </w:r>
    </w:p>
    <w:p>
      <w:pPr>
        <w:spacing w:after="0" w:line="186" w:lineRule="exact"/>
        <w:rPr>
          <w:sz w:val="20"/>
          <w:szCs w:val="20"/>
          <w:color w:val="auto"/>
        </w:rPr>
      </w:pPr>
    </w:p>
    <w:p>
      <w:pPr>
        <w:ind w:right="2839" w:firstLine="851"/>
        <w:spacing w:after="0" w:line="238" w:lineRule="auto"/>
        <w:rPr>
          <w:sz w:val="20"/>
          <w:szCs w:val="20"/>
          <w:color w:val="auto"/>
        </w:rPr>
      </w:pPr>
      <w:r>
        <w:rPr>
          <w:rFonts w:ascii="Courier New" w:cs="Courier New" w:eastAsia="Courier New" w:hAnsi="Courier New"/>
          <w:sz w:val="16"/>
          <w:szCs w:val="16"/>
          <w:color w:val="auto"/>
        </w:rPr>
        <w:t>In the event that, pursuant to Section 4.10 hereof, the Company shall be required to commence an Asset Sale Offer, it shall follow the procedures specified below.</w:t>
      </w:r>
    </w:p>
    <w:p>
      <w:pPr>
        <w:spacing w:after="0" w:line="188"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The Asset Sale Offer shall remain open for a period of 20 Business Days following its commencement and no longer, except to the extent that a longer period is required by applicable law (the "Offer Period"). No later than five Business Days after the termination of the Offer Period (the "Purchase Date"), the Company shall purchase the principal amount of Notes required to be purchased pursuant to Section 4.10 hereof (the "Offer Amount") or, if less than the Offer Amount has been tendered, all Notes tendered in response to the Asset Sale Offer. Payment for any Notes so purchased shall be made in the same manner as interest payments are made.</w:t>
      </w:r>
    </w:p>
    <w:p>
      <w:pPr>
        <w:spacing w:after="0" w:line="188"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If the Purchase Date is on or after an interest record date and on or before the related interest payment date, any accrued and unpaid interest and Registration Default Damages, if any, shall be paid to the Person in whose name a Note is registered at the close of business on such record date, and no additional interest shall be payable to Holders who tender Notes pursuant to the Asset Sale Offer.</w:t>
      </w:r>
    </w:p>
    <w:p>
      <w:pPr>
        <w:spacing w:after="0" w:line="190" w:lineRule="exact"/>
        <w:rPr>
          <w:sz w:val="20"/>
          <w:szCs w:val="20"/>
          <w:color w:val="auto"/>
        </w:rPr>
      </w:pPr>
    </w:p>
    <w:p>
      <w:pPr>
        <w:ind w:right="2839" w:firstLine="851"/>
        <w:spacing w:after="0" w:line="239" w:lineRule="auto"/>
        <w:rPr>
          <w:sz w:val="20"/>
          <w:szCs w:val="20"/>
          <w:color w:val="auto"/>
        </w:rPr>
      </w:pPr>
      <w:r>
        <w:rPr>
          <w:rFonts w:ascii="Courier New" w:cs="Courier New" w:eastAsia="Courier New" w:hAnsi="Courier New"/>
          <w:sz w:val="16"/>
          <w:szCs w:val="16"/>
          <w:color w:val="auto"/>
        </w:rPr>
        <w:t>Upon the commencement of an Asset Sale Offer, the Company shall send, by first class mail, a notice to the Trustee and each of the Holders, with a copy to the Trustee. The notice shall contain all instructions and materials necessary to enable such Holders to tender Notes pursuant to the Asset Sale Offer. The Asset Sale Offer shall be made to all Holders. The notice, which shall govern the terms of the Asset Sale Offer, shall state:</w:t>
      </w:r>
    </w:p>
    <w:p>
      <w:pPr>
        <w:spacing w:after="0" w:line="190" w:lineRule="exact"/>
        <w:rPr>
          <w:sz w:val="20"/>
          <w:szCs w:val="20"/>
          <w:color w:val="auto"/>
        </w:rPr>
      </w:pPr>
    </w:p>
    <w:p>
      <w:pPr>
        <w:ind w:right="2839" w:firstLine="848"/>
        <w:spacing w:after="0" w:line="238" w:lineRule="auto"/>
        <w:tabs>
          <w:tab w:leader="none" w:pos="1229"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Asset Sale Offer is being made pursuant to this Section 3.09 and Section 4.10 hereof and the length of time the Asset Sale Offer shall remain open;</w:t>
      </w:r>
    </w:p>
    <w:p>
      <w:pPr>
        <w:spacing w:after="0" w:line="184" w:lineRule="exact"/>
        <w:rPr>
          <w:rFonts w:ascii="Courier New" w:cs="Courier New" w:eastAsia="Courier New" w:hAnsi="Courier New"/>
          <w:sz w:val="16"/>
          <w:szCs w:val="16"/>
          <w:color w:val="auto"/>
        </w:rPr>
      </w:pPr>
    </w:p>
    <w:p>
      <w:pPr>
        <w:ind w:left="1220" w:hanging="372"/>
        <w:spacing w:after="0"/>
        <w:tabs>
          <w:tab w:leader="none" w:pos="1220"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 Amount, the purchase price and the Purchase Date;</w:t>
      </w:r>
    </w:p>
    <w:p>
      <w:pPr>
        <w:spacing w:after="0" w:line="186" w:lineRule="exact"/>
        <w:rPr>
          <w:rFonts w:ascii="Courier New" w:cs="Courier New" w:eastAsia="Courier New" w:hAnsi="Courier New"/>
          <w:sz w:val="16"/>
          <w:szCs w:val="16"/>
          <w:color w:val="auto"/>
        </w:rPr>
      </w:pPr>
    </w:p>
    <w:p>
      <w:pPr>
        <w:ind w:right="2839" w:firstLine="848"/>
        <w:spacing w:after="0" w:line="237" w:lineRule="auto"/>
        <w:tabs>
          <w:tab w:leader="none" w:pos="1229"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any Note not tendered or accepted for payment shall continue to accrue interest;</w:t>
      </w:r>
    </w:p>
    <w:p>
      <w:pPr>
        <w:spacing w:after="0" w:line="187" w:lineRule="exact"/>
        <w:rPr>
          <w:rFonts w:ascii="Courier New" w:cs="Courier New" w:eastAsia="Courier New" w:hAnsi="Courier New"/>
          <w:sz w:val="16"/>
          <w:szCs w:val="16"/>
          <w:color w:val="auto"/>
        </w:rPr>
      </w:pPr>
    </w:p>
    <w:p>
      <w:pPr>
        <w:ind w:right="2759" w:firstLine="848"/>
        <w:spacing w:after="0" w:line="238" w:lineRule="auto"/>
        <w:tabs>
          <w:tab w:leader="none" w:pos="1229"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unless the Company defaults in making such payment, any Note accepted for payment pursuant to the Asset Sale Offer shall cease to accrue interest after the Purchase Date;</w:t>
      </w:r>
    </w:p>
    <w:p>
      <w:pPr>
        <w:spacing w:after="0" w:line="188" w:lineRule="exact"/>
        <w:rPr>
          <w:rFonts w:ascii="Courier New" w:cs="Courier New" w:eastAsia="Courier New" w:hAnsi="Courier New"/>
          <w:sz w:val="16"/>
          <w:szCs w:val="16"/>
          <w:color w:val="auto"/>
        </w:rPr>
      </w:pPr>
    </w:p>
    <w:p>
      <w:pPr>
        <w:ind w:right="2659" w:firstLine="848"/>
        <w:spacing w:after="0" w:line="238" w:lineRule="auto"/>
        <w:tabs>
          <w:tab w:leader="none" w:pos="1229"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Holders electing to have a Note purchased pursuant to an Asset Sale Offer may only elect to have all of such Note purchased and may not elect to have only a portion of such Note purchased;</w:t>
      </w:r>
    </w:p>
    <w:p>
      <w:pPr>
        <w:spacing w:after="0" w:line="188" w:lineRule="exact"/>
        <w:rPr>
          <w:rFonts w:ascii="Courier New" w:cs="Courier New" w:eastAsia="Courier New" w:hAnsi="Courier New"/>
          <w:sz w:val="16"/>
          <w:szCs w:val="16"/>
          <w:color w:val="auto"/>
        </w:rPr>
      </w:pPr>
    </w:p>
    <w:p>
      <w:pPr>
        <w:ind w:right="2659" w:firstLine="848"/>
        <w:spacing w:after="0" w:line="239" w:lineRule="auto"/>
        <w:tabs>
          <w:tab w:leader="none" w:pos="1229"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Holders electing to have a Note purchased pursuant to any Asset Sale Offer shall be required to surrender the Note, with the form entitled "Option of Holder to Elect Purchase" on the reverse of the Note completed, or transfer by book-entry transfer, to the Company, a depositary, if appointed by the Company, or a Paying Agent at the address specified in the notice at least three days before the Purchase Date;</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477" w:right="1440" w:bottom="1440" w:gutter="0" w:footer="0" w:header="0"/>
        </w:sectPr>
      </w:pPr>
    </w:p>
    <w:bookmarkStart w:id="285" w:name="page286"/>
    <w:bookmarkEnd w:id="285"/>
    <w:p>
      <w:pPr>
        <w:ind w:right="2839" w:firstLine="848"/>
        <w:spacing w:after="0" w:line="258" w:lineRule="auto"/>
        <w:tabs>
          <w:tab w:leader="none" w:pos="1229"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shall be entitled to withdraw their election if the Company, the depositary or the Paying Agent, as the case may be, receives, not later than the expiration of the Offer Period, a telegram, telex, facsimile transmission or letter setting forth the name of the Holder, the principal amount of the Note the Holder delivered for purchase and a statement that such Holder is withdrawing his election to have such Note purchased;</w:t>
      </w:r>
    </w:p>
    <w:p>
      <w:pPr>
        <w:spacing w:after="0" w:line="177" w:lineRule="exact"/>
        <w:rPr>
          <w:rFonts w:ascii="Courier New" w:cs="Courier New" w:eastAsia="Courier New" w:hAnsi="Courier New"/>
          <w:sz w:val="15"/>
          <w:szCs w:val="15"/>
          <w:color w:val="auto"/>
        </w:rPr>
      </w:pPr>
    </w:p>
    <w:p>
      <w:pPr>
        <w:ind w:right="3039" w:firstLine="848"/>
        <w:spacing w:after="0" w:line="239" w:lineRule="auto"/>
        <w:tabs>
          <w:tab w:leader="none" w:pos="1229"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if the aggregate principal amount of Notes surrendered by Holders exceeds the Offer Amount, the Company shall select the Notes to be purchased on a pro rata basis (with such adjustments as may be deemed appropriate by the Company so that only Notes in denominations of $1,000, or integral multiples thereof, shall be purchased); and</w:t>
      </w:r>
    </w:p>
    <w:p>
      <w:pPr>
        <w:spacing w:after="0" w:line="188" w:lineRule="exact"/>
        <w:rPr>
          <w:rFonts w:ascii="Courier New" w:cs="Courier New" w:eastAsia="Courier New" w:hAnsi="Courier New"/>
          <w:sz w:val="16"/>
          <w:szCs w:val="16"/>
          <w:color w:val="auto"/>
        </w:rPr>
      </w:pPr>
    </w:p>
    <w:p>
      <w:pPr>
        <w:ind w:right="3039" w:firstLine="848"/>
        <w:spacing w:after="0" w:line="238" w:lineRule="auto"/>
        <w:tabs>
          <w:tab w:leader="none" w:pos="1229"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Holders whose Notes were purchased only in part shall be issued new Notes equal in principal amount to the unpurchased portion of the Notes surrendered (or transferred by book-entry transfer).</w:t>
      </w:r>
    </w:p>
    <w:p>
      <w:pPr>
        <w:spacing w:after="0" w:line="188"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On or before 10:00 a.m. on the Purchase Date, the Company shall, to the extent lawful, accept for payment, on a pro rata basis to the extent necessary, the Offer Amount or portions thereof tendered pursuant to the Asset Sale Offer, or if less than the Offer Amount has been tendered, all Notes tendered, and shall deliver to the Trustee an Officers' Certificate stating that such Notes or portions thereof were accepted for payment by the Company in accordance with the terms of this Section 3.09. The Company, the Depositary or the Paying Agent, as the case may be, shall promptly (but in any case not later than five days after the Purchase Date) mail or deliver to each tendering Holder an amount equal to the purchase price of the Notes tendered by such Holder and accepted by the Company for purchase, and the Company shall promptly issue a new Note, and the Trustee, upon written request from the Company shall authenticate and mail or deliver such new Note to such Holder, in a principal amount equal to any unpurchased portion of the Note surrendered. Any Note not so accepted shall be promptly mailed or delivered by the Company to the Holder thereof. The Company shall publicly announce the results of the Asset Sale Offer on the Purchase Date.</w:t>
      </w:r>
    </w:p>
    <w:p>
      <w:pPr>
        <w:spacing w:after="0" w:line="193" w:lineRule="exact"/>
        <w:rPr>
          <w:sz w:val="20"/>
          <w:szCs w:val="20"/>
          <w:color w:val="auto"/>
        </w:rPr>
      </w:pPr>
    </w:p>
    <w:p>
      <w:pPr>
        <w:ind w:right="2759" w:firstLine="851"/>
        <w:spacing w:after="0" w:line="238" w:lineRule="auto"/>
        <w:rPr>
          <w:sz w:val="20"/>
          <w:szCs w:val="20"/>
          <w:color w:val="auto"/>
        </w:rPr>
      </w:pPr>
      <w:r>
        <w:rPr>
          <w:rFonts w:ascii="Courier New" w:cs="Courier New" w:eastAsia="Courier New" w:hAnsi="Courier New"/>
          <w:sz w:val="16"/>
          <w:szCs w:val="16"/>
          <w:color w:val="auto"/>
        </w:rPr>
        <w:t>Other than as specifically provided in this Section 3.09, any purchase pursuant to this Section 3.09 shall be made pursuant to the provisions of Sections 3.01 through 3.06 hereof.</w:t>
      </w:r>
    </w:p>
    <w:p>
      <w:pPr>
        <w:spacing w:after="0" w:line="184" w:lineRule="exact"/>
        <w:rPr>
          <w:sz w:val="20"/>
          <w:szCs w:val="20"/>
          <w:color w:val="auto"/>
        </w:rPr>
      </w:pPr>
    </w:p>
    <w:p>
      <w:pPr>
        <w:jc w:val="right"/>
        <w:ind w:right="5959"/>
        <w:spacing w:after="0"/>
        <w:rPr>
          <w:sz w:val="20"/>
          <w:szCs w:val="20"/>
          <w:color w:val="auto"/>
        </w:rPr>
      </w:pPr>
      <w:r>
        <w:rPr>
          <w:rFonts w:ascii="Courier New" w:cs="Courier New" w:eastAsia="Courier New" w:hAnsi="Courier New"/>
          <w:sz w:val="16"/>
          <w:szCs w:val="16"/>
          <w:color w:val="auto"/>
        </w:rPr>
        <w:t>ARTICLE 4.</w:t>
      </w:r>
    </w:p>
    <w:p>
      <w:pPr>
        <w:spacing w:after="0" w:line="1" w:lineRule="exact"/>
        <w:rPr>
          <w:sz w:val="20"/>
          <w:szCs w:val="20"/>
          <w:color w:val="auto"/>
        </w:rPr>
      </w:pPr>
    </w:p>
    <w:p>
      <w:pPr>
        <w:jc w:val="right"/>
        <w:ind w:right="5959"/>
        <w:spacing w:after="0"/>
        <w:rPr>
          <w:sz w:val="20"/>
          <w:szCs w:val="20"/>
          <w:color w:val="auto"/>
        </w:rPr>
      </w:pPr>
      <w:r>
        <w:rPr>
          <w:rFonts w:ascii="Courier New" w:cs="Courier New" w:eastAsia="Courier New" w:hAnsi="Courier New"/>
          <w:sz w:val="16"/>
          <w:szCs w:val="16"/>
          <w:color w:val="auto"/>
        </w:rPr>
        <w:t>COVENANTS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4.01 Payment of Notes.</w:t>
      </w:r>
    </w:p>
    <w:p>
      <w:pPr>
        <w:spacing w:after="0" w:line="186"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The Company shall pay or cause to be paid the principal of, premium, if any, and interest and Registration Default Damages, if any, on the Notes on the dates and in the manner provided in the Notes. Principal, premium, if any, and interest and Registration Default Damages, if any, shall be considered paid on the date due if the Paying Agent, if other than the Company or a Subsidiary thereof, (i) holds as of 10:00 a.m. Eastern Time on the due date money deposited by the Company in immediately available funds and designated for and sufficient to pay all principal, premium, if any, and interest and Registration Default Damages, if any, then due and (ii) is not prohibited from paying such money to the Holders pursuant to the terms of this</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481" w:right="1440" w:bottom="1440" w:gutter="0" w:footer="0" w:header="0"/>
        </w:sectPr>
      </w:pPr>
    </w:p>
    <w:bookmarkStart w:id="286" w:name="page287"/>
    <w:bookmarkEnd w:id="286"/>
    <w:p>
      <w:pPr>
        <w:ind w:right="2759"/>
        <w:spacing w:after="0" w:line="238" w:lineRule="auto"/>
        <w:rPr>
          <w:sz w:val="20"/>
          <w:szCs w:val="20"/>
          <w:color w:val="auto"/>
        </w:rPr>
      </w:pPr>
      <w:r>
        <w:rPr>
          <w:rFonts w:ascii="Courier New" w:cs="Courier New" w:eastAsia="Courier New" w:hAnsi="Courier New"/>
          <w:sz w:val="16"/>
          <w:szCs w:val="16"/>
          <w:color w:val="auto"/>
        </w:rPr>
        <w:t>Indenture or the Notes. The Company shall pay all Registration Default Damages, if any, in the same manner on the dates and in the amounts set forth in the Registration Rights Agreement.</w:t>
      </w:r>
    </w:p>
    <w:p>
      <w:pPr>
        <w:spacing w:after="0" w:line="188"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The Company shall pay interest (including post-petition interest in any proceeding under any Bankruptcy Law) on overdue principal at the rate equal to 1% per annum in excess of the then applicable interest rate on the Notes to the extent lawful; it shall pay interest (including post-petition interest in any proceeding under any Bankruptcy Law) on overdue installments of interest and Registration Default Damages (without regard to any applicable grace period) at the same rate to the extent lawful.</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4.02 Maintenance of Office or Agency.</w:t>
      </w:r>
    </w:p>
    <w:p>
      <w:pPr>
        <w:spacing w:after="0" w:line="186"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The Company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shall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w:t>
      </w:r>
    </w:p>
    <w:p>
      <w:pPr>
        <w:spacing w:after="0" w:line="189" w:lineRule="exact"/>
        <w:rPr>
          <w:sz w:val="20"/>
          <w:szCs w:val="20"/>
          <w:color w:val="auto"/>
        </w:rPr>
      </w:pPr>
    </w:p>
    <w:p>
      <w:pPr>
        <w:ind w:right="2659" w:firstLine="851"/>
        <w:spacing w:after="0" w:line="258" w:lineRule="auto"/>
        <w:rPr>
          <w:sz w:val="20"/>
          <w:szCs w:val="20"/>
          <w:color w:val="auto"/>
        </w:rPr>
      </w:pPr>
      <w:r>
        <w:rPr>
          <w:rFonts w:ascii="Courier New" w:cs="Courier New" w:eastAsia="Courier New" w:hAnsi="Courier New"/>
          <w:sz w:val="15"/>
          <w:szCs w:val="15"/>
          <w:color w:val="auto"/>
        </w:rPr>
        <w:t>The Company may also from time to time designate one or more other offices or agencies where the Notes may be presented or surrendered for any or all such purposes and may from time to time rescind such designations; provided, however, that no such designation or rescission shall in any manner relieve the Company of its obligation to maintain an office or agency in the Borough of Manhattan, the City of New York for such purposes. The Company shall give prompt written notice to the Trustee of any such designation or rescission and of any change in the location of any such other office or agency.</w:t>
      </w:r>
    </w:p>
    <w:p>
      <w:pPr>
        <w:spacing w:after="0" w:line="176" w:lineRule="exact"/>
        <w:rPr>
          <w:sz w:val="20"/>
          <w:szCs w:val="20"/>
          <w:color w:val="auto"/>
        </w:rPr>
      </w:pPr>
    </w:p>
    <w:p>
      <w:pPr>
        <w:ind w:right="2659" w:firstLine="851"/>
        <w:spacing w:after="0" w:line="238" w:lineRule="auto"/>
        <w:rPr>
          <w:sz w:val="20"/>
          <w:szCs w:val="20"/>
          <w:color w:val="auto"/>
        </w:rPr>
      </w:pPr>
      <w:r>
        <w:rPr>
          <w:rFonts w:ascii="Courier New" w:cs="Courier New" w:eastAsia="Courier New" w:hAnsi="Courier New"/>
          <w:sz w:val="16"/>
          <w:szCs w:val="16"/>
          <w:color w:val="auto"/>
        </w:rPr>
        <w:t>The Company hereby designates the Corporate Trust Office of the Trustee as one such office or agency of the Company in accordance with Section 2.03 hereof.</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4.03 Reports.</w:t>
      </w:r>
    </w:p>
    <w:p>
      <w:pPr>
        <w:spacing w:after="0" w:line="186" w:lineRule="exact"/>
        <w:rPr>
          <w:sz w:val="20"/>
          <w:szCs w:val="20"/>
          <w:color w:val="auto"/>
        </w:rPr>
      </w:pPr>
    </w:p>
    <w:p>
      <w:pPr>
        <w:ind w:right="2839" w:firstLine="851"/>
        <w:spacing w:after="0" w:line="262" w:lineRule="auto"/>
        <w:rPr>
          <w:sz w:val="20"/>
          <w:szCs w:val="20"/>
          <w:color w:val="auto"/>
        </w:rPr>
      </w:pPr>
      <w:r>
        <w:rPr>
          <w:rFonts w:ascii="Courier New" w:cs="Courier New" w:eastAsia="Courier New" w:hAnsi="Courier New"/>
          <w:sz w:val="15"/>
          <w:szCs w:val="15"/>
          <w:color w:val="auto"/>
        </w:rPr>
        <w:t>Whether or not required by the SEC, so long as any Notes are outstanding, the Company shall furnish to the Holders of Notes and to the Trustee, within the time periods specified in the SEC's rules and regulations:</w:t>
      </w:r>
    </w:p>
    <w:p>
      <w:pPr>
        <w:spacing w:after="0" w:line="171" w:lineRule="exact"/>
        <w:rPr>
          <w:sz w:val="20"/>
          <w:szCs w:val="20"/>
          <w:color w:val="auto"/>
        </w:rPr>
      </w:pPr>
    </w:p>
    <w:p>
      <w:pPr>
        <w:ind w:right="2659" w:firstLine="1132"/>
        <w:spacing w:after="0" w:line="239" w:lineRule="auto"/>
        <w:tabs>
          <w:tab w:leader="none" w:pos="1513" w:val="left"/>
        </w:tabs>
        <w:numPr>
          <w:ilvl w:val="0"/>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quarterly and annual financial information that would be required to be contained in a filing with the SEC on Forms 10-Q and 10-K if the Company were required to file such Forms, including a "Management's Discussion and Analysis of Financial Condition and Results of Operations" and, with respect to the annual information only, a report on the annual financial statements by the Company's certified independent accountants; and</w:t>
      </w:r>
    </w:p>
    <w:p>
      <w:pPr>
        <w:spacing w:after="0" w:line="190" w:lineRule="exact"/>
        <w:rPr>
          <w:rFonts w:ascii="Courier New" w:cs="Courier New" w:eastAsia="Courier New" w:hAnsi="Courier New"/>
          <w:sz w:val="16"/>
          <w:szCs w:val="16"/>
          <w:color w:val="auto"/>
        </w:rPr>
      </w:pPr>
    </w:p>
    <w:p>
      <w:pPr>
        <w:ind w:right="2759" w:firstLine="1132"/>
        <w:spacing w:after="0" w:line="237" w:lineRule="auto"/>
        <w:tabs>
          <w:tab w:leader="none" w:pos="1513" w:val="left"/>
        </w:tabs>
        <w:numPr>
          <w:ilvl w:val="0"/>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current reports that would be required to be filed with the SEC on Form 8-K if the Company were required to file such reports.</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481" w:right="1440" w:bottom="1440" w:gutter="0" w:footer="0" w:header="0"/>
        </w:sectPr>
      </w:pPr>
    </w:p>
    <w:bookmarkStart w:id="287" w:name="page288"/>
    <w:bookmarkEnd w:id="287"/>
    <w:p>
      <w:pPr>
        <w:ind w:right="2659" w:firstLine="851"/>
        <w:spacing w:after="0" w:line="239" w:lineRule="auto"/>
        <w:rPr>
          <w:sz w:val="20"/>
          <w:szCs w:val="20"/>
          <w:color w:val="auto"/>
        </w:rPr>
      </w:pPr>
      <w:r>
        <w:rPr>
          <w:rFonts w:ascii="Courier New" w:cs="Courier New" w:eastAsia="Courier New" w:hAnsi="Courier New"/>
          <w:sz w:val="16"/>
          <w:szCs w:val="16"/>
          <w:color w:val="auto"/>
        </w:rPr>
        <w:t>In addition, whether or not required by the SEC, the Company shall file a copy of all of the information and reports referred to in clauses (1) and (2) above with the SEC for public availability within the time periods specified in the SEC's rules and regulations (unless the SEC will not accept such a filing) and make such information available to securities analysts and prospective investors upon request.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4.04 Compliance Certificate.</w:t>
      </w:r>
    </w:p>
    <w:p>
      <w:pPr>
        <w:spacing w:after="0" w:line="186" w:lineRule="exact"/>
        <w:rPr>
          <w:sz w:val="20"/>
          <w:szCs w:val="20"/>
          <w:color w:val="auto"/>
        </w:rPr>
      </w:pPr>
    </w:p>
    <w:p>
      <w:pPr>
        <w:ind w:right="2659" w:firstLine="848"/>
        <w:spacing w:after="0"/>
        <w:tabs>
          <w:tab w:leader="none" w:pos="1229" w:val="left"/>
        </w:tabs>
        <w:numPr>
          <w:ilvl w:val="0"/>
          <w:numId w:val="3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Guarantor shall (to the extent that such Guarantor is so required under the TIA) deliver to the Trustee within 90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shall have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Company is taking or proposes to take with respect thereto. For purposes of this paragraph, such compliance shall be determined without regard to any period of grace or requirement of notice provided under this Indenture.</w:t>
      </w:r>
    </w:p>
    <w:p>
      <w:pPr>
        <w:spacing w:after="0" w:line="195" w:lineRule="exact"/>
        <w:rPr>
          <w:rFonts w:ascii="Courier New" w:cs="Courier New" w:eastAsia="Courier New" w:hAnsi="Courier New"/>
          <w:sz w:val="16"/>
          <w:szCs w:val="16"/>
          <w:color w:val="auto"/>
        </w:rPr>
      </w:pPr>
    </w:p>
    <w:p>
      <w:pPr>
        <w:ind w:right="2759" w:firstLine="848"/>
        <w:spacing w:after="0" w:line="257" w:lineRule="auto"/>
        <w:tabs>
          <w:tab w:leader="none" w:pos="1229"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not contrary to the then current recommendations of the American Institute of Certified Public Accountants, the year-end financial statements delivered pursuant to Section 4.03 hereof shall be accompanied by a written statement of the Company's independent public accountants (who shall be a firm of established national reputation) that in making the examination necessary for certification of such financial statements, nothing has come to their attention that would lead them to believe that the Company has violated any provisions of Article 4 or Article 5 hereof or, if any such violation has occurred, specifying the nature and period of existence thereof, it being understood that such accountants shall not be liable directly or indirectly to any Person for any failure to obtain knowledge of any such violation.</w:t>
      </w:r>
    </w:p>
    <w:p>
      <w:pPr>
        <w:spacing w:after="0" w:line="181" w:lineRule="exact"/>
        <w:rPr>
          <w:rFonts w:ascii="Courier New" w:cs="Courier New" w:eastAsia="Courier New" w:hAnsi="Courier New"/>
          <w:sz w:val="15"/>
          <w:szCs w:val="15"/>
          <w:color w:val="auto"/>
        </w:rPr>
      </w:pPr>
    </w:p>
    <w:p>
      <w:pPr>
        <w:ind w:right="2659" w:firstLine="848"/>
        <w:spacing w:after="0" w:line="239" w:lineRule="auto"/>
        <w:tabs>
          <w:tab w:leader="none" w:pos="1229" w:val="left"/>
        </w:tabs>
        <w:numPr>
          <w:ilvl w:val="0"/>
          <w:numId w:val="3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so long as any of the Notes are outstanding, deliver to the Trustee, forthwith upon any Officer becoming aware of any Default or Event of Default, an Officers' Certificate specifying such Default or Event of Default and what action the Company is taking or proposes to take with respect thereto.</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4.05 Taxes.</w:t>
      </w:r>
    </w:p>
    <w:p>
      <w:pPr>
        <w:spacing w:after="0" w:line="186"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The Company shall pay, and shall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481" w:right="1440" w:bottom="1440" w:gutter="0" w:footer="0" w:header="0"/>
        </w:sectPr>
      </w:pPr>
    </w:p>
    <w:bookmarkStart w:id="288" w:name="page289"/>
    <w:bookmarkEnd w:id="288"/>
    <w:p>
      <w:pPr>
        <w:spacing w:after="0"/>
        <w:rPr>
          <w:sz w:val="20"/>
          <w:szCs w:val="20"/>
          <w:color w:val="auto"/>
        </w:rPr>
      </w:pPr>
      <w:r>
        <w:rPr>
          <w:rFonts w:ascii="Courier New" w:cs="Courier New" w:eastAsia="Courier New" w:hAnsi="Courier New"/>
          <w:sz w:val="16"/>
          <w:szCs w:val="16"/>
          <w:color w:val="auto"/>
        </w:rPr>
        <w:t>SECTION 4.06 Stay, Extension and Usury Laws.</w:t>
      </w:r>
    </w:p>
    <w:p>
      <w:pPr>
        <w:spacing w:after="0" w:line="186" w:lineRule="exact"/>
        <w:rPr>
          <w:sz w:val="20"/>
          <w:szCs w:val="20"/>
          <w:color w:val="auto"/>
        </w:rPr>
      </w:pPr>
    </w:p>
    <w:p>
      <w:pPr>
        <w:ind w:right="2659" w:firstLine="851"/>
        <w:spacing w:after="0" w:line="258" w:lineRule="auto"/>
        <w:rPr>
          <w:sz w:val="20"/>
          <w:szCs w:val="20"/>
          <w:color w:val="auto"/>
        </w:rPr>
      </w:pPr>
      <w:r>
        <w:rPr>
          <w:rFonts w:ascii="Courier New" w:cs="Courier New" w:eastAsia="Courier New" w:hAnsi="Courier New"/>
          <w:sz w:val="15"/>
          <w:szCs w:val="15"/>
          <w:color w:val="auto"/>
        </w:rPr>
        <w:t>The Company and each of the Guarantors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of the Guarantors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4.07 Restricted Payments.</w:t>
      </w:r>
    </w:p>
    <w:p>
      <w:pPr>
        <w:spacing w:after="0" w:line="186" w:lineRule="exact"/>
        <w:rPr>
          <w:sz w:val="20"/>
          <w:szCs w:val="20"/>
          <w:color w:val="auto"/>
        </w:rPr>
      </w:pPr>
    </w:p>
    <w:p>
      <w:pPr>
        <w:ind w:right="3219" w:firstLine="851"/>
        <w:spacing w:after="0" w:line="237" w:lineRule="auto"/>
        <w:rPr>
          <w:sz w:val="20"/>
          <w:szCs w:val="20"/>
          <w:color w:val="auto"/>
        </w:rPr>
      </w:pPr>
      <w:r>
        <w:rPr>
          <w:rFonts w:ascii="Courier New" w:cs="Courier New" w:eastAsia="Courier New" w:hAnsi="Courier New"/>
          <w:sz w:val="16"/>
          <w:szCs w:val="16"/>
          <w:color w:val="auto"/>
        </w:rPr>
        <w:t>The Company shall not, and shall not permit any of its Restricted Subsidiaries to, directly or indirectly:</w:t>
      </w:r>
    </w:p>
    <w:p>
      <w:pPr>
        <w:spacing w:after="0" w:line="188" w:lineRule="exact"/>
        <w:rPr>
          <w:sz w:val="20"/>
          <w:szCs w:val="20"/>
          <w:color w:val="auto"/>
        </w:rPr>
      </w:pPr>
    </w:p>
    <w:p>
      <w:pPr>
        <w:ind w:right="2659" w:firstLine="1132"/>
        <w:spacing w:after="0" w:line="258" w:lineRule="auto"/>
        <w:tabs>
          <w:tab w:leader="none" w:pos="1513"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pay any dividend or make any other payment or distribution on account of the Company's Equity Interests (including, without limitation, any payment in connection with any merger or consolidation involving the Company) or to the direct or indirect holders of the Company's Equity Interests in their capacity as such (other than dividends or distributions payable in Equity Interests (other than Disqualified Stock) of the Company);</w:t>
      </w:r>
    </w:p>
    <w:p>
      <w:pPr>
        <w:spacing w:after="0" w:line="177" w:lineRule="exact"/>
        <w:rPr>
          <w:rFonts w:ascii="Courier New" w:cs="Courier New" w:eastAsia="Courier New" w:hAnsi="Courier New"/>
          <w:sz w:val="15"/>
          <w:szCs w:val="15"/>
          <w:color w:val="auto"/>
        </w:rPr>
      </w:pPr>
    </w:p>
    <w:p>
      <w:pPr>
        <w:ind w:right="2839" w:firstLine="1132"/>
        <w:spacing w:after="0" w:line="239" w:lineRule="auto"/>
        <w:tabs>
          <w:tab w:leader="none" w:pos="1513" w:val="left"/>
        </w:tabs>
        <w:numPr>
          <w:ilvl w:val="0"/>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redeem or otherwise acquire or retire for value (including, without limitation, in connection with any merger or consolidation involving the Company) any Equity Interests of the Company or any direct or indirect parent of the Company, in each case held by Persons other than the Company or a Restricted Subsidiary of the Company;</w:t>
      </w:r>
    </w:p>
    <w:p>
      <w:pPr>
        <w:spacing w:after="0" w:line="188" w:lineRule="exact"/>
        <w:rPr>
          <w:rFonts w:ascii="Courier New" w:cs="Courier New" w:eastAsia="Courier New" w:hAnsi="Courier New"/>
          <w:sz w:val="16"/>
          <w:szCs w:val="16"/>
          <w:color w:val="auto"/>
        </w:rPr>
      </w:pPr>
    </w:p>
    <w:p>
      <w:pPr>
        <w:ind w:right="3039" w:firstLine="1132"/>
        <w:spacing w:after="0" w:line="239" w:lineRule="auto"/>
        <w:tabs>
          <w:tab w:leader="none" w:pos="1513" w:val="left"/>
        </w:tabs>
        <w:numPr>
          <w:ilvl w:val="0"/>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payment on or with respect to, or purchase, redeem, defease or otherwise acquire or retire for value any Indebtedness that is subordinated to the Notes or the Subsidiary Guarantees, except a payment of interest or principal at the Stated Maturity thereof; or</w:t>
      </w:r>
    </w:p>
    <w:p>
      <w:pPr>
        <w:spacing w:after="0" w:line="187" w:lineRule="exact"/>
        <w:rPr>
          <w:rFonts w:ascii="Courier New" w:cs="Courier New" w:eastAsia="Courier New" w:hAnsi="Courier New"/>
          <w:sz w:val="16"/>
          <w:szCs w:val="16"/>
          <w:color w:val="auto"/>
        </w:rPr>
      </w:pPr>
    </w:p>
    <w:p>
      <w:pPr>
        <w:ind w:right="2839" w:firstLine="1132"/>
        <w:spacing w:after="0" w:line="238" w:lineRule="auto"/>
        <w:tabs>
          <w:tab w:leader="none" w:pos="1513" w:val="left"/>
        </w:tabs>
        <w:numPr>
          <w:ilvl w:val="0"/>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Restricted Investment (all such payments and other actions set forth in clauses (1) through (4) above being collectively referred to as "Restricted Payments"),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unless, at the time of and after giving effect to such Restricted Payment:</w:t>
      </w:r>
    </w:p>
    <w:p>
      <w:pPr>
        <w:spacing w:after="0" w:line="186" w:lineRule="exact"/>
        <w:rPr>
          <w:sz w:val="20"/>
          <w:szCs w:val="20"/>
          <w:color w:val="auto"/>
        </w:rPr>
      </w:pPr>
    </w:p>
    <w:p>
      <w:pPr>
        <w:ind w:right="3319" w:firstLine="1132"/>
        <w:spacing w:after="0" w:line="237" w:lineRule="auto"/>
        <w:tabs>
          <w:tab w:leader="none" w:pos="1513" w:val="left"/>
        </w:tabs>
        <w:numPr>
          <w:ilvl w:val="0"/>
          <w:numId w:val="3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shall have occurred and be continuing or would occur as a consequence thereof; and</w:t>
      </w:r>
    </w:p>
    <w:p>
      <w:pPr>
        <w:spacing w:after="0" w:line="187" w:lineRule="exact"/>
        <w:rPr>
          <w:rFonts w:ascii="Courier New" w:cs="Courier New" w:eastAsia="Courier New" w:hAnsi="Courier New"/>
          <w:sz w:val="16"/>
          <w:szCs w:val="16"/>
          <w:color w:val="auto"/>
        </w:rPr>
      </w:pPr>
    </w:p>
    <w:p>
      <w:pPr>
        <w:ind w:right="2659" w:firstLine="1132"/>
        <w:spacing w:after="0" w:line="259" w:lineRule="auto"/>
        <w:tabs>
          <w:tab w:leader="none" w:pos="1513"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the first paragraph of Section 4.09 hereof; and</w:t>
      </w:r>
    </w:p>
    <w:p>
      <w:pPr>
        <w:spacing w:after="0" w:line="17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477" w:right="1440" w:bottom="1440" w:gutter="0" w:footer="0" w:header="0"/>
        </w:sectPr>
      </w:pPr>
    </w:p>
    <w:bookmarkStart w:id="289" w:name="page290"/>
    <w:bookmarkEnd w:id="289"/>
    <w:p>
      <w:pPr>
        <w:ind w:right="2759" w:firstLine="1132"/>
        <w:spacing w:after="0" w:line="239" w:lineRule="auto"/>
        <w:tabs>
          <w:tab w:leader="none" w:pos="1513"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Restricted Payment, together with the aggregate amount of all other Restricted Payments made by the Company and its Restricted Subsidiaries after the date hereof (excluding Restricted Payments permitted by clause (2), (3) or (4) of the next succeeding paragraph), is less than the sum, without duplication, of:</w:t>
      </w:r>
    </w:p>
    <w:p>
      <w:pPr>
        <w:spacing w:after="0" w:line="188" w:lineRule="exact"/>
        <w:rPr>
          <w:rFonts w:ascii="Courier New" w:cs="Courier New" w:eastAsia="Courier New" w:hAnsi="Courier New"/>
          <w:sz w:val="16"/>
          <w:szCs w:val="16"/>
          <w:color w:val="auto"/>
        </w:rPr>
      </w:pPr>
    </w:p>
    <w:p>
      <w:pPr>
        <w:ind w:right="2659" w:firstLine="1416"/>
        <w:spacing w:after="0" w:line="239" w:lineRule="auto"/>
        <w:tabs>
          <w:tab w:leader="none" w:pos="1797" w:val="left"/>
        </w:tabs>
        <w:numPr>
          <w:ilvl w:val="1"/>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 of the Consolidated Net Income of the Company for the period (taken as one accounting period) from December 29, 2002 to the end of the Company's most recently ended fiscal quarter for which internal financial statements are available at the time of such Restricted Payment (or, if such Consolidated Net Income for such period is a deficit, less 100% of such deficit); plus</w:t>
      </w:r>
    </w:p>
    <w:p>
      <w:pPr>
        <w:spacing w:after="0" w:line="190" w:lineRule="exact"/>
        <w:rPr>
          <w:rFonts w:ascii="Courier New" w:cs="Courier New" w:eastAsia="Courier New" w:hAnsi="Courier New"/>
          <w:sz w:val="16"/>
          <w:szCs w:val="16"/>
          <w:color w:val="auto"/>
        </w:rPr>
      </w:pPr>
    </w:p>
    <w:p>
      <w:pPr>
        <w:ind w:right="2759" w:firstLine="1416"/>
        <w:spacing w:after="0" w:line="239" w:lineRule="auto"/>
        <w:tabs>
          <w:tab w:leader="none" w:pos="1797" w:val="left"/>
        </w:tabs>
        <w:numPr>
          <w:ilvl w:val="1"/>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 of the aggregate net cash proceeds received by the Company since the date hereof as a contribution to its common equity capital or from the issue or sale of Equity Interests of the Company (other than Disqualified Stock) or from the issue or sale of Disqualified Stock or debt securities of the Company that have been converted into or exchanged for such Equity Interests (other than Equity Interests (or Disqualified Stock or debt securities) sold to a Subsidiary of the Company); plus</w:t>
      </w:r>
    </w:p>
    <w:p>
      <w:pPr>
        <w:spacing w:after="0" w:line="191" w:lineRule="exact"/>
        <w:rPr>
          <w:rFonts w:ascii="Courier New" w:cs="Courier New" w:eastAsia="Courier New" w:hAnsi="Courier New"/>
          <w:sz w:val="16"/>
          <w:szCs w:val="16"/>
          <w:color w:val="auto"/>
        </w:rPr>
      </w:pPr>
    </w:p>
    <w:p>
      <w:pPr>
        <w:ind w:right="2939" w:firstLine="1416"/>
        <w:spacing w:after="0" w:line="239" w:lineRule="auto"/>
        <w:tabs>
          <w:tab w:leader="none" w:pos="1797" w:val="left"/>
        </w:tabs>
        <w:numPr>
          <w:ilvl w:val="1"/>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any Restricted Investment that was made after the date hereof is sold for cash or otherwise liquidated or repaid for cash, the lesser of (i) the cash return of capital with respect to such Restricted Investment (less the cost of disposition, if any) and (ii) the initial amount of such Restricted Investment.</w:t>
      </w:r>
    </w:p>
    <w:p>
      <w:pPr>
        <w:spacing w:after="0" w:line="189" w:lineRule="exact"/>
        <w:rPr>
          <w:sz w:val="20"/>
          <w:szCs w:val="20"/>
          <w:color w:val="auto"/>
        </w:rPr>
      </w:pPr>
    </w:p>
    <w:p>
      <w:pPr>
        <w:ind w:right="2659" w:firstLine="851"/>
        <w:spacing w:after="0" w:line="237" w:lineRule="auto"/>
        <w:rPr>
          <w:sz w:val="20"/>
          <w:szCs w:val="20"/>
          <w:color w:val="auto"/>
        </w:rPr>
      </w:pPr>
      <w:r>
        <w:rPr>
          <w:rFonts w:ascii="Courier New" w:cs="Courier New" w:eastAsia="Courier New" w:hAnsi="Courier New"/>
          <w:sz w:val="16"/>
          <w:szCs w:val="16"/>
          <w:color w:val="auto"/>
        </w:rPr>
        <w:t>So long as no Default has occurred and is continuing or would be caused thereby, the preceding provisions shall not prohibit:</w:t>
      </w:r>
    </w:p>
    <w:p>
      <w:pPr>
        <w:spacing w:after="0" w:line="188" w:lineRule="exact"/>
        <w:rPr>
          <w:sz w:val="20"/>
          <w:szCs w:val="20"/>
          <w:color w:val="auto"/>
        </w:rPr>
      </w:pPr>
    </w:p>
    <w:p>
      <w:pPr>
        <w:ind w:right="3039" w:firstLine="1132"/>
        <w:spacing w:after="0" w:line="238" w:lineRule="auto"/>
        <w:tabs>
          <w:tab w:leader="none" w:pos="1513"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any dividend within 60 days after the date of declaration thereof, if at said date of declaration such payment would have complied with the provisions of this Indenture;</w:t>
      </w:r>
    </w:p>
    <w:p>
      <w:pPr>
        <w:spacing w:after="0" w:line="188" w:lineRule="exact"/>
        <w:rPr>
          <w:rFonts w:ascii="Courier New" w:cs="Courier New" w:eastAsia="Courier New" w:hAnsi="Courier New"/>
          <w:sz w:val="16"/>
          <w:szCs w:val="16"/>
          <w:color w:val="auto"/>
        </w:rPr>
      </w:pPr>
    </w:p>
    <w:p>
      <w:pPr>
        <w:ind w:right="2659" w:firstLine="1132"/>
        <w:spacing w:after="0"/>
        <w:tabs>
          <w:tab w:leader="none" w:pos="1513"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repurchase, retirement, defeasance or other acquisition of any subordinated Indebtedness of the Company or any of its Restricted Subsidiaries or any Equity Interests of the Company or any of its Restricted Subsidiaries in exchange for, or out of the net cash proceeds of the substantially concurrent sale (other than to a Restricted Subsidiary of the Company) of, Equity Interests of the Company (other than Disqualified Stock); provided that the amount of any such net cash proceeds that are utilized for any such redemption, repurchase, retirement, defeasance or other acquisition shall be excluded from clause (3)(b) of the preceding paragraph;</w:t>
      </w:r>
    </w:p>
    <w:p>
      <w:pPr>
        <w:spacing w:after="0" w:line="187" w:lineRule="exact"/>
        <w:rPr>
          <w:rFonts w:ascii="Courier New" w:cs="Courier New" w:eastAsia="Courier New" w:hAnsi="Courier New"/>
          <w:sz w:val="16"/>
          <w:szCs w:val="16"/>
          <w:color w:val="auto"/>
        </w:rPr>
      </w:pPr>
    </w:p>
    <w:p>
      <w:pPr>
        <w:ind w:right="2659" w:firstLine="1132"/>
        <w:spacing w:after="0" w:line="239" w:lineRule="auto"/>
        <w:tabs>
          <w:tab w:leader="none" w:pos="1513"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repurchase, retirement, defeasance or other acquisition of subordinated Indebtedness or Disqualified Stock of the Company or any of its Restricted Subsidiaries with the net cash proceeds from an incurrence of Permitted Refinancing Indebtedness;</w:t>
      </w:r>
    </w:p>
    <w:p>
      <w:pPr>
        <w:spacing w:after="0" w:line="187" w:lineRule="exact"/>
        <w:rPr>
          <w:rFonts w:ascii="Courier New" w:cs="Courier New" w:eastAsia="Courier New" w:hAnsi="Courier New"/>
          <w:sz w:val="16"/>
          <w:szCs w:val="16"/>
          <w:color w:val="auto"/>
        </w:rPr>
      </w:pPr>
    </w:p>
    <w:p>
      <w:pPr>
        <w:ind w:right="2659" w:firstLine="1132"/>
        <w:spacing w:after="0" w:line="239" w:lineRule="auto"/>
        <w:tabs>
          <w:tab w:leader="none" w:pos="1513"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repurchase, redemption or other acquisition or retirement for value of any Equity Interests of the Company or any Restricted Subsidiary of the Company held by any member of the Company's (or any of its Restricted Subsidiaries') management pursuant to any management equity subscription agreement or stock option agreement; provided that the</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481" w:right="1440" w:bottom="1440" w:gutter="0" w:footer="0" w:header="0"/>
        </w:sectPr>
      </w:pPr>
    </w:p>
    <w:bookmarkStart w:id="290" w:name="page291"/>
    <w:bookmarkEnd w:id="290"/>
    <w:p>
      <w:pPr>
        <w:ind w:right="3039"/>
        <w:spacing w:after="0" w:line="267" w:lineRule="auto"/>
        <w:rPr>
          <w:sz w:val="20"/>
          <w:szCs w:val="20"/>
          <w:color w:val="auto"/>
        </w:rPr>
      </w:pPr>
      <w:r>
        <w:rPr>
          <w:rFonts w:ascii="Courier New" w:cs="Courier New" w:eastAsia="Courier New" w:hAnsi="Courier New"/>
          <w:sz w:val="15"/>
          <w:szCs w:val="15"/>
          <w:color w:val="auto"/>
        </w:rPr>
        <w:t>aggregate price paid for all such repurchased, redeemed, acquired or retired Equity Interests shall not exceed $5.0 million in any twelve-month period.</w:t>
      </w:r>
    </w:p>
    <w:p>
      <w:pPr>
        <w:spacing w:after="0" w:line="168" w:lineRule="exact"/>
        <w:rPr>
          <w:sz w:val="20"/>
          <w:szCs w:val="20"/>
          <w:color w:val="auto"/>
        </w:rPr>
      </w:pPr>
    </w:p>
    <w:p>
      <w:pPr>
        <w:ind w:right="2939" w:firstLine="1132"/>
        <w:spacing w:after="0" w:line="238" w:lineRule="auto"/>
        <w:tabs>
          <w:tab w:leader="none" w:pos="1513" w:val="left"/>
        </w:tabs>
        <w:numPr>
          <w:ilvl w:val="0"/>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Payments in an amount not to exceed $50.0 million; provided that the amount of such Restricted Payments will be included in the calculation of the amount of Restricted Payments.</w:t>
      </w:r>
    </w:p>
    <w:p>
      <w:pPr>
        <w:spacing w:after="0" w:line="188"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The amount of all Restricted Payments (other than cash) shall be the fair market value on the date of the Restricted Payment of the asset(s) or securities proposed to be transferred or issued by the Company or such Restricted Subsidiary, as the case may be, pursuant to the Restricted Payment. The fair market value of any assets or securities that are required to be valued by this covenant shall be determined in good faith by the Board of Directors whose resolution with respect thereto shall be delivered to the Trustee. Not later than the date of making any Restricted Payment other than payments pursuant to paragraphs (2), (3), (4) or (5) of the preceding paragraph, the Company shall deliver to the Trustee an Officers' Certificate stating that such Restricted Payment is permitted and setting forth the basis upon which the calculations required by this Section 4.07 were computed.</w:t>
      </w:r>
    </w:p>
    <w:p>
      <w:pPr>
        <w:spacing w:after="0" w:line="189" w:lineRule="exact"/>
        <w:rPr>
          <w:sz w:val="20"/>
          <w:szCs w:val="20"/>
          <w:color w:val="auto"/>
        </w:rPr>
      </w:pPr>
    </w:p>
    <w:p>
      <w:pPr>
        <w:ind w:right="2839" w:firstLine="851"/>
        <w:spacing w:after="0" w:line="239" w:lineRule="auto"/>
        <w:rPr>
          <w:sz w:val="20"/>
          <w:szCs w:val="20"/>
          <w:color w:val="auto"/>
        </w:rPr>
      </w:pPr>
      <w:r>
        <w:rPr>
          <w:rFonts w:ascii="Courier New" w:cs="Courier New" w:eastAsia="Courier New" w:hAnsi="Courier New"/>
          <w:sz w:val="16"/>
          <w:szCs w:val="16"/>
          <w:color w:val="auto"/>
        </w:rPr>
        <w:t>Notwithstanding the foregoing, if any payment is made pursuant to the second paragraph of this covenant and at the time of such payment there was a Default (other than any Default caused thereby) that had occurred and was continuing, then such payment shall not cause a Default under this covenant if the pre-existing Default shall have been cured or waived prior to such Default becoming an Event of Default.</w:t>
      </w:r>
    </w:p>
    <w:p>
      <w:pPr>
        <w:spacing w:after="0" w:line="190" w:lineRule="exact"/>
        <w:rPr>
          <w:sz w:val="20"/>
          <w:szCs w:val="20"/>
          <w:color w:val="auto"/>
        </w:rPr>
      </w:pPr>
    </w:p>
    <w:p>
      <w:pPr>
        <w:ind w:right="2659" w:firstLine="851"/>
        <w:spacing w:after="0" w:line="257" w:lineRule="auto"/>
        <w:rPr>
          <w:sz w:val="20"/>
          <w:szCs w:val="20"/>
          <w:color w:val="auto"/>
        </w:rPr>
      </w:pPr>
      <w:r>
        <w:rPr>
          <w:rFonts w:ascii="Courier New" w:cs="Courier New" w:eastAsia="Courier New" w:hAnsi="Courier New"/>
          <w:sz w:val="15"/>
          <w:szCs w:val="15"/>
          <w:color w:val="auto"/>
        </w:rPr>
        <w:t>The Board of Directors may designate any Restricted Subsidiary to be an Unrestricted Subsidiary if the designation would not cause a Default. All outstanding Investments owned by the Company and its Restricted Subsidiaries in the designated Unrestricted Subsidiary will be treated as an Investment made at the time of the designation and will reduce the amount available for Restricted Payments under the first paragraph of this Section 4.07 or Permitted Investments, as applicable. All such outstanding Investments will be treated as Restricted Investments equal to the fair market value of such Investments at the time of the designation. The designation shall not be permitted if such Restricted Payment would not be permitted at that time and if such Restricted Subsidiary does not otherwise meet the definition of an Unrestricted Subsidiary. The Board of Directors may redesignate any Unrestricted Subsidiary to be a Restricted Subsidiary if that redesignation would not cause a Default.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4.08 Dividend and Other Payment Restrictions Affecting Subsidiaries.</w:t>
      </w:r>
    </w:p>
    <w:p>
      <w:pPr>
        <w:spacing w:after="0" w:line="186" w:lineRule="exact"/>
        <w:rPr>
          <w:sz w:val="20"/>
          <w:szCs w:val="20"/>
          <w:color w:val="auto"/>
        </w:rPr>
      </w:pPr>
    </w:p>
    <w:p>
      <w:pPr>
        <w:ind w:right="3039" w:firstLine="851"/>
        <w:spacing w:after="0" w:line="239" w:lineRule="auto"/>
        <w:rPr>
          <w:sz w:val="20"/>
          <w:szCs w:val="20"/>
          <w:color w:val="auto"/>
        </w:rPr>
      </w:pPr>
      <w:r>
        <w:rPr>
          <w:rFonts w:ascii="Courier New" w:cs="Courier New" w:eastAsia="Courier New" w:hAnsi="Courier New"/>
          <w:sz w:val="16"/>
          <w:szCs w:val="16"/>
          <w:color w:val="auto"/>
        </w:rPr>
        <w:t>The Company shall not, and shall not permit any of its Restricted Subsidiaries to, directly or indirectly, create or permit to exist or become effective any encumbrance or restriction on the ability of any Restricted Subsidiary to:</w:t>
      </w:r>
    </w:p>
    <w:p>
      <w:pPr>
        <w:spacing w:after="0" w:line="187" w:lineRule="exact"/>
        <w:rPr>
          <w:sz w:val="20"/>
          <w:szCs w:val="20"/>
          <w:color w:val="auto"/>
        </w:rPr>
      </w:pPr>
    </w:p>
    <w:p>
      <w:pPr>
        <w:ind w:right="2759" w:firstLine="1132"/>
        <w:spacing w:after="0" w:line="239" w:lineRule="auto"/>
        <w:tabs>
          <w:tab w:leader="none" w:pos="1513" w:val="left"/>
        </w:tabs>
        <w:numPr>
          <w:ilvl w:val="0"/>
          <w:numId w:val="3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dividends or make any other distributions on its Capital Stock to the Company or any of the Company's Restricted Subsidiaries, or with respect to any other interest or participation in, or measured by, its profits, or pay any indebtedness owed to the Company or any of the Company Restricted Subsidiaries;</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481" w:right="1440" w:bottom="1440" w:gutter="0" w:footer="0" w:header="0"/>
        </w:sectPr>
      </w:pPr>
    </w:p>
    <w:bookmarkStart w:id="291" w:name="page292"/>
    <w:bookmarkEnd w:id="291"/>
    <w:p>
      <w:pPr>
        <w:ind w:right="2939" w:firstLine="1132"/>
        <w:spacing w:after="0" w:line="237" w:lineRule="auto"/>
        <w:tabs>
          <w:tab w:leader="none" w:pos="1513" w:val="left"/>
        </w:tabs>
        <w:numPr>
          <w:ilvl w:val="0"/>
          <w:numId w:val="3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loans or advances to the Company or any of the Company's Restricted Subsidiaries; or</w:t>
      </w:r>
    </w:p>
    <w:p>
      <w:pPr>
        <w:spacing w:after="0" w:line="187" w:lineRule="exact"/>
        <w:rPr>
          <w:rFonts w:ascii="Courier New" w:cs="Courier New" w:eastAsia="Courier New" w:hAnsi="Courier New"/>
          <w:sz w:val="16"/>
          <w:szCs w:val="16"/>
          <w:color w:val="auto"/>
        </w:rPr>
      </w:pPr>
    </w:p>
    <w:p>
      <w:pPr>
        <w:ind w:right="2839" w:firstLine="1132"/>
        <w:spacing w:after="0" w:line="237" w:lineRule="auto"/>
        <w:tabs>
          <w:tab w:leader="none" w:pos="1513" w:val="left"/>
        </w:tabs>
        <w:numPr>
          <w:ilvl w:val="0"/>
          <w:numId w:val="3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any of its properties or assets to the Company or any of the Company's Restricted Subsidiaries.</w:t>
      </w:r>
    </w:p>
    <w:p>
      <w:pPr>
        <w:spacing w:after="0" w:line="188" w:lineRule="exact"/>
        <w:rPr>
          <w:sz w:val="20"/>
          <w:szCs w:val="20"/>
          <w:color w:val="auto"/>
        </w:rPr>
      </w:pPr>
    </w:p>
    <w:p>
      <w:pPr>
        <w:ind w:right="2759" w:firstLine="851"/>
        <w:spacing w:after="0" w:line="237" w:lineRule="auto"/>
        <w:rPr>
          <w:sz w:val="20"/>
          <w:szCs w:val="20"/>
          <w:color w:val="auto"/>
        </w:rPr>
      </w:pPr>
      <w:r>
        <w:rPr>
          <w:rFonts w:ascii="Courier New" w:cs="Courier New" w:eastAsia="Courier New" w:hAnsi="Courier New"/>
          <w:sz w:val="16"/>
          <w:szCs w:val="16"/>
          <w:color w:val="auto"/>
        </w:rPr>
        <w:t>However, the preceding restrictions shall not apply to encumbrances or restrictions existing under or by reason of:</w:t>
      </w:r>
    </w:p>
    <w:p>
      <w:pPr>
        <w:spacing w:after="0" w:line="188" w:lineRule="exact"/>
        <w:rPr>
          <w:sz w:val="20"/>
          <w:szCs w:val="20"/>
          <w:color w:val="auto"/>
        </w:rPr>
      </w:pPr>
    </w:p>
    <w:p>
      <w:pPr>
        <w:ind w:right="2659" w:firstLine="1132"/>
        <w:spacing w:after="0" w:line="239" w:lineRule="auto"/>
        <w:tabs>
          <w:tab w:leader="none" w:pos="1513" w:val="left"/>
        </w:tabs>
        <w:numPr>
          <w:ilvl w:val="0"/>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Existing Indebtedness as in effect on the date hereof and any amendments, modifications, restatements, renewals, increases, supplements, refundings, replacements or refinancings thereof, provided that such amendments, modifications, restatements, renewals, increases, supplements, refundings, replacement or refinancings are no more restrictive, taken as a whole, with respect to such dividend and other payment restrictions than those contained in such Existing Indebtedness, as in effect on the date hereof;</w:t>
      </w:r>
    </w:p>
    <w:p>
      <w:pPr>
        <w:spacing w:after="0" w:line="191" w:lineRule="exact"/>
        <w:rPr>
          <w:rFonts w:ascii="Courier New" w:cs="Courier New" w:eastAsia="Courier New" w:hAnsi="Courier New"/>
          <w:sz w:val="16"/>
          <w:szCs w:val="16"/>
          <w:color w:val="auto"/>
        </w:rPr>
      </w:pPr>
    </w:p>
    <w:p>
      <w:pPr>
        <w:ind w:right="2839" w:firstLine="1132"/>
        <w:spacing w:after="0" w:line="237" w:lineRule="auto"/>
        <w:tabs>
          <w:tab w:leader="none" w:pos="1513" w:val="left"/>
        </w:tabs>
        <w:numPr>
          <w:ilvl w:val="0"/>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Indenture, the Series A Notes, the Subsidiary Guarantees, the Series B Notes and the Guarantees thereof;</w:t>
      </w:r>
    </w:p>
    <w:p>
      <w:pPr>
        <w:spacing w:after="0" w:line="183" w:lineRule="exact"/>
        <w:rPr>
          <w:rFonts w:ascii="Courier New" w:cs="Courier New" w:eastAsia="Courier New" w:hAnsi="Courier New"/>
          <w:sz w:val="16"/>
          <w:szCs w:val="16"/>
          <w:color w:val="auto"/>
        </w:rPr>
      </w:pPr>
    </w:p>
    <w:p>
      <w:pPr>
        <w:ind w:left="1520" w:hanging="388"/>
        <w:spacing w:after="0"/>
        <w:tabs>
          <w:tab w:leader="none" w:pos="1520" w:val="left"/>
        </w:tabs>
        <w:numPr>
          <w:ilvl w:val="0"/>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law;</w:t>
      </w:r>
    </w:p>
    <w:p>
      <w:pPr>
        <w:spacing w:after="0" w:line="186" w:lineRule="exact"/>
        <w:rPr>
          <w:rFonts w:ascii="Courier New" w:cs="Courier New" w:eastAsia="Courier New" w:hAnsi="Courier New"/>
          <w:sz w:val="16"/>
          <w:szCs w:val="16"/>
          <w:color w:val="auto"/>
        </w:rPr>
      </w:pPr>
    </w:p>
    <w:p>
      <w:pPr>
        <w:ind w:right="2659" w:firstLine="1132"/>
        <w:spacing w:after="0"/>
        <w:tabs>
          <w:tab w:leader="none" w:pos="1513" w:val="left"/>
        </w:tabs>
        <w:numPr>
          <w:ilvl w:val="0"/>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instrument governing Indebtedness or Capital Stock of a Person acquired by the Company or any of its Restricted Subsidiaries as in effect at the time of such acquisition (except to the extent such Indebtedness was incurred in connection with or in contemplation of such acquisition), which encumbrance or restriction is not applicable to any Person, or the properties or assets of any Person, other than the Person, or the property or assets of the Person, so acquired, provided that, in the case of Indebtedness, such Indebtedness was permitted by the terms of this Indenture to be incurred;</w:t>
      </w:r>
    </w:p>
    <w:p>
      <w:pPr>
        <w:spacing w:after="0" w:line="186" w:lineRule="exact"/>
        <w:rPr>
          <w:rFonts w:ascii="Courier New" w:cs="Courier New" w:eastAsia="Courier New" w:hAnsi="Courier New"/>
          <w:sz w:val="16"/>
          <w:szCs w:val="16"/>
          <w:color w:val="auto"/>
        </w:rPr>
      </w:pPr>
    </w:p>
    <w:p>
      <w:pPr>
        <w:ind w:right="2839" w:firstLine="1132"/>
        <w:spacing w:after="0" w:line="238" w:lineRule="auto"/>
        <w:tabs>
          <w:tab w:leader="none" w:pos="1513" w:val="left"/>
        </w:tabs>
        <w:numPr>
          <w:ilvl w:val="0"/>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customary non-assignment provisions in leases, licenses, contracts and other agreements entered into in the ordinary course of business and consistent with past practices;</w:t>
      </w:r>
    </w:p>
    <w:p>
      <w:pPr>
        <w:spacing w:after="0" w:line="188" w:lineRule="exact"/>
        <w:rPr>
          <w:rFonts w:ascii="Courier New" w:cs="Courier New" w:eastAsia="Courier New" w:hAnsi="Courier New"/>
          <w:sz w:val="16"/>
          <w:szCs w:val="16"/>
          <w:color w:val="auto"/>
        </w:rPr>
      </w:pPr>
    </w:p>
    <w:p>
      <w:pPr>
        <w:ind w:right="2659" w:firstLine="1132"/>
        <w:spacing w:after="0" w:line="238" w:lineRule="auto"/>
        <w:tabs>
          <w:tab w:leader="none" w:pos="1513" w:val="left"/>
        </w:tabs>
        <w:numPr>
          <w:ilvl w:val="0"/>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money obligations for property acquired in the ordinary course of business that impose restrictions on the property so acquired of the nature described in clause (3) of the preceding paragraph;</w:t>
      </w:r>
    </w:p>
    <w:p>
      <w:pPr>
        <w:spacing w:after="0" w:line="188" w:lineRule="exact"/>
        <w:rPr>
          <w:rFonts w:ascii="Courier New" w:cs="Courier New" w:eastAsia="Courier New" w:hAnsi="Courier New"/>
          <w:sz w:val="16"/>
          <w:szCs w:val="16"/>
          <w:color w:val="auto"/>
        </w:rPr>
      </w:pPr>
    </w:p>
    <w:p>
      <w:pPr>
        <w:ind w:right="2759" w:firstLine="1132"/>
        <w:spacing w:after="0" w:line="238" w:lineRule="auto"/>
        <w:tabs>
          <w:tab w:leader="none" w:pos="1513" w:val="left"/>
        </w:tabs>
        <w:numPr>
          <w:ilvl w:val="0"/>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for the sale or other disposition of a Restricted Subsidiary that restricts distributions by such Restricted Subsidiary pending its sale or other disposition;</w:t>
      </w:r>
    </w:p>
    <w:p>
      <w:pPr>
        <w:spacing w:after="0" w:line="188" w:lineRule="exact"/>
        <w:rPr>
          <w:rFonts w:ascii="Courier New" w:cs="Courier New" w:eastAsia="Courier New" w:hAnsi="Courier New"/>
          <w:sz w:val="16"/>
          <w:szCs w:val="16"/>
          <w:color w:val="auto"/>
        </w:rPr>
      </w:pPr>
    </w:p>
    <w:p>
      <w:pPr>
        <w:ind w:right="2759" w:firstLine="1132"/>
        <w:spacing w:after="0" w:line="239" w:lineRule="auto"/>
        <w:tabs>
          <w:tab w:leader="none" w:pos="1513" w:val="left"/>
        </w:tabs>
        <w:numPr>
          <w:ilvl w:val="0"/>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Refinancing Indebtedness, provided that the restrictions contained in the agreements governing such Permitted Refinancing Indebtedness are no more restrictive, taken as a whole, than those contained in the agreements governing the Indebtedness being refinanced;</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481" w:right="1440" w:bottom="1440" w:gutter="0" w:footer="0" w:header="0"/>
        </w:sectPr>
      </w:pPr>
    </w:p>
    <w:bookmarkStart w:id="292" w:name="page293"/>
    <w:bookmarkEnd w:id="292"/>
    <w:p>
      <w:pPr>
        <w:ind w:right="2839" w:firstLine="1132"/>
        <w:spacing w:after="0" w:line="262" w:lineRule="auto"/>
        <w:tabs>
          <w:tab w:leader="none" w:pos="1513"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otherwise permitted to be incurred pursuant to Section 4.12 hereof that limit the right of the Company or any of its Restricted Subsidiaries to dispose of the assets subject to such Lien;</w:t>
      </w:r>
    </w:p>
    <w:p>
      <w:pPr>
        <w:spacing w:after="0" w:line="171" w:lineRule="exact"/>
        <w:rPr>
          <w:rFonts w:ascii="Courier New" w:cs="Courier New" w:eastAsia="Courier New" w:hAnsi="Courier New"/>
          <w:sz w:val="15"/>
          <w:szCs w:val="15"/>
          <w:color w:val="auto"/>
        </w:rPr>
      </w:pPr>
    </w:p>
    <w:p>
      <w:pPr>
        <w:ind w:right="2839" w:firstLine="1132"/>
        <w:spacing w:after="0" w:line="238" w:lineRule="auto"/>
        <w:tabs>
          <w:tab w:leader="none" w:pos="1608" w:val="left"/>
        </w:tabs>
        <w:numPr>
          <w:ilvl w:val="0"/>
          <w:numId w:val="3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provisions with respect to the disposition or distribution of assets or property in joint venture agreements and other similar agreements entered into in the ordinary course of business;</w:t>
      </w:r>
    </w:p>
    <w:p>
      <w:pPr>
        <w:spacing w:after="0" w:line="188" w:lineRule="exact"/>
        <w:rPr>
          <w:rFonts w:ascii="Courier New" w:cs="Courier New" w:eastAsia="Courier New" w:hAnsi="Courier New"/>
          <w:sz w:val="16"/>
          <w:szCs w:val="16"/>
          <w:color w:val="auto"/>
        </w:rPr>
      </w:pPr>
    </w:p>
    <w:p>
      <w:pPr>
        <w:ind w:right="3499" w:firstLine="1132"/>
        <w:spacing w:after="0" w:line="237" w:lineRule="auto"/>
        <w:tabs>
          <w:tab w:leader="none" w:pos="1608" w:val="left"/>
        </w:tabs>
        <w:numPr>
          <w:ilvl w:val="0"/>
          <w:numId w:val="3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customary provisions under Indebtedness of any Foreign Subsidiary permitted to be incurred under this Indenture;</w:t>
      </w:r>
    </w:p>
    <w:p>
      <w:pPr>
        <w:spacing w:after="0" w:line="187" w:lineRule="exact"/>
        <w:rPr>
          <w:rFonts w:ascii="Courier New" w:cs="Courier New" w:eastAsia="Courier New" w:hAnsi="Courier New"/>
          <w:sz w:val="16"/>
          <w:szCs w:val="16"/>
          <w:color w:val="auto"/>
        </w:rPr>
      </w:pPr>
    </w:p>
    <w:p>
      <w:pPr>
        <w:ind w:right="2759" w:firstLine="1132"/>
        <w:spacing w:after="0" w:line="267" w:lineRule="auto"/>
        <w:tabs>
          <w:tab w:leader="none" w:pos="1608"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cash or other deposits or net worth imposed by customers under contracts entered into in the ordinary course of business; and</w:t>
      </w:r>
    </w:p>
    <w:p>
      <w:pPr>
        <w:spacing w:after="0" w:line="167" w:lineRule="exact"/>
        <w:rPr>
          <w:rFonts w:ascii="Courier New" w:cs="Courier New" w:eastAsia="Courier New" w:hAnsi="Courier New"/>
          <w:sz w:val="15"/>
          <w:szCs w:val="15"/>
          <w:color w:val="auto"/>
        </w:rPr>
      </w:pPr>
    </w:p>
    <w:p>
      <w:pPr>
        <w:ind w:right="3799" w:firstLine="1132"/>
        <w:spacing w:after="0" w:line="237" w:lineRule="auto"/>
        <w:tabs>
          <w:tab w:leader="none" w:pos="1608" w:val="left"/>
        </w:tabs>
        <w:numPr>
          <w:ilvl w:val="0"/>
          <w:numId w:val="3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created in connection with a Qualified Securitization Transaction.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4.09 Incurrence of Indebtedness and Issuance of Preferred Stock.</w:t>
      </w:r>
    </w:p>
    <w:p>
      <w:pPr>
        <w:spacing w:after="0" w:line="186" w:lineRule="exact"/>
        <w:rPr>
          <w:sz w:val="20"/>
          <w:szCs w:val="20"/>
          <w:color w:val="auto"/>
        </w:rPr>
      </w:pPr>
    </w:p>
    <w:p>
      <w:pPr>
        <w:ind w:right="2659" w:firstLine="851"/>
        <w:spacing w:after="0" w:line="257" w:lineRule="auto"/>
        <w:rPr>
          <w:sz w:val="20"/>
          <w:szCs w:val="20"/>
          <w:color w:val="auto"/>
        </w:rPr>
      </w:pPr>
      <w:r>
        <w:rPr>
          <w:rFonts w:ascii="Courier New" w:cs="Courier New" w:eastAsia="Courier New" w:hAnsi="Courier New"/>
          <w:sz w:val="15"/>
          <w:szCs w:val="15"/>
          <w:color w:val="auto"/>
        </w:rPr>
        <w:t>The Company shall not, and shall not permit any of its Restricted Subsidiaries to, directly or indirectly, create, incur, issue, assume, guarantee or otherwise become directly or indirectly liable, contingently or otherwise, with respect to (collectively, "incur") any Indebtedness (including Acquired Debt), and the Company shall not issue any Disqualified Stock and shall not permit any of its Restricted Subsidiaries that is not a Guarantor to issue any shares of preferred stock; provided, however, that the Company and any of the Guarantors may incur Indebtedness (including Acquired Debt) or issue Disqualified Stock, and the Company's Guarantors may issue preferred stock, if the Fixed Charge Coverage Ratio for the Company's most recently ended four full fiscal quarters for which internal financial statements are available immediately preceding the date on which such additional Indebtedness is incurred or such Disqualified Stock or preferred stock is issued would have been at least 2.0 to 1.0, determined on a pro forma basis (including a pro forma application of the net proceeds therefrom) as if the additional Indebtedness had been incurred, or the Disqualified Stock or preferred stock had been issued, as the case may be, at the beginning of such four-quarter period.</w:t>
      </w:r>
    </w:p>
    <w:p>
      <w:pPr>
        <w:spacing w:after="0" w:line="181" w:lineRule="exact"/>
        <w:rPr>
          <w:sz w:val="20"/>
          <w:szCs w:val="20"/>
          <w:color w:val="auto"/>
        </w:rPr>
      </w:pPr>
    </w:p>
    <w:p>
      <w:pPr>
        <w:jc w:val="both"/>
        <w:ind w:right="2759" w:firstLine="851"/>
        <w:spacing w:after="0" w:line="267" w:lineRule="auto"/>
        <w:rPr>
          <w:sz w:val="20"/>
          <w:szCs w:val="20"/>
          <w:color w:val="auto"/>
        </w:rPr>
      </w:pPr>
      <w:r>
        <w:rPr>
          <w:rFonts w:ascii="Courier New" w:cs="Courier New" w:eastAsia="Courier New" w:hAnsi="Courier New"/>
          <w:sz w:val="15"/>
          <w:szCs w:val="15"/>
          <w:color w:val="auto"/>
        </w:rPr>
        <w:t>The first paragraph of this covenant shall not prohibit the incurrence of any of the following items of Indebtedness (collectively, "Permitted Debt"):</w:t>
      </w:r>
    </w:p>
    <w:p>
      <w:pPr>
        <w:spacing w:after="0" w:line="168" w:lineRule="exact"/>
        <w:rPr>
          <w:sz w:val="20"/>
          <w:szCs w:val="20"/>
          <w:color w:val="auto"/>
        </w:rPr>
      </w:pPr>
    </w:p>
    <w:p>
      <w:pPr>
        <w:ind w:right="2659" w:firstLine="1132"/>
        <w:spacing w:after="0"/>
        <w:tabs>
          <w:tab w:leader="none" w:pos="1513" w:val="left"/>
        </w:tabs>
        <w:numPr>
          <w:ilvl w:val="0"/>
          <w:numId w:val="3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the Company and its Restricted Subsidiaries of Indebtedness and letters of credit under the Credit Facility in an aggregate principal amount (with letters of credit being deemed to have a principal amount equal to the maximum potential liability of the Company and its Restricted Subsidiaries thereunder) not to exceed an amount equal to $1.45 billion, including all Permitted Refinancing Indebtedness incurred pursuant to clause (5) of this paragraph to refund, refinance or replace any Indebtedness incurred pursuant to this clause (1), less the aggregate amount of all Net Proceeds of Asset Sales applied by the Company or any of its Restricted Subsidiaries to repay term Indebtedness under the Credit Facility or to reduce commitments with respect to revolving credit borrowings under the Credit Facility pursuant to Section 4.10 hereof;</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481" w:right="1440" w:bottom="1440" w:gutter="0" w:footer="0" w:header="0"/>
        </w:sectPr>
      </w:pPr>
    </w:p>
    <w:bookmarkStart w:id="293" w:name="page294"/>
    <w:bookmarkEnd w:id="293"/>
    <w:p>
      <w:pPr>
        <w:ind w:right="2659" w:firstLine="1132"/>
        <w:spacing w:after="0" w:line="237" w:lineRule="auto"/>
        <w:tabs>
          <w:tab w:leader="none" w:pos="1513" w:val="left"/>
        </w:tabs>
        <w:numPr>
          <w:ilvl w:val="0"/>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the Company and its Restricted Subsidiaries of Existing Indebtedness;</w:t>
      </w:r>
    </w:p>
    <w:p>
      <w:pPr>
        <w:spacing w:after="0" w:line="187" w:lineRule="exact"/>
        <w:rPr>
          <w:rFonts w:ascii="Courier New" w:cs="Courier New" w:eastAsia="Courier New" w:hAnsi="Courier New"/>
          <w:sz w:val="16"/>
          <w:szCs w:val="16"/>
          <w:color w:val="auto"/>
        </w:rPr>
      </w:pPr>
    </w:p>
    <w:p>
      <w:pPr>
        <w:jc w:val="both"/>
        <w:ind w:right="2659" w:firstLine="1132"/>
        <w:spacing w:after="0" w:line="238" w:lineRule="auto"/>
        <w:tabs>
          <w:tab w:leader="none" w:pos="1513" w:val="left"/>
        </w:tabs>
        <w:numPr>
          <w:ilvl w:val="0"/>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the Company and the Guarantors of Indebtedness represented by the Series A Notes, the Subsidiary Guarantees, the Series B Notes and the Guarantees thereof;</w:t>
      </w:r>
    </w:p>
    <w:p>
      <w:pPr>
        <w:spacing w:after="0" w:line="188" w:lineRule="exact"/>
        <w:rPr>
          <w:rFonts w:ascii="Courier New" w:cs="Courier New" w:eastAsia="Courier New" w:hAnsi="Courier New"/>
          <w:sz w:val="16"/>
          <w:szCs w:val="16"/>
          <w:color w:val="auto"/>
        </w:rPr>
      </w:pPr>
    </w:p>
    <w:p>
      <w:pPr>
        <w:ind w:right="2659" w:firstLine="1132"/>
        <w:spacing w:after="0" w:line="256" w:lineRule="auto"/>
        <w:tabs>
          <w:tab w:leader="none" w:pos="1513"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or any of its Restricted Subsidiaries of Indebtedness represented by Capital Lease Obligations, mortgage financings or purchase money obligations, in each case, incurred for the purpose of financing all or any part of the purchase price or cost of construction or improvement of property, plant or equipment used in the business of the Company or such Restricted Subsidiary, or in respect of a sale and leaseback transaction, in an aggregate principal amount, including all Permitted Refinancing Indebtedness incurred pursuant to clause (5) of this paragraph to refund, refinance or replace any Indebtedness incurred pursuant to this clause</w:t>
      </w:r>
    </w:p>
    <w:p>
      <w:pPr>
        <w:spacing w:after="0" w:line="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(4), not to exceed $20.0 million at any time outstanding;</w:t>
      </w:r>
    </w:p>
    <w:p>
      <w:pPr>
        <w:spacing w:after="0" w:line="186" w:lineRule="exact"/>
        <w:rPr>
          <w:rFonts w:ascii="Courier New" w:cs="Courier New" w:eastAsia="Courier New" w:hAnsi="Courier New"/>
          <w:sz w:val="15"/>
          <w:szCs w:val="15"/>
          <w:color w:val="auto"/>
        </w:rPr>
      </w:pPr>
    </w:p>
    <w:p>
      <w:pPr>
        <w:ind w:right="2659" w:firstLine="1132"/>
        <w:spacing w:after="0" w:line="239" w:lineRule="auto"/>
        <w:tabs>
          <w:tab w:leader="none" w:pos="1513" w:val="left"/>
        </w:tabs>
        <w:numPr>
          <w:ilvl w:val="0"/>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the Company or any of its Restricted Subsidiaries of Permitted Refinancing Indebtedness in exchange for, or the net proceeds of which are used to refund, refinance or replace, Indebtedness (other than intercompany Indebtedness) that is either Existing Indebtedness or that was permitted to be incurred by this Indenture;</w:t>
      </w:r>
    </w:p>
    <w:p>
      <w:pPr>
        <w:spacing w:after="0" w:line="188" w:lineRule="exact"/>
        <w:rPr>
          <w:rFonts w:ascii="Courier New" w:cs="Courier New" w:eastAsia="Courier New" w:hAnsi="Courier New"/>
          <w:sz w:val="16"/>
          <w:szCs w:val="16"/>
          <w:color w:val="auto"/>
        </w:rPr>
      </w:pPr>
    </w:p>
    <w:p>
      <w:pPr>
        <w:ind w:right="2839" w:firstLine="1132"/>
        <w:spacing w:after="0" w:line="238" w:lineRule="auto"/>
        <w:tabs>
          <w:tab w:leader="none" w:pos="1513" w:val="left"/>
        </w:tabs>
        <w:numPr>
          <w:ilvl w:val="0"/>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the Company or any of its Restricted Subsidiaries of intercompany Indebtedness between or among the Company and any of its Restricted Subsidiaries; provided, however, that:</w:t>
      </w:r>
    </w:p>
    <w:p>
      <w:pPr>
        <w:spacing w:after="0" w:line="188" w:lineRule="exact"/>
        <w:rPr>
          <w:rFonts w:ascii="Courier New" w:cs="Courier New" w:eastAsia="Courier New" w:hAnsi="Courier New"/>
          <w:sz w:val="16"/>
          <w:szCs w:val="16"/>
          <w:color w:val="auto"/>
        </w:rPr>
      </w:pPr>
    </w:p>
    <w:p>
      <w:pPr>
        <w:ind w:right="2759" w:firstLine="1416"/>
        <w:spacing w:after="0" w:line="239" w:lineRule="auto"/>
        <w:tabs>
          <w:tab w:leader="none" w:pos="1797" w:val="left"/>
        </w:tabs>
        <w:numPr>
          <w:ilvl w:val="1"/>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or any Guarantor is the obligor on such Indebtedness, and such Indebtedness is held by a Restricted Subsidiary that is not a Guarantor, such Indebtedness must be expressly subordinated to the prior payment in full in cash of all Obligations with respect to the Notes, in the case of the Company, or the Subsidiary Guarantee of such Guarantor, in the case of a Guarantor; and</w:t>
      </w:r>
    </w:p>
    <w:p>
      <w:pPr>
        <w:spacing w:after="0" w:line="190" w:lineRule="exact"/>
        <w:rPr>
          <w:rFonts w:ascii="Courier New" w:cs="Courier New" w:eastAsia="Courier New" w:hAnsi="Courier New"/>
          <w:sz w:val="16"/>
          <w:szCs w:val="16"/>
          <w:color w:val="auto"/>
        </w:rPr>
      </w:pPr>
    </w:p>
    <w:p>
      <w:pPr>
        <w:ind w:right="2659" w:firstLine="1416"/>
        <w:spacing w:after="0" w:line="239" w:lineRule="auto"/>
        <w:tabs>
          <w:tab w:leader="none" w:pos="1797" w:val="left"/>
        </w:tabs>
        <w:numPr>
          <w:ilvl w:val="1"/>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any subsequent issuance or transfer of Equity Interests that results in any such Indebtedness being held by a Person other than the Company or a Restricted Subsidiary thereof and (ii) any sale or other transfer of any such Indebtedness to a Person that is not either the Company or a Restricted Subsidiary thereof shall be deemed, in each case, to constitute an incurrence of such Indebtedness by the Company or such Restricted Subsidiary, as the case may be, that was not permitted by this clause (6);</w:t>
      </w:r>
    </w:p>
    <w:p>
      <w:pPr>
        <w:spacing w:after="0" w:line="191" w:lineRule="exact"/>
        <w:rPr>
          <w:rFonts w:ascii="Courier New" w:cs="Courier New" w:eastAsia="Courier New" w:hAnsi="Courier New"/>
          <w:sz w:val="16"/>
          <w:szCs w:val="16"/>
          <w:color w:val="auto"/>
        </w:rPr>
      </w:pPr>
    </w:p>
    <w:p>
      <w:pPr>
        <w:ind w:right="2659" w:firstLine="1132"/>
        <w:spacing w:after="0" w:line="239" w:lineRule="auto"/>
        <w:tabs>
          <w:tab w:leader="none" w:pos="1513" w:val="left"/>
        </w:tabs>
        <w:numPr>
          <w:ilvl w:val="0"/>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the Company or any of its Restricted Subsidiaries of Hedging Obligations that are incurred for the purpose of fixing or hedging (a) interest rate risk with respect to any floating rate Indebtedness that is permitted by the terms of this Indenture to be outstanding or (b) exchange rate risk or raw materials price risk;</w:t>
      </w:r>
    </w:p>
    <w:p>
      <w:pPr>
        <w:spacing w:after="0" w:line="188" w:lineRule="exact"/>
        <w:rPr>
          <w:rFonts w:ascii="Courier New" w:cs="Courier New" w:eastAsia="Courier New" w:hAnsi="Courier New"/>
          <w:sz w:val="16"/>
          <w:szCs w:val="16"/>
          <w:color w:val="auto"/>
        </w:rPr>
      </w:pPr>
    </w:p>
    <w:p>
      <w:pPr>
        <w:ind w:right="2659" w:firstLine="1132"/>
        <w:spacing w:after="0" w:line="262" w:lineRule="auto"/>
        <w:tabs>
          <w:tab w:leader="none" w:pos="1513"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 by the Company or any of its Restricted Subsidiaries of Indebtedness of the Company or a Restricted Subsidiary of the Company that was permitted to be incurred by another provision of this covenant;</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481" w:right="1440" w:bottom="1440" w:gutter="0" w:footer="0" w:header="0"/>
        </w:sectPr>
      </w:pPr>
    </w:p>
    <w:bookmarkStart w:id="294" w:name="page295"/>
    <w:bookmarkEnd w:id="294"/>
    <w:p>
      <w:pPr>
        <w:ind w:right="2839" w:firstLine="1132"/>
        <w:spacing w:after="0" w:line="256" w:lineRule="auto"/>
        <w:tabs>
          <w:tab w:leader="none" w:pos="1513"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any of the Company's Foreign Subsidiaries of Indebtedness in an aggregate principal amount, including all Permitted Refinancing Indebtedness incurred pursuant to clause (5) of this paragraph to refund, refinance or replace any Indebtedness incurred pursuant to this clause</w:t>
      </w: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(9), not to exceed $60.0 million at any time outstanding;</w:t>
      </w:r>
    </w:p>
    <w:p>
      <w:pPr>
        <w:spacing w:after="0" w:line="186" w:lineRule="exact"/>
        <w:rPr>
          <w:rFonts w:ascii="Courier New" w:cs="Courier New" w:eastAsia="Courier New" w:hAnsi="Courier New"/>
          <w:sz w:val="15"/>
          <w:szCs w:val="15"/>
          <w:color w:val="auto"/>
        </w:rPr>
      </w:pPr>
    </w:p>
    <w:p>
      <w:pPr>
        <w:ind w:right="2759" w:firstLine="1132"/>
        <w:spacing w:after="0" w:line="239" w:lineRule="auto"/>
        <w:tabs>
          <w:tab w:leader="none" w:pos="1608" w:val="left"/>
        </w:tabs>
        <w:numPr>
          <w:ilvl w:val="0"/>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a Securitization Entity of Indebtedness in a Qualified Securitization Transaction that is Non-Recourse Debt with respect to the Company and its other Restricted Subsidiaries (except for Standard Securitization Undertakings); and</w:t>
      </w:r>
    </w:p>
    <w:p>
      <w:pPr>
        <w:spacing w:after="0" w:line="187" w:lineRule="exact"/>
        <w:rPr>
          <w:rFonts w:ascii="Courier New" w:cs="Courier New" w:eastAsia="Courier New" w:hAnsi="Courier New"/>
          <w:sz w:val="16"/>
          <w:szCs w:val="16"/>
          <w:color w:val="auto"/>
        </w:rPr>
      </w:pPr>
    </w:p>
    <w:p>
      <w:pPr>
        <w:ind w:right="2659" w:firstLine="1132"/>
        <w:spacing w:after="0" w:line="259" w:lineRule="auto"/>
        <w:tabs>
          <w:tab w:leader="none" w:pos="1608"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the Company or any of its Restricted Subsidiaries of additional Indebtedness in an aggregate principal amount (or accreted value, as applicable) at any time outstanding, including all Permitted Refinancing Indebtedness incurred to refund, refinance or replace any Indebtedness incurred pursuant to this clause (11), not to exceed $75.0 million.</w:t>
      </w:r>
    </w:p>
    <w:p>
      <w:pPr>
        <w:spacing w:after="0" w:line="174"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For purposes of determining compliance with this covenant, in the event that an item of proposed Indebtedness meets the criteria of more than one of the categories of Permitted Debt described in clauses (1) through (11) above, or is entitled to be incurred pursuant to the first paragraph of this covenant, the Company shall be permitted to classify such item of Indebtedness on the date of its incurrence (or later reclassify such Indebtedness in whole or in part) in any manner that complies with this covenant. In addition, the accrual of interest, accretion or amortization of original issue discount, the payment of interest on any Indebtedness in the form of additional Indebtedness with the same terms, and the payment of dividends on Disqualified Stock in the form of additional shares of the same class of Disqualified Stock will not be treated as an incurrence of Indebtedness; provided, in each such case, that the amount thereof is included in Fixed Charges of the Company as accrued. Notwithstanding the foregoing, any Indebtedness outstanding pursuant to the Credit Facility on the date hereof will be deemed to have been incurred pursuant to clause (1) of the definition of Permitted Debt.</w:t>
      </w:r>
    </w:p>
    <w:p>
      <w:pPr>
        <w:spacing w:after="0" w:line="192" w:lineRule="exact"/>
        <w:rPr>
          <w:sz w:val="20"/>
          <w:szCs w:val="20"/>
          <w:color w:val="auto"/>
        </w:rPr>
      </w:pPr>
    </w:p>
    <w:p>
      <w:pPr>
        <w:ind w:right="3119"/>
        <w:spacing w:after="0" w:line="237" w:lineRule="auto"/>
        <w:rPr>
          <w:sz w:val="20"/>
          <w:szCs w:val="20"/>
          <w:color w:val="auto"/>
        </w:rPr>
      </w:pPr>
      <w:r>
        <w:rPr>
          <w:rFonts w:ascii="Courier New" w:cs="Courier New" w:eastAsia="Courier New" w:hAnsi="Courier New"/>
          <w:sz w:val="16"/>
          <w:szCs w:val="16"/>
          <w:color w:val="auto"/>
        </w:rPr>
        <w:t>SECTION 4.10 Offer to Repurchase by Application of Excess Proceeds of Asset Sales.</w:t>
      </w:r>
    </w:p>
    <w:p>
      <w:pPr>
        <w:spacing w:after="0" w:line="188" w:lineRule="exact"/>
        <w:rPr>
          <w:sz w:val="20"/>
          <w:szCs w:val="20"/>
          <w:color w:val="auto"/>
        </w:rPr>
      </w:pPr>
    </w:p>
    <w:p>
      <w:pPr>
        <w:ind w:right="3219" w:firstLine="851"/>
        <w:spacing w:after="0" w:line="237" w:lineRule="auto"/>
        <w:rPr>
          <w:sz w:val="20"/>
          <w:szCs w:val="20"/>
          <w:color w:val="auto"/>
        </w:rPr>
      </w:pPr>
      <w:r>
        <w:rPr>
          <w:rFonts w:ascii="Courier New" w:cs="Courier New" w:eastAsia="Courier New" w:hAnsi="Courier New"/>
          <w:sz w:val="16"/>
          <w:szCs w:val="16"/>
          <w:color w:val="auto"/>
        </w:rPr>
        <w:t>The Company shall not, and shall not permit any of its Restricted Subsidiaries to, consummate an Asset Sale unless:</w:t>
      </w:r>
    </w:p>
    <w:p>
      <w:pPr>
        <w:spacing w:after="0" w:line="188" w:lineRule="exact"/>
        <w:rPr>
          <w:sz w:val="20"/>
          <w:szCs w:val="20"/>
          <w:color w:val="auto"/>
        </w:rPr>
      </w:pPr>
    </w:p>
    <w:p>
      <w:pPr>
        <w:ind w:right="2659" w:firstLine="1132"/>
        <w:spacing w:after="0" w:line="239" w:lineRule="auto"/>
        <w:tabs>
          <w:tab w:leader="none" w:pos="1513"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(or the Restricted Subsidiary, as the case may be) receives consideration at the time of such Asset Sale at least equal to the fair market value of the assets or Equity Interests issued or sold or otherwise disposed of, as determined in good faith by the Company's Board of Directors; and</w:t>
      </w:r>
    </w:p>
    <w:p>
      <w:pPr>
        <w:spacing w:after="0" w:line="184" w:lineRule="exact"/>
        <w:rPr>
          <w:rFonts w:ascii="Courier New" w:cs="Courier New" w:eastAsia="Courier New" w:hAnsi="Courier New"/>
          <w:sz w:val="16"/>
          <w:szCs w:val="16"/>
          <w:color w:val="auto"/>
        </w:rPr>
      </w:pPr>
    </w:p>
    <w:p>
      <w:pPr>
        <w:ind w:left="1520" w:hanging="388"/>
        <w:spacing w:after="0"/>
        <w:tabs>
          <w:tab w:leader="none" w:pos="1520"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pacing w:after="0" w:line="186" w:lineRule="exact"/>
        <w:rPr>
          <w:rFonts w:ascii="Courier New" w:cs="Courier New" w:eastAsia="Courier New" w:hAnsi="Courier New"/>
          <w:sz w:val="16"/>
          <w:szCs w:val="16"/>
          <w:color w:val="auto"/>
        </w:rPr>
      </w:pPr>
    </w:p>
    <w:p>
      <w:pPr>
        <w:ind w:right="2759" w:firstLine="1416"/>
        <w:spacing w:after="0" w:line="239" w:lineRule="auto"/>
        <w:tabs>
          <w:tab w:leader="none" w:pos="1797" w:val="left"/>
        </w:tabs>
        <w:numPr>
          <w:ilvl w:val="1"/>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(or the Restricted Subsidiary, as the case may be) issues Equity Interests or transfers assets in an exchange in connection with which the Company receives an opinion of counsel that such exchange should qualify under the provisions of Section 351 or Section 368 of the United States Internal Revenue Code of 1986, as amended; or</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481" w:right="1440" w:bottom="1440" w:gutter="0" w:footer="0" w:header="0"/>
        </w:sectPr>
      </w:pPr>
    </w:p>
    <w:bookmarkStart w:id="295" w:name="page296"/>
    <w:bookmarkEnd w:id="295"/>
    <w:p>
      <w:pPr>
        <w:ind w:right="2939" w:firstLine="1416"/>
        <w:spacing w:after="0" w:line="239" w:lineRule="auto"/>
        <w:tabs>
          <w:tab w:leader="none" w:pos="1797" w:val="left"/>
        </w:tabs>
        <w:numPr>
          <w:ilvl w:val="0"/>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75% of the consideration therefor received by the Company or such Restricted Subsidiary is in the form of cash or Cash Equivalents. For purposes of this provision, each of the following shall be deemed to be cash:</w:t>
      </w:r>
    </w:p>
    <w:p>
      <w:pPr>
        <w:spacing w:after="0" w:line="187" w:lineRule="exact"/>
        <w:rPr>
          <w:rFonts w:ascii="Courier New" w:cs="Courier New" w:eastAsia="Courier New" w:hAnsi="Courier New"/>
          <w:sz w:val="16"/>
          <w:szCs w:val="16"/>
          <w:color w:val="auto"/>
        </w:rPr>
      </w:pPr>
    </w:p>
    <w:p>
      <w:pPr>
        <w:ind w:right="2839" w:firstLine="1699"/>
        <w:spacing w:after="0" w:line="239" w:lineRule="auto"/>
        <w:tabs>
          <w:tab w:leader="none" w:pos="2081" w:val="left"/>
        </w:tabs>
        <w:numPr>
          <w:ilvl w:val="1"/>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(as shown on the Company's or such Restricted Subsidiary's most recent balance sheet) of the Company or any Restricted Subsidiary (other than contingent liabilities and liabilities that are by their terms subordinated to the Notes or any Subsidiary Guarantee) that are assumed by the transferee of any such assets; and</w:t>
      </w:r>
    </w:p>
    <w:p>
      <w:pPr>
        <w:spacing w:after="0" w:line="188" w:lineRule="exact"/>
        <w:rPr>
          <w:rFonts w:ascii="Courier New" w:cs="Courier New" w:eastAsia="Courier New" w:hAnsi="Courier New"/>
          <w:sz w:val="16"/>
          <w:szCs w:val="16"/>
          <w:color w:val="auto"/>
        </w:rPr>
      </w:pPr>
    </w:p>
    <w:p>
      <w:pPr>
        <w:ind w:right="2659" w:firstLine="1699"/>
        <w:spacing w:after="0" w:line="239" w:lineRule="auto"/>
        <w:tabs>
          <w:tab w:leader="none" w:pos="2175" w:val="left"/>
        </w:tabs>
        <w:numPr>
          <w:ilvl w:val="1"/>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securities, notes or other obligations received by the Company or any such Restricted Subsidiary from such transferee that within 90 days are converted by the Company or such Restricted Subsidiary into cash (to the extent of the cash received in that conversion); and</w:t>
      </w:r>
    </w:p>
    <w:p>
      <w:pPr>
        <w:spacing w:after="0" w:line="187" w:lineRule="exact"/>
        <w:rPr>
          <w:rFonts w:ascii="Courier New" w:cs="Courier New" w:eastAsia="Courier New" w:hAnsi="Courier New"/>
          <w:sz w:val="16"/>
          <w:szCs w:val="16"/>
          <w:color w:val="auto"/>
        </w:rPr>
      </w:pPr>
    </w:p>
    <w:p>
      <w:pPr>
        <w:ind w:right="2759" w:firstLine="1699"/>
        <w:spacing w:after="0"/>
        <w:tabs>
          <w:tab w:leader="none" w:pos="2270" w:val="left"/>
        </w:tabs>
        <w:numPr>
          <w:ilvl w:val="1"/>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Designated Noncash Consideration received by the Company or any of its Restricted Subsidiaries in such Asset Sale having an aggregate fair market value, taken together with all other Designated Noncash Consideration received pursuant to this clause (iii) that is at that time outstanding, not to exceed the greater of (x) $75.0 million or (y) 5% of Consolidated Net Tangible Assets at the time of the receipt of such Designated Noncash Consideration (with the fair market value of each item of Designated Noncash Consideration being measured at the time received and without giving effect to subsequent changes in value), shall be deemed to be cash for purposes of this provision and for no other purpose.</w:t>
      </w:r>
    </w:p>
    <w:p>
      <w:pPr>
        <w:spacing w:after="0" w:line="188" w:lineRule="exact"/>
        <w:rPr>
          <w:sz w:val="20"/>
          <w:szCs w:val="20"/>
          <w:color w:val="auto"/>
        </w:rPr>
      </w:pPr>
    </w:p>
    <w:p>
      <w:pPr>
        <w:ind w:right="3039" w:firstLine="851"/>
        <w:spacing w:after="0" w:line="237" w:lineRule="auto"/>
        <w:rPr>
          <w:sz w:val="20"/>
          <w:szCs w:val="20"/>
          <w:color w:val="auto"/>
        </w:rPr>
      </w:pPr>
      <w:r>
        <w:rPr>
          <w:rFonts w:ascii="Courier New" w:cs="Courier New" w:eastAsia="Courier New" w:hAnsi="Courier New"/>
          <w:sz w:val="16"/>
          <w:szCs w:val="16"/>
          <w:color w:val="auto"/>
        </w:rPr>
        <w:t>Within 360 days after the receipt of any Net Proceeds from an Asset Sale, the Company may apply such Net Proceeds at its option:</w:t>
      </w:r>
    </w:p>
    <w:p>
      <w:pPr>
        <w:spacing w:after="0" w:line="188" w:lineRule="exact"/>
        <w:rPr>
          <w:sz w:val="20"/>
          <w:szCs w:val="20"/>
          <w:color w:val="auto"/>
        </w:rPr>
      </w:pPr>
    </w:p>
    <w:p>
      <w:pPr>
        <w:ind w:right="2839" w:firstLine="1132"/>
        <w:spacing w:after="0" w:line="237" w:lineRule="auto"/>
        <w:tabs>
          <w:tab w:leader="none" w:pos="1513" w:val="left"/>
        </w:tabs>
        <w:numPr>
          <w:ilvl w:val="0"/>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repay Senior Debt (and to effect a corresponding commitment reduction if such Senior Debt is revolving credit borrowings);</w:t>
      </w:r>
    </w:p>
    <w:p>
      <w:pPr>
        <w:spacing w:after="0" w:line="187" w:lineRule="exact"/>
        <w:rPr>
          <w:rFonts w:ascii="Courier New" w:cs="Courier New" w:eastAsia="Courier New" w:hAnsi="Courier New"/>
          <w:sz w:val="16"/>
          <w:szCs w:val="16"/>
          <w:color w:val="auto"/>
        </w:rPr>
      </w:pPr>
    </w:p>
    <w:p>
      <w:pPr>
        <w:ind w:right="3219" w:firstLine="1132"/>
        <w:spacing w:after="0" w:line="237" w:lineRule="auto"/>
        <w:tabs>
          <w:tab w:leader="none" w:pos="1513" w:val="left"/>
        </w:tabs>
        <w:numPr>
          <w:ilvl w:val="0"/>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acquire all or substantially all of the assets of, or a majority of the Voting Stock of, another Related Business;</w:t>
      </w:r>
    </w:p>
    <w:p>
      <w:pPr>
        <w:spacing w:after="0" w:line="183" w:lineRule="exact"/>
        <w:rPr>
          <w:rFonts w:ascii="Courier New" w:cs="Courier New" w:eastAsia="Courier New" w:hAnsi="Courier New"/>
          <w:sz w:val="16"/>
          <w:szCs w:val="16"/>
          <w:color w:val="auto"/>
        </w:rPr>
      </w:pPr>
    </w:p>
    <w:p>
      <w:pPr>
        <w:ind w:left="1520" w:hanging="388"/>
        <w:spacing w:after="0"/>
        <w:tabs>
          <w:tab w:leader="none" w:pos="1520" w:val="left"/>
        </w:tabs>
        <w:numPr>
          <w:ilvl w:val="0"/>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 capital expenditure; and/or</w:t>
      </w:r>
    </w:p>
    <w:p>
      <w:pPr>
        <w:spacing w:after="0" w:line="186" w:lineRule="exact"/>
        <w:rPr>
          <w:rFonts w:ascii="Courier New" w:cs="Courier New" w:eastAsia="Courier New" w:hAnsi="Courier New"/>
          <w:sz w:val="16"/>
          <w:szCs w:val="16"/>
          <w:color w:val="auto"/>
        </w:rPr>
      </w:pPr>
    </w:p>
    <w:p>
      <w:pPr>
        <w:ind w:right="2839" w:firstLine="1132"/>
        <w:spacing w:after="0" w:line="237" w:lineRule="auto"/>
        <w:tabs>
          <w:tab w:leader="none" w:pos="1513" w:val="left"/>
        </w:tabs>
        <w:numPr>
          <w:ilvl w:val="0"/>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acquire other long-term assets that are used or useful in a Related Business.</w:t>
      </w:r>
    </w:p>
    <w:p>
      <w:pPr>
        <w:spacing w:after="0" w:line="188" w:lineRule="exact"/>
        <w:rPr>
          <w:sz w:val="20"/>
          <w:szCs w:val="20"/>
          <w:color w:val="auto"/>
        </w:rPr>
      </w:pPr>
    </w:p>
    <w:p>
      <w:pPr>
        <w:ind w:right="2659" w:firstLine="851"/>
        <w:spacing w:after="0" w:line="238" w:lineRule="auto"/>
        <w:rPr>
          <w:sz w:val="20"/>
          <w:szCs w:val="20"/>
          <w:color w:val="auto"/>
        </w:rPr>
      </w:pPr>
      <w:r>
        <w:rPr>
          <w:rFonts w:ascii="Courier New" w:cs="Courier New" w:eastAsia="Courier New" w:hAnsi="Courier New"/>
          <w:sz w:val="16"/>
          <w:szCs w:val="16"/>
          <w:color w:val="auto"/>
        </w:rPr>
        <w:t>Pending the final application of any such Net Proceeds, the Company may temporarily reduce revolving credit borrowings or otherwise invest such Net Proceeds in any manner that is not prohibited by this Indenture.</w:t>
      </w:r>
    </w:p>
    <w:p>
      <w:pPr>
        <w:spacing w:after="0" w:line="188"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Any Net Proceeds from Asset Sales that are not applied or invested as provided in the preceding paragraph will constitute Excess Proceeds. When the aggregate amount of Excess Proceeds exceeds $10.0 million, the Company shall make an Asset Sale Offer to all Holders of Notes and all holders of other Indebtedness that is pari passu with the Notes containing provisions similar to those set forth in Section 3.09 hereof with respect to offers to purchase or redeem with the proceeds of sales of assets to purchase the maximum principal amount of Notes and such other pari passu Indebtedness that may be purchased out of the Excess Proceeds. The</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481" w:right="1440" w:bottom="1440" w:gutter="0" w:footer="0" w:header="0"/>
        </w:sectPr>
      </w:pPr>
    </w:p>
    <w:bookmarkStart w:id="296" w:name="page297"/>
    <w:bookmarkEnd w:id="296"/>
    <w:p>
      <w:pPr>
        <w:ind w:right="2659"/>
        <w:spacing w:after="0"/>
        <w:rPr>
          <w:sz w:val="20"/>
          <w:szCs w:val="20"/>
          <w:color w:val="auto"/>
        </w:rPr>
      </w:pPr>
      <w:r>
        <w:rPr>
          <w:rFonts w:ascii="Courier New" w:cs="Courier New" w:eastAsia="Courier New" w:hAnsi="Courier New"/>
          <w:sz w:val="16"/>
          <w:szCs w:val="16"/>
          <w:color w:val="auto"/>
        </w:rPr>
        <w:t>offer price in any Asset Sale Offer shall be equal to 100% of principal amount plus accrued and unpaid interest and Registration Default Damages, if any, to the date of purchase, and will be payable in cash. If any Excess Proceeds remain after consummation of an Asset Sale Offer, the Company may use such Excess Proceeds for any purpose not otherwise prohibited by this Indenture. If the aggregate principal amount of Notes and such other pari passu Indebtedness tendered in such Asset Sale Offer exceeds the amount of Excess Proceeds, the Trustee shall select the Notes and such other pari passu Indebtedness to be purchased on a pro rata basis as set forth below. Upon completion of each Asset Sale Offer, the amount of Excess Proceeds shall be reset at zero.</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4.11 Transactions With Affiliates.</w:t>
      </w:r>
    </w:p>
    <w:p>
      <w:pPr>
        <w:spacing w:after="0" w:line="186" w:lineRule="exact"/>
        <w:rPr>
          <w:sz w:val="20"/>
          <w:szCs w:val="20"/>
          <w:color w:val="auto"/>
        </w:rPr>
      </w:pPr>
    </w:p>
    <w:p>
      <w:pPr>
        <w:ind w:right="2939" w:firstLine="851"/>
        <w:spacing w:after="0" w:line="239" w:lineRule="auto"/>
        <w:rPr>
          <w:sz w:val="20"/>
          <w:szCs w:val="20"/>
          <w:color w:val="auto"/>
        </w:rPr>
      </w:pPr>
      <w:r>
        <w:rPr>
          <w:rFonts w:ascii="Courier New" w:cs="Courier New" w:eastAsia="Courier New" w:hAnsi="Courier New"/>
          <w:sz w:val="16"/>
          <w:szCs w:val="16"/>
          <w:color w:val="auto"/>
        </w:rPr>
        <w:t>The Company shall not, and shall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(each, an "Affiliate Transaction"), unless:</w:t>
      </w:r>
    </w:p>
    <w:p>
      <w:pPr>
        <w:spacing w:after="0" w:line="190" w:lineRule="exact"/>
        <w:rPr>
          <w:sz w:val="20"/>
          <w:szCs w:val="20"/>
          <w:color w:val="auto"/>
        </w:rPr>
      </w:pPr>
    </w:p>
    <w:p>
      <w:pPr>
        <w:ind w:right="2839" w:firstLine="1132"/>
        <w:spacing w:after="0" w:line="239" w:lineRule="auto"/>
        <w:tabs>
          <w:tab w:leader="none" w:pos="1513" w:val="left"/>
        </w:tabs>
        <w:numPr>
          <w:ilvl w:val="0"/>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Affiliate Transaction is on terms that are no less favorable to the Company or the relevant Restricted Subsidiary than those that would have been obtained in a comparable transaction by the Company or such Restricted Subsidiary with an unrelated Person; and</w:t>
      </w:r>
    </w:p>
    <w:p>
      <w:pPr>
        <w:spacing w:after="0" w:line="183" w:lineRule="exact"/>
        <w:rPr>
          <w:rFonts w:ascii="Courier New" w:cs="Courier New" w:eastAsia="Courier New" w:hAnsi="Courier New"/>
          <w:sz w:val="16"/>
          <w:szCs w:val="16"/>
          <w:color w:val="auto"/>
        </w:rPr>
      </w:pPr>
    </w:p>
    <w:p>
      <w:pPr>
        <w:ind w:left="1520" w:hanging="388"/>
        <w:spacing w:after="0"/>
        <w:tabs>
          <w:tab w:leader="none" w:pos="1520" w:val="left"/>
        </w:tabs>
        <w:numPr>
          <w:ilvl w:val="0"/>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delivers to the Trustee:</w:t>
      </w:r>
    </w:p>
    <w:p>
      <w:pPr>
        <w:spacing w:after="0" w:line="186" w:lineRule="exact"/>
        <w:rPr>
          <w:rFonts w:ascii="Courier New" w:cs="Courier New" w:eastAsia="Courier New" w:hAnsi="Courier New"/>
          <w:sz w:val="16"/>
          <w:szCs w:val="16"/>
          <w:color w:val="auto"/>
        </w:rPr>
      </w:pPr>
    </w:p>
    <w:p>
      <w:pPr>
        <w:ind w:right="2759" w:firstLine="1416"/>
        <w:spacing w:after="0" w:line="239" w:lineRule="auto"/>
        <w:tabs>
          <w:tab w:leader="none" w:pos="1797" w:val="left"/>
        </w:tabs>
        <w:numPr>
          <w:ilvl w:val="1"/>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Affiliate Transaction or series of related Affiliate Transactions involving aggregate consideration in excess of $10.0 million, a resolution of the Board of Directors set forth in an Officers' Certificate certifying that such Affiliate Transaction complies with this covenant and that such Affiliate Transaction has been approved by a majority of the disinterested members of the Board of Directors; and</w:t>
      </w:r>
    </w:p>
    <w:p>
      <w:pPr>
        <w:spacing w:after="0" w:line="190" w:lineRule="exact"/>
        <w:rPr>
          <w:rFonts w:ascii="Courier New" w:cs="Courier New" w:eastAsia="Courier New" w:hAnsi="Courier New"/>
          <w:sz w:val="16"/>
          <w:szCs w:val="16"/>
          <w:color w:val="auto"/>
        </w:rPr>
      </w:pPr>
    </w:p>
    <w:p>
      <w:pPr>
        <w:ind w:right="2659" w:firstLine="1416"/>
        <w:spacing w:after="0" w:line="239" w:lineRule="auto"/>
        <w:tabs>
          <w:tab w:leader="none" w:pos="1797" w:val="left"/>
        </w:tabs>
        <w:numPr>
          <w:ilvl w:val="1"/>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Affiliate Transaction or series of related Affiliate Transactions involving aggregate consideration in excess of $25.0 million, an opinion as to the fairness to the Holders of such Affiliate Transaction from a financial point of view issued by an accounting, appraisal or investment banking firm of national standing.</w:t>
      </w:r>
    </w:p>
    <w:p>
      <w:pPr>
        <w:spacing w:after="0" w:line="189" w:lineRule="exact"/>
        <w:rPr>
          <w:sz w:val="20"/>
          <w:szCs w:val="20"/>
          <w:color w:val="auto"/>
        </w:rPr>
      </w:pPr>
    </w:p>
    <w:p>
      <w:pPr>
        <w:jc w:val="both"/>
        <w:ind w:right="2939" w:firstLine="851"/>
        <w:spacing w:after="0" w:line="267" w:lineRule="auto"/>
        <w:rPr>
          <w:sz w:val="20"/>
          <w:szCs w:val="20"/>
          <w:color w:val="auto"/>
        </w:rPr>
      </w:pPr>
      <w:r>
        <w:rPr>
          <w:rFonts w:ascii="Courier New" w:cs="Courier New" w:eastAsia="Courier New" w:hAnsi="Courier New"/>
          <w:sz w:val="15"/>
          <w:szCs w:val="15"/>
          <w:color w:val="auto"/>
        </w:rPr>
        <w:t>The following items shall not be deemed to be Affiliate Transactions and, therefore, will not be subject to the provisions of the prior paragraph:</w:t>
      </w:r>
    </w:p>
    <w:p>
      <w:pPr>
        <w:spacing w:after="0" w:line="168" w:lineRule="exact"/>
        <w:rPr>
          <w:sz w:val="20"/>
          <w:szCs w:val="20"/>
          <w:color w:val="auto"/>
        </w:rPr>
      </w:pPr>
    </w:p>
    <w:p>
      <w:pPr>
        <w:ind w:right="2659" w:firstLine="1132"/>
        <w:spacing w:after="0" w:line="239" w:lineRule="auto"/>
        <w:tabs>
          <w:tab w:leader="none" w:pos="1513" w:val="left"/>
        </w:tabs>
        <w:numPr>
          <w:ilvl w:val="0"/>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employment, consulting or similar agreement (including any loan, but not any forgiveness thereof) entered into by the Company or any of its Restricted Subsidiaries in the ordinary course of business or any payment of directors' and officers' insurance premiums;</w:t>
      </w:r>
    </w:p>
    <w:p>
      <w:pPr>
        <w:spacing w:after="0" w:line="187" w:lineRule="exact"/>
        <w:rPr>
          <w:rFonts w:ascii="Courier New" w:cs="Courier New" w:eastAsia="Courier New" w:hAnsi="Courier New"/>
          <w:sz w:val="16"/>
          <w:szCs w:val="16"/>
          <w:color w:val="auto"/>
        </w:rPr>
      </w:pPr>
    </w:p>
    <w:p>
      <w:pPr>
        <w:ind w:left="1520" w:hanging="388"/>
        <w:spacing w:after="0"/>
        <w:tabs>
          <w:tab w:leader="none" w:pos="1520"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between or among the Company and/or its Restricted</w:t>
      </w:r>
    </w:p>
    <w:p>
      <w:pPr>
        <w:spacing w:after="0" w:line="8"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Subsidiaries;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481" w:right="1440" w:bottom="1440" w:gutter="0" w:footer="0" w:header="0"/>
        </w:sectPr>
      </w:pPr>
    </w:p>
    <w:bookmarkStart w:id="297" w:name="page298"/>
    <w:bookmarkEnd w:id="297"/>
    <w:p>
      <w:pPr>
        <w:ind w:right="3119" w:firstLine="1132"/>
        <w:spacing w:after="0" w:line="237" w:lineRule="auto"/>
        <w:tabs>
          <w:tab w:leader="none" w:pos="1513" w:val="left"/>
        </w:tabs>
        <w:numPr>
          <w:ilvl w:val="0"/>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reasonable directors fees to Persons who are not otherwise Affiliates of the Company;</w:t>
      </w:r>
    </w:p>
    <w:p>
      <w:pPr>
        <w:spacing w:after="0" w:line="187" w:lineRule="exact"/>
        <w:rPr>
          <w:rFonts w:ascii="Courier New" w:cs="Courier New" w:eastAsia="Courier New" w:hAnsi="Courier New"/>
          <w:sz w:val="16"/>
          <w:szCs w:val="16"/>
          <w:color w:val="auto"/>
        </w:rPr>
      </w:pPr>
    </w:p>
    <w:p>
      <w:pPr>
        <w:ind w:right="2839" w:firstLine="1132"/>
        <w:spacing w:after="0" w:line="237" w:lineRule="auto"/>
        <w:tabs>
          <w:tab w:leader="none" w:pos="1513" w:val="left"/>
        </w:tabs>
        <w:numPr>
          <w:ilvl w:val="0"/>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on or any repurchases of any shares of any series or class of equity securities of the Company;</w:t>
      </w:r>
    </w:p>
    <w:p>
      <w:pPr>
        <w:spacing w:after="0" w:line="187" w:lineRule="exact"/>
        <w:rPr>
          <w:rFonts w:ascii="Courier New" w:cs="Courier New" w:eastAsia="Courier New" w:hAnsi="Courier New"/>
          <w:sz w:val="16"/>
          <w:szCs w:val="16"/>
          <w:color w:val="auto"/>
        </w:rPr>
      </w:pPr>
    </w:p>
    <w:p>
      <w:pPr>
        <w:ind w:right="3119" w:firstLine="1132"/>
        <w:spacing w:after="0" w:line="237" w:lineRule="auto"/>
        <w:tabs>
          <w:tab w:leader="none" w:pos="1513" w:val="left"/>
        </w:tabs>
        <w:numPr>
          <w:ilvl w:val="0"/>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Payments that are permitted by the provisions of Section 4.07 hereof;</w:t>
      </w:r>
    </w:p>
    <w:p>
      <w:pPr>
        <w:spacing w:after="0" w:line="187" w:lineRule="exact"/>
        <w:rPr>
          <w:rFonts w:ascii="Courier New" w:cs="Courier New" w:eastAsia="Courier New" w:hAnsi="Courier New"/>
          <w:sz w:val="16"/>
          <w:szCs w:val="16"/>
          <w:color w:val="auto"/>
        </w:rPr>
      </w:pPr>
    </w:p>
    <w:p>
      <w:pPr>
        <w:ind w:right="2659" w:firstLine="1132"/>
        <w:spacing w:after="0" w:line="238" w:lineRule="auto"/>
        <w:tabs>
          <w:tab w:leader="none" w:pos="1513" w:val="left"/>
        </w:tabs>
        <w:numPr>
          <w:ilvl w:val="0"/>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merger between or among the Company or any of its Restricted Subsidiaries solely for the purpose of reincorporating the Company or such Restricted Subsidiary in another jurisdiction for tax purposes; and</w:t>
      </w:r>
    </w:p>
    <w:p>
      <w:pPr>
        <w:spacing w:after="0" w:line="188" w:lineRule="exact"/>
        <w:rPr>
          <w:rFonts w:ascii="Courier New" w:cs="Courier New" w:eastAsia="Courier New" w:hAnsi="Courier New"/>
          <w:sz w:val="16"/>
          <w:szCs w:val="16"/>
          <w:color w:val="auto"/>
        </w:rPr>
      </w:pPr>
    </w:p>
    <w:p>
      <w:pPr>
        <w:ind w:right="3219" w:firstLine="1132"/>
        <w:spacing w:after="0" w:line="237" w:lineRule="auto"/>
        <w:tabs>
          <w:tab w:leader="none" w:pos="1513" w:val="left"/>
        </w:tabs>
        <w:numPr>
          <w:ilvl w:val="0"/>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transactions in connection with a Qualified Securitization Transaction or an industrial revenue bond financing.</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4.12 Liens.</w:t>
      </w:r>
    </w:p>
    <w:p>
      <w:pPr>
        <w:spacing w:after="0" w:line="186"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The Company shall not, and shall not permit any of its Subsidiaries to, directly or indirectly, (1) assign or convey any right to receive income on any asset now owned or hereafter acquired or (2) create, incur, assume or suffer to exist any Lien of any kind securing Indebtedness or trade payables on any asset now owned or hereafter acquired or on any income or profits therefrom except Permitted Liens, unless the Notes and the Subsidiary Guarantees, as applicable, are either (i) secured by a Lien on such property, assets, income or profits that is senior in priority to the Lien securing such other Obligations, if such Obligations are subordinated in right of payment to the Notes and/or the Subsidiary Guarantees or (ii) equally and ratably secured by a Lien on such property, assets, income or profits with the Lien securing such other Obligations, if such Obligations are pari passu in right of payment with the Notes.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4.13 [Intentionally Omitted].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4.14 Corporate Existence.</w:t>
      </w:r>
    </w:p>
    <w:p>
      <w:pPr>
        <w:spacing w:after="0" w:line="186" w:lineRule="exact"/>
        <w:rPr>
          <w:sz w:val="20"/>
          <w:szCs w:val="20"/>
          <w:color w:val="auto"/>
        </w:rPr>
      </w:pPr>
    </w:p>
    <w:p>
      <w:pPr>
        <w:ind w:right="2839" w:firstLine="851"/>
        <w:spacing w:after="0"/>
        <w:rPr>
          <w:sz w:val="20"/>
          <w:szCs w:val="20"/>
          <w:color w:val="auto"/>
        </w:rPr>
      </w:pPr>
      <w:r>
        <w:rPr>
          <w:rFonts w:ascii="Courier New" w:cs="Courier New" w:eastAsia="Courier New" w:hAnsi="Courier New"/>
          <w:sz w:val="16"/>
          <w:szCs w:val="16"/>
          <w:color w:val="auto"/>
        </w:rPr>
        <w:t>Subject to Article 5 hereof, the Company shall do or cause to be done all things necessary to preserve and keep in full force and effect (i) its corporate existence, and the corporate, limited liability company, partnership or other existence of each of its Subsidiaries, in accordance with the respective organizational documents (as the same may be amended from time to time) of the Company or any such Subsidiary and (ii) the rights (charter and statutory), licenses and franchises of the Company and its Subsidiaries; provided, however, that the Company shall not be required to preserve any such right, license or franchise, or the corporate, limited liability company, partnership or other existence of any of its Subsidiaries, if the Board of Directors shall determine that the preservation thereof is no longer desirable in the conduct of the business of the Company and its Subsidiaries, taken as a whole, and that the loss thereof is not adverse in any material respect to the Holders of the Notes.</w:t>
      </w: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481" w:right="1440" w:bottom="1440" w:gutter="0" w:footer="0" w:header="0"/>
        </w:sectPr>
      </w:pPr>
    </w:p>
    <w:bookmarkStart w:id="298" w:name="page299"/>
    <w:bookmarkEnd w:id="298"/>
    <w:p>
      <w:pPr>
        <w:spacing w:after="0"/>
        <w:rPr>
          <w:sz w:val="20"/>
          <w:szCs w:val="20"/>
          <w:color w:val="auto"/>
        </w:rPr>
      </w:pPr>
      <w:r>
        <w:rPr>
          <w:rFonts w:ascii="Courier New" w:cs="Courier New" w:eastAsia="Courier New" w:hAnsi="Courier New"/>
          <w:sz w:val="16"/>
          <w:szCs w:val="16"/>
          <w:color w:val="auto"/>
        </w:rPr>
        <w:t>SECTION 4.15 Offer to Repurchase Upon Change of Control.</w:t>
      </w:r>
    </w:p>
    <w:p>
      <w:pPr>
        <w:spacing w:after="0" w:line="186" w:lineRule="exact"/>
        <w:rPr>
          <w:sz w:val="20"/>
          <w:szCs w:val="20"/>
          <w:color w:val="auto"/>
        </w:rPr>
      </w:pPr>
    </w:p>
    <w:p>
      <w:pPr>
        <w:ind w:right="2659" w:firstLine="1132"/>
        <w:spacing w:after="0" w:line="257" w:lineRule="auto"/>
        <w:tabs>
          <w:tab w:leader="none" w:pos="1513"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Change of Control occurs, each Holder of Notes shall have the right to require the Company to repurchase all or any part (equal to $1,000 or an integral multiple thereof) of that Holder's Notes pursuant to the Change of Control Offer. In the Change of Control Offer, the Company shall offer a Change of Control Payment in cash equal to 101% of the aggregate principal amount of Notes repurchased plus accrued and unpaid interest and Registration Default Damages thereon, if any, to the date of purchase. Within 30 days following any Change of Control, the Company shall mail a notice to each Holder describing the transaction or transactions that constitute the Change of Control and offering to repurchase Notes on the Change of Control Payment Date specified in such notice, pursuant to the procedures required by this Indenture and described in such notice. The Company shall comply with the requirements of Rule 14e-1 under the Exchange Act and any other securities laws and regulations thereunder to the extent such laws and regulations are applicable in connection with the repurchase of the Notes as a result of a Change of Control.</w:t>
      </w:r>
    </w:p>
    <w:p>
      <w:pPr>
        <w:spacing w:after="0" w:line="180" w:lineRule="exact"/>
        <w:rPr>
          <w:rFonts w:ascii="Courier New" w:cs="Courier New" w:eastAsia="Courier New" w:hAnsi="Courier New"/>
          <w:sz w:val="15"/>
          <w:szCs w:val="15"/>
          <w:color w:val="auto"/>
        </w:rPr>
      </w:pPr>
    </w:p>
    <w:p>
      <w:pPr>
        <w:ind w:left="1520" w:hanging="388"/>
        <w:spacing w:after="0"/>
        <w:tabs>
          <w:tab w:leader="none" w:pos="1520"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Change of Control Payment Date, the Company shall, to the</w:t>
      </w:r>
    </w:p>
    <w:p>
      <w:pPr>
        <w:spacing w:after="0" w:line="8"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extent lawful:</w:t>
      </w:r>
    </w:p>
    <w:p>
      <w:pPr>
        <w:spacing w:after="0" w:line="186" w:lineRule="exact"/>
        <w:rPr>
          <w:rFonts w:ascii="Courier New" w:cs="Courier New" w:eastAsia="Courier New" w:hAnsi="Courier New"/>
          <w:sz w:val="15"/>
          <w:szCs w:val="15"/>
          <w:color w:val="auto"/>
        </w:rPr>
      </w:pPr>
    </w:p>
    <w:p>
      <w:pPr>
        <w:ind w:right="3039" w:firstLine="1416"/>
        <w:spacing w:after="0" w:line="237" w:lineRule="auto"/>
        <w:tabs>
          <w:tab w:leader="none" w:pos="1797" w:val="left"/>
        </w:tabs>
        <w:numPr>
          <w:ilvl w:val="1"/>
          <w:numId w:val="3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 for payment all Notes or portions thereof properly tendered pursuant to the Change of Control Offer;</w:t>
      </w:r>
    </w:p>
    <w:p>
      <w:pPr>
        <w:spacing w:after="0" w:line="187" w:lineRule="exact"/>
        <w:rPr>
          <w:rFonts w:ascii="Courier New" w:cs="Courier New" w:eastAsia="Courier New" w:hAnsi="Courier New"/>
          <w:sz w:val="16"/>
          <w:szCs w:val="16"/>
          <w:color w:val="auto"/>
        </w:rPr>
      </w:pPr>
    </w:p>
    <w:p>
      <w:pPr>
        <w:ind w:right="2759" w:firstLine="1416"/>
        <w:spacing w:after="0" w:line="267" w:lineRule="auto"/>
        <w:tabs>
          <w:tab w:leader="none" w:pos="1797" w:val="left"/>
        </w:tabs>
        <w:numPr>
          <w:ilvl w:val="1"/>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 with the Paying Agent an amount equal to the Change of Control Payment in respect of all Notes or portions thereof so tendered; and</w:t>
      </w:r>
    </w:p>
    <w:p>
      <w:pPr>
        <w:spacing w:after="0" w:line="167" w:lineRule="exact"/>
        <w:rPr>
          <w:rFonts w:ascii="Courier New" w:cs="Courier New" w:eastAsia="Courier New" w:hAnsi="Courier New"/>
          <w:sz w:val="15"/>
          <w:szCs w:val="15"/>
          <w:color w:val="auto"/>
        </w:rPr>
      </w:pPr>
    </w:p>
    <w:p>
      <w:pPr>
        <w:jc w:val="both"/>
        <w:ind w:right="2759" w:firstLine="1416"/>
        <w:spacing w:after="0" w:line="238" w:lineRule="auto"/>
        <w:tabs>
          <w:tab w:leader="none" w:pos="1797" w:val="left"/>
        </w:tabs>
        <w:numPr>
          <w:ilvl w:val="1"/>
          <w:numId w:val="3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or cause to be delivered to the Trustee the Notes so accepted together with an Officers' Certificate stating the aggregate principal amount of Notes or portions thereof being purchased by the Company.</w:t>
      </w:r>
    </w:p>
    <w:p>
      <w:pPr>
        <w:spacing w:after="0" w:line="188" w:lineRule="exact"/>
        <w:rPr>
          <w:sz w:val="20"/>
          <w:szCs w:val="20"/>
          <w:color w:val="auto"/>
        </w:rPr>
      </w:pPr>
    </w:p>
    <w:p>
      <w:pPr>
        <w:ind w:right="2839" w:firstLine="851"/>
        <w:spacing w:after="0" w:line="239" w:lineRule="auto"/>
        <w:rPr>
          <w:sz w:val="20"/>
          <w:szCs w:val="20"/>
          <w:color w:val="auto"/>
        </w:rPr>
      </w:pPr>
      <w:r>
        <w:rPr>
          <w:rFonts w:ascii="Courier New" w:cs="Courier New" w:eastAsia="Courier New" w:hAnsi="Courier New"/>
          <w:sz w:val="16"/>
          <w:szCs w:val="16"/>
          <w:color w:val="auto"/>
        </w:rPr>
        <w:t>The Paying Agent shall promptly mail to each Holder of Notes so tendered the Change of Control Payment for such Notes, and the Trustee shall promptly authenticate and mail (or cause to be transferred by book entry) to each Holder a new Note equal in principal amount to any unpurchased portion of the Notes surrendered, if any; provided that each such new Note will be in a principal amount of $1,000 or an integral multiple thereof.</w:t>
      </w:r>
    </w:p>
    <w:p>
      <w:pPr>
        <w:spacing w:after="0" w:line="190"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Prior to complying with any of the provisions of this "Change of Control" covenant, but in any event within 90 days following a Change of Control, the Company shall either repay all outstanding Senior Debt or obtain the requisite consents, if any, under all agreements governing outstanding Senior Debt to permit the repurchase of Notes required by this covenant. The Company shall publicly announce the results of the Change of Control Offer on or as soon as practicable after the Change of Control Payment Date.</w:t>
      </w:r>
    </w:p>
    <w:p>
      <w:pPr>
        <w:spacing w:after="0" w:line="192" w:lineRule="exact"/>
        <w:rPr>
          <w:sz w:val="20"/>
          <w:szCs w:val="20"/>
          <w:color w:val="auto"/>
        </w:rPr>
      </w:pPr>
    </w:p>
    <w:p>
      <w:pPr>
        <w:ind w:right="2759" w:firstLine="848"/>
        <w:spacing w:after="0" w:line="239" w:lineRule="auto"/>
        <w:tabs>
          <w:tab w:leader="none" w:pos="1229" w:val="left"/>
        </w:tabs>
        <w:numPr>
          <w:ilvl w:val="0"/>
          <w:numId w:val="3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in this Section 4.15, the Company shall not be required to make a Change of Control Offer upon the occurrence of a Change of Control if a third party makes the Change of Control Offer in the manner, at the times and otherwise in compliance with the requirements set forth in this Section 4.15, and purchases all Notes validly tendered and not withdrawn under such Change of Control Offer.</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477" w:right="1440" w:bottom="1440" w:gutter="0" w:footer="0" w:header="0"/>
        </w:sectPr>
      </w:pPr>
    </w:p>
    <w:bookmarkStart w:id="299" w:name="page300"/>
    <w:bookmarkEnd w:id="299"/>
    <w:p>
      <w:pPr>
        <w:spacing w:after="0"/>
        <w:rPr>
          <w:sz w:val="20"/>
          <w:szCs w:val="20"/>
          <w:color w:val="auto"/>
        </w:rPr>
      </w:pPr>
      <w:r>
        <w:rPr>
          <w:rFonts w:ascii="Courier New" w:cs="Courier New" w:eastAsia="Courier New" w:hAnsi="Courier New"/>
          <w:sz w:val="16"/>
          <w:szCs w:val="16"/>
          <w:color w:val="auto"/>
        </w:rPr>
        <w:t>SECTION 4.16 No Senior Subordinated Debt.</w:t>
      </w:r>
    </w:p>
    <w:p>
      <w:pPr>
        <w:spacing w:after="0" w:line="186" w:lineRule="exact"/>
        <w:rPr>
          <w:sz w:val="20"/>
          <w:szCs w:val="20"/>
          <w:color w:val="auto"/>
        </w:rPr>
      </w:pPr>
    </w:p>
    <w:p>
      <w:pPr>
        <w:ind w:right="2659" w:firstLine="851"/>
        <w:spacing w:after="0" w:line="258" w:lineRule="auto"/>
        <w:rPr>
          <w:sz w:val="20"/>
          <w:szCs w:val="20"/>
          <w:color w:val="auto"/>
        </w:rPr>
      </w:pPr>
      <w:r>
        <w:rPr>
          <w:rFonts w:ascii="Courier New" w:cs="Courier New" w:eastAsia="Courier New" w:hAnsi="Courier New"/>
          <w:sz w:val="15"/>
          <w:szCs w:val="15"/>
          <w:color w:val="auto"/>
        </w:rPr>
        <w:t>The Company shall not incur, create, issue, assume, guarantee or otherwise become liable for any Indebtedness that is subordinate or junior in right of payment to any Senior Debt of the Company and senior in any respect in right of payment to the Notes. No Guarantor shall incur, create, issue, assume, guarantee or otherwise become liable for any Indebtedness that is subordinate or junior in right of payment to any Senior Debt of such Guarantor and senior in any respect in right of payment to such Guarantor's Subsidiary Guarantee.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4.17 Additional Subsidiary Guarantees.</w:t>
      </w:r>
    </w:p>
    <w:p>
      <w:pPr>
        <w:spacing w:after="0" w:line="186"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If, after the date hereof, the Company, Holdco or any of their Domestic Restricted Subsidiaries (other than Custom and Sanford) acquires or creates another Domestic Restricted Subsidiary, then that newly acquired or created Domestic Restricted Subsidiary shall, within 10 Business Days of the date on which it was acquired or created, execute a supplemental indenture or other instrument evidencing its Subsidiary Guarantee, in either case in form satisfactory to the Trustee, and deliver an Opinion of Counsel to the Trustee, provided that, if the initial investment in or purchase price of such new Domestic Restricted Subsidiary is less than $1.0 million, such Domestic Restricted Subsidiary shall not be required to be a Guarantor unless and until the financial statements delivered to the Trustee for each fiscal year of the Company pursuant to Section 4.03 show the tangible net worth of such new Domestic Restricted Subsidiary to be more than $1.0 million.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4.18 Payments for Consent.</w:t>
      </w:r>
    </w:p>
    <w:p>
      <w:pPr>
        <w:spacing w:after="0" w:line="186" w:lineRule="exact"/>
        <w:rPr>
          <w:sz w:val="20"/>
          <w:szCs w:val="20"/>
          <w:color w:val="auto"/>
        </w:rPr>
      </w:pPr>
    </w:p>
    <w:p>
      <w:pPr>
        <w:ind w:right="2659" w:firstLine="851"/>
        <w:spacing w:after="0" w:line="258" w:lineRule="auto"/>
        <w:rPr>
          <w:sz w:val="20"/>
          <w:szCs w:val="20"/>
          <w:color w:val="auto"/>
        </w:rPr>
      </w:pPr>
      <w:r>
        <w:rPr>
          <w:rFonts w:ascii="Courier New" w:cs="Courier New" w:eastAsia="Courier New" w:hAnsi="Courier New"/>
          <w:sz w:val="15"/>
          <w:szCs w:val="15"/>
          <w:color w:val="auto"/>
        </w:rPr>
        <w:t>The Company shall not, and shall not permit any of its Subsidiaries to, directly or indirectly, pay or cause to be paid any consideration to or for the benefit of any Holder of Notes for or as an inducement to any consent, waiver or amendment of any of the terms or provisions of this Indenture or the Notes unless such consideration is offered to be paid and is paid to all Holders of the Notes that consent, waive or agree to amend in the time frame set forth in the solicitation documents relating to such consent, waiver or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4.19 Covenant Suspension.</w:t>
      </w:r>
    </w:p>
    <w:p>
      <w:pPr>
        <w:spacing w:after="0" w:line="186" w:lineRule="exact"/>
        <w:rPr>
          <w:sz w:val="20"/>
          <w:szCs w:val="20"/>
          <w:color w:val="auto"/>
        </w:rPr>
      </w:pPr>
    </w:p>
    <w:p>
      <w:pPr>
        <w:ind w:right="2939" w:firstLine="851"/>
        <w:spacing w:after="0" w:line="256" w:lineRule="auto"/>
        <w:rPr>
          <w:sz w:val="20"/>
          <w:szCs w:val="20"/>
          <w:color w:val="auto"/>
        </w:rPr>
      </w:pPr>
      <w:r>
        <w:rPr>
          <w:rFonts w:ascii="Courier New" w:cs="Courier New" w:eastAsia="Courier New" w:hAnsi="Courier New"/>
          <w:sz w:val="15"/>
          <w:szCs w:val="15"/>
          <w:color w:val="auto"/>
        </w:rPr>
        <w:t>During any period of time that the Notes have achieved an Investment Grade Rating from both Rating Agencies, the Company and its Restricted Subsidiaries will not be subject to the covenants under Sections 4.07, 4.08,</w:t>
      </w:r>
    </w:p>
    <w:p>
      <w:pPr>
        <w:spacing w:after="0" w:line="2" w:lineRule="exact"/>
        <w:rPr>
          <w:sz w:val="20"/>
          <w:szCs w:val="20"/>
          <w:color w:val="auto"/>
        </w:rPr>
      </w:pPr>
    </w:p>
    <w:p>
      <w:pPr>
        <w:ind w:right="2759"/>
        <w:spacing w:after="0" w:line="257" w:lineRule="auto"/>
        <w:rPr>
          <w:sz w:val="20"/>
          <w:szCs w:val="20"/>
          <w:color w:val="auto"/>
        </w:rPr>
      </w:pPr>
      <w:r>
        <w:rPr>
          <w:rFonts w:ascii="Courier New" w:cs="Courier New" w:eastAsia="Courier New" w:hAnsi="Courier New"/>
          <w:sz w:val="15"/>
          <w:szCs w:val="15"/>
          <w:color w:val="auto"/>
        </w:rPr>
        <w:t>4.09, 4.10, 4.11 and 4.15 hereof (collectively, the "Suspended Covenants"). In the event that the Company and the Restricted Subsidiaries are not subject to the Suspended Covenants for any period of time as a result of the preceding sentence and, subsequently, one of the Rating Agencies withdraws its ratings or downgrades the rating assigned to the Notes so that the Notes no longer have Investment Grade Ratings from both Rating Agencies or a Default or Event of Default occurs and is continuing, then the Company and the Restricted Subsidiaries will from such time and thereafter again be subject to the Suspended Covenants and compliance with the Suspended Covenants with respect to Restricted Payments made after the time of such withdrawal, Default or Event of Default will be calculated in accordance with the terms of the covenant described in Section 4.07 hereof as though such covenant had been in effect during the entire period of time from the Issue Date.</w:t>
      </w:r>
    </w:p>
    <w:p>
      <w:pPr>
        <w:spacing w:after="0" w:line="35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477" w:right="1440" w:bottom="1440" w:gutter="0" w:footer="0" w:header="0"/>
        </w:sectPr>
      </w:pPr>
    </w:p>
    <w:bookmarkStart w:id="300" w:name="page301"/>
    <w:bookmarkEnd w:id="300"/>
    <w:p>
      <w:pPr>
        <w:spacing w:after="0"/>
        <w:rPr>
          <w:sz w:val="20"/>
          <w:szCs w:val="20"/>
          <w:color w:val="auto"/>
        </w:rPr>
      </w:pPr>
      <w:r>
        <w:rPr>
          <w:rFonts w:ascii="Courier New" w:cs="Courier New" w:eastAsia="Courier New" w:hAnsi="Courier New"/>
          <w:sz w:val="16"/>
          <w:szCs w:val="16"/>
          <w:color w:val="auto"/>
        </w:rPr>
        <w:t>SECTION 4.20 Registration Default Damages.</w:t>
      </w:r>
    </w:p>
    <w:p>
      <w:pPr>
        <w:spacing w:after="0" w:line="186"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If Registration Default Damages are payable by the Company pursuant to Section 8 of the Registration Rights Agreement, the Company shall deliver to the Paying Agent, if other than the Company or a Subsidiary thereof, a certificate to that effect stating (i) the amount of such Registration Default Damages per $1,000 principal amount of the Notes that are payable, (ii) the facts and calculations supporting the determination of such amount and (iii) the date on which such damages are payable. Unless and until a Responsible Officer of the Trustee receives such a certificate, the Trustee may assume without inquiry that no Registration Default Damages are payable.</w:t>
      </w:r>
    </w:p>
    <w:p>
      <w:pPr>
        <w:spacing w:after="0" w:line="18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5.</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SUCCESSORS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5.01 Merger, Consolidation, or Sale of Assets.</w:t>
      </w:r>
    </w:p>
    <w:p>
      <w:pPr>
        <w:spacing w:after="0" w:line="186" w:lineRule="exact"/>
        <w:rPr>
          <w:sz w:val="20"/>
          <w:szCs w:val="20"/>
          <w:color w:val="auto"/>
        </w:rPr>
      </w:pPr>
    </w:p>
    <w:p>
      <w:pPr>
        <w:ind w:right="2759" w:firstLine="848"/>
        <w:spacing w:after="0" w:line="239" w:lineRule="auto"/>
        <w:tabs>
          <w:tab w:leader="none" w:pos="1229"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directly or indirectly: (1) consolidate or merge with or into another Person (whether or not the Company is the surviving corporation); or (2) sell, assign, transfer, convey or otherwise dispose of all or substantially all of its properties or assets, in one or more related transactions, to another Person; unless:</w:t>
      </w:r>
    </w:p>
    <w:p>
      <w:pPr>
        <w:spacing w:after="0" w:line="188" w:lineRule="exact"/>
        <w:rPr>
          <w:rFonts w:ascii="Courier New" w:cs="Courier New" w:eastAsia="Courier New" w:hAnsi="Courier New"/>
          <w:sz w:val="16"/>
          <w:szCs w:val="16"/>
          <w:color w:val="auto"/>
        </w:rPr>
      </w:pPr>
    </w:p>
    <w:p>
      <w:pPr>
        <w:ind w:right="2659" w:firstLine="1132"/>
        <w:spacing w:after="0" w:line="259" w:lineRule="auto"/>
        <w:tabs>
          <w:tab w:leader="none" w:pos="1513" w:val="left"/>
        </w:tabs>
        <w:numPr>
          <w:ilvl w:val="1"/>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(a) the Company is the surviving corporation; or (b) the Person formed by or surviving any such consolidation or merger (if other than the Company) or to which such sale, assignment, transfer, conveyance or other disposition shall have been made is a corporation organized or existing under the laws of the United States, any state thereof or the District of Columbia;</w:t>
      </w:r>
    </w:p>
    <w:p>
      <w:pPr>
        <w:spacing w:after="0" w:line="174" w:lineRule="exact"/>
        <w:rPr>
          <w:rFonts w:ascii="Courier New" w:cs="Courier New" w:eastAsia="Courier New" w:hAnsi="Courier New"/>
          <w:sz w:val="15"/>
          <w:szCs w:val="15"/>
          <w:color w:val="auto"/>
        </w:rPr>
      </w:pPr>
    </w:p>
    <w:p>
      <w:pPr>
        <w:ind w:right="2659" w:firstLine="1132"/>
        <w:spacing w:after="0" w:line="259" w:lineRule="auto"/>
        <w:tabs>
          <w:tab w:leader="none" w:pos="1513" w:val="left"/>
        </w:tabs>
        <w:numPr>
          <w:ilvl w:val="1"/>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formed by or surviving any such consolidation or merger (if other than the Company) or the Person to which such sale, assignment, transfer, conveyance or other disposition shall have been made assumes all the obligations of the Company under the Notes, this Indenture and the Registration Rights Agreement pursuant to agreements reasonably satisfactory to the Trustee;</w:t>
      </w:r>
    </w:p>
    <w:p>
      <w:pPr>
        <w:spacing w:after="0" w:line="174" w:lineRule="exact"/>
        <w:rPr>
          <w:rFonts w:ascii="Courier New" w:cs="Courier New" w:eastAsia="Courier New" w:hAnsi="Courier New"/>
          <w:sz w:val="15"/>
          <w:szCs w:val="15"/>
          <w:color w:val="auto"/>
        </w:rPr>
      </w:pPr>
    </w:p>
    <w:p>
      <w:pPr>
        <w:ind w:right="3319" w:firstLine="1132"/>
        <w:spacing w:after="0" w:line="237" w:lineRule="auto"/>
        <w:tabs>
          <w:tab w:leader="none" w:pos="1513" w:val="left"/>
        </w:tabs>
        <w:numPr>
          <w:ilvl w:val="1"/>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such transaction no Default or Event of Default exists; and</w:t>
      </w:r>
    </w:p>
    <w:p>
      <w:pPr>
        <w:spacing w:after="0" w:line="187" w:lineRule="exact"/>
        <w:rPr>
          <w:rFonts w:ascii="Courier New" w:cs="Courier New" w:eastAsia="Courier New" w:hAnsi="Courier New"/>
          <w:sz w:val="16"/>
          <w:szCs w:val="16"/>
          <w:color w:val="auto"/>
        </w:rPr>
      </w:pPr>
    </w:p>
    <w:p>
      <w:pPr>
        <w:ind w:right="2839" w:firstLine="1132"/>
        <w:spacing w:after="0"/>
        <w:tabs>
          <w:tab w:leader="none" w:pos="1513" w:val="left"/>
        </w:tabs>
        <w:numPr>
          <w:ilvl w:val="1"/>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in the case of a merger entered into solely for the purpose of reincorporating the Company or any Restricted Subsidiary in another jurisdiction, the Company or the Person formed by or surviving any such consolidation or merger (if other than the Company) shall,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Section 4.09 hereof.</w:t>
      </w:r>
    </w:p>
    <w:p>
      <w:pPr>
        <w:spacing w:after="0" w:line="188"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In addition, the Company shall not, directly or indirectly, lease all or substantially all of its properties or assets, in one or more related transactions, to any other Person. This Section 5.01 will not apply to a sale, assignment, transfer, conveyance or other disposition of assets between or among the Company and any Guarantor.</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477" w:right="1440" w:bottom="1440" w:gutter="0" w:footer="0" w:header="0"/>
        </w:sectPr>
      </w:pPr>
    </w:p>
    <w:bookmarkStart w:id="301" w:name="page302"/>
    <w:bookmarkEnd w:id="301"/>
    <w:p>
      <w:pPr>
        <w:ind w:right="2659" w:firstLine="848"/>
        <w:spacing w:after="0" w:line="239" w:lineRule="auto"/>
        <w:tabs>
          <w:tab w:leader="none" w:pos="1229" w:val="left"/>
        </w:tabs>
        <w:numPr>
          <w:ilvl w:val="0"/>
          <w:numId w:val="3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and after the date that the Registered Exchange Offer to exchange the Notes for notes that have been registered with the SEC has been consummated, the Company will be permitted to effect a reorganization whereby the Common Stock of the Company shall become owned by a corporation organized or existing under the laws of the United States, any state thereof or the District of Columbia ("Holdco"); provided that immediately after such transaction no Default or Event of Default exists and, provided further that:</w:t>
      </w:r>
    </w:p>
    <w:p>
      <w:pPr>
        <w:spacing w:after="0" w:line="191" w:lineRule="exact"/>
        <w:rPr>
          <w:rFonts w:ascii="Courier New" w:cs="Courier New" w:eastAsia="Courier New" w:hAnsi="Courier New"/>
          <w:sz w:val="16"/>
          <w:szCs w:val="16"/>
          <w:color w:val="auto"/>
        </w:rPr>
      </w:pPr>
    </w:p>
    <w:p>
      <w:pPr>
        <w:ind w:right="2659" w:firstLine="1132"/>
        <w:spacing w:after="0"/>
        <w:tabs>
          <w:tab w:leader="none" w:pos="1513" w:val="left"/>
        </w:tabs>
        <w:numPr>
          <w:ilvl w:val="1"/>
          <w:numId w:val="3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obligations of the Company under the Notes and the Indenture remain those of the Company, then (A) Holdco shall, within 10 Business Days of the date on which Holdco becomes the owner of the Common Stock of the Company, execute a supplemental indenture or other instrument evidencing its Guarantee of the Company's obligations under the Notes and this Indenture, in either case in form satisfactory to the Trustee, and deliver an Opinion of Counsel to the Trustee, (B) Holdco, the Company and each of Holdco's Restricted Subsidiaries shall be subject to all of the covenants under Article 4 hereof, and (C) all of the Subsidiaries of Holdco shall be Restricted Subsidiaries, except for its Unrestricted Subsidiaries, and all of the existing and future Domestic Restricted Subsidiaries of Holdco, except for the Company, Custom and Sanford, shall be Guarantors in accordance with, and to the extent required by, Section 4.17 hereof.</w:t>
      </w:r>
    </w:p>
    <w:p>
      <w:pPr>
        <w:spacing w:after="0" w:line="190" w:lineRule="exact"/>
        <w:rPr>
          <w:rFonts w:ascii="Courier New" w:cs="Courier New" w:eastAsia="Courier New" w:hAnsi="Courier New"/>
          <w:sz w:val="16"/>
          <w:szCs w:val="16"/>
          <w:color w:val="auto"/>
        </w:rPr>
      </w:pPr>
    </w:p>
    <w:p>
      <w:pPr>
        <w:ind w:right="2659" w:firstLine="1132"/>
        <w:spacing w:after="0"/>
        <w:tabs>
          <w:tab w:leader="none" w:pos="1513" w:val="left"/>
        </w:tabs>
        <w:numPr>
          <w:ilvl w:val="1"/>
          <w:numId w:val="3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obligations of the Company under the Notes and the Indenture are transferred and assigned to Holdco, then (A) Holdco shall assume all the obligations and covenants of the Company under the Notes and this Indenture, pursuant to agreements reasonably satisfactory to the Trustee, (B) each of Holdco and its Restricted Subsidiaries, including the Company, shall be subject to all of the covenants under Article 4 hereof, (C) the Company shall, within 10 Business Days of the date on which Holdco assumes the obligations of the Company under the Notes and this Indenture, execute a supplemental indenture or other instrument evidencing its Guarantee of Holdco's obligations under the Notes and this Indenture, in either case in form satisfactory to the Trustee, and deliver an Opinion of Counsel to the Trustee, and (D) all of the Subsidiaries of Holdco shall be Restricted Subsidiaries, except for its Unrestricted Subsidiaries, and all of the existing and future Domestic Restricted Subsidiaries of Holdco, except for Custom and Sanford, shall be Guarantors in accordance with, and to the extent required by, Section 4.17 hereof.</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5.02 Successor Corporation Substituted.</w:t>
      </w:r>
    </w:p>
    <w:p>
      <w:pPr>
        <w:spacing w:after="0" w:line="186" w:lineRule="exact"/>
        <w:rPr>
          <w:sz w:val="20"/>
          <w:szCs w:val="20"/>
          <w:color w:val="auto"/>
        </w:rPr>
      </w:pPr>
    </w:p>
    <w:p>
      <w:pPr>
        <w:ind w:right="2659" w:firstLine="851"/>
        <w:spacing w:after="0" w:line="257" w:lineRule="auto"/>
        <w:rPr>
          <w:sz w:val="20"/>
          <w:szCs w:val="20"/>
          <w:color w:val="auto"/>
        </w:rPr>
      </w:pPr>
      <w:r>
        <w:rPr>
          <w:rFonts w:ascii="Courier New" w:cs="Courier New" w:eastAsia="Courier New" w:hAnsi="Courier New"/>
          <w:sz w:val="15"/>
          <w:szCs w:val="15"/>
          <w:color w:val="auto"/>
        </w:rPr>
        <w:t>Upon any consolidation or merger, or any sale, assignment, transfer, lease, conveyance or other disposition of all or substantially all of the assets of the Company in accordance with Section 5.01 hereof, the successor corporation formed by such consolidation or into or with which the Company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the "Company" shall refer instead to the successor corporation and not to the Company), and may exercise every right and power of the Company under this Indenture with the same effect as if such successor Person had been named as the Company herein; provided, however, that the predecessor Company shall not be relieved from the obligation to pay the principal of and interest on the Notes except in the case of a sale of all of the Company's assets that meets the requirements of Section 5.01 hereof.</w:t>
      </w: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481" w:right="1440" w:bottom="1440" w:gutter="0" w:footer="0" w:header="0"/>
        </w:sectPr>
      </w:pPr>
    </w:p>
    <w:bookmarkStart w:id="302" w:name="page303"/>
    <w:bookmarkEnd w:id="302"/>
    <w:p>
      <w:pPr>
        <w:ind w:left="3300"/>
        <w:spacing w:after="0"/>
        <w:rPr>
          <w:sz w:val="20"/>
          <w:szCs w:val="20"/>
          <w:color w:val="auto"/>
        </w:rPr>
      </w:pPr>
      <w:r>
        <w:rPr>
          <w:rFonts w:ascii="Courier New" w:cs="Courier New" w:eastAsia="Courier New" w:hAnsi="Courier New"/>
          <w:sz w:val="16"/>
          <w:szCs w:val="16"/>
          <w:color w:val="auto"/>
        </w:rPr>
        <w:t>ARTICLE 6.</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DEFAULTS AND REMEDIES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6.01 Events of Default.</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Each of the following is an Event of Default:</w:t>
      </w:r>
    </w:p>
    <w:p>
      <w:pPr>
        <w:spacing w:after="0" w:line="186" w:lineRule="exact"/>
        <w:rPr>
          <w:sz w:val="20"/>
          <w:szCs w:val="20"/>
          <w:color w:val="auto"/>
        </w:rPr>
      </w:pPr>
    </w:p>
    <w:p>
      <w:pPr>
        <w:ind w:right="2839" w:firstLine="1132"/>
        <w:spacing w:after="0" w:line="238" w:lineRule="auto"/>
        <w:tabs>
          <w:tab w:leader="none" w:pos="1513" w:val="left"/>
        </w:tabs>
        <w:numPr>
          <w:ilvl w:val="0"/>
          <w:numId w:val="3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for 30 days in the payment when due of interest on, or Registration Default Damages with respect to, the Notes, whether or not prohibited by Article 10 hereof;</w:t>
      </w:r>
    </w:p>
    <w:p>
      <w:pPr>
        <w:spacing w:after="0" w:line="188" w:lineRule="exact"/>
        <w:rPr>
          <w:rFonts w:ascii="Courier New" w:cs="Courier New" w:eastAsia="Courier New" w:hAnsi="Courier New"/>
          <w:sz w:val="16"/>
          <w:szCs w:val="16"/>
          <w:color w:val="auto"/>
        </w:rPr>
      </w:pPr>
    </w:p>
    <w:p>
      <w:pPr>
        <w:ind w:right="2839" w:firstLine="1132"/>
        <w:spacing w:after="0" w:line="237" w:lineRule="auto"/>
        <w:tabs>
          <w:tab w:leader="none" w:pos="1513" w:val="left"/>
        </w:tabs>
        <w:numPr>
          <w:ilvl w:val="0"/>
          <w:numId w:val="3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payment when due of the principal of or premium, if any, on the Notes, whether or not prohibited by Article 10 hereof;</w:t>
      </w:r>
    </w:p>
    <w:p>
      <w:pPr>
        <w:spacing w:after="0" w:line="187" w:lineRule="exact"/>
        <w:rPr>
          <w:rFonts w:ascii="Courier New" w:cs="Courier New" w:eastAsia="Courier New" w:hAnsi="Courier New"/>
          <w:sz w:val="16"/>
          <w:szCs w:val="16"/>
          <w:color w:val="auto"/>
        </w:rPr>
      </w:pPr>
    </w:p>
    <w:p>
      <w:pPr>
        <w:ind w:left="1520" w:hanging="388"/>
        <w:spacing w:after="0"/>
        <w:tabs>
          <w:tab w:leader="none" w:pos="1520"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the Company to comply with its obligations under 5.01</w:t>
      </w:r>
    </w:p>
    <w:p>
      <w:pPr>
        <w:spacing w:after="0" w:line="8"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hereof;</w:t>
      </w:r>
    </w:p>
    <w:p>
      <w:pPr>
        <w:spacing w:after="0" w:line="186" w:lineRule="exact"/>
        <w:rPr>
          <w:rFonts w:ascii="Courier New" w:cs="Courier New" w:eastAsia="Courier New" w:hAnsi="Courier New"/>
          <w:sz w:val="15"/>
          <w:szCs w:val="15"/>
          <w:color w:val="auto"/>
        </w:rPr>
      </w:pPr>
    </w:p>
    <w:p>
      <w:pPr>
        <w:ind w:right="2939" w:firstLine="1132"/>
        <w:spacing w:after="0" w:line="237" w:lineRule="auto"/>
        <w:tabs>
          <w:tab w:leader="none" w:pos="1513" w:val="left"/>
        </w:tabs>
        <w:numPr>
          <w:ilvl w:val="0"/>
          <w:numId w:val="3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by the Company or any of its Subsidiaries for 30 days after notice to comply with Sections 4.07, 4.09, 4.10 or 4.15 hereof;</w:t>
      </w:r>
    </w:p>
    <w:p>
      <w:pPr>
        <w:spacing w:after="0" w:line="187" w:lineRule="exact"/>
        <w:rPr>
          <w:rFonts w:ascii="Courier New" w:cs="Courier New" w:eastAsia="Courier New" w:hAnsi="Courier New"/>
          <w:sz w:val="16"/>
          <w:szCs w:val="16"/>
          <w:color w:val="auto"/>
        </w:rPr>
      </w:pPr>
    </w:p>
    <w:p>
      <w:pPr>
        <w:ind w:right="2939" w:firstLine="1132"/>
        <w:spacing w:after="0" w:line="267" w:lineRule="auto"/>
        <w:tabs>
          <w:tab w:leader="none" w:pos="1513"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the Company or any of its Subsidiaries for 60 days after notice to comply with any of the other agreements in this Indenture;</w:t>
      </w:r>
    </w:p>
    <w:p>
      <w:pPr>
        <w:spacing w:after="0" w:line="167" w:lineRule="exact"/>
        <w:rPr>
          <w:rFonts w:ascii="Courier New" w:cs="Courier New" w:eastAsia="Courier New" w:hAnsi="Courier New"/>
          <w:sz w:val="15"/>
          <w:szCs w:val="15"/>
          <w:color w:val="auto"/>
        </w:rPr>
      </w:pPr>
    </w:p>
    <w:p>
      <w:pPr>
        <w:ind w:right="2759" w:firstLine="1132"/>
        <w:spacing w:after="0" w:line="239" w:lineRule="auto"/>
        <w:tabs>
          <w:tab w:leader="none" w:pos="1513" w:val="left"/>
        </w:tabs>
        <w:numPr>
          <w:ilvl w:val="0"/>
          <w:numId w:val="3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under any mortgage, indenture or instrument under which there may be issued or by which there may be secured or evidenced any Indebtedness for money borrowed by the Company or any of its Restricted Subsidiaries (or the payment of which is guaranteed by the Company for any of its Restricted Subsidiaries) whether such Indebtedness or guarantee now exists, or is created after the date hereof, if that default:</w:t>
      </w:r>
    </w:p>
    <w:p>
      <w:pPr>
        <w:spacing w:after="0" w:line="190" w:lineRule="exact"/>
        <w:rPr>
          <w:sz w:val="20"/>
          <w:szCs w:val="20"/>
          <w:color w:val="auto"/>
        </w:rPr>
      </w:pPr>
    </w:p>
    <w:p>
      <w:pPr>
        <w:ind w:left="560" w:right="2839" w:firstLine="572"/>
        <w:spacing w:after="0" w:line="239" w:lineRule="auto"/>
        <w:tabs>
          <w:tab w:leader="none" w:pos="1506"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caused by a failure to pay principal of or premium, if any, or interest on such Indebtedness prior to the expiration of the grace period provided in such Indebtedness on the date of such default (a "Payment Default"); or</w:t>
      </w:r>
    </w:p>
    <w:p>
      <w:pPr>
        <w:spacing w:after="0" w:line="187" w:lineRule="exact"/>
        <w:rPr>
          <w:rFonts w:ascii="Courier New" w:cs="Courier New" w:eastAsia="Courier New" w:hAnsi="Courier New"/>
          <w:sz w:val="16"/>
          <w:szCs w:val="16"/>
          <w:color w:val="auto"/>
        </w:rPr>
      </w:pPr>
    </w:p>
    <w:p>
      <w:pPr>
        <w:ind w:left="560" w:right="2939" w:firstLine="572"/>
        <w:spacing w:after="0" w:line="237" w:lineRule="auto"/>
        <w:tabs>
          <w:tab w:leader="none" w:pos="1506"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results in the acceleration of such Indebtedness prior to its express maturity,</w:t>
      </w:r>
    </w:p>
    <w:p>
      <w:pPr>
        <w:spacing w:after="0" w:line="188" w:lineRule="exact"/>
        <w:rPr>
          <w:sz w:val="20"/>
          <w:szCs w:val="20"/>
          <w:color w:val="auto"/>
        </w:rPr>
      </w:pPr>
    </w:p>
    <w:p>
      <w:pPr>
        <w:ind w:right="2939" w:firstLine="1135"/>
        <w:spacing w:after="0" w:line="239" w:lineRule="auto"/>
        <w:rPr>
          <w:sz w:val="20"/>
          <w:szCs w:val="20"/>
          <w:color w:val="auto"/>
        </w:rPr>
      </w:pPr>
      <w:r>
        <w:rPr>
          <w:rFonts w:ascii="Courier New" w:cs="Courier New" w:eastAsia="Courier New" w:hAnsi="Courier New"/>
          <w:sz w:val="16"/>
          <w:szCs w:val="16"/>
          <w:color w:val="auto"/>
        </w:rPr>
        <w:t>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187" w:lineRule="exact"/>
        <w:rPr>
          <w:sz w:val="20"/>
          <w:szCs w:val="20"/>
          <w:color w:val="auto"/>
        </w:rPr>
      </w:pPr>
    </w:p>
    <w:p>
      <w:pPr>
        <w:ind w:right="2759" w:firstLine="1132"/>
        <w:spacing w:after="0" w:line="238" w:lineRule="auto"/>
        <w:tabs>
          <w:tab w:leader="none" w:pos="1513" w:val="left"/>
        </w:tabs>
        <w:numPr>
          <w:ilvl w:val="0"/>
          <w:numId w:val="3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by the Company or any of its Subsidiaries to pay final judgments aggregating in excess of $20.0 million, which judgments are not paid, discharged or stayed for a period of 60 days;</w:t>
      </w:r>
    </w:p>
    <w:p>
      <w:pPr>
        <w:spacing w:after="0" w:line="188" w:lineRule="exact"/>
        <w:rPr>
          <w:rFonts w:ascii="Courier New" w:cs="Courier New" w:eastAsia="Courier New" w:hAnsi="Courier New"/>
          <w:sz w:val="16"/>
          <w:szCs w:val="16"/>
          <w:color w:val="auto"/>
        </w:rPr>
      </w:pPr>
    </w:p>
    <w:p>
      <w:pPr>
        <w:ind w:right="2659" w:firstLine="1132"/>
        <w:spacing w:after="0"/>
        <w:tabs>
          <w:tab w:leader="none" w:pos="1513" w:val="left"/>
        </w:tabs>
        <w:numPr>
          <w:ilvl w:val="0"/>
          <w:numId w:val="3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permitted by this Indenture, any Subsidiary Guarantee(s) of any Guarantor that is a Significant Subsidiary or of any group of Guarantors that collectively would constitute a Significant Subsidiary shall be held in any judicial proceeding to be unenforceable or invalid or shall cease for any reason to be in full force and effect or any Guarantor that is a Significant Subsidiary or any group of Guarantors that collectively would constitute a Significant Subsidiary, or any Person acting on behalf of any such Guarantor or group of Guarantors, shall deny or disaffirm the obligations of each such Guarantor under its Subsidiary Guarantee; and</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477" w:right="1440" w:bottom="1440" w:gutter="0" w:footer="0" w:header="0"/>
        </w:sectPr>
      </w:pPr>
    </w:p>
    <w:bookmarkStart w:id="303" w:name="page304"/>
    <w:bookmarkEnd w:id="303"/>
    <w:p>
      <w:pPr>
        <w:ind w:left="1520" w:hanging="388"/>
        <w:spacing w:after="0"/>
        <w:tabs>
          <w:tab w:leader="none" w:pos="1520" w:val="left"/>
        </w:tabs>
        <w:numPr>
          <w:ilvl w:val="0"/>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or any of its Significant Subsidiaries:</w:t>
      </w:r>
    </w:p>
    <w:p>
      <w:pPr>
        <w:spacing w:after="0" w:line="182" w:lineRule="exact"/>
        <w:rPr>
          <w:rFonts w:ascii="Courier New" w:cs="Courier New" w:eastAsia="Courier New" w:hAnsi="Courier New"/>
          <w:sz w:val="16"/>
          <w:szCs w:val="16"/>
          <w:color w:val="auto"/>
        </w:rPr>
      </w:pPr>
    </w:p>
    <w:p>
      <w:pPr>
        <w:ind w:left="1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 commences a voluntary case,</w:t>
      </w:r>
    </w:p>
    <w:p>
      <w:pPr>
        <w:spacing w:after="0" w:line="186" w:lineRule="exact"/>
        <w:rPr>
          <w:sz w:val="20"/>
          <w:szCs w:val="20"/>
          <w:color w:val="auto"/>
        </w:rPr>
      </w:pPr>
    </w:p>
    <w:p>
      <w:pPr>
        <w:ind w:left="560" w:right="2939" w:firstLine="572"/>
        <w:spacing w:after="0" w:line="237" w:lineRule="auto"/>
        <w:tabs>
          <w:tab w:leader="none" w:pos="1506" w:val="left"/>
        </w:tabs>
        <w:numPr>
          <w:ilvl w:val="0"/>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to the entry of an order for relief against it in an involuntary case,</w:t>
      </w:r>
    </w:p>
    <w:p>
      <w:pPr>
        <w:spacing w:after="0" w:line="187" w:lineRule="exact"/>
        <w:rPr>
          <w:rFonts w:ascii="Courier New" w:cs="Courier New" w:eastAsia="Courier New" w:hAnsi="Courier New"/>
          <w:sz w:val="16"/>
          <w:szCs w:val="16"/>
          <w:color w:val="auto"/>
        </w:rPr>
      </w:pPr>
    </w:p>
    <w:p>
      <w:pPr>
        <w:ind w:left="560" w:right="2839" w:firstLine="572"/>
        <w:spacing w:after="0" w:line="237" w:lineRule="auto"/>
        <w:tabs>
          <w:tab w:leader="none" w:pos="1506" w:val="left"/>
        </w:tabs>
        <w:numPr>
          <w:ilvl w:val="0"/>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to the appointment of a custodian of it or for all or substantially all of its property,</w:t>
      </w:r>
    </w:p>
    <w:p>
      <w:pPr>
        <w:spacing w:after="0" w:line="187" w:lineRule="exact"/>
        <w:rPr>
          <w:rFonts w:ascii="Courier New" w:cs="Courier New" w:eastAsia="Courier New" w:hAnsi="Courier New"/>
          <w:sz w:val="16"/>
          <w:szCs w:val="16"/>
          <w:color w:val="auto"/>
        </w:rPr>
      </w:pPr>
    </w:p>
    <w:p>
      <w:pPr>
        <w:ind w:left="1520" w:hanging="388"/>
        <w:spacing w:after="0"/>
        <w:tabs>
          <w:tab w:leader="none" w:pos="1520"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makes a general assignment for the benefit of its creditors, or</w:t>
      </w:r>
    </w:p>
    <w:p>
      <w:pPr>
        <w:spacing w:after="0" w:line="189" w:lineRule="exact"/>
        <w:rPr>
          <w:rFonts w:ascii="Courier New" w:cs="Courier New" w:eastAsia="Courier New" w:hAnsi="Courier New"/>
          <w:sz w:val="15"/>
          <w:szCs w:val="15"/>
          <w:color w:val="auto"/>
        </w:rPr>
      </w:pPr>
    </w:p>
    <w:p>
      <w:pPr>
        <w:ind w:left="1520" w:hanging="388"/>
        <w:spacing w:after="0"/>
        <w:tabs>
          <w:tab w:leader="none" w:pos="1520" w:val="left"/>
        </w:tabs>
        <w:numPr>
          <w:ilvl w:val="0"/>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generally is not paying its debts as they become due; or</w:t>
      </w:r>
    </w:p>
    <w:p>
      <w:pPr>
        <w:spacing w:after="0" w:line="186" w:lineRule="exact"/>
        <w:rPr>
          <w:sz w:val="20"/>
          <w:szCs w:val="20"/>
          <w:color w:val="auto"/>
        </w:rPr>
      </w:pPr>
    </w:p>
    <w:p>
      <w:pPr>
        <w:ind w:right="3039" w:firstLine="1132"/>
        <w:spacing w:after="0" w:line="237" w:lineRule="auto"/>
        <w:tabs>
          <w:tab w:leader="none" w:pos="1608" w:val="left"/>
        </w:tabs>
        <w:numPr>
          <w:ilvl w:val="0"/>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court of competent jurisdiction enters an order or decree under any Bankruptcy Law that:</w:t>
      </w:r>
    </w:p>
    <w:p>
      <w:pPr>
        <w:spacing w:after="0" w:line="188" w:lineRule="exact"/>
        <w:rPr>
          <w:sz w:val="20"/>
          <w:szCs w:val="20"/>
          <w:color w:val="auto"/>
        </w:rPr>
      </w:pPr>
    </w:p>
    <w:p>
      <w:pPr>
        <w:ind w:left="560" w:right="3119" w:firstLine="572"/>
        <w:spacing w:after="0" w:line="237" w:lineRule="auto"/>
        <w:tabs>
          <w:tab w:leader="none" w:pos="1506" w:val="left"/>
        </w:tabs>
        <w:numPr>
          <w:ilvl w:val="0"/>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for relief against the Company or any of its Significant Subsidiaries;</w:t>
      </w:r>
    </w:p>
    <w:p>
      <w:pPr>
        <w:spacing w:after="0" w:line="187" w:lineRule="exact"/>
        <w:rPr>
          <w:rFonts w:ascii="Courier New" w:cs="Courier New" w:eastAsia="Courier New" w:hAnsi="Courier New"/>
          <w:sz w:val="16"/>
          <w:szCs w:val="16"/>
          <w:color w:val="auto"/>
        </w:rPr>
      </w:pPr>
    </w:p>
    <w:p>
      <w:pPr>
        <w:ind w:left="560" w:right="2939" w:firstLine="572"/>
        <w:spacing w:after="0" w:line="238" w:lineRule="auto"/>
        <w:tabs>
          <w:tab w:leader="none" w:pos="1506" w:val="left"/>
        </w:tabs>
        <w:numPr>
          <w:ilvl w:val="0"/>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appoints a custodian of the Company or any of its Significant Subsidiaries or for all or substantially all of the property of the Company or any of its Subsidiaries; or</w:t>
      </w:r>
    </w:p>
    <w:p>
      <w:pPr>
        <w:spacing w:after="0" w:line="188" w:lineRule="exact"/>
        <w:rPr>
          <w:rFonts w:ascii="Courier New" w:cs="Courier New" w:eastAsia="Courier New" w:hAnsi="Courier New"/>
          <w:sz w:val="16"/>
          <w:szCs w:val="16"/>
          <w:color w:val="auto"/>
        </w:rPr>
      </w:pPr>
    </w:p>
    <w:p>
      <w:pPr>
        <w:ind w:left="560" w:right="2759" w:firstLine="572"/>
        <w:spacing w:after="0" w:line="237" w:lineRule="auto"/>
        <w:tabs>
          <w:tab w:leader="none" w:pos="1506" w:val="left"/>
        </w:tabs>
        <w:numPr>
          <w:ilvl w:val="0"/>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orders the liquidation of the Company or any of its Significant Subsidiaries;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order or decree remains unstayed and in effect for 60 consecutive days.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6.02 Acceleration.</w:t>
      </w:r>
    </w:p>
    <w:p>
      <w:pPr>
        <w:spacing w:after="0" w:line="186" w:lineRule="exact"/>
        <w:rPr>
          <w:sz w:val="20"/>
          <w:szCs w:val="20"/>
          <w:color w:val="auto"/>
        </w:rPr>
      </w:pPr>
    </w:p>
    <w:p>
      <w:pPr>
        <w:ind w:right="2939" w:firstLine="851"/>
        <w:spacing w:after="0" w:line="256" w:lineRule="auto"/>
        <w:rPr>
          <w:sz w:val="20"/>
          <w:szCs w:val="20"/>
          <w:color w:val="auto"/>
        </w:rPr>
      </w:pPr>
      <w:r>
        <w:rPr>
          <w:rFonts w:ascii="Courier New" w:cs="Courier New" w:eastAsia="Courier New" w:hAnsi="Courier New"/>
          <w:sz w:val="15"/>
          <w:szCs w:val="15"/>
          <w:color w:val="auto"/>
        </w:rPr>
        <w:t>If any Event of Default occurs and is continuing, the Trustee or the Holders of at least 25% in principal amount of the then outstanding Notes may declare all the Notes to be due and payable immediately. Notwithstanding the foregoing, if an Event of Default specified in clause (9) or (10) of Section</w:t>
      </w:r>
    </w:p>
    <w:p>
      <w:pPr>
        <w:spacing w:after="0" w:line="3"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6.01 hereof occurs with respect to the Company, any Significant Subsidiary or any group of Subsidiaries that, taken together, would constitute a Significant Subsidiary, all outstanding Notes shall be due and payable immediately without further action or notice. The Holders of a majority in aggregate principal amount of the Notes then outstanding by notice to the Trustee may on behalf of the Holders rescind an acceleration and its consequences if the rescission would not conflict with any judgment or decree and if all existing Events of Default (except nonpayment of principal, interest or premium that has become due solely because of the acceleration) have been cured or waived.</w:t>
      </w:r>
    </w:p>
    <w:p>
      <w:pPr>
        <w:spacing w:after="0" w:line="188" w:lineRule="exact"/>
        <w:rPr>
          <w:sz w:val="20"/>
          <w:szCs w:val="20"/>
          <w:color w:val="auto"/>
        </w:rPr>
      </w:pPr>
    </w:p>
    <w:p>
      <w:pPr>
        <w:ind w:right="2759" w:firstLine="851"/>
        <w:spacing w:after="0" w:line="258" w:lineRule="auto"/>
        <w:rPr>
          <w:sz w:val="20"/>
          <w:szCs w:val="20"/>
          <w:color w:val="auto"/>
        </w:rPr>
      </w:pPr>
      <w:r>
        <w:rPr>
          <w:rFonts w:ascii="Courier New" w:cs="Courier New" w:eastAsia="Courier New" w:hAnsi="Courier New"/>
          <w:sz w:val="15"/>
          <w:szCs w:val="15"/>
          <w:color w:val="auto"/>
        </w:rPr>
        <w:t>If an Event of Default occurs on or after November 15, 2008 by reason of any willful action (or inaction) taken (or not taken) by or on behalf of the Company with the intention of avoiding payment of the premium that the Company would have had to pay if the Company then had elected to redeem the Notes pursuant to Section 3.07 hereof, then, upon acceleration of the Notes, the Holders of a majority in principal amount of the then outstanding Notes may direct the Trustee that an equivalent premium shall also become and be immediately due and payable, to the extent permitted by law, anything in this Indenture or in the Notes to the contrary notwithstanding. If an Event of Default occurs prior to November 15, 2008 by reason of</w:t>
      </w:r>
    </w:p>
    <w:p>
      <w:pPr>
        <w:spacing w:after="0" w:line="17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477" w:right="1440" w:bottom="1440" w:gutter="0" w:footer="0" w:header="0"/>
        </w:sectPr>
      </w:pPr>
    </w:p>
    <w:bookmarkStart w:id="304" w:name="page305"/>
    <w:bookmarkEnd w:id="304"/>
    <w:p>
      <w:pPr>
        <w:ind w:right="1160"/>
        <w:spacing w:after="0"/>
        <w:rPr>
          <w:sz w:val="20"/>
          <w:szCs w:val="20"/>
          <w:color w:val="auto"/>
        </w:rPr>
      </w:pPr>
      <w:r>
        <w:rPr>
          <w:rFonts w:ascii="Courier New" w:cs="Courier New" w:eastAsia="Courier New" w:hAnsi="Courier New"/>
          <w:sz w:val="16"/>
          <w:szCs w:val="16"/>
          <w:color w:val="auto"/>
        </w:rPr>
        <w:t>any willful action (or inaction) taken (or not taken) by or on behalf of the Company with the intention of avoiding the prohibition on redemption of the Notes prior to November 15, 2008, then, upon acceleration of the Notes, the Holders of a majority in principal amount of the then outstanding Notes may direct the Trustee that an additional premium shall also become and be immediately due and payable in an amount, for each of the years beginning on November 15 of the years set forth below, as set forth below (expressed as a percentage of the aggregate principal amount to the date of payment that would otherwise be due but for the provisions of this sentence):</w:t>
      </w:r>
    </w:p>
    <w:p>
      <w:pPr>
        <w:spacing w:after="0" w:line="200" w:lineRule="exact"/>
        <w:rPr>
          <w:sz w:val="20"/>
          <w:szCs w:val="20"/>
          <w:color w:val="auto"/>
        </w:rPr>
      </w:pPr>
    </w:p>
    <w:p>
      <w:pPr>
        <w:spacing w:after="0" w:line="347"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YEAR</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2003.................................................................</w:t>
      </w:r>
    </w:p>
    <w:p>
      <w:pPr>
        <w:spacing w:after="0" w:line="1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2004.................................................................</w:t>
      </w:r>
    </w:p>
    <w:p>
      <w:pPr>
        <w:spacing w:after="0" w:line="1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2005.................................................................</w:t>
      </w:r>
    </w:p>
    <w:p>
      <w:pPr>
        <w:spacing w:after="0" w:line="1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2006.................................................................</w:t>
      </w:r>
    </w:p>
    <w:p>
      <w:pPr>
        <w:spacing w:after="0" w:line="1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2007.................................................................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6.03 Other Remedies.</w:t>
      </w:r>
    </w:p>
    <w:p>
      <w:pPr>
        <w:spacing w:after="0" w:line="186" w:lineRule="exact"/>
        <w:rPr>
          <w:sz w:val="20"/>
          <w:szCs w:val="20"/>
          <w:color w:val="auto"/>
        </w:rPr>
      </w:pPr>
    </w:p>
    <w:p>
      <w:pPr>
        <w:ind w:right="980" w:firstLine="851"/>
        <w:spacing w:after="0" w:line="239" w:lineRule="auto"/>
        <w:rPr>
          <w:sz w:val="20"/>
          <w:szCs w:val="20"/>
          <w:color w:val="auto"/>
        </w:rPr>
      </w:pPr>
      <w:r>
        <w:rPr>
          <w:rFonts w:ascii="Courier New" w:cs="Courier New" w:eastAsia="Courier New" w:hAnsi="Courier New"/>
          <w:sz w:val="16"/>
          <w:szCs w:val="16"/>
          <w:color w:val="auto"/>
        </w:rPr>
        <w:t>If an Event of Default occurs and is continuing, the Trustee may pursue any available remedy to collect the payment of principal, premium, if any, and interest and Registration Default Damages, if any, on the Notes or to enforce the performance of any provision of the Notes or this Indenture.</w:t>
      </w:r>
    </w:p>
    <w:p>
      <w:pPr>
        <w:spacing w:after="0" w:line="187" w:lineRule="exact"/>
        <w:rPr>
          <w:sz w:val="20"/>
          <w:szCs w:val="20"/>
          <w:color w:val="auto"/>
        </w:rPr>
      </w:pPr>
    </w:p>
    <w:p>
      <w:pPr>
        <w:ind w:right="980" w:firstLine="851"/>
        <w:spacing w:after="0" w:line="239" w:lineRule="auto"/>
        <w:rPr>
          <w:sz w:val="20"/>
          <w:szCs w:val="20"/>
          <w:color w:val="auto"/>
        </w:rPr>
      </w:pPr>
      <w:r>
        <w:rPr>
          <w:rFonts w:ascii="Courier New" w:cs="Courier New" w:eastAsia="Courier New" w:hAnsi="Courier New"/>
          <w:sz w:val="16"/>
          <w:szCs w:val="16"/>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6.04 Waiver of Past Defaults.</w:t>
      </w:r>
    </w:p>
    <w:p>
      <w:pPr>
        <w:spacing w:after="0" w:line="186" w:lineRule="exact"/>
        <w:rPr>
          <w:sz w:val="20"/>
          <w:szCs w:val="20"/>
          <w:color w:val="auto"/>
        </w:rPr>
      </w:pPr>
    </w:p>
    <w:p>
      <w:pPr>
        <w:ind w:right="980" w:firstLine="851"/>
        <w:spacing w:after="0"/>
        <w:rPr>
          <w:sz w:val="20"/>
          <w:szCs w:val="20"/>
          <w:color w:val="auto"/>
        </w:rPr>
      </w:pPr>
      <w:r>
        <w:rPr>
          <w:rFonts w:ascii="Courier New" w:cs="Courier New" w:eastAsia="Courier New" w:hAnsi="Courier New"/>
          <w:sz w:val="16"/>
          <w:szCs w:val="16"/>
          <w:color w:val="auto"/>
        </w:rPr>
        <w:t>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and Registration Default Damages, if any, or interest on, the Notes (including in connection with an offer to purchase) (provided, however,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6.05 Control by Majority.</w:t>
      </w:r>
    </w:p>
    <w:p>
      <w:pPr>
        <w:spacing w:after="0" w:line="186" w:lineRule="exact"/>
        <w:rPr>
          <w:sz w:val="20"/>
          <w:szCs w:val="20"/>
          <w:color w:val="auto"/>
        </w:rPr>
      </w:pPr>
    </w:p>
    <w:p>
      <w:pPr>
        <w:ind w:right="980" w:firstLine="851"/>
        <w:spacing w:after="0" w:line="238" w:lineRule="auto"/>
        <w:rPr>
          <w:sz w:val="20"/>
          <w:szCs w:val="20"/>
          <w:color w:val="auto"/>
        </w:rPr>
      </w:pPr>
      <w:r>
        <w:rPr>
          <w:rFonts w:ascii="Courier New" w:cs="Courier New" w:eastAsia="Courier New" w:hAnsi="Courier New"/>
          <w:sz w:val="16"/>
          <w:szCs w:val="16"/>
          <w:color w:val="auto"/>
        </w:rPr>
        <w:t>Holders of a majority in principal amount of the then outstanding Notes may direct the time, method and place of conducting any proceeding for exercising any remedy</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108.833%</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107.729%</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106.625%</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105.521%</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104.417%</w:t>
      </w:r>
    </w:p>
    <w:p>
      <w:pPr>
        <w:sectPr>
          <w:pgSz w:w="11900" w:h="16838" w:orient="portrait"/>
          <w:cols w:equalWidth="0" w:num="2">
            <w:col w:w="8540" w:space="720"/>
            <w:col w:w="960"/>
          </w:cols>
          <w:pgMar w:left="240" w:top="481" w:right="1439" w:bottom="1440" w:gutter="0" w:footer="0" w:header="0"/>
        </w:sectPr>
      </w:pPr>
    </w:p>
    <w:bookmarkStart w:id="305" w:name="page306"/>
    <w:bookmarkEnd w:id="305"/>
    <w:p>
      <w:pPr>
        <w:ind w:right="2759"/>
        <w:spacing w:after="0" w:line="239" w:lineRule="auto"/>
        <w:rPr>
          <w:sz w:val="20"/>
          <w:szCs w:val="20"/>
          <w:color w:val="auto"/>
        </w:rPr>
      </w:pPr>
      <w:r>
        <w:rPr>
          <w:rFonts w:ascii="Courier New" w:cs="Courier New" w:eastAsia="Courier New" w:hAnsi="Courier New"/>
          <w:sz w:val="16"/>
          <w:szCs w:val="16"/>
          <w:color w:val="auto"/>
        </w:rPr>
        <w:t>available to the Trustee or exercising any trust or power conferred on it. However, the Trustee may refuse to follow any direction that conflicts with law or this Indenture that the Trustee determines may be unduly prejudicial to the rights of other Holders of Notes or that may result in the incurrence of liability by the Trustee.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6.06 Limitation on Suits.</w:t>
      </w:r>
    </w:p>
    <w:p>
      <w:pPr>
        <w:spacing w:after="0" w:line="186" w:lineRule="exact"/>
        <w:rPr>
          <w:sz w:val="20"/>
          <w:szCs w:val="20"/>
          <w:color w:val="auto"/>
        </w:rPr>
      </w:pPr>
    </w:p>
    <w:p>
      <w:pPr>
        <w:ind w:right="2839" w:firstLine="851"/>
        <w:spacing w:after="0" w:line="237" w:lineRule="auto"/>
        <w:rPr>
          <w:sz w:val="20"/>
          <w:szCs w:val="20"/>
          <w:color w:val="auto"/>
        </w:rPr>
      </w:pPr>
      <w:r>
        <w:rPr>
          <w:rFonts w:ascii="Courier New" w:cs="Courier New" w:eastAsia="Courier New" w:hAnsi="Courier New"/>
          <w:sz w:val="16"/>
          <w:szCs w:val="16"/>
          <w:color w:val="auto"/>
        </w:rPr>
        <w:t>A Holder of a Note may pursue a remedy with respect to this Indenture or the Notes only if:</w:t>
      </w:r>
    </w:p>
    <w:p>
      <w:pPr>
        <w:spacing w:after="0" w:line="188" w:lineRule="exact"/>
        <w:rPr>
          <w:sz w:val="20"/>
          <w:szCs w:val="20"/>
          <w:color w:val="auto"/>
        </w:rPr>
      </w:pPr>
    </w:p>
    <w:p>
      <w:pPr>
        <w:ind w:right="3219" w:firstLine="848"/>
        <w:spacing w:after="0" w:line="237" w:lineRule="auto"/>
        <w:tabs>
          <w:tab w:leader="none" w:pos="1229"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of a Note gives to the Trustee written notice of a continuing Event of Default;</w:t>
      </w:r>
    </w:p>
    <w:p>
      <w:pPr>
        <w:spacing w:after="0" w:line="187" w:lineRule="exact"/>
        <w:rPr>
          <w:rFonts w:ascii="Courier New" w:cs="Courier New" w:eastAsia="Courier New" w:hAnsi="Courier New"/>
          <w:sz w:val="16"/>
          <w:szCs w:val="16"/>
          <w:color w:val="auto"/>
        </w:rPr>
      </w:pPr>
    </w:p>
    <w:p>
      <w:pPr>
        <w:ind w:right="2939" w:firstLine="848"/>
        <w:spacing w:after="0" w:line="267" w:lineRule="auto"/>
        <w:tabs>
          <w:tab w:leader="none" w:pos="1229"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at least 25% in principal amount of the then outstanding Notes make a written request to the Trustee to pursue the remedy;</w:t>
      </w:r>
    </w:p>
    <w:p>
      <w:pPr>
        <w:spacing w:after="0" w:line="167" w:lineRule="exact"/>
        <w:rPr>
          <w:rFonts w:ascii="Courier New" w:cs="Courier New" w:eastAsia="Courier New" w:hAnsi="Courier New"/>
          <w:sz w:val="15"/>
          <w:szCs w:val="15"/>
          <w:color w:val="auto"/>
        </w:rPr>
      </w:pPr>
    </w:p>
    <w:p>
      <w:pPr>
        <w:jc w:val="both"/>
        <w:ind w:right="2759" w:firstLine="848"/>
        <w:spacing w:after="0" w:line="238" w:lineRule="auto"/>
        <w:tabs>
          <w:tab w:leader="none" w:pos="1229"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of a Note or Holders of Notes offer and, if requested, provide to -the Trustee indemnity satisfactory to the Trustee against any loss, liability or expense;</w:t>
      </w:r>
    </w:p>
    <w:p>
      <w:pPr>
        <w:spacing w:after="0" w:line="188" w:lineRule="exact"/>
        <w:rPr>
          <w:rFonts w:ascii="Courier New" w:cs="Courier New" w:eastAsia="Courier New" w:hAnsi="Courier New"/>
          <w:sz w:val="16"/>
          <w:szCs w:val="16"/>
          <w:color w:val="auto"/>
        </w:rPr>
      </w:pPr>
    </w:p>
    <w:p>
      <w:pPr>
        <w:ind w:right="2839" w:firstLine="848"/>
        <w:spacing w:after="0" w:line="238" w:lineRule="auto"/>
        <w:tabs>
          <w:tab w:leader="none" w:pos="1229"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does not comply with the request within 60 days after receipt of the request and the offer and, if requested, the provision of indemnity; and</w:t>
      </w:r>
    </w:p>
    <w:p>
      <w:pPr>
        <w:spacing w:after="0" w:line="188" w:lineRule="exact"/>
        <w:rPr>
          <w:rFonts w:ascii="Courier New" w:cs="Courier New" w:eastAsia="Courier New" w:hAnsi="Courier New"/>
          <w:sz w:val="16"/>
          <w:szCs w:val="16"/>
          <w:color w:val="auto"/>
        </w:rPr>
      </w:pPr>
    </w:p>
    <w:p>
      <w:pPr>
        <w:ind w:right="2939" w:firstLine="848"/>
        <w:spacing w:after="0" w:line="238" w:lineRule="auto"/>
        <w:tabs>
          <w:tab w:leader="none" w:pos="1229"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such 60-day period the Holders of a majority in principal amount of the then outstanding Notes do not give the Trustee a direction inconsistent with the request.</w:t>
      </w:r>
    </w:p>
    <w:p>
      <w:pPr>
        <w:spacing w:after="0" w:line="188" w:lineRule="exact"/>
        <w:rPr>
          <w:sz w:val="20"/>
          <w:szCs w:val="20"/>
          <w:color w:val="auto"/>
        </w:rPr>
      </w:pPr>
    </w:p>
    <w:p>
      <w:pPr>
        <w:jc w:val="both"/>
        <w:ind w:right="2839" w:firstLine="851"/>
        <w:spacing w:after="0" w:line="238" w:lineRule="auto"/>
        <w:rPr>
          <w:sz w:val="20"/>
          <w:szCs w:val="20"/>
          <w:color w:val="auto"/>
        </w:rPr>
      </w:pPr>
      <w:r>
        <w:rPr>
          <w:rFonts w:ascii="Courier New" w:cs="Courier New" w:eastAsia="Courier New" w:hAnsi="Courier New"/>
          <w:sz w:val="16"/>
          <w:szCs w:val="16"/>
          <w:color w:val="auto"/>
        </w:rPr>
        <w:t>A Holder of a Note may not use this Indenture to prejudice the rights of another Holder of a Note or to obtain a preference or priority over another Holder of a Note.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6.07 Rights of Holders of Notes to Receive Payment.</w:t>
      </w:r>
    </w:p>
    <w:p>
      <w:pPr>
        <w:spacing w:after="0" w:line="186"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Notwithstanding any other provision of this Indenture, the right of any Holder of a Note to receive payment of principal, premium and Registration Default Damages,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6.08 Collection Suit by Trustee.</w:t>
      </w:r>
    </w:p>
    <w:p>
      <w:pPr>
        <w:spacing w:after="0" w:line="186"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If an Event of Default specified in Section 6.01(1) or (2) hereof occurs and is continuing, the Trustee is authorized to recover judgment in its own name and as trustee of an express trust against the Company for the whole amount of principal of, premium and Registration Default Damages,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481" w:right="1440" w:bottom="1440" w:gutter="0" w:footer="0" w:header="0"/>
        </w:sectPr>
      </w:pPr>
    </w:p>
    <w:bookmarkStart w:id="306" w:name="page307"/>
    <w:bookmarkEnd w:id="306"/>
    <w:p>
      <w:pPr>
        <w:spacing w:after="0"/>
        <w:rPr>
          <w:sz w:val="20"/>
          <w:szCs w:val="20"/>
          <w:color w:val="auto"/>
        </w:rPr>
      </w:pPr>
      <w:r>
        <w:rPr>
          <w:rFonts w:ascii="Courier New" w:cs="Courier New" w:eastAsia="Courier New" w:hAnsi="Courier New"/>
          <w:sz w:val="16"/>
          <w:szCs w:val="16"/>
          <w:color w:val="auto"/>
        </w:rPr>
        <w:t>SECTION 6.09 Trustee May File Proofs of Claim.</w:t>
      </w:r>
    </w:p>
    <w:p>
      <w:pPr>
        <w:spacing w:after="0" w:line="186"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6.10 Priorities.</w:t>
      </w:r>
    </w:p>
    <w:p>
      <w:pPr>
        <w:spacing w:after="0" w:line="186" w:lineRule="exact"/>
        <w:rPr>
          <w:sz w:val="20"/>
          <w:szCs w:val="20"/>
          <w:color w:val="auto"/>
        </w:rPr>
      </w:pPr>
    </w:p>
    <w:p>
      <w:pPr>
        <w:ind w:right="3039" w:firstLine="1135"/>
        <w:spacing w:after="0" w:line="237" w:lineRule="auto"/>
        <w:rPr>
          <w:sz w:val="20"/>
          <w:szCs w:val="20"/>
          <w:color w:val="auto"/>
        </w:rPr>
      </w:pPr>
      <w:r>
        <w:rPr>
          <w:rFonts w:ascii="Courier New" w:cs="Courier New" w:eastAsia="Courier New" w:hAnsi="Courier New"/>
          <w:sz w:val="16"/>
          <w:szCs w:val="16"/>
          <w:color w:val="auto"/>
        </w:rPr>
        <w:t>If the Trustee collects any money pursuant to this Article 6, it shall pay out the money in the following order:</w:t>
      </w:r>
    </w:p>
    <w:p>
      <w:pPr>
        <w:spacing w:after="0" w:line="188" w:lineRule="exact"/>
        <w:rPr>
          <w:sz w:val="20"/>
          <w:szCs w:val="20"/>
          <w:color w:val="auto"/>
        </w:rPr>
      </w:pPr>
    </w:p>
    <w:p>
      <w:pPr>
        <w:ind w:right="2939" w:firstLine="1135"/>
        <w:spacing w:after="0" w:line="239" w:lineRule="auto"/>
        <w:rPr>
          <w:sz w:val="20"/>
          <w:szCs w:val="20"/>
          <w:color w:val="auto"/>
        </w:rPr>
      </w:pPr>
      <w:r>
        <w:rPr>
          <w:rFonts w:ascii="Courier New" w:cs="Courier New" w:eastAsia="Courier New" w:hAnsi="Courier New"/>
          <w:sz w:val="16"/>
          <w:szCs w:val="16"/>
          <w:color w:val="auto"/>
        </w:rPr>
        <w:t>First: to the Trustee, its agents and attorneys for amounts due under Section 7.07 hereof, including payment of all compensation, expense and liabilities incurred, and all advances made, by the Trustee and the costs and expenses of collection;</w:t>
      </w:r>
    </w:p>
    <w:p>
      <w:pPr>
        <w:spacing w:after="0" w:line="187"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Second: to Holders of Notes for amounts due and unpaid on the Notes for principal, premium and Registration Default Damages, if any, and interest, ratably, without preference or priority of any kind, according to the amounts due and payable on the Notes for principal, premium and Registration Default Damages, if any, and interest, respectively; and</w:t>
      </w:r>
    </w:p>
    <w:p>
      <w:pPr>
        <w:spacing w:after="0" w:line="189" w:lineRule="exact"/>
        <w:rPr>
          <w:sz w:val="20"/>
          <w:szCs w:val="20"/>
          <w:color w:val="auto"/>
        </w:rPr>
      </w:pPr>
    </w:p>
    <w:p>
      <w:pPr>
        <w:ind w:right="3219" w:firstLine="1135"/>
        <w:spacing w:after="0" w:line="237" w:lineRule="auto"/>
        <w:rPr>
          <w:sz w:val="20"/>
          <w:szCs w:val="20"/>
          <w:color w:val="auto"/>
        </w:rPr>
      </w:pPr>
      <w:r>
        <w:rPr>
          <w:rFonts w:ascii="Courier New" w:cs="Courier New" w:eastAsia="Courier New" w:hAnsi="Courier New"/>
          <w:sz w:val="16"/>
          <w:szCs w:val="16"/>
          <w:color w:val="auto"/>
        </w:rPr>
        <w:t>Third: to the Company or to such party as a court of competent jurisdiction shall direct.</w:t>
      </w:r>
    </w:p>
    <w:p>
      <w:pPr>
        <w:spacing w:after="0" w:line="188" w:lineRule="exact"/>
        <w:rPr>
          <w:sz w:val="20"/>
          <w:szCs w:val="20"/>
          <w:color w:val="auto"/>
        </w:rPr>
      </w:pPr>
    </w:p>
    <w:p>
      <w:pPr>
        <w:jc w:val="both"/>
        <w:ind w:right="2659" w:firstLine="1135"/>
        <w:spacing w:after="0" w:line="239" w:lineRule="auto"/>
        <w:rPr>
          <w:sz w:val="20"/>
          <w:szCs w:val="20"/>
          <w:color w:val="auto"/>
        </w:rPr>
      </w:pPr>
      <w:r>
        <w:rPr>
          <w:rFonts w:ascii="Courier New" w:cs="Courier New" w:eastAsia="Courier New" w:hAnsi="Courier New"/>
          <w:sz w:val="16"/>
          <w:szCs w:val="16"/>
          <w:color w:val="auto"/>
        </w:rPr>
        <w:t>Until so applied, such payments shall be held in a separate account, in trust, by the Trustee or invested by the Trustee at the written direction of the Company. At such time as no Notes remain outstanding, any excess money held by the Trustee shall be paid to the Company.</w:t>
      </w:r>
    </w:p>
    <w:p>
      <w:pPr>
        <w:spacing w:after="0" w:line="187" w:lineRule="exact"/>
        <w:rPr>
          <w:sz w:val="20"/>
          <w:szCs w:val="20"/>
          <w:color w:val="auto"/>
        </w:rPr>
      </w:pPr>
    </w:p>
    <w:p>
      <w:pPr>
        <w:ind w:right="2839" w:firstLine="1135"/>
        <w:spacing w:after="0" w:line="237" w:lineRule="auto"/>
        <w:rPr>
          <w:sz w:val="20"/>
          <w:szCs w:val="20"/>
          <w:color w:val="auto"/>
        </w:rPr>
      </w:pPr>
      <w:r>
        <w:rPr>
          <w:rFonts w:ascii="Courier New" w:cs="Courier New" w:eastAsia="Courier New" w:hAnsi="Courier New"/>
          <w:sz w:val="16"/>
          <w:szCs w:val="16"/>
          <w:color w:val="auto"/>
        </w:rPr>
        <w:t>The Trustee may fix a record date and payment date for any payment to Holders of Notes pursuant to this Section 6.10.</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19"/>
          </w:cols>
          <w:pgMar w:left="240" w:top="659" w:right="1440" w:bottom="1440" w:gutter="0" w:footer="0" w:header="0"/>
        </w:sectPr>
      </w:pPr>
    </w:p>
    <w:bookmarkStart w:id="307" w:name="page308"/>
    <w:bookmarkEnd w:id="307"/>
    <w:p>
      <w:pPr>
        <w:spacing w:after="0"/>
        <w:rPr>
          <w:sz w:val="20"/>
          <w:szCs w:val="20"/>
          <w:color w:val="auto"/>
        </w:rPr>
      </w:pPr>
      <w:r>
        <w:rPr>
          <w:rFonts w:ascii="Courier New" w:cs="Courier New" w:eastAsia="Courier New" w:hAnsi="Courier New"/>
          <w:sz w:val="16"/>
          <w:szCs w:val="16"/>
          <w:color w:val="auto"/>
        </w:rPr>
        <w:t>SECTION 6.11 Undertaking for Costs.</w:t>
      </w:r>
    </w:p>
    <w:p>
      <w:pPr>
        <w:spacing w:after="0" w:line="186"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principal amount of the then outstanding Notes.</w:t>
      </w:r>
    </w:p>
    <w:p>
      <w:pPr>
        <w:spacing w:after="0" w:line="18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7.</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TRUSTEE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7.01 Duties of Trustee.</w:t>
      </w:r>
    </w:p>
    <w:p>
      <w:pPr>
        <w:spacing w:after="0" w:line="186" w:lineRule="exact"/>
        <w:rPr>
          <w:sz w:val="20"/>
          <w:szCs w:val="20"/>
          <w:color w:val="auto"/>
        </w:rPr>
      </w:pPr>
    </w:p>
    <w:p>
      <w:pPr>
        <w:ind w:right="2759" w:firstLine="1132"/>
        <w:spacing w:after="0" w:line="239" w:lineRule="auto"/>
        <w:tabs>
          <w:tab w:leader="none" w:pos="1513" w:val="left"/>
        </w:tabs>
        <w:numPr>
          <w:ilvl w:val="0"/>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Event of Default has occurred and is continuing, the Trustee shall exercise such of the rights and powers vested in it by this Indenture, and use the same degree of care and skill in its exercise, as a prudent man would exercise or use under the circumstances in the conduct of his own affairs.</w:t>
      </w:r>
    </w:p>
    <w:p>
      <w:pPr>
        <w:spacing w:after="0" w:line="184" w:lineRule="exact"/>
        <w:rPr>
          <w:rFonts w:ascii="Courier New" w:cs="Courier New" w:eastAsia="Courier New" w:hAnsi="Courier New"/>
          <w:sz w:val="16"/>
          <w:szCs w:val="16"/>
          <w:color w:val="auto"/>
        </w:rPr>
      </w:pPr>
    </w:p>
    <w:p>
      <w:pPr>
        <w:ind w:left="1520" w:hanging="388"/>
        <w:spacing w:after="0"/>
        <w:tabs>
          <w:tab w:leader="none" w:pos="1520" w:val="left"/>
        </w:tabs>
        <w:numPr>
          <w:ilvl w:val="0"/>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during the continuance of an Event of Default:</w:t>
      </w:r>
    </w:p>
    <w:p>
      <w:pPr>
        <w:spacing w:after="0" w:line="186" w:lineRule="exact"/>
        <w:rPr>
          <w:sz w:val="20"/>
          <w:szCs w:val="20"/>
          <w:color w:val="auto"/>
        </w:rPr>
      </w:pPr>
    </w:p>
    <w:p>
      <w:pPr>
        <w:ind w:left="560" w:right="2939" w:firstLine="572"/>
        <w:spacing w:after="0" w:line="239" w:lineRule="auto"/>
        <w:tabs>
          <w:tab w:leader="none" w:pos="1506" w:val="left"/>
        </w:tabs>
        <w:numPr>
          <w:ilvl w:val="0"/>
          <w:numId w:val="3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88" w:lineRule="exact"/>
        <w:rPr>
          <w:rFonts w:ascii="Courier New" w:cs="Courier New" w:eastAsia="Courier New" w:hAnsi="Courier New"/>
          <w:sz w:val="16"/>
          <w:szCs w:val="16"/>
          <w:color w:val="auto"/>
        </w:rPr>
      </w:pPr>
    </w:p>
    <w:p>
      <w:pPr>
        <w:ind w:left="560" w:right="2659" w:firstLine="572"/>
        <w:spacing w:after="0" w:line="239" w:lineRule="auto"/>
        <w:tabs>
          <w:tab w:leader="none" w:pos="1600" w:val="left"/>
        </w:tabs>
        <w:numPr>
          <w:ilvl w:val="0"/>
          <w:numId w:val="3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the certificates and opinions to determine whether or not they conform to the requirements of this Indenture but need not verify the contents thereof.</w:t>
      </w:r>
    </w:p>
    <w:p>
      <w:pPr>
        <w:spacing w:after="0" w:line="192" w:lineRule="exact"/>
        <w:rPr>
          <w:sz w:val="20"/>
          <w:szCs w:val="20"/>
          <w:color w:val="auto"/>
        </w:rPr>
      </w:pPr>
    </w:p>
    <w:p>
      <w:pPr>
        <w:ind w:right="3039" w:firstLine="1132"/>
        <w:spacing w:after="0" w:line="238" w:lineRule="auto"/>
        <w:tabs>
          <w:tab w:leader="none" w:pos="1513" w:val="left"/>
        </w:tabs>
        <w:numPr>
          <w:ilvl w:val="0"/>
          <w:numId w:val="3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not be relieved from liabilities for its own negligent action, its own negligent failure to act, or its own willful misconduct, except that:</w:t>
      </w:r>
    </w:p>
    <w:p>
      <w:pPr>
        <w:spacing w:after="0" w:line="188" w:lineRule="exact"/>
        <w:rPr>
          <w:sz w:val="20"/>
          <w:szCs w:val="20"/>
          <w:color w:val="auto"/>
        </w:rPr>
      </w:pPr>
    </w:p>
    <w:p>
      <w:pPr>
        <w:ind w:left="560" w:right="3039" w:firstLine="572"/>
        <w:spacing w:after="0" w:line="237" w:lineRule="auto"/>
        <w:tabs>
          <w:tab w:leader="none" w:pos="1506" w:val="left"/>
        </w:tabs>
        <w:numPr>
          <w:ilvl w:val="0"/>
          <w:numId w:val="3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paragraph does not limit the effect of paragraph (b) of this Section 7.01;</w:t>
      </w:r>
    </w:p>
    <w:p>
      <w:pPr>
        <w:spacing w:after="0" w:line="187" w:lineRule="exact"/>
        <w:rPr>
          <w:rFonts w:ascii="Courier New" w:cs="Courier New" w:eastAsia="Courier New" w:hAnsi="Courier New"/>
          <w:sz w:val="16"/>
          <w:szCs w:val="16"/>
          <w:color w:val="auto"/>
        </w:rPr>
      </w:pPr>
    </w:p>
    <w:p>
      <w:pPr>
        <w:ind w:left="560" w:right="2759" w:firstLine="572"/>
        <w:spacing w:after="0" w:line="238" w:lineRule="auto"/>
        <w:tabs>
          <w:tab w:leader="none" w:pos="1600" w:val="left"/>
        </w:tabs>
        <w:numPr>
          <w:ilvl w:val="0"/>
          <w:numId w:val="3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for any error of judgment made in good faith by a Responsible Officer, unless it is proved that the Trustee was negligent in ascertaining the pertinent facts; and</w:t>
      </w:r>
    </w:p>
    <w:p>
      <w:pPr>
        <w:spacing w:after="0" w:line="188" w:lineRule="exact"/>
        <w:rPr>
          <w:rFonts w:ascii="Courier New" w:cs="Courier New" w:eastAsia="Courier New" w:hAnsi="Courier New"/>
          <w:sz w:val="16"/>
          <w:szCs w:val="16"/>
          <w:color w:val="auto"/>
        </w:rPr>
      </w:pPr>
    </w:p>
    <w:p>
      <w:pPr>
        <w:ind w:left="560" w:right="2759" w:firstLine="572"/>
        <w:spacing w:after="0" w:line="238" w:lineRule="auto"/>
        <w:tabs>
          <w:tab w:leader="none" w:pos="1695" w:val="left"/>
        </w:tabs>
        <w:numPr>
          <w:ilvl w:val="0"/>
          <w:numId w:val="3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with respect to any action it takes or omits to take in good faith in accordance with a direction received by it pursuant to Sections 6.02, 6.04 or 6.05 hereof.</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19"/>
          </w:cols>
          <w:pgMar w:left="240" w:top="477" w:right="1440" w:bottom="1440" w:gutter="0" w:footer="0" w:header="0"/>
        </w:sectPr>
      </w:pPr>
    </w:p>
    <w:bookmarkStart w:id="308" w:name="page309"/>
    <w:bookmarkEnd w:id="308"/>
    <w:p>
      <w:pPr>
        <w:ind w:right="2659" w:firstLine="1132"/>
        <w:spacing w:after="0" w:line="238" w:lineRule="auto"/>
        <w:tabs>
          <w:tab w:leader="none" w:pos="1513" w:val="left"/>
        </w:tabs>
        <w:numPr>
          <w:ilvl w:val="0"/>
          <w:numId w:val="3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therein expressly so provided, every provision of this Indenture that in any way relates to the Trustee is subject to paragraphs (a), (b), (c), (e) and (f) of this Section 7.01 and Section 7.02.</w:t>
      </w:r>
    </w:p>
    <w:p>
      <w:pPr>
        <w:spacing w:after="0" w:line="188" w:lineRule="exact"/>
        <w:rPr>
          <w:rFonts w:ascii="Courier New" w:cs="Courier New" w:eastAsia="Courier New" w:hAnsi="Courier New"/>
          <w:sz w:val="16"/>
          <w:szCs w:val="16"/>
          <w:color w:val="auto"/>
        </w:rPr>
      </w:pPr>
    </w:p>
    <w:p>
      <w:pPr>
        <w:ind w:right="2659" w:firstLine="1132"/>
        <w:spacing w:after="0" w:line="239" w:lineRule="auto"/>
        <w:tabs>
          <w:tab w:leader="none" w:pos="1513" w:val="left"/>
        </w:tabs>
        <w:numPr>
          <w:ilvl w:val="0"/>
          <w:numId w:val="3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provision of this Indenture shall require the Trustee to expend or risk its own funds or incur any liability. The Trustee shall be under no obligation to exercise any of its rights and powers under this Indenture at the request of any Holders, unless such Holder shall have offered to the Trustee security and indemnity satisfactory to it against any loss, liability or expense.</w:t>
      </w:r>
    </w:p>
    <w:p>
      <w:pPr>
        <w:spacing w:after="0" w:line="190" w:lineRule="exact"/>
        <w:rPr>
          <w:rFonts w:ascii="Courier New" w:cs="Courier New" w:eastAsia="Courier New" w:hAnsi="Courier New"/>
          <w:sz w:val="16"/>
          <w:szCs w:val="16"/>
          <w:color w:val="auto"/>
        </w:rPr>
      </w:pPr>
    </w:p>
    <w:p>
      <w:pPr>
        <w:ind w:right="3119" w:firstLine="1132"/>
        <w:spacing w:after="0" w:line="239" w:lineRule="auto"/>
        <w:tabs>
          <w:tab w:leader="none" w:pos="1513" w:val="left"/>
        </w:tabs>
        <w:numPr>
          <w:ilvl w:val="0"/>
          <w:numId w:val="3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7.02 Rights of Trustee.</w:t>
      </w:r>
    </w:p>
    <w:p>
      <w:pPr>
        <w:spacing w:after="0" w:line="186" w:lineRule="exact"/>
        <w:rPr>
          <w:sz w:val="20"/>
          <w:szCs w:val="20"/>
          <w:color w:val="auto"/>
        </w:rPr>
      </w:pPr>
    </w:p>
    <w:p>
      <w:pPr>
        <w:ind w:right="2839" w:firstLine="1132"/>
        <w:spacing w:after="0" w:line="239" w:lineRule="auto"/>
        <w:tabs>
          <w:tab w:leader="none" w:pos="1513" w:val="left"/>
        </w:tabs>
        <w:numPr>
          <w:ilvl w:val="0"/>
          <w:numId w:val="3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conclusively rely and shall be fully protected in acting or refraining from acting upon any document believed by it to be genuine and to have been signed or presented by the proper Person. The Trustee need not investigate any fact or matter stated in the document.</w:t>
      </w:r>
    </w:p>
    <w:p>
      <w:pPr>
        <w:spacing w:after="0" w:line="187" w:lineRule="exact"/>
        <w:rPr>
          <w:rFonts w:ascii="Courier New" w:cs="Courier New" w:eastAsia="Courier New" w:hAnsi="Courier New"/>
          <w:sz w:val="16"/>
          <w:szCs w:val="16"/>
          <w:color w:val="auto"/>
        </w:rPr>
      </w:pPr>
    </w:p>
    <w:p>
      <w:pPr>
        <w:ind w:right="2659" w:firstLine="1132"/>
        <w:spacing w:after="0"/>
        <w:tabs>
          <w:tab w:leader="none" w:pos="1513" w:val="left"/>
        </w:tabs>
        <w:numPr>
          <w:ilvl w:val="0"/>
          <w:numId w:val="3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186" w:lineRule="exact"/>
        <w:rPr>
          <w:rFonts w:ascii="Courier New" w:cs="Courier New" w:eastAsia="Courier New" w:hAnsi="Courier New"/>
          <w:sz w:val="16"/>
          <w:szCs w:val="16"/>
          <w:color w:val="auto"/>
        </w:rPr>
      </w:pPr>
    </w:p>
    <w:p>
      <w:pPr>
        <w:ind w:right="2759" w:firstLine="1132"/>
        <w:spacing w:after="0" w:line="238" w:lineRule="auto"/>
        <w:tabs>
          <w:tab w:leader="none" w:pos="1513" w:val="left"/>
        </w:tabs>
        <w:numPr>
          <w:ilvl w:val="0"/>
          <w:numId w:val="3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act through its attorneys and agents and shall not be responsible for the misconduct or negligence of any agent appointed with due care.</w:t>
      </w:r>
    </w:p>
    <w:p>
      <w:pPr>
        <w:spacing w:after="0" w:line="188" w:lineRule="exact"/>
        <w:rPr>
          <w:rFonts w:ascii="Courier New" w:cs="Courier New" w:eastAsia="Courier New" w:hAnsi="Courier New"/>
          <w:sz w:val="16"/>
          <w:szCs w:val="16"/>
          <w:color w:val="auto"/>
        </w:rPr>
      </w:pPr>
    </w:p>
    <w:p>
      <w:pPr>
        <w:ind w:right="2659" w:firstLine="1132"/>
        <w:spacing w:after="0" w:line="238" w:lineRule="auto"/>
        <w:tabs>
          <w:tab w:leader="none" w:pos="1513" w:val="left"/>
        </w:tabs>
        <w:numPr>
          <w:ilvl w:val="0"/>
          <w:numId w:val="3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for any action it takes or omits to take in good faith that it believes to be authorized or within the rights or powers conferred upon it by this Indenture.</w:t>
      </w:r>
    </w:p>
    <w:p>
      <w:pPr>
        <w:spacing w:after="0" w:line="188" w:lineRule="exact"/>
        <w:rPr>
          <w:rFonts w:ascii="Courier New" w:cs="Courier New" w:eastAsia="Courier New" w:hAnsi="Courier New"/>
          <w:sz w:val="16"/>
          <w:szCs w:val="16"/>
          <w:color w:val="auto"/>
        </w:rPr>
      </w:pPr>
    </w:p>
    <w:p>
      <w:pPr>
        <w:ind w:right="2939" w:firstLine="1132"/>
        <w:spacing w:after="0" w:line="238" w:lineRule="auto"/>
        <w:tabs>
          <w:tab w:leader="none" w:pos="1513" w:val="left"/>
        </w:tabs>
        <w:numPr>
          <w:ilvl w:val="0"/>
          <w:numId w:val="3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specifically provided in this Indenture, any demand, request, direction or notice from the Company shall be sufficient if signed by an Officer of the Company.</w:t>
      </w:r>
    </w:p>
    <w:p>
      <w:pPr>
        <w:spacing w:after="0" w:line="188" w:lineRule="exact"/>
        <w:rPr>
          <w:rFonts w:ascii="Courier New" w:cs="Courier New" w:eastAsia="Courier New" w:hAnsi="Courier New"/>
          <w:sz w:val="16"/>
          <w:szCs w:val="16"/>
          <w:color w:val="auto"/>
        </w:rPr>
      </w:pPr>
    </w:p>
    <w:p>
      <w:pPr>
        <w:ind w:right="2759" w:firstLine="1132"/>
        <w:spacing w:after="0" w:line="259" w:lineRule="auto"/>
        <w:tabs>
          <w:tab w:leader="none" w:pos="1513"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 under no obligation to exercise any of the rights or powers vested in it by this Indenture at the request or direction of any of the Holders unless such Holders shall have offered to the Trustee reasonable security or indemnity against the costs, expenses and liabilities that might be incurred by it in compliance with such request or direction.</w:t>
      </w:r>
    </w:p>
    <w:p>
      <w:pPr>
        <w:spacing w:after="0" w:line="174" w:lineRule="exact"/>
        <w:rPr>
          <w:rFonts w:ascii="Courier New" w:cs="Courier New" w:eastAsia="Courier New" w:hAnsi="Courier New"/>
          <w:sz w:val="15"/>
          <w:szCs w:val="15"/>
          <w:color w:val="auto"/>
        </w:rPr>
      </w:pPr>
    </w:p>
    <w:p>
      <w:pPr>
        <w:ind w:right="2759" w:firstLine="1132"/>
        <w:spacing w:after="0" w:line="237" w:lineRule="auto"/>
        <w:tabs>
          <w:tab w:leader="none" w:pos="1513" w:val="left"/>
        </w:tabs>
        <w:numPr>
          <w:ilvl w:val="0"/>
          <w:numId w:val="3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required to give any bond or surety in respect of the performance of its powers and duties hereunder.</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481" w:right="1440" w:bottom="1440" w:gutter="0" w:footer="0" w:header="0"/>
        </w:sectPr>
      </w:pPr>
    </w:p>
    <w:bookmarkStart w:id="309" w:name="page310"/>
    <w:bookmarkEnd w:id="309"/>
    <w:p>
      <w:pPr>
        <w:ind w:right="2759" w:firstLine="1132"/>
        <w:spacing w:after="0" w:line="258" w:lineRule="auto"/>
        <w:tabs>
          <w:tab w:leader="none" w:pos="1513"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reports, information and documents to the Trustee under Section 4.03 is for informational purposes only and the Trustee's receipt of the foregoing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77" w:lineRule="exact"/>
        <w:rPr>
          <w:rFonts w:ascii="Courier New" w:cs="Courier New" w:eastAsia="Courier New" w:hAnsi="Courier New"/>
          <w:sz w:val="15"/>
          <w:szCs w:val="15"/>
          <w:color w:val="auto"/>
        </w:rPr>
      </w:pPr>
    </w:p>
    <w:p>
      <w:pPr>
        <w:ind w:right="2659" w:firstLine="1132"/>
        <w:spacing w:after="0" w:line="239" w:lineRule="auto"/>
        <w:tabs>
          <w:tab w:leader="none" w:pos="1513" w:val="left"/>
        </w:tabs>
        <w:numPr>
          <w:ilvl w:val="0"/>
          <w:numId w:val="3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charged with knowledge of any Defaults or Events of Default unless either (1) a Trust Officer of the Trustee shall have actual knowledge of such Default or Event of Default or (2) written notice of such Default or Event of Default shall have been given to the Trustee by any Holder or by the Company or any other obligor on the Notes or any holder of Senior Debt or any representative thereof.</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7.03 Individual Rights of Trustee.</w:t>
      </w:r>
    </w:p>
    <w:p>
      <w:pPr>
        <w:spacing w:after="0" w:line="186"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The Trustee may become the owner or pledgee of Notes and may otherwise deal with the Company or any Affiliate of the Company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 The Trustee is also subject to Sections 7.10 and 7.11 hereof.</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7.04 Trustee's Disclaimer.</w:t>
      </w:r>
    </w:p>
    <w:p>
      <w:pPr>
        <w:spacing w:after="0" w:line="186" w:lineRule="exact"/>
        <w:rPr>
          <w:sz w:val="20"/>
          <w:szCs w:val="20"/>
          <w:color w:val="auto"/>
        </w:rPr>
      </w:pPr>
    </w:p>
    <w:p>
      <w:pPr>
        <w:ind w:right="2659" w:firstLine="1135"/>
        <w:spacing w:after="0" w:line="258" w:lineRule="auto"/>
        <w:rPr>
          <w:sz w:val="20"/>
          <w:szCs w:val="20"/>
          <w:color w:val="auto"/>
        </w:rPr>
      </w:pPr>
      <w:r>
        <w:rPr>
          <w:rFonts w:ascii="Courier New" w:cs="Courier New" w:eastAsia="Courier New" w:hAnsi="Courier New"/>
          <w:sz w:val="15"/>
          <w:szCs w:val="15"/>
          <w:color w:val="auto"/>
        </w:rPr>
        <w:t>The Trustee shall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7.05 Notice of Defaults.</w:t>
      </w:r>
    </w:p>
    <w:p>
      <w:pPr>
        <w:spacing w:after="0" w:line="186"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If a Default or Event of Default occurs and is continuing and if it is known to the Trustee, the Trustee shall mail to Holders of Notes a notice of the Default or Event of Default within 90 days after such Default or Event of Default becomes known to the Trustee. Except in the case of a Default or Event of Default in payment of principal of, premium, if any, or interest on any Note, the Trustee may withhold the notice if and so long as a committee of its Responsible Officers in good faith determines that withholding the notice is in the interests of the Holders of the Notes.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7.06 Reports by Trustee to Holders of the Notes.</w:t>
      </w:r>
    </w:p>
    <w:p>
      <w:pPr>
        <w:spacing w:after="0" w:line="186"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Within 60 days after each May 15 beginning with the May 15 following the date of this Indenture, and for so long as Notes remain outstanding, the Trustee shall mail to the Holders of the Notes a brief report dated as of such reporting date that complies with TIA Section 313(a) (but if no event described in TIA Section 313(a) has occurred within the twelve months</w:t>
      </w:r>
    </w:p>
    <w:p>
      <w:pPr>
        <w:spacing w:after="0" w:line="36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19"/>
          </w:cols>
          <w:pgMar w:left="240" w:top="480" w:right="1440" w:bottom="1440" w:gutter="0" w:footer="0" w:header="0"/>
        </w:sectPr>
      </w:pPr>
    </w:p>
    <w:bookmarkStart w:id="310" w:name="page311"/>
    <w:bookmarkEnd w:id="310"/>
    <w:p>
      <w:pPr>
        <w:ind w:right="2659"/>
        <w:spacing w:after="0" w:line="238" w:lineRule="auto"/>
        <w:rPr>
          <w:sz w:val="20"/>
          <w:szCs w:val="20"/>
          <w:color w:val="auto"/>
        </w:rPr>
      </w:pPr>
      <w:r>
        <w:rPr>
          <w:rFonts w:ascii="Courier New" w:cs="Courier New" w:eastAsia="Courier New" w:hAnsi="Courier New"/>
          <w:sz w:val="16"/>
          <w:szCs w:val="16"/>
          <w:color w:val="auto"/>
        </w:rPr>
        <w:t>preceding the reporting date, no report need be transmitted). The Trustee also shall comply with TIA Section 313(b)(2). The Trustee shall also transmit by mail all reports as required by TIA Section 313(c).</w:t>
      </w:r>
    </w:p>
    <w:p>
      <w:pPr>
        <w:spacing w:after="0" w:line="188" w:lineRule="exact"/>
        <w:rPr>
          <w:sz w:val="20"/>
          <w:szCs w:val="20"/>
          <w:color w:val="auto"/>
        </w:rPr>
      </w:pPr>
    </w:p>
    <w:p>
      <w:pPr>
        <w:ind w:right="2839" w:firstLine="1135"/>
        <w:spacing w:after="0" w:line="239" w:lineRule="auto"/>
        <w:rPr>
          <w:sz w:val="20"/>
          <w:szCs w:val="20"/>
          <w:color w:val="auto"/>
        </w:rPr>
      </w:pPr>
      <w:r>
        <w:rPr>
          <w:rFonts w:ascii="Courier New" w:cs="Courier New" w:eastAsia="Courier New" w:hAnsi="Courier New"/>
          <w:sz w:val="16"/>
          <w:szCs w:val="16"/>
          <w:color w:val="auto"/>
        </w:rPr>
        <w:t>A copy of each report at the time of its mailing to the Holders of Notes shall be mailed to the Company and filed with the SEC and each stock exchange on which the Notes are listed in accordance with TIA Section 313(d). The Company shall promptly notify the Trustee when the Notes are listed on any stock exchange.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7.07 Compensation and Indemnity.</w:t>
      </w:r>
    </w:p>
    <w:p>
      <w:pPr>
        <w:spacing w:after="0" w:line="186"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The Company shall pay to the Trustee from time to time reasonable compensation for its acceptance of this Indenture and services hereunder. The Trustee's compensation shall not be limited by any law on compensation of a trustee of an express trust. The Company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spacing w:after="0" w:line="187"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The Company and the Guarantors shall jointly and severally indemnify the Trustee and its agents, employees, officers, directors and shareholders for, and hold same harmless against, any and all losses, liabilities or expenses (including, without limitation, reasonable attorneys' fees and expenses) incurred by it arising out of or in connection with the acceptance or administration of its duties under this Indenture, including the costs and expenses of enforcing this Indenture against the Company (including this Section 7.07) and defending itself against any claim (whether asserted by the Company or any Holder or any other person) or liability in connection with the exercise or performance of any of its powers or duties hereunder, except to the extent any such loss, liability or expense may be attributable to its negligence or bad faith. The Trustee shall notify the Company promptly of any claim for which it may seek indemnity. Failure by the Trustee to so notify the Company shall not relieve the Company of its obligations hereunder. At the Trustee's sole discretion, the Company shall defend the claim with counsel reasonably satisfactory to the Trustee, and the Trustee shall cooperate in the defense at the Company's expense. The Trustee may have separate counsel and the Company shall pay the reasonable fees and expenses of such counsel. The Company need not pay for any settlement made without its consent, which consent shall not be unreasonably withheld.</w:t>
      </w:r>
    </w:p>
    <w:p>
      <w:pPr>
        <w:spacing w:after="0" w:line="194" w:lineRule="exact"/>
        <w:rPr>
          <w:sz w:val="20"/>
          <w:szCs w:val="20"/>
          <w:color w:val="auto"/>
        </w:rPr>
      </w:pPr>
    </w:p>
    <w:p>
      <w:pPr>
        <w:ind w:right="2659" w:firstLine="1135"/>
        <w:spacing w:after="0" w:line="238" w:lineRule="auto"/>
        <w:rPr>
          <w:sz w:val="20"/>
          <w:szCs w:val="20"/>
          <w:color w:val="auto"/>
        </w:rPr>
      </w:pPr>
      <w:r>
        <w:rPr>
          <w:rFonts w:ascii="Courier New" w:cs="Courier New" w:eastAsia="Courier New" w:hAnsi="Courier New"/>
          <w:sz w:val="16"/>
          <w:szCs w:val="16"/>
          <w:color w:val="auto"/>
        </w:rPr>
        <w:t>The obligations of the Company and the Guarantors under this Section 7.07 shall survive the resignation or removal of the Trustee and/or the satisfaction and discharge or termination of this Indenture.</w:t>
      </w:r>
    </w:p>
    <w:p>
      <w:pPr>
        <w:spacing w:after="0" w:line="188"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To secure the Company's payment obligations in this Section, the Trustee shall have a Lien prior to the Notes on all money or property held or collected by the Trustee, except that held in trust to pay principal and interest on particular Notes. Such Lien shall survive the resignation or removal of the Trustee and/or the satisfaction and discharge or termination of this Indenture.</w:t>
      </w:r>
    </w:p>
    <w:p>
      <w:pPr>
        <w:spacing w:after="0" w:line="190" w:lineRule="exact"/>
        <w:rPr>
          <w:sz w:val="20"/>
          <w:szCs w:val="20"/>
          <w:color w:val="auto"/>
        </w:rPr>
      </w:pPr>
    </w:p>
    <w:p>
      <w:pPr>
        <w:jc w:val="both"/>
        <w:ind w:right="2659" w:firstLine="1135"/>
        <w:spacing w:after="0" w:line="238" w:lineRule="auto"/>
        <w:rPr>
          <w:sz w:val="20"/>
          <w:szCs w:val="20"/>
          <w:color w:val="auto"/>
        </w:rPr>
      </w:pPr>
      <w:r>
        <w:rPr>
          <w:rFonts w:ascii="Courier New" w:cs="Courier New" w:eastAsia="Courier New" w:hAnsi="Courier New"/>
          <w:sz w:val="16"/>
          <w:szCs w:val="16"/>
          <w:color w:val="auto"/>
        </w:rPr>
        <w:t>When the Trustee incurs expenses or renders services after an Event of Default specified in Section 6.01 (9) or (10) hereof occurs, the expenses and the compensation for the</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10219"/>
          </w:cols>
          <w:pgMar w:left="240" w:top="481" w:right="1440" w:bottom="1440" w:gutter="0" w:footer="0" w:header="0"/>
        </w:sectPr>
      </w:pPr>
    </w:p>
    <w:bookmarkStart w:id="311" w:name="page312"/>
    <w:bookmarkEnd w:id="311"/>
    <w:p>
      <w:pPr>
        <w:ind w:right="3119"/>
        <w:spacing w:after="0" w:line="267" w:lineRule="auto"/>
        <w:rPr>
          <w:sz w:val="20"/>
          <w:szCs w:val="20"/>
          <w:color w:val="auto"/>
        </w:rPr>
      </w:pPr>
      <w:r>
        <w:rPr>
          <w:rFonts w:ascii="Courier New" w:cs="Courier New" w:eastAsia="Courier New" w:hAnsi="Courier New"/>
          <w:sz w:val="15"/>
          <w:szCs w:val="15"/>
          <w:color w:val="auto"/>
        </w:rPr>
        <w:t>services (including the fees and expenses of its agents and counsel) are intended to constitute expenses of administration under any Bankruptcy Law.</w:t>
      </w:r>
    </w:p>
    <w:p>
      <w:pPr>
        <w:spacing w:after="0" w:line="168" w:lineRule="exact"/>
        <w:rPr>
          <w:sz w:val="20"/>
          <w:szCs w:val="20"/>
          <w:color w:val="auto"/>
        </w:rPr>
      </w:pPr>
    </w:p>
    <w:p>
      <w:pPr>
        <w:ind w:right="3499" w:firstLine="1135"/>
        <w:spacing w:after="0" w:line="237" w:lineRule="auto"/>
        <w:rPr>
          <w:sz w:val="20"/>
          <w:szCs w:val="20"/>
          <w:color w:val="auto"/>
        </w:rPr>
      </w:pPr>
      <w:r>
        <w:rPr>
          <w:rFonts w:ascii="Courier New" w:cs="Courier New" w:eastAsia="Courier New" w:hAnsi="Courier New"/>
          <w:sz w:val="16"/>
          <w:szCs w:val="16"/>
          <w:color w:val="auto"/>
        </w:rPr>
        <w:t>The Trustee shall comply with the provisions of TIA Section 313(b)(2) to the extent applicable.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7.08 Replacement of Trustee.</w:t>
      </w:r>
    </w:p>
    <w:p>
      <w:pPr>
        <w:spacing w:after="0" w:line="186" w:lineRule="exact"/>
        <w:rPr>
          <w:sz w:val="20"/>
          <w:szCs w:val="20"/>
          <w:color w:val="auto"/>
        </w:rPr>
      </w:pPr>
    </w:p>
    <w:p>
      <w:pPr>
        <w:ind w:right="3219" w:firstLine="1135"/>
        <w:spacing w:after="0" w:line="238" w:lineRule="auto"/>
        <w:rPr>
          <w:sz w:val="20"/>
          <w:szCs w:val="20"/>
          <w:color w:val="auto"/>
        </w:rPr>
      </w:pPr>
      <w:r>
        <w:rPr>
          <w:rFonts w:ascii="Courier New" w:cs="Courier New" w:eastAsia="Courier New" w:hAnsi="Courier New"/>
          <w:sz w:val="16"/>
          <w:szCs w:val="16"/>
          <w:color w:val="auto"/>
        </w:rPr>
        <w:t>A resignation or removal of the Trustee and appointment of a successor Trustee shall become effective only upon the successor Trustee's acceptance of appointment as provided in this Section 7.08.</w:t>
      </w:r>
    </w:p>
    <w:p>
      <w:pPr>
        <w:spacing w:after="0" w:line="188"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The Trustee may resign in writing at any time and be discharged from the trust hereby created by so notifying the Company. The Holders of Notes of a majority in principal amount of the then outstanding Notes may remove the Trustee by so notifying the Trustee and the Company in writing. The Company may remove the Trustee if:</w:t>
      </w:r>
    </w:p>
    <w:p>
      <w:pPr>
        <w:spacing w:after="0" w:line="185" w:lineRule="exact"/>
        <w:rPr>
          <w:sz w:val="20"/>
          <w:szCs w:val="20"/>
          <w:color w:val="auto"/>
        </w:rPr>
      </w:pPr>
    </w:p>
    <w:p>
      <w:pPr>
        <w:ind w:left="1520" w:hanging="388"/>
        <w:spacing w:after="0"/>
        <w:tabs>
          <w:tab w:leader="none" w:pos="1520" w:val="left"/>
        </w:tabs>
        <w:numPr>
          <w:ilvl w:val="0"/>
          <w:numId w:val="3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fails to comply with Section 7.10 hereof;</w:t>
      </w:r>
    </w:p>
    <w:p>
      <w:pPr>
        <w:spacing w:after="0" w:line="186" w:lineRule="exact"/>
        <w:rPr>
          <w:rFonts w:ascii="Courier New" w:cs="Courier New" w:eastAsia="Courier New" w:hAnsi="Courier New"/>
          <w:sz w:val="16"/>
          <w:szCs w:val="16"/>
          <w:color w:val="auto"/>
        </w:rPr>
      </w:pPr>
    </w:p>
    <w:p>
      <w:pPr>
        <w:ind w:right="2839" w:firstLine="1132"/>
        <w:spacing w:after="0" w:line="267" w:lineRule="auto"/>
        <w:tabs>
          <w:tab w:leader="none" w:pos="1513"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is adjudged a bankrupt or an insolvent or an order for relief is entered with respect to the Trustee under any Bankruptcy Law;</w:t>
      </w:r>
    </w:p>
    <w:p>
      <w:pPr>
        <w:spacing w:after="0" w:line="167" w:lineRule="exact"/>
        <w:rPr>
          <w:rFonts w:ascii="Courier New" w:cs="Courier New" w:eastAsia="Courier New" w:hAnsi="Courier New"/>
          <w:sz w:val="15"/>
          <w:szCs w:val="15"/>
          <w:color w:val="auto"/>
        </w:rPr>
      </w:pPr>
    </w:p>
    <w:p>
      <w:pPr>
        <w:ind w:left="1520" w:hanging="388"/>
        <w:spacing w:after="0"/>
        <w:tabs>
          <w:tab w:leader="none" w:pos="1520"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custodian or public officer takes charge of the Trustee or its</w:t>
      </w:r>
    </w:p>
    <w:p>
      <w:pPr>
        <w:spacing w:after="0" w:line="8"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property; or</w:t>
      </w:r>
    </w:p>
    <w:p>
      <w:pPr>
        <w:spacing w:after="0" w:line="182" w:lineRule="exact"/>
        <w:rPr>
          <w:rFonts w:ascii="Courier New" w:cs="Courier New" w:eastAsia="Courier New" w:hAnsi="Courier New"/>
          <w:sz w:val="15"/>
          <w:szCs w:val="15"/>
          <w:color w:val="auto"/>
        </w:rPr>
      </w:pPr>
    </w:p>
    <w:p>
      <w:pPr>
        <w:ind w:left="1520" w:hanging="388"/>
        <w:spacing w:after="0"/>
        <w:tabs>
          <w:tab w:leader="none" w:pos="1520" w:val="left"/>
        </w:tabs>
        <w:numPr>
          <w:ilvl w:val="0"/>
          <w:numId w:val="3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becomes incapable of acting.</w:t>
      </w:r>
    </w:p>
    <w:p>
      <w:pPr>
        <w:spacing w:after="0" w:line="186" w:lineRule="exact"/>
        <w:rPr>
          <w:sz w:val="20"/>
          <w:szCs w:val="20"/>
          <w:color w:val="auto"/>
        </w:rPr>
      </w:pPr>
    </w:p>
    <w:p>
      <w:pPr>
        <w:ind w:right="2659" w:firstLine="1135"/>
        <w:spacing w:after="0" w:line="259" w:lineRule="auto"/>
        <w:rPr>
          <w:sz w:val="20"/>
          <w:szCs w:val="20"/>
          <w:color w:val="auto"/>
        </w:rPr>
      </w:pPr>
      <w:r>
        <w:rPr>
          <w:rFonts w:ascii="Courier New" w:cs="Courier New" w:eastAsia="Courier New" w:hAnsi="Courier New"/>
          <w:sz w:val="15"/>
          <w:szCs w:val="15"/>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Notes may appoint a successor Trustee to replace the successor Trustee appointed by the Company.</w:t>
      </w:r>
    </w:p>
    <w:p>
      <w:pPr>
        <w:spacing w:after="0" w:line="174"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If a successor Trustee does not take office within 60 days after the retiring Trustee resigns or is removed, the retiring Trustee, the Company, or the Holders of Notes of at least 10% in principal amount of the then outstanding Notes may petition any court of competent jurisdiction for the appointment of a successor Trustee.</w:t>
      </w:r>
    </w:p>
    <w:p>
      <w:pPr>
        <w:spacing w:after="0" w:line="189" w:lineRule="exact"/>
        <w:rPr>
          <w:sz w:val="20"/>
          <w:szCs w:val="20"/>
          <w:color w:val="auto"/>
        </w:rPr>
      </w:pPr>
    </w:p>
    <w:p>
      <w:pPr>
        <w:ind w:right="2839" w:firstLine="1135"/>
        <w:spacing w:after="0" w:line="239" w:lineRule="auto"/>
        <w:rPr>
          <w:sz w:val="20"/>
          <w:szCs w:val="20"/>
          <w:color w:val="auto"/>
        </w:rPr>
      </w:pPr>
      <w:r>
        <w:rPr>
          <w:rFonts w:ascii="Courier New" w:cs="Courier New" w:eastAsia="Courier New" w:hAnsi="Courier New"/>
          <w:sz w:val="16"/>
          <w:szCs w:val="16"/>
          <w:color w:val="auto"/>
        </w:rPr>
        <w:t>If the Trustee, after written request by any Holder of a Note who has been a Holder of a Note for at least six months, fails to comply with Section 7.10 hereof, such Holder of a Note may petition any court of competent jurisdiction for the removal of the Trustee and the appointment of a successor Trustee.</w:t>
      </w:r>
    </w:p>
    <w:p>
      <w:pPr>
        <w:spacing w:after="0" w:line="189"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mail a notice of its succession to Holders of the Notes. The retiring Trustee shall promptly transfer all property held by it as Trustee to the successor Trustee, provided all sums owing to the Trustee hereunder have</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0219"/>
          </w:cols>
          <w:pgMar w:left="240" w:top="481" w:right="1440" w:bottom="1440" w:gutter="0" w:footer="0" w:header="0"/>
        </w:sectPr>
      </w:pPr>
    </w:p>
    <w:bookmarkStart w:id="312" w:name="page313"/>
    <w:bookmarkEnd w:id="312"/>
    <w:p>
      <w:pPr>
        <w:ind w:right="2839"/>
        <w:spacing w:after="0" w:line="239" w:lineRule="auto"/>
        <w:rPr>
          <w:sz w:val="20"/>
          <w:szCs w:val="20"/>
          <w:color w:val="auto"/>
        </w:rPr>
      </w:pPr>
      <w:r>
        <w:rPr>
          <w:rFonts w:ascii="Courier New" w:cs="Courier New" w:eastAsia="Courier New" w:hAnsi="Courier New"/>
          <w:sz w:val="16"/>
          <w:szCs w:val="16"/>
          <w:color w:val="auto"/>
        </w:rPr>
        <w:t>been paid and subject to the Lien provided for in Section 7.07 hereof. Notwithstanding replacement of the Trustee pursuant to this Section 7.08, the Company's obligations under Section 7.07 hereof shall continue for the benefit of the retiring Trustee.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7.09 Successor Trustee by Merger, etc.</w:t>
      </w:r>
    </w:p>
    <w:p>
      <w:pPr>
        <w:spacing w:after="0" w:line="186" w:lineRule="exact"/>
        <w:rPr>
          <w:sz w:val="20"/>
          <w:szCs w:val="20"/>
          <w:color w:val="auto"/>
        </w:rPr>
      </w:pPr>
    </w:p>
    <w:p>
      <w:pPr>
        <w:ind w:right="2839" w:firstLine="1135"/>
        <w:spacing w:after="0" w:line="239" w:lineRule="auto"/>
        <w:rPr>
          <w:sz w:val="20"/>
          <w:szCs w:val="20"/>
          <w:color w:val="auto"/>
        </w:rPr>
      </w:pPr>
      <w:r>
        <w:rPr>
          <w:rFonts w:ascii="Courier New" w:cs="Courier New" w:eastAsia="Courier New" w:hAnsi="Courier New"/>
          <w:sz w:val="16"/>
          <w:szCs w:val="16"/>
          <w:color w:val="auto"/>
        </w:rPr>
        <w:t>If the Trustee consolidates, merges or converts into, or transfers all or substantially all of its corporate trust business to, another corporation, the successor corporation without any further act shall be the successor Trustee; provided that such corporation shall be eligible under this Article 7 and TIA Section 310(a).</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7.10 Eligibility; Disqualification.</w:t>
      </w:r>
    </w:p>
    <w:p>
      <w:pPr>
        <w:spacing w:after="0" w:line="186"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192" w:lineRule="exact"/>
        <w:rPr>
          <w:sz w:val="20"/>
          <w:szCs w:val="20"/>
          <w:color w:val="auto"/>
        </w:rPr>
      </w:pPr>
    </w:p>
    <w:p>
      <w:pPr>
        <w:ind w:right="2939" w:firstLine="1135"/>
        <w:spacing w:after="0" w:line="238" w:lineRule="auto"/>
        <w:rPr>
          <w:sz w:val="20"/>
          <w:szCs w:val="20"/>
          <w:color w:val="auto"/>
        </w:rPr>
      </w:pPr>
      <w:r>
        <w:rPr>
          <w:rFonts w:ascii="Courier New" w:cs="Courier New" w:eastAsia="Courier New" w:hAnsi="Courier New"/>
          <w:sz w:val="16"/>
          <w:szCs w:val="16"/>
          <w:color w:val="auto"/>
        </w:rPr>
        <w:t>This Indenture shall always have a Trustee who satisfies the requirements of TIA Section 310(a)(1), (2) and (5). The Trustee is subject to TIA Section 310(b).</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7.11 Preferential Collection of Claims Against Company.</w:t>
      </w:r>
    </w:p>
    <w:p>
      <w:pPr>
        <w:spacing w:after="0" w:line="186" w:lineRule="exact"/>
        <w:rPr>
          <w:sz w:val="20"/>
          <w:szCs w:val="20"/>
          <w:color w:val="auto"/>
        </w:rPr>
      </w:pPr>
    </w:p>
    <w:p>
      <w:pPr>
        <w:ind w:right="2659" w:firstLine="1135"/>
        <w:spacing w:after="0" w:line="262" w:lineRule="auto"/>
        <w:rPr>
          <w:sz w:val="20"/>
          <w:szCs w:val="20"/>
          <w:color w:val="auto"/>
        </w:rPr>
      </w:pPr>
      <w:r>
        <w:rPr>
          <w:rFonts w:ascii="Courier New" w:cs="Courier New" w:eastAsia="Courier New" w:hAnsi="Courier New"/>
          <w:sz w:val="15"/>
          <w:szCs w:val="15"/>
          <w:color w:val="auto"/>
        </w:rPr>
        <w:t>The Trustee is subject to TIA Section 311(a), excluding any creditor relationship listed in TIA Section 311(b). A Trustee who has resigned or been removed shall be subject to TIA Section 311(a) to the extent indicated therein.</w:t>
      </w:r>
    </w:p>
    <w:p>
      <w:pPr>
        <w:spacing w:after="0" w:line="167"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ARTICLE 8.</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LEGAL DEFEASANCE AND COVENANT DEFEASANCE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8.01 Option to Effect Legal Defeasance or Covenant Defeasance.</w:t>
      </w:r>
    </w:p>
    <w:p>
      <w:pPr>
        <w:spacing w:after="0" w:line="186" w:lineRule="exact"/>
        <w:rPr>
          <w:sz w:val="20"/>
          <w:szCs w:val="20"/>
          <w:color w:val="auto"/>
        </w:rPr>
      </w:pPr>
    </w:p>
    <w:p>
      <w:pPr>
        <w:ind w:right="2839" w:firstLine="1135"/>
        <w:spacing w:after="0" w:line="260" w:lineRule="auto"/>
        <w:rPr>
          <w:sz w:val="20"/>
          <w:szCs w:val="20"/>
          <w:color w:val="auto"/>
        </w:rPr>
      </w:pPr>
      <w:r>
        <w:rPr>
          <w:rFonts w:ascii="Courier New" w:cs="Courier New" w:eastAsia="Courier New" w:hAnsi="Courier New"/>
          <w:sz w:val="15"/>
          <w:szCs w:val="15"/>
          <w:color w:val="auto"/>
        </w:rPr>
        <w:t>The Company may, at the option of its Board of Directors evidenced by a resolution set forth in an Officers' Certificate, at any time, elect to have either Section 8.02 or 8.03 hereof applied to all outstanding Notes upon compliance with the conditions set forth below in this Article 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8.02 Legal Defeasance and Discharge.</w:t>
      </w:r>
    </w:p>
    <w:p>
      <w:pPr>
        <w:spacing w:after="0" w:line="186"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Upon the Company's exercise under Section 8.01 hereof of the option applicable to this Section 8.02, the Company and each Guarantor shall, subject to the satisfaction of the conditions set forth in Section 8.04 hereof, be deemed to have been discharged from their respective Obligations with respect to all outstanding Notes on the date the conditions set forth below are satisfied (hereinafter, "Legal Defeasance"). For this purpose, Legal Defeasance means that the Company shall be deemed to have paid and discharged the entire Indebtedness represented by the outstanding Notes, which shall thereafter be deemed to be "outstanding" only for the purposes of Section 8.05 hereof and the other Sections of this Indenture referred to in (a)</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19"/>
          </w:cols>
          <w:pgMar w:left="240" w:top="480" w:right="1440" w:bottom="1440" w:gutter="0" w:footer="0" w:header="0"/>
        </w:sectPr>
      </w:pPr>
    </w:p>
    <w:bookmarkStart w:id="313" w:name="page314"/>
    <w:bookmarkEnd w:id="313"/>
    <w:p>
      <w:pPr>
        <w:ind w:right="2659"/>
        <w:spacing w:after="0" w:line="257" w:lineRule="auto"/>
        <w:rPr>
          <w:sz w:val="20"/>
          <w:szCs w:val="20"/>
          <w:color w:val="auto"/>
        </w:rPr>
      </w:pPr>
      <w:r>
        <w:rPr>
          <w:rFonts w:ascii="Courier New" w:cs="Courier New" w:eastAsia="Courier New" w:hAnsi="Courier New"/>
          <w:sz w:val="15"/>
          <w:szCs w:val="15"/>
          <w:color w:val="auto"/>
        </w:rPr>
        <w:t>and (b) below, and to have satisfied all of its obligations under such Notes and this Indenture (and the Trustee, on demand of and at the expense of the Company, shall execute proper instruments acknowledging the same), except for the following provisions which shall survive until otherwise terminated or discharged hereunder: (a) the rights of Holders of outstanding Notes to receive solely from the trust fund described in Section 8.04 hereof, and as more fully set forth in such Section 8.04, payments in respect of the principal of and premium, interest and Registration Default Damages, if any, on such Notes when such payments are due, (b) the Company's obligations with respect to such Notes under Article 2 and Section 4.02 hereof, (c) the rights, powers, trusts, duties and immunities of the Trustee hereunder and the Company's obligations in connection therewith and (d) this Article 8. Subject to compliance with this Article 8, the Company may exercise its option under this Section 8.02 notwithstanding the prior exercise of its option under Section 8.03 hereof.</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8.03 Covenant Defeasance.</w:t>
      </w:r>
    </w:p>
    <w:p>
      <w:pPr>
        <w:spacing w:after="0" w:line="186"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Upon the Company's exercise under Section 8.01 hereof of the option applicable to this Section 8.03, the Company and each Guarantor shall, subject to the satisfaction of the conditions set forth in Section 8.04 hereof, be released from their respective obligations under the covenants contained in Sections 4.07, 4.08, 4.09, 4.10, 4.11, 4.12, 4.13, 4.15, 4.16, 4.17 and 4.18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shall be unaffected thereby. In addition, upon the Company's exercise under Section 8.01 hereof of the option applicable to this Section 8.03, subject to the satisfaction of the conditions set forth in Section 8.04 hereof, Sections 6.01 (3) through 6.01 (8) hereof shall not constitute Events of Default.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8.04 Conditions to Legal or Covenant Defeasance.</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The following shall be the conditions to the application of either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8.02 or 8.03 hereof to the outstanding Notes:</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In order to exercise either Legal Defeasance or Covenant Defeasance:</w:t>
      </w:r>
    </w:p>
    <w:p>
      <w:pPr>
        <w:spacing w:after="0" w:line="186" w:lineRule="exact"/>
        <w:rPr>
          <w:sz w:val="20"/>
          <w:szCs w:val="20"/>
          <w:color w:val="auto"/>
        </w:rPr>
      </w:pPr>
    </w:p>
    <w:p>
      <w:pPr>
        <w:ind w:right="2659" w:firstLine="1132"/>
        <w:spacing w:after="0" w:line="239" w:lineRule="auto"/>
        <w:tabs>
          <w:tab w:leader="none" w:pos="1513" w:val="left"/>
        </w:tabs>
        <w:numPr>
          <w:ilvl w:val="0"/>
          <w:numId w:val="3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must irrevocably deposit, with the Trustee, in trust, for the benefit of the Holders, cash in U.S. dollars, non-callable Government Securities, or a combination thereof, in such amounts as will be sufficient, in the opinion of a nationally recognized firm of independent public accountants, to pay the principal of, premium, if any, and</w:t>
      </w:r>
    </w:p>
    <w:p>
      <w:pPr>
        <w:spacing w:after="0" w:line="36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219"/>
          </w:cols>
          <w:pgMar w:left="240" w:top="480" w:right="1440" w:bottom="1440" w:gutter="0" w:footer="0" w:header="0"/>
        </w:sectPr>
      </w:pPr>
    </w:p>
    <w:bookmarkStart w:id="314" w:name="page315"/>
    <w:bookmarkEnd w:id="314"/>
    <w:p>
      <w:pPr>
        <w:ind w:right="2659"/>
        <w:spacing w:after="0" w:line="239" w:lineRule="auto"/>
        <w:rPr>
          <w:sz w:val="20"/>
          <w:szCs w:val="20"/>
          <w:color w:val="auto"/>
        </w:rPr>
      </w:pPr>
      <w:r>
        <w:rPr>
          <w:rFonts w:ascii="Courier New" w:cs="Courier New" w:eastAsia="Courier New" w:hAnsi="Courier New"/>
          <w:sz w:val="16"/>
          <w:szCs w:val="16"/>
          <w:color w:val="auto"/>
        </w:rPr>
        <w:t>interest and Registration Default Damages on the outstanding Notes on the stated maturity thereof or on the applicable redemption date, as the case may be, and the Company must specify whether the Notes are being defeased to maturity or to a particular redemption date;</w:t>
      </w:r>
    </w:p>
    <w:p>
      <w:pPr>
        <w:spacing w:after="0" w:line="187" w:lineRule="exact"/>
        <w:rPr>
          <w:sz w:val="20"/>
          <w:szCs w:val="20"/>
          <w:color w:val="auto"/>
        </w:rPr>
      </w:pPr>
    </w:p>
    <w:p>
      <w:pPr>
        <w:ind w:right="2659" w:firstLine="1132"/>
        <w:spacing w:after="0" w:line="258" w:lineRule="auto"/>
        <w:tabs>
          <w:tab w:leader="none" w:pos="1513"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Legal Defeasance, the Company must deliver to the Trustee an Opinion of Counsel reasonably acceptable to the Trustee confirming that the Company has received from, or there has been published by, the Internal Revenue Service a ruling, or since the date of this Indenture, there has been a change in the applicable federal income tax law, 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74" w:lineRule="exact"/>
        <w:rPr>
          <w:rFonts w:ascii="Courier New" w:cs="Courier New" w:eastAsia="Courier New" w:hAnsi="Courier New"/>
          <w:sz w:val="15"/>
          <w:szCs w:val="15"/>
          <w:color w:val="auto"/>
        </w:rPr>
      </w:pPr>
    </w:p>
    <w:p>
      <w:pPr>
        <w:ind w:right="2659" w:firstLine="1132"/>
        <w:spacing w:after="0" w:line="239" w:lineRule="auto"/>
        <w:tabs>
          <w:tab w:leader="none" w:pos="1513" w:val="left"/>
        </w:tabs>
        <w:numPr>
          <w:ilvl w:val="0"/>
          <w:numId w:val="3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Covenant Defeasance, the Company must deliver to the Trustee an Opinion of Counsel reasonably acceptable to the Trustee confirming that the Holders of the outstanding Notes will not recognize income, gain or loss for federal income tax purposes as a result of such Covenant Defeasance, and such Holders will be subject to federal income tax on the same amounts, in the same manner and at the same times as would have been the case if such Covenant Defeasance had not occurred;</w:t>
      </w:r>
    </w:p>
    <w:p>
      <w:pPr>
        <w:spacing w:after="0" w:line="191" w:lineRule="exact"/>
        <w:rPr>
          <w:rFonts w:ascii="Courier New" w:cs="Courier New" w:eastAsia="Courier New" w:hAnsi="Courier New"/>
          <w:sz w:val="16"/>
          <w:szCs w:val="16"/>
          <w:color w:val="auto"/>
        </w:rPr>
      </w:pPr>
    </w:p>
    <w:p>
      <w:pPr>
        <w:ind w:right="2659" w:firstLine="1132"/>
        <w:spacing w:after="0" w:line="259" w:lineRule="auto"/>
        <w:tabs>
          <w:tab w:leader="none" w:pos="1513"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shall have occurred and be continuing on the date of such deposit (other than a Default or Event of Default resulting from the borrowing of funds to be applied to such deposit) or insofar as Events of Default from bankruptcy or insolvency events are concerned, at any time in the period ending on the 91st day after the date of deposit;</w:t>
      </w:r>
    </w:p>
    <w:p>
      <w:pPr>
        <w:spacing w:after="0" w:line="174" w:lineRule="exact"/>
        <w:rPr>
          <w:rFonts w:ascii="Courier New" w:cs="Courier New" w:eastAsia="Courier New" w:hAnsi="Courier New"/>
          <w:sz w:val="15"/>
          <w:szCs w:val="15"/>
          <w:color w:val="auto"/>
        </w:rPr>
      </w:pPr>
    </w:p>
    <w:p>
      <w:pPr>
        <w:ind w:right="2759" w:firstLine="1132"/>
        <w:spacing w:after="0" w:line="239" w:lineRule="auto"/>
        <w:tabs>
          <w:tab w:leader="none" w:pos="1513" w:val="left"/>
        </w:tabs>
        <w:numPr>
          <w:ilvl w:val="0"/>
          <w:numId w:val="3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Legal Defeasance or Covenant Defeasance will not result in a breach or violation of, or constitute a default under, any material agreement or instrument (other than this Indenture) to which the Company or any of its Subsidiaries is a party or by which the Company or any of its Subsidiaries is bound;</w:t>
      </w:r>
    </w:p>
    <w:p>
      <w:pPr>
        <w:spacing w:after="0" w:line="188" w:lineRule="exact"/>
        <w:rPr>
          <w:rFonts w:ascii="Courier New" w:cs="Courier New" w:eastAsia="Courier New" w:hAnsi="Courier New"/>
          <w:sz w:val="16"/>
          <w:szCs w:val="16"/>
          <w:color w:val="auto"/>
        </w:rPr>
      </w:pPr>
    </w:p>
    <w:p>
      <w:pPr>
        <w:ind w:right="2759" w:firstLine="1132"/>
        <w:spacing w:after="0" w:line="239" w:lineRule="auto"/>
        <w:tabs>
          <w:tab w:leader="none" w:pos="1513" w:val="left"/>
        </w:tabs>
        <w:numPr>
          <w:ilvl w:val="0"/>
          <w:numId w:val="3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must deliver to the Trustee an Opinion of Counsel reasonably acceptable to the Trustee to the effect that after the 91st day following the deposit, the trust funds will not be subject to the effect of any applicable bankruptcy, insolvency, reorganization or similar laws affecting creditors' rights and remedies generally;</w:t>
      </w:r>
    </w:p>
    <w:p>
      <w:pPr>
        <w:spacing w:after="0" w:line="188" w:lineRule="exact"/>
        <w:rPr>
          <w:rFonts w:ascii="Courier New" w:cs="Courier New" w:eastAsia="Courier New" w:hAnsi="Courier New"/>
          <w:sz w:val="16"/>
          <w:szCs w:val="16"/>
          <w:color w:val="auto"/>
        </w:rPr>
      </w:pPr>
    </w:p>
    <w:p>
      <w:pPr>
        <w:ind w:right="2659" w:firstLine="1132"/>
        <w:spacing w:after="0" w:line="239" w:lineRule="auto"/>
        <w:tabs>
          <w:tab w:leader="none" w:pos="1513" w:val="left"/>
        </w:tabs>
        <w:numPr>
          <w:ilvl w:val="0"/>
          <w:numId w:val="3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must deliver to the Trustee an Officers' Certificate stating that the deposit was not made by the Company with the intent of preferring the Holders of the Notes over other creditors of the Company, or with the intent of defeating, hindering, delaying or defrauding creditors of the Company or others; and</w:t>
      </w:r>
    </w:p>
    <w:p>
      <w:pPr>
        <w:spacing w:after="0" w:line="188" w:lineRule="exact"/>
        <w:rPr>
          <w:rFonts w:ascii="Courier New" w:cs="Courier New" w:eastAsia="Courier New" w:hAnsi="Courier New"/>
          <w:sz w:val="16"/>
          <w:szCs w:val="16"/>
          <w:color w:val="auto"/>
        </w:rPr>
      </w:pPr>
    </w:p>
    <w:p>
      <w:pPr>
        <w:ind w:right="2659" w:firstLine="1132"/>
        <w:spacing w:after="0" w:line="239" w:lineRule="auto"/>
        <w:tabs>
          <w:tab w:leader="none" w:pos="1513" w:val="left"/>
        </w:tabs>
        <w:numPr>
          <w:ilvl w:val="0"/>
          <w:numId w:val="3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must deliver to the Trustee an Officers' Certificate and an Opinion of Counsel reasonably acceptable to the Trustee, each stating that all conditions precedent provided for or relating to Legal Defeasance or Covenant Defeasance, as applicable, have been complied with.</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19"/>
          </w:cols>
          <w:pgMar w:left="240" w:top="481" w:right="1440" w:bottom="1440" w:gutter="0" w:footer="0" w:header="0"/>
        </w:sectPr>
      </w:pPr>
    </w:p>
    <w:bookmarkStart w:id="315" w:name="page316"/>
    <w:bookmarkEnd w:id="315"/>
    <w:p>
      <w:pPr>
        <w:ind w:left="1220" w:right="3119" w:hanging="1228"/>
        <w:spacing w:after="0" w:line="237" w:lineRule="auto"/>
        <w:rPr>
          <w:sz w:val="20"/>
          <w:szCs w:val="20"/>
          <w:color w:val="auto"/>
        </w:rPr>
      </w:pPr>
      <w:r>
        <w:rPr>
          <w:rFonts w:ascii="Courier New" w:cs="Courier New" w:eastAsia="Courier New" w:hAnsi="Courier New"/>
          <w:sz w:val="16"/>
          <w:szCs w:val="16"/>
          <w:color w:val="auto"/>
        </w:rPr>
        <w:t>SECTION 8.05 Deposited Money and Government Securities to be Held in Trust, Other Miscellaneous Provisions.</w:t>
      </w:r>
    </w:p>
    <w:p>
      <w:pPr>
        <w:spacing w:after="0" w:line="188"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Subject to Section 8.06 hereof, all money and non-callable Government Securities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89" w:lineRule="exact"/>
        <w:rPr>
          <w:sz w:val="20"/>
          <w:szCs w:val="20"/>
          <w:color w:val="auto"/>
        </w:rPr>
      </w:pPr>
    </w:p>
    <w:p>
      <w:pPr>
        <w:ind w:right="2659" w:firstLine="1135"/>
        <w:spacing w:after="0" w:line="259" w:lineRule="auto"/>
        <w:rPr>
          <w:sz w:val="20"/>
          <w:szCs w:val="20"/>
          <w:color w:val="auto"/>
        </w:rPr>
      </w:pPr>
      <w:r>
        <w:rPr>
          <w:rFonts w:ascii="Courier New" w:cs="Courier New" w:eastAsia="Courier New" w:hAnsi="Courier New"/>
          <w:sz w:val="15"/>
          <w:szCs w:val="15"/>
          <w:color w:val="auto"/>
        </w:rPr>
        <w:t>The Company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174"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Anything in this Article 8 to the contrary notwithstanding, the Trustee shall deliver or pay to the Company from time to time upon the request of the Company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8.06 Repayment to Company.</w:t>
      </w:r>
    </w:p>
    <w:p>
      <w:pPr>
        <w:spacing w:after="0" w:line="186"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Any money deposited with the Trustee or any Paying Agent, or then held by the Company, in trust for the payment of the principal of, premium, interest or Registration Default Damages, if any, on any Note and remaining unclaimed for two years after such principal, and premium, if any, or interest has become due and payable shall be paid to the Company on its request or (if then held by the Company) shall be discharged from such trust; and the Holder of such Note shall thereafter, as a secured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shall not be less than 30 days from the date of such notification or publication, any unclaimed balance of such money then remaining will be repaid to the Company.</w:t>
      </w:r>
    </w:p>
    <w:p>
      <w:pPr>
        <w:spacing w:after="0" w:line="37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219"/>
          </w:cols>
          <w:pgMar w:left="240" w:top="481" w:right="1440" w:bottom="1440" w:gutter="0" w:footer="0" w:header="0"/>
        </w:sectPr>
      </w:pPr>
    </w:p>
    <w:bookmarkStart w:id="316" w:name="page317"/>
    <w:bookmarkEnd w:id="316"/>
    <w:p>
      <w:pPr>
        <w:spacing w:after="0"/>
        <w:rPr>
          <w:sz w:val="20"/>
          <w:szCs w:val="20"/>
          <w:color w:val="auto"/>
        </w:rPr>
      </w:pPr>
      <w:r>
        <w:rPr>
          <w:rFonts w:ascii="Courier New" w:cs="Courier New" w:eastAsia="Courier New" w:hAnsi="Courier New"/>
          <w:sz w:val="16"/>
          <w:szCs w:val="16"/>
          <w:color w:val="auto"/>
        </w:rPr>
        <w:t>SECTION 8.07 Reinstatement.</w:t>
      </w:r>
    </w:p>
    <w:p>
      <w:pPr>
        <w:spacing w:after="0" w:line="186"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If the Trustee or Paying Agent is unable to apply any United States dollars or non-callable Government Securities in accordance with Section 8.02 or 8.03 hereof, as the case may be, by reason of any order or judgment of any court or governmental authority enjoining, restraining or, otherwise prohibiting such application, then the Company's obligations under this Indenture and the Notes shall be revived and reinstated as though no deposit had occurred pursuant to Section 8.02 or 8.03 hereof until such time as the Trustee or Paying Agent is permitted to apply all such money in accordance with Section 8.02 or 8.03 hereof, as the case may be; provided, however, that, if the Company makes any payment of principal of, premium, if any, or interest on any Note following the reinstatement of its obligations, the Company shall be subrogated to the rights of the Holders of such Notes to receive such payment from the money held by the Trustee or Paying Agent.</w:t>
      </w:r>
    </w:p>
    <w:p>
      <w:pPr>
        <w:spacing w:after="0" w:line="18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ARTICLE 9.</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AMENDMENT, SUPPLEMENT AND WAIVER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9.01 Without Consent of Holders of Notes.</w:t>
      </w:r>
    </w:p>
    <w:p>
      <w:pPr>
        <w:spacing w:after="0" w:line="186" w:lineRule="exact"/>
        <w:rPr>
          <w:sz w:val="20"/>
          <w:szCs w:val="20"/>
          <w:color w:val="auto"/>
        </w:rPr>
      </w:pPr>
    </w:p>
    <w:p>
      <w:pPr>
        <w:jc w:val="both"/>
        <w:ind w:right="2659" w:firstLine="1135"/>
        <w:spacing w:after="0" w:line="238" w:lineRule="auto"/>
        <w:rPr>
          <w:sz w:val="20"/>
          <w:szCs w:val="20"/>
          <w:color w:val="auto"/>
        </w:rPr>
      </w:pPr>
      <w:r>
        <w:rPr>
          <w:rFonts w:ascii="Courier New" w:cs="Courier New" w:eastAsia="Courier New" w:hAnsi="Courier New"/>
          <w:sz w:val="16"/>
          <w:szCs w:val="16"/>
          <w:color w:val="auto"/>
        </w:rPr>
        <w:t>Notwithstanding Section 9.02 hereof, the Company, the Guarantors and the Trustee may amend or supplement this Indenture, the Notes or the Subsidiary Guarantees without the consent of any Holder of a Note:</w:t>
      </w:r>
    </w:p>
    <w:p>
      <w:pPr>
        <w:spacing w:after="0" w:line="184" w:lineRule="exact"/>
        <w:rPr>
          <w:sz w:val="20"/>
          <w:szCs w:val="20"/>
          <w:color w:val="auto"/>
        </w:rPr>
      </w:pPr>
    </w:p>
    <w:p>
      <w:pPr>
        <w:ind w:left="1520" w:hanging="388"/>
        <w:spacing w:after="0"/>
        <w:tabs>
          <w:tab w:leader="none" w:pos="1520" w:val="left"/>
        </w:tabs>
        <w:numPr>
          <w:ilvl w:val="0"/>
          <w:numId w:val="3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cure any ambiguity, defect or inconsistency;</w:t>
      </w:r>
    </w:p>
    <w:p>
      <w:pPr>
        <w:spacing w:after="0" w:line="186" w:lineRule="exact"/>
        <w:rPr>
          <w:rFonts w:ascii="Courier New" w:cs="Courier New" w:eastAsia="Courier New" w:hAnsi="Courier New"/>
          <w:sz w:val="16"/>
          <w:szCs w:val="16"/>
          <w:color w:val="auto"/>
        </w:rPr>
      </w:pPr>
    </w:p>
    <w:p>
      <w:pPr>
        <w:ind w:right="2759" w:firstLine="1132"/>
        <w:spacing w:after="0" w:line="239" w:lineRule="auto"/>
        <w:tabs>
          <w:tab w:leader="none" w:pos="1513" w:val="left"/>
        </w:tabs>
        <w:numPr>
          <w:ilvl w:val="0"/>
          <w:numId w:val="3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for uncertificated Notes in addition to or in place of certificated Notes or to alter the provisions of Article 2 hereof (including the related definitions) in a manner that does not materially adversely affect any Holder;</w:t>
      </w:r>
    </w:p>
    <w:p>
      <w:pPr>
        <w:spacing w:after="0" w:line="187" w:lineRule="exact"/>
        <w:rPr>
          <w:rFonts w:ascii="Courier New" w:cs="Courier New" w:eastAsia="Courier New" w:hAnsi="Courier New"/>
          <w:sz w:val="16"/>
          <w:szCs w:val="16"/>
          <w:color w:val="auto"/>
        </w:rPr>
      </w:pPr>
    </w:p>
    <w:p>
      <w:pPr>
        <w:ind w:right="3319" w:firstLine="1132"/>
        <w:spacing w:after="0" w:line="238" w:lineRule="auto"/>
        <w:tabs>
          <w:tab w:leader="none" w:pos="1513" w:val="left"/>
        </w:tabs>
        <w:numPr>
          <w:ilvl w:val="0"/>
          <w:numId w:val="3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for the assumption of the Company's or any Guarantor's obligations to the Holders of the Notes by a successor to the Company or a Guarantor pursuant to Article 5 hereof;</w:t>
      </w:r>
    </w:p>
    <w:p>
      <w:pPr>
        <w:spacing w:after="0" w:line="188" w:lineRule="exact"/>
        <w:rPr>
          <w:rFonts w:ascii="Courier New" w:cs="Courier New" w:eastAsia="Courier New" w:hAnsi="Courier New"/>
          <w:sz w:val="16"/>
          <w:szCs w:val="16"/>
          <w:color w:val="auto"/>
        </w:rPr>
      </w:pPr>
    </w:p>
    <w:p>
      <w:pPr>
        <w:ind w:right="2659" w:firstLine="1132"/>
        <w:spacing w:after="0" w:line="238" w:lineRule="auto"/>
        <w:tabs>
          <w:tab w:leader="none" w:pos="1513" w:val="left"/>
        </w:tabs>
        <w:numPr>
          <w:ilvl w:val="0"/>
          <w:numId w:val="3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any change that would provide any additional rights or benefits to the Holders of the Notes or that does not adversely affect the legal rights hereunder of any Holder of the Note;</w:t>
      </w:r>
    </w:p>
    <w:p>
      <w:pPr>
        <w:spacing w:after="0" w:line="188" w:lineRule="exact"/>
        <w:rPr>
          <w:rFonts w:ascii="Courier New" w:cs="Courier New" w:eastAsia="Courier New" w:hAnsi="Courier New"/>
          <w:sz w:val="16"/>
          <w:szCs w:val="16"/>
          <w:color w:val="auto"/>
        </w:rPr>
      </w:pPr>
    </w:p>
    <w:p>
      <w:pPr>
        <w:ind w:right="3039" w:firstLine="1132"/>
        <w:spacing w:after="0" w:line="237" w:lineRule="auto"/>
        <w:tabs>
          <w:tab w:leader="none" w:pos="1513" w:val="left"/>
        </w:tabs>
        <w:numPr>
          <w:ilvl w:val="0"/>
          <w:numId w:val="3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comply with requirements of the SEC in order to effect or maintain the qualification of this Indenture under the TIA;</w:t>
      </w:r>
    </w:p>
    <w:p>
      <w:pPr>
        <w:spacing w:after="0" w:line="187" w:lineRule="exact"/>
        <w:rPr>
          <w:rFonts w:ascii="Courier New" w:cs="Courier New" w:eastAsia="Courier New" w:hAnsi="Courier New"/>
          <w:sz w:val="16"/>
          <w:szCs w:val="16"/>
          <w:color w:val="auto"/>
        </w:rPr>
      </w:pPr>
    </w:p>
    <w:p>
      <w:pPr>
        <w:ind w:right="2939" w:firstLine="1132"/>
        <w:spacing w:after="0" w:line="267" w:lineRule="auto"/>
        <w:tabs>
          <w:tab w:leader="none" w:pos="1513"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the issuance of Additional Notes in accordance with the provisions set forth in this Indenture as of the date hereof; or</w:t>
      </w:r>
    </w:p>
    <w:p>
      <w:pPr>
        <w:spacing w:after="0" w:line="167" w:lineRule="exact"/>
        <w:rPr>
          <w:rFonts w:ascii="Courier New" w:cs="Courier New" w:eastAsia="Courier New" w:hAnsi="Courier New"/>
          <w:sz w:val="15"/>
          <w:szCs w:val="15"/>
          <w:color w:val="auto"/>
        </w:rPr>
      </w:pPr>
    </w:p>
    <w:p>
      <w:pPr>
        <w:ind w:right="3219" w:firstLine="1132"/>
        <w:spacing w:after="0" w:line="237" w:lineRule="auto"/>
        <w:tabs>
          <w:tab w:leader="none" w:pos="1513" w:val="left"/>
        </w:tabs>
        <w:numPr>
          <w:ilvl w:val="0"/>
          <w:numId w:val="3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allow any Guarantor to execute a supplemental indenture and/or a Subsidiary Guarantee with respect to the Notes.</w:t>
      </w:r>
    </w:p>
    <w:p>
      <w:pPr>
        <w:spacing w:after="0" w:line="188" w:lineRule="exact"/>
        <w:rPr>
          <w:sz w:val="20"/>
          <w:szCs w:val="20"/>
          <w:color w:val="auto"/>
        </w:rPr>
      </w:pPr>
    </w:p>
    <w:p>
      <w:pPr>
        <w:ind w:right="2659" w:firstLine="1135"/>
        <w:spacing w:after="0" w:line="238" w:lineRule="auto"/>
        <w:rPr>
          <w:sz w:val="20"/>
          <w:szCs w:val="20"/>
          <w:color w:val="auto"/>
        </w:rPr>
      </w:pPr>
      <w:r>
        <w:rPr>
          <w:rFonts w:ascii="Courier New" w:cs="Courier New" w:eastAsia="Courier New" w:hAnsi="Courier New"/>
          <w:sz w:val="16"/>
          <w:szCs w:val="16"/>
          <w:color w:val="auto"/>
        </w:rPr>
        <w:t>Upon the request of the Company accompanied by a resolution of its Board of Directors authorizing the execution of any such amended or supplemental indenture, and upon</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19"/>
          </w:cols>
          <w:pgMar w:left="240" w:top="477" w:right="1440" w:bottom="1440" w:gutter="0" w:footer="0" w:header="0"/>
        </w:sectPr>
      </w:pPr>
    </w:p>
    <w:bookmarkStart w:id="317" w:name="page318"/>
    <w:bookmarkEnd w:id="317"/>
    <w:p>
      <w:pPr>
        <w:ind w:right="2839"/>
        <w:spacing w:after="0" w:line="239" w:lineRule="auto"/>
        <w:rPr>
          <w:sz w:val="20"/>
          <w:szCs w:val="20"/>
          <w:color w:val="auto"/>
        </w:rPr>
      </w:pPr>
      <w:r>
        <w:rPr>
          <w:rFonts w:ascii="Courier New" w:cs="Courier New" w:eastAsia="Courier New" w:hAnsi="Courier New"/>
          <w:sz w:val="16"/>
          <w:szCs w:val="16"/>
          <w:color w:val="auto"/>
        </w:rPr>
        <w:t>receipt by the Trustee of the documents described in Section 7.02 hereof, the Trustee shall join with the Company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9.02 With Consent of Holders of Notes.</w:t>
      </w:r>
    </w:p>
    <w:p>
      <w:pPr>
        <w:spacing w:after="0" w:line="186"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Except as provided below in this Section 9.02, the Company, the Guarantors and the Trustee may amend or supplement this Indenture (including Section 3.09, 4.10 and 4.15 hereof), the Notes or the Subsidiary Guarantees with the consent of the Holders of at least a majority in principal amount Notes (including Additional Notes, if any) then outstanding voting as a single class (including consents obtained in connection with a tender offer or exchange offer for, or purchase of, the Notes), and, subject to Sections 6.04 and 6.07 hereof,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the Notes or the Subsidiary Guarantees may be waived with the consent of the Holders of a majority in principal amount of the then outstanding Notes (including Additional Notes, if any) voting as a single class (including consents obtained in connection with a tender offer or exchange offer for, or purchase of, the Notes). Without the consent of at least 75% in principal amount of the Notes then outstanding (including consents obtained in connection with a tender offer or exchange offer for, or purchase of, the Notes), no waiver or amendment to this Indenture may make any change in the provisions of Article 10 hereof that adversely affects the rights of any Holder of Notes. Section 2.08 hereof shall determine which Notes are considered to be "outstanding" for purposes of this Section 9.02.</w:t>
      </w:r>
    </w:p>
    <w:p>
      <w:pPr>
        <w:spacing w:after="0" w:line="196" w:lineRule="exact"/>
        <w:rPr>
          <w:sz w:val="20"/>
          <w:szCs w:val="20"/>
          <w:color w:val="auto"/>
        </w:rPr>
      </w:pPr>
    </w:p>
    <w:p>
      <w:pPr>
        <w:ind w:right="2659" w:firstLine="1135"/>
        <w:spacing w:after="0" w:line="258" w:lineRule="auto"/>
        <w:rPr>
          <w:sz w:val="20"/>
          <w:szCs w:val="20"/>
          <w:color w:val="auto"/>
        </w:rPr>
      </w:pPr>
      <w:r>
        <w:rPr>
          <w:rFonts w:ascii="Courier New" w:cs="Courier New" w:eastAsia="Courier New" w:hAnsi="Courier New"/>
          <w:sz w:val="15"/>
          <w:szCs w:val="15"/>
          <w:color w:val="auto"/>
        </w:rPr>
        <w:t>Upon the request of the Company accompanied by a resolution of its Board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 hereof, the Trustee shall join with the Company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74"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It shall not be necessary for the consent of the Holders of Notes under this Section 9.02 to approve the particular form of any proposed amendment or waiver, but it shall be sufficient if such consent approves the substance thereof.</w:t>
      </w:r>
    </w:p>
    <w:p>
      <w:pPr>
        <w:spacing w:after="0" w:line="187" w:lineRule="exact"/>
        <w:rPr>
          <w:sz w:val="20"/>
          <w:szCs w:val="20"/>
          <w:color w:val="auto"/>
        </w:rPr>
      </w:pPr>
    </w:p>
    <w:p>
      <w:pPr>
        <w:ind w:right="2939" w:firstLine="1135"/>
        <w:spacing w:after="0" w:line="258" w:lineRule="auto"/>
        <w:rPr>
          <w:sz w:val="20"/>
          <w:szCs w:val="20"/>
          <w:color w:val="auto"/>
        </w:rPr>
      </w:pPr>
      <w:r>
        <w:rPr>
          <w:rFonts w:ascii="Courier New" w:cs="Courier New" w:eastAsia="Courier New" w:hAnsi="Courier New"/>
          <w:sz w:val="15"/>
          <w:szCs w:val="15"/>
          <w:color w:val="auto"/>
        </w:rPr>
        <w:t>After an amendment, supplement or waiver under this Section 9.02 becomes effective, the Company shall mail to the Holders of Notes affected thereby a notice briefly describing the amendment, supplement or waiver. Any failure of the Company to mail such notice, or any defect therein, shall not, however, in any way impair or affect the validity of any such amended or supplemental indenture or waiver. Subject to Sections 6.04 and 6.07 hereof,</w:t>
      </w:r>
    </w:p>
    <w:p>
      <w:pPr>
        <w:spacing w:after="0" w:line="35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10219"/>
          </w:cols>
          <w:pgMar w:left="240" w:top="481" w:right="1440" w:bottom="1440" w:gutter="0" w:footer="0" w:header="0"/>
        </w:sectPr>
      </w:pPr>
    </w:p>
    <w:bookmarkStart w:id="318" w:name="page319"/>
    <w:bookmarkEnd w:id="318"/>
    <w:p>
      <w:pPr>
        <w:ind w:right="2659"/>
        <w:spacing w:after="0" w:line="239" w:lineRule="auto"/>
        <w:rPr>
          <w:sz w:val="20"/>
          <w:szCs w:val="20"/>
          <w:color w:val="auto"/>
        </w:rPr>
      </w:pPr>
      <w:r>
        <w:rPr>
          <w:rFonts w:ascii="Courier New" w:cs="Courier New" w:eastAsia="Courier New" w:hAnsi="Courier New"/>
          <w:sz w:val="16"/>
          <w:szCs w:val="16"/>
          <w:color w:val="auto"/>
        </w:rPr>
        <w:t>the Holders of a majority in aggregate principal amount of the Notes (including Additional Notes, if any) then outstanding voting as a single class may waive compliance in a particular instance by the Company with any provision of this Indenture or the Notes. However, without the consent of each Holder affected, an amendment or waiver under this Section 9.02 may not (with respect to any Notes held by a non-consenting Holder):</w:t>
      </w:r>
    </w:p>
    <w:p>
      <w:pPr>
        <w:spacing w:after="0" w:line="190" w:lineRule="exact"/>
        <w:rPr>
          <w:sz w:val="20"/>
          <w:szCs w:val="20"/>
          <w:color w:val="auto"/>
        </w:rPr>
      </w:pPr>
    </w:p>
    <w:p>
      <w:pPr>
        <w:ind w:right="2759" w:firstLine="1132"/>
        <w:spacing w:after="0" w:line="237" w:lineRule="auto"/>
        <w:tabs>
          <w:tab w:leader="none" w:pos="1513" w:val="left"/>
        </w:tabs>
        <w:numPr>
          <w:ilvl w:val="0"/>
          <w:numId w:val="3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principal amount of Notes whose Holders must consent to an amendment, supplement or waiver;</w:t>
      </w:r>
    </w:p>
    <w:p>
      <w:pPr>
        <w:spacing w:after="0" w:line="187" w:lineRule="exact"/>
        <w:rPr>
          <w:rFonts w:ascii="Courier New" w:cs="Courier New" w:eastAsia="Courier New" w:hAnsi="Courier New"/>
          <w:sz w:val="16"/>
          <w:szCs w:val="16"/>
          <w:color w:val="auto"/>
        </w:rPr>
      </w:pPr>
    </w:p>
    <w:p>
      <w:pPr>
        <w:ind w:right="2659" w:firstLine="1132"/>
        <w:spacing w:after="0" w:line="262" w:lineRule="auto"/>
        <w:tabs>
          <w:tab w:leader="none" w:pos="1513"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of or change the fixed maturity of any Note or alter or waive any of the provisions with respect to the redemption of the Notes, other than provisions relating to Sections 3.09, 4.10 or 4.15 hereof;</w:t>
      </w:r>
    </w:p>
    <w:p>
      <w:pPr>
        <w:spacing w:after="0" w:line="171" w:lineRule="exact"/>
        <w:rPr>
          <w:rFonts w:ascii="Courier New" w:cs="Courier New" w:eastAsia="Courier New" w:hAnsi="Courier New"/>
          <w:sz w:val="15"/>
          <w:szCs w:val="15"/>
          <w:color w:val="auto"/>
        </w:rPr>
      </w:pPr>
    </w:p>
    <w:p>
      <w:pPr>
        <w:ind w:right="2839" w:firstLine="1132"/>
        <w:spacing w:after="0" w:line="237" w:lineRule="auto"/>
        <w:tabs>
          <w:tab w:leader="none" w:pos="1513" w:val="left"/>
        </w:tabs>
        <w:numPr>
          <w:ilvl w:val="0"/>
          <w:numId w:val="3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rate of or change the time for payment of interest, including default interest, on any Note;</w:t>
      </w:r>
    </w:p>
    <w:p>
      <w:pPr>
        <w:spacing w:after="0" w:line="187" w:lineRule="exact"/>
        <w:rPr>
          <w:rFonts w:ascii="Courier New" w:cs="Courier New" w:eastAsia="Courier New" w:hAnsi="Courier New"/>
          <w:sz w:val="16"/>
          <w:szCs w:val="16"/>
          <w:color w:val="auto"/>
        </w:rPr>
      </w:pPr>
    </w:p>
    <w:p>
      <w:pPr>
        <w:ind w:right="2659" w:firstLine="1132"/>
        <w:spacing w:after="0" w:line="239" w:lineRule="auto"/>
        <w:tabs>
          <w:tab w:leader="none" w:pos="1513" w:val="left"/>
        </w:tabs>
        <w:numPr>
          <w:ilvl w:val="0"/>
          <w:numId w:val="3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 a Default or Event of Default in the payment of principal of or premium or Registration Default Damages, if any, or interest on the Notes (except a rescission of acceleration of the Notes by the Holders of at least a majority in aggregate principal amount of the then outstanding Notes (including Additional Notes, if any) and a waiver of the payment default that resulted from such acceleration;</w:t>
      </w:r>
    </w:p>
    <w:p>
      <w:pPr>
        <w:spacing w:after="0" w:line="186" w:lineRule="exact"/>
        <w:rPr>
          <w:rFonts w:ascii="Courier New" w:cs="Courier New" w:eastAsia="Courier New" w:hAnsi="Courier New"/>
          <w:sz w:val="16"/>
          <w:szCs w:val="16"/>
          <w:color w:val="auto"/>
        </w:rPr>
      </w:pPr>
    </w:p>
    <w:p>
      <w:pPr>
        <w:ind w:left="1520" w:hanging="388"/>
        <w:spacing w:after="0"/>
        <w:tabs>
          <w:tab w:leader="none" w:pos="1520" w:val="left"/>
        </w:tabs>
        <w:numPr>
          <w:ilvl w:val="0"/>
          <w:numId w:val="3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Note payable in money other than that stated in the</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Notes;</w:t>
      </w:r>
    </w:p>
    <w:p>
      <w:pPr>
        <w:spacing w:after="0" w:line="186" w:lineRule="exact"/>
        <w:rPr>
          <w:rFonts w:ascii="Courier New" w:cs="Courier New" w:eastAsia="Courier New" w:hAnsi="Courier New"/>
          <w:sz w:val="16"/>
          <w:szCs w:val="16"/>
          <w:color w:val="auto"/>
        </w:rPr>
      </w:pPr>
    </w:p>
    <w:p>
      <w:pPr>
        <w:ind w:right="2659" w:firstLine="1132"/>
        <w:spacing w:after="0" w:line="239" w:lineRule="auto"/>
        <w:tabs>
          <w:tab w:leader="none" w:pos="1513" w:val="left"/>
        </w:tabs>
        <w:numPr>
          <w:ilvl w:val="0"/>
          <w:numId w:val="3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change in the provisions of this Indenture relating to waivers of past Defaults or the rights of Holders of Notes to receive payments of principal of or premium, interest or Registration Default Damages, if any, on the Notes;</w:t>
      </w:r>
    </w:p>
    <w:p>
      <w:pPr>
        <w:spacing w:after="0" w:line="187" w:lineRule="exact"/>
        <w:rPr>
          <w:rFonts w:ascii="Courier New" w:cs="Courier New" w:eastAsia="Courier New" w:hAnsi="Courier New"/>
          <w:sz w:val="16"/>
          <w:szCs w:val="16"/>
          <w:color w:val="auto"/>
        </w:rPr>
      </w:pPr>
    </w:p>
    <w:p>
      <w:pPr>
        <w:ind w:right="2759" w:firstLine="1132"/>
        <w:spacing w:after="0" w:line="239" w:lineRule="auto"/>
        <w:tabs>
          <w:tab w:leader="none" w:pos="1513" w:val="left"/>
        </w:tabs>
        <w:numPr>
          <w:ilvl w:val="0"/>
          <w:numId w:val="3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 a redemption payment with respect to any Note, other than a payment required by Section 3.09, 4.10 or 4.15 hereof; (h) release any Guarantor from any of its obligations under its Subsidiary Guarantee or this Indenture, except in accordance with the terms of this Indenture.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9.03 Compliance with Trust Indenture Act.</w:t>
      </w:r>
    </w:p>
    <w:p>
      <w:pPr>
        <w:spacing w:after="0" w:line="186" w:lineRule="exact"/>
        <w:rPr>
          <w:sz w:val="20"/>
          <w:szCs w:val="20"/>
          <w:color w:val="auto"/>
        </w:rPr>
      </w:pPr>
    </w:p>
    <w:p>
      <w:pPr>
        <w:ind w:right="2759" w:firstLine="1135"/>
        <w:spacing w:after="0" w:line="238" w:lineRule="auto"/>
        <w:rPr>
          <w:sz w:val="20"/>
          <w:szCs w:val="20"/>
          <w:color w:val="auto"/>
        </w:rPr>
      </w:pPr>
      <w:r>
        <w:rPr>
          <w:rFonts w:ascii="Courier New" w:cs="Courier New" w:eastAsia="Courier New" w:hAnsi="Courier New"/>
          <w:sz w:val="16"/>
          <w:szCs w:val="16"/>
          <w:color w:val="auto"/>
        </w:rPr>
        <w:t>Every amendment or supplement to this Indenture or the Notes shall be set forth in an amended or supplemental indenture that complies with the TIA as then in effect.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9.04 Revocation and Effect of Consents.</w:t>
      </w:r>
    </w:p>
    <w:p>
      <w:pPr>
        <w:spacing w:after="0" w:line="186"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10219"/>
          </w:cols>
          <w:pgMar w:left="240" w:top="481" w:right="1440" w:bottom="1440" w:gutter="0" w:footer="0" w:header="0"/>
        </w:sectPr>
      </w:pPr>
    </w:p>
    <w:bookmarkStart w:id="319" w:name="page320"/>
    <w:bookmarkEnd w:id="319"/>
    <w:p>
      <w:pPr>
        <w:ind w:right="2839"/>
        <w:spacing w:after="0" w:line="237" w:lineRule="auto"/>
        <w:rPr>
          <w:sz w:val="20"/>
          <w:szCs w:val="20"/>
          <w:color w:val="auto"/>
        </w:rPr>
      </w:pPr>
      <w:r>
        <w:rPr>
          <w:rFonts w:ascii="Courier New" w:cs="Courier New" w:eastAsia="Courier New" w:hAnsi="Courier New"/>
          <w:sz w:val="16"/>
          <w:szCs w:val="16"/>
          <w:color w:val="auto"/>
        </w:rPr>
        <w:t>amendment, supplement or waiver becomes effective in accordance with its terms and thereafter binds every Holder.</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9.05 Notation on or Exchange of Notes.</w:t>
      </w:r>
    </w:p>
    <w:p>
      <w:pPr>
        <w:spacing w:after="0" w:line="186" w:lineRule="exact"/>
        <w:rPr>
          <w:sz w:val="20"/>
          <w:szCs w:val="20"/>
          <w:color w:val="auto"/>
        </w:rPr>
      </w:pPr>
    </w:p>
    <w:p>
      <w:pPr>
        <w:ind w:right="2939" w:firstLine="1135"/>
        <w:spacing w:after="0" w:line="239" w:lineRule="auto"/>
        <w:rPr>
          <w:sz w:val="20"/>
          <w:szCs w:val="20"/>
          <w:color w:val="auto"/>
        </w:rPr>
      </w:pPr>
      <w:r>
        <w:rPr>
          <w:rFonts w:ascii="Courier New" w:cs="Courier New" w:eastAsia="Courier New" w:hAnsi="Courier New"/>
          <w:sz w:val="16"/>
          <w:szCs w:val="16"/>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189" w:lineRule="exact"/>
        <w:rPr>
          <w:sz w:val="20"/>
          <w:szCs w:val="20"/>
          <w:color w:val="auto"/>
        </w:rPr>
      </w:pPr>
    </w:p>
    <w:p>
      <w:pPr>
        <w:ind w:right="2839" w:firstLine="1135"/>
        <w:spacing w:after="0" w:line="267" w:lineRule="auto"/>
        <w:rPr>
          <w:sz w:val="20"/>
          <w:szCs w:val="20"/>
          <w:color w:val="auto"/>
        </w:rPr>
      </w:pPr>
      <w:r>
        <w:rPr>
          <w:rFonts w:ascii="Courier New" w:cs="Courier New" w:eastAsia="Courier New" w:hAnsi="Courier New"/>
          <w:sz w:val="15"/>
          <w:szCs w:val="15"/>
          <w:color w:val="auto"/>
        </w:rPr>
        <w:t>Failure to make the appropriate notation or issue a new Note shall not affect the validity and effect of such amendment, supplement or waiver.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9.06 Trustee to Sign Amendments, Etc.</w:t>
      </w:r>
    </w:p>
    <w:p>
      <w:pPr>
        <w:spacing w:after="0" w:line="186"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The Trustee shall sign any amended or supplemental indenture authorized pursuant to this Article 9 if the amendment or supplement does not adversely affect the rights, duties, liabilities or immunities of the Trustee. The Company may not sign an amendment or supplemental indenture until the Board of Directors approves it. In executing any amended or supplemental indenture, the Trustee shall be entitled to receive and (subject to Section 7.01 hereof) shall be fully protected in relying upon an Officer's Certificate and an Opinion of Counsel stating that the execution of such amended or supplemental indenture is authorized or permitted by this Indenture and that such amendment is the legal, valid and binding obligation of the Company and any Guarantors, enforceable against them in accordance with their terms, subject to customary exceptions, and complies with the provisions hereof (including Section 9.03).</w:t>
      </w:r>
    </w:p>
    <w:p>
      <w:pPr>
        <w:spacing w:after="0" w:line="177"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10.</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SUBORDINATION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10.01 Agreement to Subordinate.</w:t>
      </w:r>
    </w:p>
    <w:p>
      <w:pPr>
        <w:spacing w:after="0" w:line="186"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The Company agrees, and each Holder by accepting a Note agrees, that the principal of and premium, interest and Registration Default Damages, if any, with respect to the Notes are subordinated in right of payment, to the extent and in the manner provided in this Article 10, to the prior payment in full of all Senior Debt of the Company (whether outstanding on the date hereof or hereafter created, incurred, assumed or guaranteed), and that the subordination is for the benefit of the holders of Senior Debt.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10.02 Certain Definitions.</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"Designated Senior Debt" means:</w:t>
      </w:r>
    </w:p>
    <w:p>
      <w:pPr>
        <w:spacing w:after="0" w:line="183" w:lineRule="exact"/>
        <w:rPr>
          <w:sz w:val="20"/>
          <w:szCs w:val="20"/>
          <w:color w:val="auto"/>
        </w:rPr>
      </w:pPr>
    </w:p>
    <w:p>
      <w:pPr>
        <w:ind w:left="1520" w:hanging="388"/>
        <w:spacing w:after="0"/>
        <w:tabs>
          <w:tab w:leader="none" w:pos="1520" w:val="left"/>
        </w:tabs>
        <w:numPr>
          <w:ilvl w:val="0"/>
          <w:numId w:val="3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Indebtedness outstanding under the Credit Facility; and</w:t>
      </w:r>
    </w:p>
    <w:p>
      <w:pPr>
        <w:spacing w:after="0" w:line="186" w:lineRule="exact"/>
        <w:rPr>
          <w:rFonts w:ascii="Courier New" w:cs="Courier New" w:eastAsia="Courier New" w:hAnsi="Courier New"/>
          <w:sz w:val="16"/>
          <w:szCs w:val="16"/>
          <w:color w:val="auto"/>
        </w:rPr>
      </w:pPr>
    </w:p>
    <w:p>
      <w:pPr>
        <w:ind w:right="2759" w:firstLine="1132"/>
        <w:spacing w:after="0" w:line="238" w:lineRule="auto"/>
        <w:tabs>
          <w:tab w:leader="none" w:pos="1513" w:val="left"/>
        </w:tabs>
        <w:numPr>
          <w:ilvl w:val="0"/>
          <w:numId w:val="3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Senior Debt permitted under this Indenture the principal amount of which is $10.0 million or more and that has been designated by the Company as "Designated Senior Debt."</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80</w:t>
      </w:r>
    </w:p>
    <w:p>
      <w:pPr>
        <w:sectPr>
          <w:pgSz w:w="11900" w:h="16838" w:orient="portrait"/>
          <w:cols w:equalWidth="0" w:num="1">
            <w:col w:w="10219"/>
          </w:cols>
          <w:pgMar w:left="240" w:top="481" w:right="1440" w:bottom="1440" w:gutter="0" w:footer="0" w:header="0"/>
        </w:sectPr>
      </w:pPr>
    </w:p>
    <w:bookmarkStart w:id="320" w:name="page321"/>
    <w:bookmarkEnd w:id="320"/>
    <w:p>
      <w:pPr>
        <w:ind w:right="2659" w:firstLine="1135"/>
        <w:spacing w:after="0" w:line="239" w:lineRule="auto"/>
        <w:rPr>
          <w:sz w:val="20"/>
          <w:szCs w:val="20"/>
          <w:color w:val="auto"/>
        </w:rPr>
      </w:pPr>
      <w:r>
        <w:rPr>
          <w:rFonts w:ascii="Courier New" w:cs="Courier New" w:eastAsia="Courier New" w:hAnsi="Courier New"/>
          <w:sz w:val="16"/>
          <w:szCs w:val="16"/>
          <w:color w:val="auto"/>
        </w:rPr>
        <w:t>"Permitted Junior Securities" means: (1) Equity Interests in the Company or any Guarantor; or (2) debt securities of the Company or any Guarantor that are subordinated to all Senior Debt and any debt securities issued in exchange for Senior Debt to substantially the same extent as, or to a greater extent than, the Notes and the Subsidiary Guarantees are subordinated to Senior Debt pursuant to Article 10 hereof.</w:t>
      </w:r>
    </w:p>
    <w:p>
      <w:pPr>
        <w:spacing w:after="0" w:line="190" w:lineRule="exact"/>
        <w:rPr>
          <w:sz w:val="20"/>
          <w:szCs w:val="20"/>
          <w:color w:val="auto"/>
        </w:rPr>
      </w:pPr>
    </w:p>
    <w:p>
      <w:pPr>
        <w:ind w:right="2659" w:firstLine="1135"/>
        <w:spacing w:after="0" w:line="237" w:lineRule="auto"/>
        <w:rPr>
          <w:sz w:val="20"/>
          <w:szCs w:val="20"/>
          <w:color w:val="auto"/>
        </w:rPr>
      </w:pPr>
      <w:r>
        <w:rPr>
          <w:rFonts w:ascii="Courier New" w:cs="Courier New" w:eastAsia="Courier New" w:hAnsi="Courier New"/>
          <w:sz w:val="16"/>
          <w:szCs w:val="16"/>
          <w:color w:val="auto"/>
        </w:rPr>
        <w:t>"Representative" means the indenture trustee or other trustee, agent or representative for any Senior Debt.</w:t>
      </w:r>
    </w:p>
    <w:p>
      <w:pPr>
        <w:spacing w:after="0" w:line="184"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"Senior Debt" means:</w:t>
      </w:r>
    </w:p>
    <w:p>
      <w:pPr>
        <w:spacing w:after="0" w:line="186" w:lineRule="exact"/>
        <w:rPr>
          <w:sz w:val="20"/>
          <w:szCs w:val="20"/>
          <w:color w:val="auto"/>
        </w:rPr>
      </w:pPr>
    </w:p>
    <w:p>
      <w:pPr>
        <w:ind w:right="2839" w:firstLine="1132"/>
        <w:spacing w:after="0" w:line="237" w:lineRule="auto"/>
        <w:tabs>
          <w:tab w:leader="none" w:pos="1513" w:val="left"/>
        </w:tabs>
        <w:numPr>
          <w:ilvl w:val="0"/>
          <w:numId w:val="3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outstanding under the Credit Facility and all Hedging Obligations with respect thereto;</w:t>
      </w:r>
    </w:p>
    <w:p>
      <w:pPr>
        <w:spacing w:after="0" w:line="187" w:lineRule="exact"/>
        <w:rPr>
          <w:rFonts w:ascii="Courier New" w:cs="Courier New" w:eastAsia="Courier New" w:hAnsi="Courier New"/>
          <w:sz w:val="16"/>
          <w:szCs w:val="16"/>
          <w:color w:val="auto"/>
        </w:rPr>
      </w:pPr>
    </w:p>
    <w:p>
      <w:pPr>
        <w:ind w:right="2759" w:firstLine="1132"/>
        <w:spacing w:after="0" w:line="260" w:lineRule="auto"/>
        <w:tabs>
          <w:tab w:leader="none" w:pos="1513"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Indebtedness permitted to be incurred by the Company under the terms of this Indenture, unless the instrument under which such Indebtedness is incurred expressly provides that it is on a parity with or subordinated in right of payment to the Notes or the Subsidiary Guarantees; and</w:t>
      </w:r>
    </w:p>
    <w:p>
      <w:pPr>
        <w:spacing w:after="0" w:line="173" w:lineRule="exact"/>
        <w:rPr>
          <w:rFonts w:ascii="Courier New" w:cs="Courier New" w:eastAsia="Courier New" w:hAnsi="Courier New"/>
          <w:sz w:val="15"/>
          <w:szCs w:val="15"/>
          <w:color w:val="auto"/>
        </w:rPr>
      </w:pPr>
    </w:p>
    <w:p>
      <w:pPr>
        <w:ind w:right="3499" w:firstLine="1132"/>
        <w:spacing w:after="0" w:line="237" w:lineRule="auto"/>
        <w:tabs>
          <w:tab w:leader="none" w:pos="1513" w:val="left"/>
        </w:tabs>
        <w:numPr>
          <w:ilvl w:val="0"/>
          <w:numId w:val="3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with respect to the items listed in the preceding clauses (1) and (2).</w:t>
      </w:r>
    </w:p>
    <w:p>
      <w:pPr>
        <w:spacing w:after="0" w:line="188" w:lineRule="exact"/>
        <w:rPr>
          <w:sz w:val="20"/>
          <w:szCs w:val="20"/>
          <w:color w:val="auto"/>
        </w:rPr>
      </w:pPr>
    </w:p>
    <w:p>
      <w:pPr>
        <w:ind w:right="2939" w:firstLine="1135"/>
        <w:spacing w:after="0" w:line="237" w:lineRule="auto"/>
        <w:rPr>
          <w:sz w:val="20"/>
          <w:szCs w:val="20"/>
          <w:color w:val="auto"/>
        </w:rPr>
      </w:pPr>
      <w:r>
        <w:rPr>
          <w:rFonts w:ascii="Courier New" w:cs="Courier New" w:eastAsia="Courier New" w:hAnsi="Courier New"/>
          <w:sz w:val="16"/>
          <w:szCs w:val="16"/>
          <w:color w:val="auto"/>
        </w:rPr>
        <w:t>Notwithstanding anything to the contrary in the preceding, Senior Debt shall not include:</w:t>
      </w:r>
    </w:p>
    <w:p>
      <w:pPr>
        <w:spacing w:after="0" w:line="188" w:lineRule="exact"/>
        <w:rPr>
          <w:sz w:val="20"/>
          <w:szCs w:val="20"/>
          <w:color w:val="auto"/>
        </w:rPr>
      </w:pPr>
    </w:p>
    <w:p>
      <w:pPr>
        <w:ind w:right="2839" w:firstLine="1132"/>
        <w:spacing w:after="0" w:line="237" w:lineRule="auto"/>
        <w:tabs>
          <w:tab w:leader="none" w:pos="1513" w:val="left"/>
        </w:tabs>
        <w:numPr>
          <w:ilvl w:val="0"/>
          <w:numId w:val="3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for federal, state, local or other taxes owed or owing by the Company;</w:t>
      </w:r>
    </w:p>
    <w:p>
      <w:pPr>
        <w:spacing w:after="0" w:line="187" w:lineRule="exact"/>
        <w:rPr>
          <w:rFonts w:ascii="Courier New" w:cs="Courier New" w:eastAsia="Courier New" w:hAnsi="Courier New"/>
          <w:sz w:val="16"/>
          <w:szCs w:val="16"/>
          <w:color w:val="auto"/>
        </w:rPr>
      </w:pPr>
    </w:p>
    <w:p>
      <w:pPr>
        <w:ind w:right="2939" w:firstLine="1132"/>
        <w:spacing w:after="0" w:line="237" w:lineRule="auto"/>
        <w:tabs>
          <w:tab w:leader="none" w:pos="1513" w:val="left"/>
        </w:tabs>
        <w:numPr>
          <w:ilvl w:val="0"/>
          <w:numId w:val="3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Indebtedness of the Company to any of its Subsidiaries or other Affiliates;</w:t>
      </w:r>
    </w:p>
    <w:p>
      <w:pPr>
        <w:spacing w:after="0" w:line="183" w:lineRule="exact"/>
        <w:rPr>
          <w:rFonts w:ascii="Courier New" w:cs="Courier New" w:eastAsia="Courier New" w:hAnsi="Courier New"/>
          <w:sz w:val="16"/>
          <w:szCs w:val="16"/>
          <w:color w:val="auto"/>
        </w:rPr>
      </w:pPr>
    </w:p>
    <w:p>
      <w:pPr>
        <w:ind w:left="1520" w:hanging="388"/>
        <w:spacing w:after="0"/>
        <w:tabs>
          <w:tab w:leader="none" w:pos="1520" w:val="left"/>
        </w:tabs>
        <w:numPr>
          <w:ilvl w:val="0"/>
          <w:numId w:val="3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trade payables; or;</w:t>
      </w:r>
    </w:p>
    <w:p>
      <w:pPr>
        <w:spacing w:after="0" w:line="182" w:lineRule="exact"/>
        <w:rPr>
          <w:rFonts w:ascii="Courier New" w:cs="Courier New" w:eastAsia="Courier New" w:hAnsi="Courier New"/>
          <w:sz w:val="16"/>
          <w:szCs w:val="16"/>
          <w:color w:val="auto"/>
        </w:rPr>
      </w:pPr>
    </w:p>
    <w:p>
      <w:pPr>
        <w:ind w:left="1520" w:hanging="388"/>
        <w:spacing w:after="0"/>
        <w:tabs>
          <w:tab w:leader="none" w:pos="1520" w:val="left"/>
        </w:tabs>
        <w:numPr>
          <w:ilvl w:val="0"/>
          <w:numId w:val="3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Indebtedness that is incurred in violation of this</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Indenture.</w:t>
      </w:r>
    </w:p>
    <w:p>
      <w:pPr>
        <w:spacing w:after="0" w:line="186" w:lineRule="exact"/>
        <w:rPr>
          <w:sz w:val="20"/>
          <w:szCs w:val="20"/>
          <w:color w:val="auto"/>
        </w:rPr>
      </w:pPr>
    </w:p>
    <w:p>
      <w:pPr>
        <w:ind w:right="2759" w:firstLine="1135"/>
        <w:spacing w:after="0" w:line="237" w:lineRule="auto"/>
        <w:rPr>
          <w:sz w:val="20"/>
          <w:szCs w:val="20"/>
          <w:color w:val="auto"/>
        </w:rPr>
      </w:pPr>
      <w:r>
        <w:rPr>
          <w:rFonts w:ascii="Courier New" w:cs="Courier New" w:eastAsia="Courier New" w:hAnsi="Courier New"/>
          <w:sz w:val="16"/>
          <w:szCs w:val="16"/>
          <w:color w:val="auto"/>
        </w:rPr>
        <w:t>A "distribution" may consist of cash, securities or other property, by set-off or otherwise.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10.03 Liquidation, Dissolution; Bankruptcy.</w:t>
      </w:r>
    </w:p>
    <w:p>
      <w:pPr>
        <w:spacing w:after="0" w:line="186" w:lineRule="exact"/>
        <w:rPr>
          <w:sz w:val="20"/>
          <w:szCs w:val="20"/>
          <w:color w:val="auto"/>
        </w:rPr>
      </w:pPr>
    </w:p>
    <w:p>
      <w:pPr>
        <w:ind w:right="2839" w:firstLine="1135"/>
        <w:spacing w:after="0" w:line="239" w:lineRule="auto"/>
        <w:rPr>
          <w:sz w:val="20"/>
          <w:szCs w:val="20"/>
          <w:color w:val="auto"/>
        </w:rPr>
      </w:pPr>
      <w:r>
        <w:rPr>
          <w:rFonts w:ascii="Courier New" w:cs="Courier New" w:eastAsia="Courier New" w:hAnsi="Courier New"/>
          <w:sz w:val="16"/>
          <w:szCs w:val="16"/>
          <w:color w:val="auto"/>
        </w:rPr>
        <w:t>Upon any distribution to creditors of the Company in a liquidation or dissolution of the Company or in a bankruptcy, reorganization, insolvency, receivership or similar proceeding relating to the Company or its property, in an assignment for the benefit of creditors or any marshalling of the Company's assets and liabilities:</w:t>
      </w:r>
    </w:p>
    <w:p>
      <w:pPr>
        <w:spacing w:after="0" w:line="189" w:lineRule="exact"/>
        <w:rPr>
          <w:sz w:val="20"/>
          <w:szCs w:val="20"/>
          <w:color w:val="auto"/>
        </w:rPr>
      </w:pPr>
    </w:p>
    <w:p>
      <w:pPr>
        <w:jc w:val="both"/>
        <w:ind w:right="2839" w:firstLine="1132"/>
        <w:spacing w:after="0" w:line="239" w:lineRule="auto"/>
        <w:tabs>
          <w:tab w:leader="none" w:pos="1513" w:val="left"/>
        </w:tabs>
        <w:numPr>
          <w:ilvl w:val="0"/>
          <w:numId w:val="3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Senior Debt shall be entitled to receive payment in full of all Obligations due in respect of such Senior Debt (including interest after the commencement of any such proceeding at the rate specified in the applicable Senior Debt) before Holders of the</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10219"/>
          </w:cols>
          <w:pgMar w:left="240" w:top="481" w:right="1440" w:bottom="1440" w:gutter="0" w:footer="0" w:header="0"/>
        </w:sectPr>
      </w:pPr>
    </w:p>
    <w:bookmarkStart w:id="321" w:name="page322"/>
    <w:bookmarkEnd w:id="321"/>
    <w:p>
      <w:pPr>
        <w:ind w:right="2659"/>
        <w:spacing w:after="0" w:line="239" w:lineRule="auto"/>
        <w:rPr>
          <w:sz w:val="20"/>
          <w:szCs w:val="20"/>
          <w:color w:val="auto"/>
        </w:rPr>
      </w:pPr>
      <w:r>
        <w:rPr>
          <w:rFonts w:ascii="Courier New" w:cs="Courier New" w:eastAsia="Courier New" w:hAnsi="Courier New"/>
          <w:sz w:val="16"/>
          <w:szCs w:val="16"/>
          <w:color w:val="auto"/>
        </w:rPr>
        <w:t>Notes shall be entitled to receive any payment with respect to the Notes (except that Holders may receive (i) Permitted Junior Securities and (ii) payments and other distributions made from any defeasance trust created pursuant to Article 8 hereof); and</w:t>
      </w:r>
    </w:p>
    <w:p>
      <w:pPr>
        <w:spacing w:after="0" w:line="187" w:lineRule="exact"/>
        <w:rPr>
          <w:sz w:val="20"/>
          <w:szCs w:val="20"/>
          <w:color w:val="auto"/>
        </w:rPr>
      </w:pPr>
    </w:p>
    <w:p>
      <w:pPr>
        <w:ind w:right="2659" w:firstLine="1132"/>
        <w:spacing w:after="0" w:line="239" w:lineRule="auto"/>
        <w:tabs>
          <w:tab w:leader="none" w:pos="1513" w:val="left"/>
        </w:tabs>
        <w:numPr>
          <w:ilvl w:val="0"/>
          <w:numId w:val="3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all Obligations with respect to Senior Debt (as provided in subsection (1) above) are paid in full, any distribution to which Holders would be entitled but for this Article 10 shall be made to holders of Senior Debt (except that Holders of Notes may receive (i) Permitted Junior Securities and (ii) payments and other distributions made from any defeasance trust created pursuant to Article 8 hereof), as their interests may appear.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10.04 Default on Designated Senior Debt.</w:t>
      </w:r>
    </w:p>
    <w:p>
      <w:pPr>
        <w:spacing w:after="0" w:line="186"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The Company may not make any payment or distribution to the Trustee or any Holder in respect of Obligations with respect to the Notes and may not acquire from the Trustee or any Holder any Notes for cash or property (other than (a) Permitted Junior Securities and (b) payments and other distributions made from any defeasance trust created pursuant to Article 8 hereof) until all principal and other Obligations with respect to the Senior Debt have been paid in full if:</w:t>
      </w:r>
    </w:p>
    <w:p>
      <w:pPr>
        <w:spacing w:after="0" w:line="192" w:lineRule="exact"/>
        <w:rPr>
          <w:sz w:val="20"/>
          <w:szCs w:val="20"/>
          <w:color w:val="auto"/>
        </w:rPr>
      </w:pPr>
    </w:p>
    <w:p>
      <w:pPr>
        <w:ind w:left="560" w:right="2659" w:firstLine="572"/>
        <w:spacing w:after="0" w:line="239" w:lineRule="auto"/>
        <w:tabs>
          <w:tab w:leader="none" w:pos="1506" w:val="left"/>
        </w:tabs>
        <w:numPr>
          <w:ilvl w:val="0"/>
          <w:numId w:val="3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in the payment of any principal or other Obligations with respect to Designated Senior Debt occurs and is continuing beyond any applicable grace period in the agreement, indenture or other document governing such Designated Senior Debt; or</w:t>
      </w:r>
    </w:p>
    <w:p>
      <w:pPr>
        <w:spacing w:after="0" w:line="187" w:lineRule="exact"/>
        <w:rPr>
          <w:rFonts w:ascii="Courier New" w:cs="Courier New" w:eastAsia="Courier New" w:hAnsi="Courier New"/>
          <w:sz w:val="16"/>
          <w:szCs w:val="16"/>
          <w:color w:val="auto"/>
        </w:rPr>
      </w:pPr>
    </w:p>
    <w:p>
      <w:pPr>
        <w:ind w:left="560" w:right="2659" w:firstLine="572"/>
        <w:spacing w:after="0" w:line="257" w:lineRule="auto"/>
        <w:tabs>
          <w:tab w:leader="none" w:pos="1600"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other than a payment default, on Designated Senior Debt occurs and is continuing that then permits holders of such Designated Senior Debt to accelerate its maturity and the Trustee receives a notice of the default (a "Payment Blockage Notice") from a Person who may give it pursuant to Section 10.12 hereof. If the Trustee receives any such Payment Blockage Notice, no subsequent Payment Blockage Notice shall be effective for purposes of this Section 10.04 unless and until (i) at least 360 days shall have elapsed since the effectiveness of the immediately prior Payment Blockage Notice and (ii) all scheduled payments of principal, premium and Registration Default Damages, if any, and interest on the Notes that have come due have been paid in full in cash. No nonpayment default that existed or was continuing on the date of delivery of any Payment Blockage Notice to the Trustee shall be, or be made, the basis for a subsequent Payment Blockage Notice unless such default shall have been waived for a period of not less than 90 days.</w:t>
      </w:r>
    </w:p>
    <w:p>
      <w:pPr>
        <w:spacing w:after="0" w:line="181" w:lineRule="exact"/>
        <w:rPr>
          <w:sz w:val="20"/>
          <w:szCs w:val="20"/>
          <w:color w:val="auto"/>
        </w:rPr>
      </w:pPr>
    </w:p>
    <w:p>
      <w:pPr>
        <w:ind w:right="2939" w:firstLine="1135"/>
        <w:spacing w:after="0" w:line="237" w:lineRule="auto"/>
        <w:rPr>
          <w:sz w:val="20"/>
          <w:szCs w:val="20"/>
          <w:color w:val="auto"/>
        </w:rPr>
      </w:pPr>
      <w:r>
        <w:rPr>
          <w:rFonts w:ascii="Courier New" w:cs="Courier New" w:eastAsia="Courier New" w:hAnsi="Courier New"/>
          <w:sz w:val="16"/>
          <w:szCs w:val="16"/>
          <w:color w:val="auto"/>
        </w:rPr>
        <w:t>The Company may and shall resume payments on and distributions in respect of the Notes and may acquire them upon the earlier of:</w:t>
      </w:r>
    </w:p>
    <w:p>
      <w:pPr>
        <w:spacing w:after="0" w:line="184" w:lineRule="exact"/>
        <w:rPr>
          <w:sz w:val="20"/>
          <w:szCs w:val="20"/>
          <w:color w:val="auto"/>
        </w:rPr>
      </w:pPr>
    </w:p>
    <w:p>
      <w:pPr>
        <w:ind w:left="1520" w:hanging="388"/>
        <w:spacing w:after="0"/>
        <w:tabs>
          <w:tab w:leader="none" w:pos="1520" w:val="left"/>
        </w:tabs>
        <w:numPr>
          <w:ilvl w:val="0"/>
          <w:numId w:val="3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upon which the default is cured or waived, or</w:t>
      </w:r>
    </w:p>
    <w:p>
      <w:pPr>
        <w:spacing w:after="0" w:line="186" w:lineRule="exact"/>
        <w:rPr>
          <w:rFonts w:ascii="Courier New" w:cs="Courier New" w:eastAsia="Courier New" w:hAnsi="Courier New"/>
          <w:sz w:val="16"/>
          <w:szCs w:val="16"/>
          <w:color w:val="auto"/>
        </w:rPr>
      </w:pPr>
    </w:p>
    <w:p>
      <w:pPr>
        <w:ind w:right="3319" w:firstLine="1132"/>
        <w:spacing w:after="0" w:line="238" w:lineRule="auto"/>
        <w:tabs>
          <w:tab w:leader="none" w:pos="1513" w:val="left"/>
        </w:tabs>
        <w:numPr>
          <w:ilvl w:val="0"/>
          <w:numId w:val="3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default referred to in Section 10.04(ii) hereof, 179 days pass after notice is received if the maturity of such Designated Senior Debt has not been accelerated,</w:t>
      </w:r>
    </w:p>
    <w:p>
      <w:pPr>
        <w:spacing w:after="0" w:line="188"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6"/>
          <w:szCs w:val="16"/>
          <w:color w:val="auto"/>
        </w:rPr>
        <w:t>if this Article 10 otherwise permits the payment, distribution or acquisition at the time of such payment or acquisition.</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82</w:t>
      </w:r>
    </w:p>
    <w:p>
      <w:pPr>
        <w:sectPr>
          <w:pgSz w:w="11900" w:h="16838" w:orient="portrait"/>
          <w:cols w:equalWidth="0" w:num="1">
            <w:col w:w="10219"/>
          </w:cols>
          <w:pgMar w:left="240" w:top="481" w:right="1440" w:bottom="1440" w:gutter="0" w:footer="0" w:header="0"/>
        </w:sectPr>
      </w:pPr>
    </w:p>
    <w:bookmarkStart w:id="322" w:name="page323"/>
    <w:bookmarkEnd w:id="322"/>
    <w:p>
      <w:pPr>
        <w:spacing w:after="0"/>
        <w:rPr>
          <w:sz w:val="20"/>
          <w:szCs w:val="20"/>
          <w:color w:val="auto"/>
        </w:rPr>
      </w:pPr>
      <w:r>
        <w:rPr>
          <w:rFonts w:ascii="Courier New" w:cs="Courier New" w:eastAsia="Courier New" w:hAnsi="Courier New"/>
          <w:sz w:val="16"/>
          <w:szCs w:val="16"/>
          <w:color w:val="auto"/>
        </w:rPr>
        <w:t>SECTION 10.05 Acceleration of Notes.</w:t>
      </w:r>
    </w:p>
    <w:p>
      <w:pPr>
        <w:spacing w:after="0" w:line="186" w:lineRule="exact"/>
        <w:rPr>
          <w:sz w:val="20"/>
          <w:szCs w:val="20"/>
          <w:color w:val="auto"/>
        </w:rPr>
      </w:pPr>
    </w:p>
    <w:p>
      <w:pPr>
        <w:ind w:right="3319" w:firstLine="1135"/>
        <w:spacing w:after="0" w:line="238" w:lineRule="auto"/>
        <w:rPr>
          <w:sz w:val="20"/>
          <w:szCs w:val="20"/>
          <w:color w:val="auto"/>
        </w:rPr>
      </w:pPr>
      <w:r>
        <w:rPr>
          <w:rFonts w:ascii="Courier New" w:cs="Courier New" w:eastAsia="Courier New" w:hAnsi="Courier New"/>
          <w:sz w:val="16"/>
          <w:szCs w:val="16"/>
          <w:color w:val="auto"/>
        </w:rPr>
        <w:t>If payment of the Notes is accelerated because of an Event of Default, the Company shall promptly notify holders of Senior Debt of the acceleration.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10.06 When Distribution Must Be Paid Over.</w:t>
      </w:r>
    </w:p>
    <w:p>
      <w:pPr>
        <w:spacing w:after="0" w:line="186"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In the event that the Trustee or any Holder receives any payment of any Obligations with respect to the Notes at a time when the Trustee or such Holder, as applicable, has actual knowledge that such payment is prohibited by Section 10.03 or 10.04 hereof, such payment shall be held by the Trustee or such Holder, in trust for the benefit of, and shall be paid forthwith over and delivered, upon written request, to the holders of Senior Debt as their interests may appear or their Representative under the indenture or other agreement (if any) pursuant to which such Senior Debt may have been issued, as their respective interests may appear, for application to the payment of all Obligations with respect to Senior Debt remaining unpaid to the extent necessary to pay such Obligations in full in accordance with their terms, after giving effect to any concurrent payment or distribution to or for the holders of Senior Debt.</w:t>
      </w:r>
    </w:p>
    <w:p>
      <w:pPr>
        <w:spacing w:after="0" w:line="190" w:lineRule="exact"/>
        <w:rPr>
          <w:sz w:val="20"/>
          <w:szCs w:val="20"/>
          <w:color w:val="auto"/>
        </w:rPr>
      </w:pPr>
    </w:p>
    <w:p>
      <w:pPr>
        <w:ind w:right="2659" w:firstLine="1135"/>
        <w:spacing w:after="0" w:line="258" w:lineRule="auto"/>
        <w:rPr>
          <w:sz w:val="20"/>
          <w:szCs w:val="20"/>
          <w:color w:val="auto"/>
        </w:rPr>
      </w:pPr>
      <w:r>
        <w:rPr>
          <w:rFonts w:ascii="Courier New" w:cs="Courier New" w:eastAsia="Courier New" w:hAnsi="Courier New"/>
          <w:sz w:val="15"/>
          <w:szCs w:val="15"/>
          <w:color w:val="auto"/>
        </w:rPr>
        <w:t>With respect to the holders of Senior Debt, the Trustee undertakes to perform only such obligations on the part of the Trustee as are specifically set forth in this Article 10, and no implied covenants or obligations with respect to the holders of Senior Debt shall be read into this Indenture against the Trustee. The Trustee shall not be deemed to owe any fiduciary duty to the holders of Senior Debt, and shall not be liable to any such holders if the Trustee shall pay over or distribute to or on behalf of Holders or the Company or any other Person money or assets to which any holders of Senior Debt shall be entitled by virtue of this Article 10, except if such payment is made as a result of the willful misconduct or gross negligence of the Trustee.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10.07 Notice by Company.</w:t>
      </w:r>
    </w:p>
    <w:p>
      <w:pPr>
        <w:spacing w:after="0" w:line="186"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The Company shall promptly notify the Trustee and the Paying Agent of any facts known to the Company that would cause a payment of any Obligations with respect to the Notes to violate this Article 10, but failure to give such notice shall not affect the subordination of the Notes to the Senior Debt as provided in this Article 10.</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10.08 Subrogation.</w:t>
      </w:r>
    </w:p>
    <w:p>
      <w:pPr>
        <w:spacing w:after="0" w:line="186" w:lineRule="exact"/>
        <w:rPr>
          <w:sz w:val="20"/>
          <w:szCs w:val="20"/>
          <w:color w:val="auto"/>
        </w:rPr>
      </w:pPr>
    </w:p>
    <w:p>
      <w:pPr>
        <w:ind w:right="2659" w:firstLine="1135"/>
        <w:spacing w:after="0" w:line="258" w:lineRule="auto"/>
        <w:rPr>
          <w:sz w:val="20"/>
          <w:szCs w:val="20"/>
          <w:color w:val="auto"/>
        </w:rPr>
      </w:pPr>
      <w:r>
        <w:rPr>
          <w:rFonts w:ascii="Courier New" w:cs="Courier New" w:eastAsia="Courier New" w:hAnsi="Courier New"/>
          <w:sz w:val="15"/>
          <w:szCs w:val="15"/>
          <w:color w:val="auto"/>
        </w:rPr>
        <w:t>After all Senior Debt is paid in full and until the Notes are paid in full, Holders of Notes shall be subrogated (equally and ratably with all other Indebtedness pari passu with the Notes) to the rights of holders of Senior Debt to receive distributions applicable to Senior Debt to the extent that distributions otherwise payable to the Holders of Notes have been applied to the payment of Senior Debt. A distribution made under this Article 10 to holders of Senior Debt that otherwise would have been made to Holders of Notes is not, as between the Company and Holders, a payment by the Company on the Notes.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10.09 Relative Rights.</w:t>
      </w:r>
    </w:p>
    <w:p>
      <w:pPr>
        <w:spacing w:after="0" w:line="186" w:lineRule="exact"/>
        <w:rPr>
          <w:sz w:val="20"/>
          <w:szCs w:val="20"/>
          <w:color w:val="auto"/>
        </w:rPr>
      </w:pPr>
    </w:p>
    <w:p>
      <w:pPr>
        <w:ind w:right="2759" w:firstLine="1135"/>
        <w:spacing w:after="0" w:line="237" w:lineRule="auto"/>
        <w:rPr>
          <w:sz w:val="20"/>
          <w:szCs w:val="20"/>
          <w:color w:val="auto"/>
        </w:rPr>
      </w:pPr>
      <w:r>
        <w:rPr>
          <w:rFonts w:ascii="Courier New" w:cs="Courier New" w:eastAsia="Courier New" w:hAnsi="Courier New"/>
          <w:sz w:val="16"/>
          <w:szCs w:val="16"/>
          <w:color w:val="auto"/>
        </w:rPr>
        <w:t>This Article 10 defines the relative rights of Holders of Notes and holders of Senior Debt. Nothing in this Indenture shall:</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83</w:t>
      </w:r>
    </w:p>
    <w:p>
      <w:pPr>
        <w:sectPr>
          <w:pgSz w:w="11900" w:h="16838" w:orient="portrait"/>
          <w:cols w:equalWidth="0" w:num="1">
            <w:col w:w="10219"/>
          </w:cols>
          <w:pgMar w:left="240" w:top="477" w:right="1440" w:bottom="1440" w:gutter="0" w:footer="0" w:header="0"/>
        </w:sectPr>
      </w:pPr>
    </w:p>
    <w:bookmarkStart w:id="323" w:name="page324"/>
    <w:bookmarkEnd w:id="323"/>
    <w:p>
      <w:pPr>
        <w:ind w:right="2659" w:firstLine="1132"/>
        <w:spacing w:after="0" w:line="239" w:lineRule="auto"/>
        <w:tabs>
          <w:tab w:leader="none" w:pos="1513" w:val="left"/>
        </w:tabs>
        <w:numPr>
          <w:ilvl w:val="0"/>
          <w:numId w:val="3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impair, as between the Company and Holders of Notes, the obligation of the Company, which is absolute and unconditional, to pay principal of and interest and Registration Default Damages, if any, on the Notes in accordance with their terms;</w:t>
      </w:r>
    </w:p>
    <w:p>
      <w:pPr>
        <w:spacing w:after="0" w:line="187" w:lineRule="exact"/>
        <w:rPr>
          <w:rFonts w:ascii="Courier New" w:cs="Courier New" w:eastAsia="Courier New" w:hAnsi="Courier New"/>
          <w:sz w:val="16"/>
          <w:szCs w:val="16"/>
          <w:color w:val="auto"/>
        </w:rPr>
      </w:pPr>
    </w:p>
    <w:p>
      <w:pPr>
        <w:ind w:right="2759" w:firstLine="1132"/>
        <w:spacing w:after="0" w:line="267" w:lineRule="auto"/>
        <w:tabs>
          <w:tab w:leader="none" w:pos="1513"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affect the relative rights of Holders of Notes and creditors of the Company other than their rights in relation to holders of Senior Debt; or</w:t>
      </w:r>
    </w:p>
    <w:p>
      <w:pPr>
        <w:spacing w:after="0" w:line="167" w:lineRule="exact"/>
        <w:rPr>
          <w:rFonts w:ascii="Courier New" w:cs="Courier New" w:eastAsia="Courier New" w:hAnsi="Courier New"/>
          <w:sz w:val="15"/>
          <w:szCs w:val="15"/>
          <w:color w:val="auto"/>
        </w:rPr>
      </w:pPr>
    </w:p>
    <w:p>
      <w:pPr>
        <w:ind w:right="2759" w:firstLine="1132"/>
        <w:spacing w:after="0" w:line="239" w:lineRule="auto"/>
        <w:tabs>
          <w:tab w:leader="none" w:pos="1513" w:val="left"/>
        </w:tabs>
        <w:numPr>
          <w:ilvl w:val="0"/>
          <w:numId w:val="3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prevent the Trustee or any Holder of Notes from exercising its available remedies upon a Default or Event of Default, subject to the rights of holders and owners of Senior Debt to receive distributions and payments otherwise payable to Holders of Notes.</w:t>
      </w:r>
    </w:p>
    <w:p>
      <w:pPr>
        <w:spacing w:after="0" w:line="187" w:lineRule="exact"/>
        <w:rPr>
          <w:sz w:val="20"/>
          <w:szCs w:val="20"/>
          <w:color w:val="auto"/>
        </w:rPr>
      </w:pPr>
    </w:p>
    <w:p>
      <w:pPr>
        <w:ind w:right="2759" w:firstLine="1135"/>
        <w:spacing w:after="0" w:line="238" w:lineRule="auto"/>
        <w:rPr>
          <w:sz w:val="20"/>
          <w:szCs w:val="20"/>
          <w:color w:val="auto"/>
        </w:rPr>
      </w:pPr>
      <w:r>
        <w:rPr>
          <w:rFonts w:ascii="Courier New" w:cs="Courier New" w:eastAsia="Courier New" w:hAnsi="Courier New"/>
          <w:sz w:val="16"/>
          <w:szCs w:val="16"/>
          <w:color w:val="auto"/>
        </w:rPr>
        <w:t>If the Company fails because of this Article 10 to pay principal of or interest on a Note on the due date, the failure shall nevertheless be a Default or Event of Default.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10.10 Subordination May Not Be Impaired By Company.</w:t>
      </w:r>
    </w:p>
    <w:p>
      <w:pPr>
        <w:spacing w:after="0" w:line="186"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No right of any holder of Senior Debt to enforce the subordination of the Indebtedness evidenced by the Notes shall be impaired by any act or failure to act by the Company or any Holder or by the failure of the Company or any Holder to comply with this Indenture.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10.11 Distribution or Notice to Representative.</w:t>
      </w:r>
    </w:p>
    <w:p>
      <w:pPr>
        <w:spacing w:after="0" w:line="186" w:lineRule="exact"/>
        <w:rPr>
          <w:sz w:val="20"/>
          <w:szCs w:val="20"/>
          <w:color w:val="auto"/>
        </w:rPr>
      </w:pPr>
    </w:p>
    <w:p>
      <w:pPr>
        <w:ind w:right="2839" w:firstLine="1135"/>
        <w:spacing w:after="0" w:line="238" w:lineRule="auto"/>
        <w:rPr>
          <w:sz w:val="20"/>
          <w:szCs w:val="20"/>
          <w:color w:val="auto"/>
        </w:rPr>
      </w:pPr>
      <w:r>
        <w:rPr>
          <w:rFonts w:ascii="Courier New" w:cs="Courier New" w:eastAsia="Courier New" w:hAnsi="Courier New"/>
          <w:sz w:val="16"/>
          <w:szCs w:val="16"/>
          <w:color w:val="auto"/>
        </w:rPr>
        <w:t>Whenever a distribution is to be made or a notice given to holders of Senior Debt, the distribution may be made and the notice given to their Representative.</w:t>
      </w:r>
    </w:p>
    <w:p>
      <w:pPr>
        <w:spacing w:after="0" w:line="188" w:lineRule="exact"/>
        <w:rPr>
          <w:sz w:val="20"/>
          <w:szCs w:val="20"/>
          <w:color w:val="auto"/>
        </w:rPr>
      </w:pPr>
    </w:p>
    <w:p>
      <w:pPr>
        <w:ind w:right="2659" w:firstLine="1135"/>
        <w:spacing w:after="0" w:line="258" w:lineRule="auto"/>
        <w:rPr>
          <w:sz w:val="20"/>
          <w:szCs w:val="20"/>
          <w:color w:val="auto"/>
        </w:rPr>
      </w:pPr>
      <w:r>
        <w:rPr>
          <w:rFonts w:ascii="Courier New" w:cs="Courier New" w:eastAsia="Courier New" w:hAnsi="Courier New"/>
          <w:sz w:val="15"/>
          <w:szCs w:val="15"/>
          <w:color w:val="auto"/>
        </w:rPr>
        <w:t>Upon any payment or distribution of assets of the Company referred to in this Article 10, the Trustee and the Holders of Notes shall be entitled to rely upon any order or decree made by any court of competent jurisdiction or upon any certificate of such Representative or of the liquidating trustee or agent or other Person making any distribution to the Trustee or to the Holders of Notes for the purpose of ascertaining the Persons entitled to participate in such distribution, the holders of the Senior Debt and other Indebtedness of the Company, the amount thereof or payable thereon, the amount or amounts paid or distributed thereon and all other facts pertinent thereto or to this Article 10.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10.12 Rights of Trustee and Paying Agent.</w:t>
      </w:r>
    </w:p>
    <w:p>
      <w:pPr>
        <w:spacing w:after="0" w:line="186" w:lineRule="exact"/>
        <w:rPr>
          <w:sz w:val="20"/>
          <w:szCs w:val="20"/>
          <w:color w:val="auto"/>
        </w:rPr>
      </w:pPr>
    </w:p>
    <w:p>
      <w:pPr>
        <w:ind w:right="2659" w:firstLine="1135"/>
        <w:spacing w:after="0" w:line="258" w:lineRule="auto"/>
        <w:rPr>
          <w:sz w:val="20"/>
          <w:szCs w:val="20"/>
          <w:color w:val="auto"/>
        </w:rPr>
      </w:pPr>
      <w:r>
        <w:rPr>
          <w:rFonts w:ascii="Courier New" w:cs="Courier New" w:eastAsia="Courier New" w:hAnsi="Courier New"/>
          <w:sz w:val="15"/>
          <w:szCs w:val="15"/>
          <w:color w:val="auto"/>
        </w:rPr>
        <w:t>Notwithstanding the provisions of this Article 10 or any other provision of this Indenture, the Trustee shall not be charged with knowledge of the existence of any facts that would prohibit the making of any payment or distribution by the Trustee, and the Trustee and the Paying Agent may continue to make payments on the Notes, unless the Trustee shall have received at its Corporate Trust Office at least five Business Days prior to the date of such payment written notice of facts that would cause the payment of any Obligations with respect to the Notes to violate this Article 10. Only the Company or a Representative may give the notice. Nothing in this Article 10 shall impair the claims of, or payments to, the Trustee under or pursuant to Section 7.07 hereof.</w:t>
      </w:r>
    </w:p>
    <w:p>
      <w:pPr>
        <w:spacing w:after="0" w:line="35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84</w:t>
      </w:r>
    </w:p>
    <w:p>
      <w:pPr>
        <w:sectPr>
          <w:pgSz w:w="11900" w:h="16838" w:orient="portrait"/>
          <w:cols w:equalWidth="0" w:num="1">
            <w:col w:w="10219"/>
          </w:cols>
          <w:pgMar w:left="240" w:top="481" w:right="1440" w:bottom="1440" w:gutter="0" w:footer="0" w:header="0"/>
        </w:sectPr>
      </w:pPr>
    </w:p>
    <w:bookmarkStart w:id="324" w:name="page325"/>
    <w:bookmarkEnd w:id="324"/>
    <w:p>
      <w:pPr>
        <w:ind w:right="2759" w:firstLine="1135"/>
        <w:spacing w:after="0" w:line="237" w:lineRule="auto"/>
        <w:rPr>
          <w:sz w:val="20"/>
          <w:szCs w:val="20"/>
          <w:color w:val="auto"/>
        </w:rPr>
      </w:pPr>
      <w:r>
        <w:rPr>
          <w:rFonts w:ascii="Courier New" w:cs="Courier New" w:eastAsia="Courier New" w:hAnsi="Courier New"/>
          <w:sz w:val="16"/>
          <w:szCs w:val="16"/>
          <w:color w:val="auto"/>
        </w:rPr>
        <w:t>The Trustee may hold Senior Debt with the same rights it would have if it were not Trustee. Any Agent may do the same with like rights.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10.13 Authorization to Effect Subordination.</w:t>
      </w:r>
    </w:p>
    <w:p>
      <w:pPr>
        <w:spacing w:after="0" w:line="186"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Each Holder of Notes, by the Holder's acceptance thereof, authorizes and directs the Trustee on such Holder's behalf to take such action as may be necessary or appropriate to effectuate the subordination as provided in this Article 10, and appoints the Trustee to act as such Holder's attorney-in-fact for any and all such purposes. If the Trustee does not file a proper proof of claim or proof of debt in the form required in any proceeding referred to in Section 6.09 hereof at least 30 days before the expiration of the time to file such claim, the Representatives are hereby authorized to file an appropriate claim for and on behalf of the Holders of the Notes.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10.14 Trustee's Compensation Not Prejudiced.</w:t>
      </w:r>
    </w:p>
    <w:p>
      <w:pPr>
        <w:spacing w:after="0" w:line="186" w:lineRule="exact"/>
        <w:rPr>
          <w:sz w:val="20"/>
          <w:szCs w:val="20"/>
          <w:color w:val="auto"/>
        </w:rPr>
      </w:pPr>
    </w:p>
    <w:p>
      <w:pPr>
        <w:ind w:right="2659" w:firstLine="1135"/>
        <w:spacing w:after="0" w:line="237" w:lineRule="auto"/>
        <w:rPr>
          <w:sz w:val="20"/>
          <w:szCs w:val="20"/>
          <w:color w:val="auto"/>
        </w:rPr>
      </w:pPr>
      <w:r>
        <w:rPr>
          <w:rFonts w:ascii="Courier New" w:cs="Courier New" w:eastAsia="Courier New" w:hAnsi="Courier New"/>
          <w:sz w:val="16"/>
          <w:szCs w:val="16"/>
          <w:color w:val="auto"/>
        </w:rPr>
        <w:t>Nothing in this Article 10 shall apply to amounts due to the Trustee pursuant to other Sections of this Indenture.</w:t>
      </w:r>
    </w:p>
    <w:p>
      <w:pPr>
        <w:spacing w:after="0" w:line="184"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ARTICLE 11.</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SUBSIDIARY GUARANTEES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11.01 Subsidiary Guarantee.</w:t>
      </w:r>
    </w:p>
    <w:p>
      <w:pPr>
        <w:spacing w:after="0" w:line="186"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Subject to this Article 11,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Company hereunder or thereunder, that: (a) the principal of and interest on the Notes, and Registration Default Damages, if any, will be promptly paid in full when due, whether at maturity, by acceleration, redemption or otherwise, and interest on the overdue principal of and interest on the Notes, if any, if lawful, and all other obligations of the Company to the Holders or the Trustee hereunder or thereunder will be promptly paid in full or performed, all in accordance with the terms hereof and thereof; and (b) in case of any extension of time of payment or renewal of any Notes or any of such other obligations, that same will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spacing w:after="0" w:line="194"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The Guarantors hereby agree that their obligations hereunder shall be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Company, any right to require a proceeding first against the</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85</w:t>
      </w:r>
    </w:p>
    <w:p>
      <w:pPr>
        <w:sectPr>
          <w:pgSz w:w="11900" w:h="16838" w:orient="portrait"/>
          <w:cols w:equalWidth="0" w:num="1">
            <w:col w:w="10219"/>
          </w:cols>
          <w:pgMar w:left="240" w:top="481" w:right="1440" w:bottom="1440" w:gutter="0" w:footer="0" w:header="0"/>
        </w:sectPr>
      </w:pPr>
    </w:p>
    <w:bookmarkStart w:id="325" w:name="page326"/>
    <w:bookmarkEnd w:id="325"/>
    <w:p>
      <w:pPr>
        <w:ind w:right="2839"/>
        <w:spacing w:after="0" w:line="238" w:lineRule="auto"/>
        <w:rPr>
          <w:sz w:val="20"/>
          <w:szCs w:val="20"/>
          <w:color w:val="auto"/>
        </w:rPr>
      </w:pPr>
      <w:r>
        <w:rPr>
          <w:rFonts w:ascii="Courier New" w:cs="Courier New" w:eastAsia="Courier New" w:hAnsi="Courier New"/>
          <w:sz w:val="16"/>
          <w:szCs w:val="16"/>
          <w:color w:val="auto"/>
        </w:rPr>
        <w:t>Company, protest, notice and all demands whatsoever and covenant that this Subsidiary Guarantee shall not be discharged except by complete performance of the obligations contained in the Notes and this Indenture.</w:t>
      </w:r>
    </w:p>
    <w:p>
      <w:pPr>
        <w:spacing w:after="0" w:line="188"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Subsidiary Guarantee, to the extent theretofore discharged, shall be reinstated in full force and effect.</w:t>
      </w:r>
    </w:p>
    <w:p>
      <w:pPr>
        <w:spacing w:after="0" w:line="190"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(x) the maturity of the obligations guaranteed hereby may be accelerated as provided in Article 6 hereof for the purposes of this Subsidiary Guarantee, notwithstanding any stay, injunction or other prohibition preventing such acceleration in respect of the obligations guaranteed hereby, and (y) in the event of any declaration of acceleration of such obligations as provided in Article 6 hereof, such obligations (whether or not due and payable) shall forthwith become due and payable by the Guarantors for the purpose of this Subsidiary Guarantee. The Guarantors shall have the right to seek contribution from any non-paying Guarantor so long as the exercise of such right does not impair the rights of the Holders under the Subsidiary Guarantee.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11.02 Subordination of Subsidiary Guarantee.</w:t>
      </w:r>
    </w:p>
    <w:p>
      <w:pPr>
        <w:spacing w:after="0" w:line="186" w:lineRule="exact"/>
        <w:rPr>
          <w:sz w:val="20"/>
          <w:szCs w:val="20"/>
          <w:color w:val="auto"/>
        </w:rPr>
      </w:pPr>
    </w:p>
    <w:p>
      <w:pPr>
        <w:ind w:right="2759" w:firstLine="1135"/>
        <w:spacing w:after="0"/>
        <w:rPr>
          <w:sz w:val="20"/>
          <w:szCs w:val="20"/>
          <w:color w:val="auto"/>
        </w:rPr>
      </w:pPr>
      <w:r>
        <w:rPr>
          <w:rFonts w:ascii="Courier New" w:cs="Courier New" w:eastAsia="Courier New" w:hAnsi="Courier New"/>
          <w:sz w:val="16"/>
          <w:szCs w:val="16"/>
          <w:color w:val="auto"/>
        </w:rPr>
        <w:t>The Obligations of each Guarantor under its Subsidiary Guarantee pursuant to this Article 11 shall be junior and subordinated to the Senior Debt of such Guarantor on the same basis as the Notes are junior and subordinated to Senior Debt of the Company. For the purposes of the foregoing sentence, the Trustee and the Holders shall have the right to receive and/or retain payments by any of the Guarantors only at such times as they may receive and/or retain payments in respect of the Notes pursuant to this Indenture, including Article 10 hereof.</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11.03 Limitation on Guarantor Liability.</w:t>
      </w:r>
    </w:p>
    <w:p>
      <w:pPr>
        <w:spacing w:after="0" w:line="186" w:lineRule="exact"/>
        <w:rPr>
          <w:sz w:val="20"/>
          <w:szCs w:val="20"/>
          <w:color w:val="auto"/>
        </w:rPr>
      </w:pPr>
    </w:p>
    <w:p>
      <w:pPr>
        <w:ind w:right="2759" w:firstLine="1135"/>
        <w:spacing w:after="0"/>
        <w:rPr>
          <w:sz w:val="20"/>
          <w:szCs w:val="20"/>
          <w:color w:val="auto"/>
        </w:rPr>
      </w:pPr>
      <w:r>
        <w:rPr>
          <w:rFonts w:ascii="Courier New" w:cs="Courier New" w:eastAsia="Courier New" w:hAnsi="Courier New"/>
          <w:sz w:val="16"/>
          <w:szCs w:val="16"/>
          <w:color w:val="auto"/>
        </w:rPr>
        <w:t>Each Guarantor, and by its acceptance of Notes, each Holder, hereby confirms that it is the intention of all such parties that the Subsidiary Guarantee of such Guarantor not constitute a fraudulent transfer or conveyance for purposes of Bankruptcy Law, the Uniform Fraudulent Conveyance Act, the Uniform Fraudulent Transfer Act or any similar federal or state law to the extent applicable to any Subsidiary Guarantee. To effectuate the foregoing intention, the Trustee, the Holders and the Guarantors hereby irrevocably agree that the obligations of such Guarantor under its Subsidiary Guarantee and this Article 11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11, result in the obligations of such Guarantor under its Subsidiary Guarantee not constituting a fraudulent transfer or conveyance.</w:t>
      </w:r>
    </w:p>
    <w:p>
      <w:pPr>
        <w:spacing w:after="0" w:line="37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86</w:t>
      </w:r>
    </w:p>
    <w:p>
      <w:pPr>
        <w:sectPr>
          <w:pgSz w:w="11900" w:h="16838" w:orient="portrait"/>
          <w:cols w:equalWidth="0" w:num="1">
            <w:col w:w="10219"/>
          </w:cols>
          <w:pgMar w:left="240" w:top="480" w:right="1440" w:bottom="1440" w:gutter="0" w:footer="0" w:header="0"/>
        </w:sectPr>
      </w:pPr>
    </w:p>
    <w:bookmarkStart w:id="326" w:name="page327"/>
    <w:bookmarkEnd w:id="326"/>
    <w:p>
      <w:pPr>
        <w:spacing w:after="0"/>
        <w:rPr>
          <w:sz w:val="20"/>
          <w:szCs w:val="20"/>
          <w:color w:val="auto"/>
        </w:rPr>
      </w:pPr>
      <w:r>
        <w:rPr>
          <w:rFonts w:ascii="Courier New" w:cs="Courier New" w:eastAsia="Courier New" w:hAnsi="Courier New"/>
          <w:sz w:val="16"/>
          <w:szCs w:val="16"/>
          <w:color w:val="auto"/>
        </w:rPr>
        <w:t>SECTION 11.04 EXECUTION AND DELIVERY OF SUBSIDIARY GUARANTEE.</w:t>
      </w:r>
    </w:p>
    <w:p>
      <w:pPr>
        <w:spacing w:after="0" w:line="186"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To evidence its Subsidiary Guarantee set forth in Section 11.01, each Guarantor hereby agrees that a notation of such Subsidiary Guarantee substantially in the form included in Exhibit E shall be endorsed by an Officer of such Guarantor on each Note authenticated and delivered by the Trustee and that this Indenture shall be executed on behalf of such Guarantor by an Officer thereof.</w:t>
      </w:r>
    </w:p>
    <w:p>
      <w:pPr>
        <w:spacing w:after="0" w:line="190" w:lineRule="exact"/>
        <w:rPr>
          <w:sz w:val="20"/>
          <w:szCs w:val="20"/>
          <w:color w:val="auto"/>
        </w:rPr>
      </w:pPr>
    </w:p>
    <w:p>
      <w:pPr>
        <w:ind w:right="2659" w:firstLine="1135"/>
        <w:spacing w:after="0" w:line="238" w:lineRule="auto"/>
        <w:rPr>
          <w:sz w:val="20"/>
          <w:szCs w:val="20"/>
          <w:color w:val="auto"/>
        </w:rPr>
      </w:pPr>
      <w:r>
        <w:rPr>
          <w:rFonts w:ascii="Courier New" w:cs="Courier New" w:eastAsia="Courier New" w:hAnsi="Courier New"/>
          <w:sz w:val="16"/>
          <w:szCs w:val="16"/>
          <w:color w:val="auto"/>
        </w:rPr>
        <w:t>Each Guarantor hereby agrees that its Subsidiary Guarantee set forth in Section 11.01 shall remain in full force and effect notwithstanding any failure to endorse on each Note a notation of such Subsidiary Guarantee.</w:t>
      </w:r>
    </w:p>
    <w:p>
      <w:pPr>
        <w:spacing w:after="0" w:line="188" w:lineRule="exact"/>
        <w:rPr>
          <w:sz w:val="20"/>
          <w:szCs w:val="20"/>
          <w:color w:val="auto"/>
        </w:rPr>
      </w:pPr>
    </w:p>
    <w:p>
      <w:pPr>
        <w:ind w:right="3419" w:firstLine="1135"/>
        <w:spacing w:after="0" w:line="239" w:lineRule="auto"/>
        <w:rPr>
          <w:sz w:val="20"/>
          <w:szCs w:val="20"/>
          <w:color w:val="auto"/>
        </w:rPr>
      </w:pPr>
      <w:r>
        <w:rPr>
          <w:rFonts w:ascii="Courier New" w:cs="Courier New" w:eastAsia="Courier New" w:hAnsi="Courier New"/>
          <w:sz w:val="16"/>
          <w:szCs w:val="16"/>
          <w:color w:val="auto"/>
        </w:rPr>
        <w:t>If an Officer whose signature is on this Indenture or on the Subsidiary Guarantee no longer holds that office at the time the Trustee authenticates the Note on which a Subsidiary Guarantee is endorsed, the Subsidiary Guarantee shall be valid nevertheless.</w:t>
      </w:r>
    </w:p>
    <w:p>
      <w:pPr>
        <w:spacing w:after="0" w:line="187" w:lineRule="exact"/>
        <w:rPr>
          <w:sz w:val="20"/>
          <w:szCs w:val="20"/>
          <w:color w:val="auto"/>
        </w:rPr>
      </w:pPr>
    </w:p>
    <w:p>
      <w:pPr>
        <w:ind w:right="2659" w:firstLine="1135"/>
        <w:spacing w:after="0" w:line="238" w:lineRule="auto"/>
        <w:rPr>
          <w:sz w:val="20"/>
          <w:szCs w:val="20"/>
          <w:color w:val="auto"/>
        </w:rPr>
      </w:pPr>
      <w:r>
        <w:rPr>
          <w:rFonts w:ascii="Courier New" w:cs="Courier New" w:eastAsia="Courier New" w:hAnsi="Courier New"/>
          <w:sz w:val="16"/>
          <w:szCs w:val="16"/>
          <w:color w:val="auto"/>
        </w:rPr>
        <w:t>The delivery of any Note by the Trustee, after the authentication thereof hereunder, shall constitute due delivery of the Subsidiary Guarantee set forth in this Indenture on behalf of the Guarantors.</w:t>
      </w:r>
    </w:p>
    <w:p>
      <w:pPr>
        <w:spacing w:after="0" w:line="188" w:lineRule="exact"/>
        <w:rPr>
          <w:sz w:val="20"/>
          <w:szCs w:val="20"/>
          <w:color w:val="auto"/>
        </w:rPr>
      </w:pPr>
    </w:p>
    <w:p>
      <w:pPr>
        <w:ind w:right="2659" w:firstLine="1135"/>
        <w:spacing w:after="0" w:line="258" w:lineRule="auto"/>
        <w:rPr>
          <w:sz w:val="20"/>
          <w:szCs w:val="20"/>
          <w:color w:val="auto"/>
        </w:rPr>
      </w:pPr>
      <w:r>
        <w:rPr>
          <w:rFonts w:ascii="Courier New" w:cs="Courier New" w:eastAsia="Courier New" w:hAnsi="Courier New"/>
          <w:sz w:val="15"/>
          <w:szCs w:val="15"/>
          <w:color w:val="auto"/>
        </w:rPr>
        <w:t>In the event that the Company creates or acquires any other Domestic Subsidiaries subsequent to the date of this Indenture, or if any current or future Subsidiaries become Domestic Subsidiaries subsequent to the date of this Indenture, if required by Section 4.17 hereof, the Company shall cause such Subsidiaries to execute supplemental indentures to this Indenture in accordance with Section 4.17 hereof, and this Article 11, to the extent applicable.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11.05 GUARANTORS MAY CONSOLIDATE, ETC., ON CERTAIN TERMS.</w:t>
      </w:r>
    </w:p>
    <w:p>
      <w:pPr>
        <w:spacing w:after="0" w:line="186" w:lineRule="exact"/>
        <w:rPr>
          <w:sz w:val="20"/>
          <w:szCs w:val="20"/>
          <w:color w:val="auto"/>
        </w:rPr>
      </w:pPr>
    </w:p>
    <w:p>
      <w:pPr>
        <w:ind w:right="2759" w:firstLine="1135"/>
        <w:spacing w:after="0" w:line="238" w:lineRule="auto"/>
        <w:rPr>
          <w:sz w:val="20"/>
          <w:szCs w:val="20"/>
          <w:color w:val="auto"/>
        </w:rPr>
      </w:pPr>
      <w:r>
        <w:rPr>
          <w:rFonts w:ascii="Courier New" w:cs="Courier New" w:eastAsia="Courier New" w:hAnsi="Courier New"/>
          <w:sz w:val="16"/>
          <w:szCs w:val="16"/>
          <w:color w:val="auto"/>
        </w:rPr>
        <w:t>No Guarantor may consolidate with or merge with or into (whether or not such Guarantor is the surviving Person) another corporation, Person or entity whether or not affiliated with such Guarantor unless:</w:t>
      </w:r>
    </w:p>
    <w:p>
      <w:pPr>
        <w:spacing w:after="0" w:line="188" w:lineRule="exact"/>
        <w:rPr>
          <w:sz w:val="20"/>
          <w:szCs w:val="20"/>
          <w:color w:val="auto"/>
        </w:rPr>
      </w:pPr>
    </w:p>
    <w:p>
      <w:pPr>
        <w:ind w:right="2759" w:firstLine="1132"/>
        <w:spacing w:after="0" w:line="239" w:lineRule="auto"/>
        <w:tabs>
          <w:tab w:leader="none" w:pos="1513" w:val="left"/>
        </w:tabs>
        <w:numPr>
          <w:ilvl w:val="0"/>
          <w:numId w:val="3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11.06 hereof, the Person formed by or surviving any such consolidation or merger (if other than such Guarantor) assumes all the obligations of such Guarantor, pursuant to a supplemental indenture in form and substance reasonably satisfactory to the Trustee, under the Notes, this Indenture, the Registration Rights Agreement and the Subsidiary Guarantee on the terms set forth herein or therein; and</w:t>
      </w:r>
    </w:p>
    <w:p>
      <w:pPr>
        <w:spacing w:after="0" w:line="190" w:lineRule="exact"/>
        <w:rPr>
          <w:rFonts w:ascii="Courier New" w:cs="Courier New" w:eastAsia="Courier New" w:hAnsi="Courier New"/>
          <w:sz w:val="16"/>
          <w:szCs w:val="16"/>
          <w:color w:val="auto"/>
        </w:rPr>
      </w:pPr>
    </w:p>
    <w:p>
      <w:pPr>
        <w:ind w:right="2759" w:firstLine="1132"/>
        <w:spacing w:after="0" w:line="237" w:lineRule="auto"/>
        <w:tabs>
          <w:tab w:leader="none" w:pos="1513" w:val="left"/>
        </w:tabs>
        <w:numPr>
          <w:ilvl w:val="0"/>
          <w:numId w:val="3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such transaction, no Default or Event of Default exists.</w:t>
      </w:r>
    </w:p>
    <w:p>
      <w:pPr>
        <w:spacing w:after="0" w:line="188"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In case of any such consolidation, merger, sale or conveyance and upon the assumption by the successor Person, by supplemental indenture, executed and delivered to the Trustee and satisfactory in form to the Trustee, of the Subsidiary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Subsidiary Guarantees</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87</w:t>
      </w:r>
    </w:p>
    <w:p>
      <w:pPr>
        <w:sectPr>
          <w:pgSz w:w="11900" w:h="16838" w:orient="portrait"/>
          <w:cols w:equalWidth="0" w:num="1">
            <w:col w:w="10219"/>
          </w:cols>
          <w:pgMar w:left="240" w:top="659" w:right="1440" w:bottom="1440" w:gutter="0" w:footer="0" w:header="0"/>
        </w:sectPr>
      </w:pPr>
    </w:p>
    <w:bookmarkStart w:id="327" w:name="page328"/>
    <w:bookmarkEnd w:id="327"/>
    <w:p>
      <w:pPr>
        <w:ind w:right="2759"/>
        <w:spacing w:after="0" w:line="239" w:lineRule="auto"/>
        <w:rPr>
          <w:sz w:val="20"/>
          <w:szCs w:val="20"/>
          <w:color w:val="auto"/>
        </w:rPr>
      </w:pPr>
      <w:r>
        <w:rPr>
          <w:rFonts w:ascii="Courier New" w:cs="Courier New" w:eastAsia="Courier New" w:hAnsi="Courier New"/>
          <w:sz w:val="16"/>
          <w:szCs w:val="16"/>
          <w:color w:val="auto"/>
        </w:rPr>
        <w:t>to be endorsed upon all of the Notes issuable hereunder which theretofore shall not have been signed by the Company and delivered to the Trustee. All the Subsidiary Guarantees so issued shall in all respects have the same legal rank and benefit under this Indenture as the Subsidiary Guarantees theretofore and thereafter issued in accordance with the terms of this Indenture as though all of such Subsidiary Guarantees had been issued at the date of the execution hereof.</w:t>
      </w:r>
    </w:p>
    <w:p>
      <w:pPr>
        <w:spacing w:after="0" w:line="192"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Except as set forth in Articles 4 and 5 and Section 11.06 of Article 11 of this Indenture, and notwithstanding clauses (a) and (b) above, nothing contained in this Indenture or in any of the Notes shall prevent any consolidation or merger of a Guarantor with or into the Company or another Guarantor, or shall prevent any sale or conveyance of the property of a Guarantor as an entirety or substantially as an entirety to the Company or another Guarantor.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11.06 RELEASES FOLLOWING SALE OF ASSETS.</w:t>
      </w:r>
    </w:p>
    <w:p>
      <w:pPr>
        <w:spacing w:after="0" w:line="186"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In the event of a sale or other disposition of all of the assets of any Guarantor, by way of merger, consolidation or otherwise, or a sale or other disposition of all of the capital stock of any Guarantor, then such Guarantor (in the event of a sale or other disposition, by way of merger, consolidation or otherwise, of all of the capital stock of such Guarantor) or the corporation acquiring the property (in the event of a sale or other disposition of all or substantially all of the assets of such Guarantor) will be released and relieved of any obligations under its Subsidiary Guarantee; provided that the Net Proceeds of such sale or other disposition are applied in accordance with the applicable provisions of this Indenture, including without limitation Section 4.10 hereof. Upon delivery by the Company to the Trustee of an Officers' Certificate and an Opinion of Counsel to the effect that such sale or other disposition was made by the Company in accordance with the applicable provisions of this Indenture, including without limitation Section 4.10 hereof, the Trustee shall execute any documents reasonably required in order to evidence the release of any Guarantor from its obligations under its Subsidiary Guarantee.</w:t>
      </w:r>
    </w:p>
    <w:p>
      <w:pPr>
        <w:spacing w:after="0" w:line="181"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Any Guarantor not released from its obligations under its Subsidiary Guarantee shall remain liable for the full amount of principal of and interest on the Notes and for the other obligations of any Guarantor under this Indenture as provided in this Article 11.</w:t>
      </w:r>
    </w:p>
    <w:p>
      <w:pPr>
        <w:spacing w:after="0" w:line="18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ARTICLE 12.</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SATISFACTION AND DISCHARGE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12.01 SATISFACTION AND DISCHARGE OF INDENTURE.</w:t>
      </w:r>
    </w:p>
    <w:p>
      <w:pPr>
        <w:spacing w:after="0" w:line="186" w:lineRule="exact"/>
        <w:rPr>
          <w:sz w:val="20"/>
          <w:szCs w:val="20"/>
          <w:color w:val="auto"/>
        </w:rPr>
      </w:pPr>
    </w:p>
    <w:p>
      <w:pPr>
        <w:ind w:right="2759" w:firstLine="1135"/>
        <w:spacing w:after="0" w:line="237" w:lineRule="auto"/>
        <w:rPr>
          <w:sz w:val="20"/>
          <w:szCs w:val="20"/>
          <w:color w:val="auto"/>
        </w:rPr>
      </w:pPr>
      <w:r>
        <w:rPr>
          <w:rFonts w:ascii="Courier New" w:cs="Courier New" w:eastAsia="Courier New" w:hAnsi="Courier New"/>
          <w:sz w:val="16"/>
          <w:szCs w:val="16"/>
          <w:color w:val="auto"/>
        </w:rPr>
        <w:t>This Indenture shall be discharged and shall cease to be of further effect as to all Notes issued hereunder, when either</w:t>
      </w:r>
    </w:p>
    <w:p>
      <w:pPr>
        <w:spacing w:after="0" w:line="188" w:lineRule="exact"/>
        <w:rPr>
          <w:sz w:val="20"/>
          <w:szCs w:val="20"/>
          <w:color w:val="auto"/>
        </w:rPr>
      </w:pPr>
    </w:p>
    <w:p>
      <w:pPr>
        <w:ind w:right="2839" w:firstLine="1132"/>
        <w:spacing w:after="0" w:line="260" w:lineRule="auto"/>
        <w:tabs>
          <w:tab w:leader="none" w:pos="1513" w:val="left"/>
        </w:tabs>
        <w:numPr>
          <w:ilvl w:val="0"/>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such Notes theretofore authenticated and delivered (except lost, stolen or destroyed Notes which have been replaced or paid and Notes for whose payment money has theretofore been deposited in trust and thereafter repaid to the Company) have been delivered to the Trustee for cancellation; or</w:t>
      </w:r>
    </w:p>
    <w:p>
      <w:pPr>
        <w:spacing w:after="0" w:line="173" w:lineRule="exact"/>
        <w:rPr>
          <w:rFonts w:ascii="Courier New" w:cs="Courier New" w:eastAsia="Courier New" w:hAnsi="Courier New"/>
          <w:sz w:val="15"/>
          <w:szCs w:val="15"/>
          <w:color w:val="auto"/>
        </w:rPr>
      </w:pPr>
    </w:p>
    <w:p>
      <w:pPr>
        <w:ind w:left="1880" w:right="2659" w:hanging="748"/>
        <w:spacing w:after="0" w:line="238" w:lineRule="auto"/>
        <w:tabs>
          <w:tab w:leader="none" w:pos="1502" w:val="left"/>
        </w:tabs>
        <w:numPr>
          <w:ilvl w:val="0"/>
          <w:numId w:val="3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all such Notes not theretofore delivered to such Trustee for cancellation have become due and payable by reason of the making of a notice of</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88</w:t>
      </w:r>
    </w:p>
    <w:p>
      <w:pPr>
        <w:sectPr>
          <w:pgSz w:w="11900" w:h="16838" w:orient="portrait"/>
          <w:cols w:equalWidth="0" w:num="1">
            <w:col w:w="10219"/>
          </w:cols>
          <w:pgMar w:left="240" w:top="481" w:right="1440" w:bottom="1440" w:gutter="0" w:footer="0" w:header="0"/>
        </w:sectPr>
      </w:pPr>
    </w:p>
    <w:bookmarkStart w:id="328" w:name="page329"/>
    <w:bookmarkEnd w:id="328"/>
    <w:p>
      <w:pPr>
        <w:ind w:left="1700" w:right="2659"/>
        <w:spacing w:after="0"/>
        <w:rPr>
          <w:sz w:val="20"/>
          <w:szCs w:val="20"/>
          <w:color w:val="auto"/>
        </w:rPr>
      </w:pPr>
      <w:r>
        <w:rPr>
          <w:rFonts w:ascii="Courier New" w:cs="Courier New" w:eastAsia="Courier New" w:hAnsi="Courier New"/>
          <w:sz w:val="16"/>
          <w:szCs w:val="16"/>
          <w:color w:val="auto"/>
        </w:rPr>
        <w:t>redemption or otherwise or will become due and payable within one year and the Company or a Guarantor, has irrevocably deposited or caused to be deposited with such Trustee as trust funds in trust solely for the benefit of the Holders of the Notes an amount of money sufficient to pay and discharge the entire Indebtedness on such Notes not theretofore delivered to the Trustee for cancellation for principal, premium, accrued interest and Registration Default Damages, if any, to the date of maturity or redemption;</w:t>
      </w:r>
    </w:p>
    <w:p>
      <w:pPr>
        <w:spacing w:after="0" w:line="188" w:lineRule="exact"/>
        <w:rPr>
          <w:sz w:val="20"/>
          <w:szCs w:val="20"/>
          <w:color w:val="auto"/>
        </w:rPr>
      </w:pPr>
    </w:p>
    <w:p>
      <w:pPr>
        <w:ind w:left="1700" w:right="2659" w:hanging="568"/>
        <w:spacing w:after="0" w:line="239" w:lineRule="auto"/>
        <w:tabs>
          <w:tab w:leader="none" w:pos="1700" w:val="left"/>
        </w:tabs>
        <w:numPr>
          <w:ilvl w:val="0"/>
          <w:numId w:val="3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with respect to this Indenture or the Notes shall have occurred and be continuing on the date of such deposit or shall occur as a result of such deposit and such deposit will not result in a breach or violation of, or constitute a default under, any other instrument to which the Company or a Guarantor, is a party or by which the Company or a Guarantor is bound;</w:t>
      </w:r>
    </w:p>
    <w:p>
      <w:pPr>
        <w:spacing w:after="0" w:line="191" w:lineRule="exact"/>
        <w:rPr>
          <w:rFonts w:ascii="Courier New" w:cs="Courier New" w:eastAsia="Courier New" w:hAnsi="Courier New"/>
          <w:sz w:val="16"/>
          <w:szCs w:val="16"/>
          <w:color w:val="auto"/>
        </w:rPr>
      </w:pPr>
    </w:p>
    <w:p>
      <w:pPr>
        <w:ind w:left="1700" w:right="2839" w:hanging="568"/>
        <w:spacing w:after="0" w:line="237" w:lineRule="auto"/>
        <w:tabs>
          <w:tab w:leader="none" w:pos="1700" w:val="left"/>
        </w:tabs>
        <w:numPr>
          <w:ilvl w:val="0"/>
          <w:numId w:val="3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or a Guarantor has paid or caused to be paid all sums payable by it under this Indenture; and</w:t>
      </w:r>
    </w:p>
    <w:p>
      <w:pPr>
        <w:spacing w:after="0" w:line="187" w:lineRule="exact"/>
        <w:rPr>
          <w:rFonts w:ascii="Courier New" w:cs="Courier New" w:eastAsia="Courier New" w:hAnsi="Courier New"/>
          <w:sz w:val="16"/>
          <w:szCs w:val="16"/>
          <w:color w:val="auto"/>
        </w:rPr>
      </w:pPr>
    </w:p>
    <w:p>
      <w:pPr>
        <w:ind w:left="1700" w:right="2659" w:hanging="568"/>
        <w:spacing w:after="0" w:line="239" w:lineRule="auto"/>
        <w:tabs>
          <w:tab w:leader="none" w:pos="1700" w:val="left"/>
        </w:tabs>
        <w:numPr>
          <w:ilvl w:val="0"/>
          <w:numId w:val="3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delivered irrevocable instructions to the Trustee under this Indenture to apply the deposited money toward the payment of such Notes at maturity or the redemption date, as the case may be.</w:t>
      </w:r>
    </w:p>
    <w:p>
      <w:pPr>
        <w:spacing w:after="0" w:line="187" w:lineRule="exact"/>
        <w:rPr>
          <w:sz w:val="20"/>
          <w:szCs w:val="20"/>
          <w:color w:val="auto"/>
        </w:rPr>
      </w:pPr>
    </w:p>
    <w:p>
      <w:pPr>
        <w:ind w:right="2839" w:firstLine="1135"/>
        <w:spacing w:after="0" w:line="238" w:lineRule="auto"/>
        <w:rPr>
          <w:sz w:val="20"/>
          <w:szCs w:val="20"/>
          <w:color w:val="auto"/>
        </w:rPr>
      </w:pPr>
      <w:r>
        <w:rPr>
          <w:rFonts w:ascii="Courier New" w:cs="Courier New" w:eastAsia="Courier New" w:hAnsi="Courier New"/>
          <w:sz w:val="16"/>
          <w:szCs w:val="16"/>
          <w:color w:val="auto"/>
        </w:rPr>
        <w:t>In addition, the Company must deliver an Officers' Certificate and an Opinion of Counsel to the Trustee stating that all conditions precedent to satisfaction and discharge have been satisfied.</w:t>
      </w:r>
    </w:p>
    <w:p>
      <w:pPr>
        <w:spacing w:after="0" w:line="188"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Notwithstanding the satisfaction and discharge of this Indenture, the obligations of the Company to the Trustee under Section 7.07, and, if money shall have been deposited with the Trustee pursuant to clause (b)(i) of this Section or if money or obligations shall have been deposited with or received by the Trustee pursuant to Section 8.04, the obligations of the Trustee under Sections 12.02 and 8.06 shall survive.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12.02 APPLICATION OF TRUST MONEY.</w:t>
      </w:r>
    </w:p>
    <w:p>
      <w:pPr>
        <w:spacing w:after="0" w:line="186"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Subject to the provisions of Section 8.06 hereof, all money deposited with the Trustee pursuant to Section 12.01 hereof shall be held in trust and applied by it, in accordance with the provisions of the Notes and this Indenture, to the payment, either directly or through any Paying Agent (including the Company acting as Paying Agent) as the Trustee may determine, to Persons entitled thereto, of the principal (and premium, if any), interest and Registration Default Damages, if any, for whose payment such money has been deposited with the Trustee.</w:t>
      </w:r>
    </w:p>
    <w:p>
      <w:pPr>
        <w:spacing w:after="0" w:line="187" w:lineRule="exact"/>
        <w:rPr>
          <w:sz w:val="20"/>
          <w:szCs w:val="20"/>
          <w:color w:val="auto"/>
        </w:rPr>
      </w:pPr>
    </w:p>
    <w:p>
      <w:pPr>
        <w:ind w:right="2759" w:firstLine="1135"/>
        <w:spacing w:after="0"/>
        <w:rPr>
          <w:sz w:val="20"/>
          <w:szCs w:val="20"/>
          <w:color w:val="auto"/>
        </w:rPr>
      </w:pPr>
      <w:r>
        <w:rPr>
          <w:rFonts w:ascii="Courier New" w:cs="Courier New" w:eastAsia="Courier New" w:hAnsi="Courier New"/>
          <w:sz w:val="16"/>
          <w:szCs w:val="16"/>
          <w:color w:val="auto"/>
        </w:rPr>
        <w:t>If the Trustee or Paying Agent is unable to apply any money or Government Securities in accordance with Section 12.01 hereof by reason of any legal proceeding or by reason of any order or judgment of any court or governmental authority enjoining, restraining or otherwise prohibiting such application, then the Company's obligations under this Indenture and the Notes shall be revived and reinstated as though such deposit had occurred pursuant to Section 12.01 hereof; provided that if the Company has made any payment of principal of, premium, if</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89</w:t>
      </w:r>
    </w:p>
    <w:p>
      <w:pPr>
        <w:sectPr>
          <w:pgSz w:w="11900" w:h="16838" w:orient="portrait"/>
          <w:cols w:equalWidth="0" w:num="1">
            <w:col w:w="10219"/>
          </w:cols>
          <w:pgMar w:left="240" w:top="481" w:right="1440" w:bottom="1440" w:gutter="0" w:footer="0" w:header="0"/>
        </w:sectPr>
      </w:pPr>
    </w:p>
    <w:bookmarkStart w:id="329" w:name="page330"/>
    <w:bookmarkEnd w:id="329"/>
    <w:p>
      <w:pPr>
        <w:ind w:right="2659"/>
        <w:spacing w:after="0" w:line="239" w:lineRule="auto"/>
        <w:rPr>
          <w:sz w:val="20"/>
          <w:szCs w:val="20"/>
          <w:color w:val="auto"/>
        </w:rPr>
      </w:pPr>
      <w:r>
        <w:rPr>
          <w:rFonts w:ascii="Courier New" w:cs="Courier New" w:eastAsia="Courier New" w:hAnsi="Courier New"/>
          <w:sz w:val="16"/>
          <w:szCs w:val="16"/>
          <w:color w:val="auto"/>
        </w:rPr>
        <w:t>any, or interest on any Notes because of the reinstatement of its obligations, the Company shall be subrogated to the rights of the Holders of such Notes to receive such payment from the money or Government Securities held by the Trustee or Paying Agent.</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13.</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MISCELLANEOUS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13.01 TRUST INDENTURE ACT CONTROLS.</w:t>
      </w:r>
    </w:p>
    <w:p>
      <w:pPr>
        <w:spacing w:after="0" w:line="186" w:lineRule="exact"/>
        <w:rPr>
          <w:sz w:val="20"/>
          <w:szCs w:val="20"/>
          <w:color w:val="auto"/>
        </w:rPr>
      </w:pPr>
    </w:p>
    <w:p>
      <w:pPr>
        <w:ind w:right="2759" w:firstLine="1135"/>
        <w:spacing w:after="0" w:line="238" w:lineRule="auto"/>
        <w:rPr>
          <w:sz w:val="20"/>
          <w:szCs w:val="20"/>
          <w:color w:val="auto"/>
        </w:rPr>
      </w:pPr>
      <w:r>
        <w:rPr>
          <w:rFonts w:ascii="Courier New" w:cs="Courier New" w:eastAsia="Courier New" w:hAnsi="Courier New"/>
          <w:sz w:val="16"/>
          <w:szCs w:val="16"/>
          <w:color w:val="auto"/>
        </w:rPr>
        <w:t>This Indenture is subject to the provisions of the TIA that are required to be a part of this Indenture and shall, to the extent applicable, be governed by such provisions.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13.02 NOTICES.</w:t>
      </w:r>
    </w:p>
    <w:p>
      <w:pPr>
        <w:spacing w:after="0" w:line="186"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Any notice or communication by the Company, any Guarantor or the Trustee to the others is duly given if in writing and delivered in Person or mailed by first class mail (registered or certified, return receipt requested), telecopier or overnight air courier guaranteeing next day delivery, to the others' address:</w:t>
      </w:r>
    </w:p>
    <w:p>
      <w:pPr>
        <w:spacing w:after="0" w:line="185"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If to the Company and/or any Guarantor:</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14111 Scottslawn Road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Marysville, Ohio 43041</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Telecopier No.: (937) 644-7136</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Attention: Treasurer</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With a copy to:</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Vorys, Sater, Seymour and Pease LLP</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52 East Gay Street</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Columbus, Ohio 43215</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Telecopier No.: (614) 719-4926</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Attention: Ronald A. Robins, Jr., Esq.</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90</w:t>
      </w:r>
    </w:p>
    <w:p>
      <w:pPr>
        <w:sectPr>
          <w:pgSz w:w="11900" w:h="16838" w:orient="portrait"/>
          <w:cols w:equalWidth="0" w:num="1">
            <w:col w:w="10219"/>
          </w:cols>
          <w:pgMar w:left="240" w:top="481" w:right="1440" w:bottom="1440" w:gutter="0" w:footer="0" w:header="0"/>
        </w:sectPr>
      </w:pPr>
    </w:p>
    <w:bookmarkStart w:id="330" w:name="page331"/>
    <w:bookmarkEnd w:id="330"/>
    <w:p>
      <w:pPr>
        <w:ind w:left="1140"/>
        <w:spacing w:after="0"/>
        <w:rPr>
          <w:sz w:val="20"/>
          <w:szCs w:val="20"/>
          <w:color w:val="auto"/>
        </w:rPr>
      </w:pPr>
      <w:r>
        <w:rPr>
          <w:rFonts w:ascii="Courier New" w:cs="Courier New" w:eastAsia="Courier New" w:hAnsi="Courier New"/>
          <w:sz w:val="16"/>
          <w:szCs w:val="16"/>
          <w:color w:val="auto"/>
        </w:rPr>
        <w:t>If to the Trustee:</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U.S. Bank National Association</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Goodwin Square</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225 Asylum Street, 23rd Fl.</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Hartford, Connecticut 06103</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Telecopier No.: (860) 241-6881</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Attention: Corporate Trust Services (The Scotts Company</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6.625% Senior Subordinated Notes due 2013)</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With a copy to:</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Shipman &amp; Goodwin LLP</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One American Row</w:t>
      </w:r>
    </w:p>
    <w:p>
      <w:pPr>
        <w:spacing w:after="0" w:line="1" w:lineRule="exact"/>
        <w:rPr>
          <w:sz w:val="20"/>
          <w:szCs w:val="20"/>
          <w:color w:val="auto"/>
        </w:rPr>
      </w:pPr>
    </w:p>
    <w:p>
      <w:pPr>
        <w:ind w:left="1140"/>
        <w:spacing w:after="0"/>
        <w:tabs>
          <w:tab w:leader="none" w:pos="2440" w:val="left"/>
        </w:tabs>
        <w:rPr>
          <w:sz w:val="20"/>
          <w:szCs w:val="20"/>
          <w:color w:val="auto"/>
        </w:rPr>
      </w:pPr>
      <w:r>
        <w:rPr>
          <w:rFonts w:ascii="Courier New" w:cs="Courier New" w:eastAsia="Courier New" w:hAnsi="Courier New"/>
          <w:sz w:val="16"/>
          <w:szCs w:val="16"/>
          <w:color w:val="auto"/>
        </w:rPr>
        <w:t>Hartford, CT</w:t>
      </w:r>
      <w:r>
        <w:rPr>
          <w:sz w:val="20"/>
          <w:szCs w:val="20"/>
          <w:color w:val="auto"/>
        </w:rPr>
        <w:tab/>
      </w:r>
      <w:r>
        <w:rPr>
          <w:rFonts w:ascii="Courier New" w:cs="Courier New" w:eastAsia="Courier New" w:hAnsi="Courier New"/>
          <w:sz w:val="15"/>
          <w:szCs w:val="15"/>
          <w:color w:val="auto"/>
        </w:rPr>
        <w:t>06103</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Telecopier No.: (860) 251-5999</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Attention: Daniel P. Brown, Jr., Esq.</w:t>
      </w:r>
    </w:p>
    <w:p>
      <w:pPr>
        <w:spacing w:after="0" w:line="186" w:lineRule="exact"/>
        <w:rPr>
          <w:sz w:val="20"/>
          <w:szCs w:val="20"/>
          <w:color w:val="auto"/>
        </w:rPr>
      </w:pPr>
    </w:p>
    <w:p>
      <w:pPr>
        <w:ind w:right="2839" w:firstLine="1135"/>
        <w:spacing w:after="0" w:line="267" w:lineRule="auto"/>
        <w:rPr>
          <w:sz w:val="20"/>
          <w:szCs w:val="20"/>
          <w:color w:val="auto"/>
        </w:rPr>
      </w:pPr>
      <w:r>
        <w:rPr>
          <w:rFonts w:ascii="Courier New" w:cs="Courier New" w:eastAsia="Courier New" w:hAnsi="Courier New"/>
          <w:sz w:val="15"/>
          <w:szCs w:val="15"/>
          <w:color w:val="auto"/>
        </w:rPr>
        <w:t>The Company, or the Trustee, by notice to the others may designate additional or different addresses for subsequent notices or communications.</w:t>
      </w:r>
    </w:p>
    <w:p>
      <w:pPr>
        <w:spacing w:after="0" w:line="168"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All notices and communications (other than those sent to Holders) shall be deemed to have been duly given: at the time delivered by hand, if personally delivered; five Business Days after being deposited in the mail, postage prepaid, if mailed; when receipt acknowledged, if telecopied; and the next Business Day after timely delivery to the courier, if sent by overnight air courier guaranteeing next day delivery.</w:t>
      </w:r>
    </w:p>
    <w:p>
      <w:pPr>
        <w:spacing w:after="0" w:line="190" w:lineRule="exact"/>
        <w:rPr>
          <w:sz w:val="20"/>
          <w:szCs w:val="20"/>
          <w:color w:val="auto"/>
        </w:rPr>
      </w:pPr>
    </w:p>
    <w:p>
      <w:pPr>
        <w:ind w:right="2759" w:firstLine="1135"/>
        <w:spacing w:after="0" w:line="258" w:lineRule="auto"/>
        <w:rPr>
          <w:sz w:val="20"/>
          <w:szCs w:val="20"/>
          <w:color w:val="auto"/>
        </w:rPr>
      </w:pPr>
      <w:r>
        <w:rPr>
          <w:rFonts w:ascii="Courier New" w:cs="Courier New" w:eastAsia="Courier New" w:hAnsi="Courier New"/>
          <w:sz w:val="15"/>
          <w:szCs w:val="15"/>
          <w:color w:val="auto"/>
        </w:rPr>
        <w:t>Any notice or communication to a Holder shall be mailed by first class mail, certified or registered, return receipt requested, or by overnight air courier guaranteeing next day delivery to its address shown on the register kept by the Registrar. Any notice or communication shall also be so mailed to any Person described in TIA Section 313(c), to the extent required by the TIA. Failure to mail a notice or communication to a Holder or any defect in it shall not affect its sufficiency with respect to other Holders.</w:t>
      </w:r>
    </w:p>
    <w:p>
      <w:pPr>
        <w:spacing w:after="0" w:line="176" w:lineRule="exact"/>
        <w:rPr>
          <w:sz w:val="20"/>
          <w:szCs w:val="20"/>
          <w:color w:val="auto"/>
        </w:rPr>
      </w:pPr>
    </w:p>
    <w:p>
      <w:pPr>
        <w:ind w:right="2759" w:firstLine="1135"/>
        <w:spacing w:after="0" w:line="238" w:lineRule="auto"/>
        <w:rPr>
          <w:sz w:val="20"/>
          <w:szCs w:val="20"/>
          <w:color w:val="auto"/>
        </w:rPr>
      </w:pPr>
      <w:r>
        <w:rPr>
          <w:rFonts w:ascii="Courier New" w:cs="Courier New" w:eastAsia="Courier New" w:hAnsi="Courier New"/>
          <w:sz w:val="16"/>
          <w:szCs w:val="16"/>
          <w:color w:val="auto"/>
        </w:rPr>
        <w:t>If a notice or communication is mailed in the manner provided above within the time prescribed, it is duly given, whether or not the addressee receives it.</w:t>
      </w:r>
    </w:p>
    <w:p>
      <w:pPr>
        <w:spacing w:after="0" w:line="188" w:lineRule="exact"/>
        <w:rPr>
          <w:sz w:val="20"/>
          <w:szCs w:val="20"/>
          <w:color w:val="auto"/>
        </w:rPr>
      </w:pPr>
    </w:p>
    <w:p>
      <w:pPr>
        <w:ind w:right="2759" w:firstLine="1135"/>
        <w:spacing w:after="0" w:line="237" w:lineRule="auto"/>
        <w:rPr>
          <w:sz w:val="20"/>
          <w:szCs w:val="20"/>
          <w:color w:val="auto"/>
        </w:rPr>
      </w:pPr>
      <w:r>
        <w:rPr>
          <w:rFonts w:ascii="Courier New" w:cs="Courier New" w:eastAsia="Courier New" w:hAnsi="Courier New"/>
          <w:sz w:val="16"/>
          <w:szCs w:val="16"/>
          <w:color w:val="auto"/>
        </w:rPr>
        <w:t>If the Company mails a notice or communication to Holders, it shall mail a copy to the Trustee and each Agent at the same time.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13.03 COMMUNICATION BY HOLDERS OF NOTES WITH OTHER HOLDERS OF NOTES.</w:t>
      </w:r>
    </w:p>
    <w:p>
      <w:pPr>
        <w:spacing w:after="0" w:line="186"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Holders may communicate pursuant to TIA Section 312(b) with other Holders with respect to their rights under this Indenture or the Notes. The Company, the Trustee, the Registrar and anyone else shall have the protection of TIA Section 312(c).</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91</w:t>
      </w:r>
    </w:p>
    <w:p>
      <w:pPr>
        <w:sectPr>
          <w:pgSz w:w="11900" w:h="16838" w:orient="portrait"/>
          <w:cols w:equalWidth="0" w:num="1">
            <w:col w:w="10219"/>
          </w:cols>
          <w:pgMar w:left="240" w:top="477" w:right="1440" w:bottom="1440" w:gutter="0" w:footer="0" w:header="0"/>
        </w:sectPr>
      </w:pPr>
    </w:p>
    <w:bookmarkStart w:id="331" w:name="page332"/>
    <w:bookmarkEnd w:id="331"/>
    <w:p>
      <w:pPr>
        <w:spacing w:after="0"/>
        <w:rPr>
          <w:sz w:val="20"/>
          <w:szCs w:val="20"/>
          <w:color w:val="auto"/>
        </w:rPr>
      </w:pPr>
      <w:r>
        <w:rPr>
          <w:rFonts w:ascii="Courier New" w:cs="Courier New" w:eastAsia="Courier New" w:hAnsi="Courier New"/>
          <w:sz w:val="16"/>
          <w:szCs w:val="16"/>
          <w:color w:val="auto"/>
        </w:rPr>
        <w:t>SECTION 13.04 CERTIFICATE AND OPINION AS TO CONDITIONS PRECEDENT.</w:t>
      </w:r>
    </w:p>
    <w:p>
      <w:pPr>
        <w:spacing w:after="0" w:line="186" w:lineRule="exact"/>
        <w:rPr>
          <w:sz w:val="20"/>
          <w:szCs w:val="20"/>
          <w:color w:val="auto"/>
        </w:rPr>
      </w:pPr>
    </w:p>
    <w:p>
      <w:pPr>
        <w:ind w:right="2759" w:firstLine="1135"/>
        <w:spacing w:after="0" w:line="267" w:lineRule="auto"/>
        <w:rPr>
          <w:sz w:val="20"/>
          <w:szCs w:val="20"/>
          <w:color w:val="auto"/>
        </w:rPr>
      </w:pPr>
      <w:r>
        <w:rPr>
          <w:rFonts w:ascii="Courier New" w:cs="Courier New" w:eastAsia="Courier New" w:hAnsi="Courier New"/>
          <w:sz w:val="15"/>
          <w:szCs w:val="15"/>
          <w:color w:val="auto"/>
        </w:rPr>
        <w:t>Upon any request or application by the Company to the Trustee to take any action under this Indenture, the Company shall furnish to the Trustee:</w:t>
      </w:r>
    </w:p>
    <w:p>
      <w:pPr>
        <w:spacing w:after="0" w:line="168" w:lineRule="exact"/>
        <w:rPr>
          <w:sz w:val="20"/>
          <w:szCs w:val="20"/>
          <w:color w:val="auto"/>
        </w:rPr>
      </w:pPr>
    </w:p>
    <w:p>
      <w:pPr>
        <w:ind w:right="3039" w:firstLine="1132"/>
        <w:spacing w:after="0" w:line="239" w:lineRule="auto"/>
        <w:tabs>
          <w:tab w:leader="none" w:pos="1513" w:val="left"/>
        </w:tabs>
        <w:numPr>
          <w:ilvl w:val="0"/>
          <w:numId w:val="3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Officers' Certificate in form and substance reasonably satisfactory to the Trustee (which shall include the statements set forth in Section 13.05 hereof) stating that, in the opinion of the signers, all conditions precedent and covenants, if any, provided for in this Indenture relating to the proposed action have been satisfied; and</w:t>
      </w:r>
    </w:p>
    <w:p>
      <w:pPr>
        <w:spacing w:after="0" w:line="188" w:lineRule="exact"/>
        <w:rPr>
          <w:rFonts w:ascii="Courier New" w:cs="Courier New" w:eastAsia="Courier New" w:hAnsi="Courier New"/>
          <w:sz w:val="16"/>
          <w:szCs w:val="16"/>
          <w:color w:val="auto"/>
        </w:rPr>
      </w:pPr>
    </w:p>
    <w:p>
      <w:pPr>
        <w:ind w:right="3039" w:firstLine="1132"/>
        <w:spacing w:after="0" w:line="239" w:lineRule="auto"/>
        <w:tabs>
          <w:tab w:leader="none" w:pos="1513" w:val="left"/>
        </w:tabs>
        <w:numPr>
          <w:ilvl w:val="0"/>
          <w:numId w:val="3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of Counsel in form and substance reasonably satisfactory to the Trustee (which shall include the statements set forth in Section 13.05 hereof) stating that, in the opinion of such counsel, all such conditions precedent and covenants have been satisfied.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13.05 STATEMENTS REQUIRED IN CERTIFICATE OR OPINION.</w:t>
      </w:r>
    </w:p>
    <w:p>
      <w:pPr>
        <w:spacing w:after="0" w:line="186"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Each certificate or opinion with respect to compliance with a condition or covenant provided for in this Indenture (other than a certificate provided pursuant to TIA Section 314(a)(4)) shall comply with the provisions of TIA Section 314(e) and shall include:</w:t>
      </w:r>
    </w:p>
    <w:p>
      <w:pPr>
        <w:spacing w:after="0" w:line="187" w:lineRule="exact"/>
        <w:rPr>
          <w:sz w:val="20"/>
          <w:szCs w:val="20"/>
          <w:color w:val="auto"/>
        </w:rPr>
      </w:pPr>
    </w:p>
    <w:p>
      <w:pPr>
        <w:ind w:right="2839" w:firstLine="1132"/>
        <w:spacing w:after="0" w:line="237" w:lineRule="auto"/>
        <w:tabs>
          <w:tab w:leader="none" w:pos="1513" w:val="left"/>
        </w:tabs>
        <w:numPr>
          <w:ilvl w:val="0"/>
          <w:numId w:val="3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that the Person making such certificate or opinion has read such covenant or condition;</w:t>
      </w:r>
    </w:p>
    <w:p>
      <w:pPr>
        <w:spacing w:after="0" w:line="187" w:lineRule="exact"/>
        <w:rPr>
          <w:rFonts w:ascii="Courier New" w:cs="Courier New" w:eastAsia="Courier New" w:hAnsi="Courier New"/>
          <w:sz w:val="16"/>
          <w:szCs w:val="16"/>
          <w:color w:val="auto"/>
        </w:rPr>
      </w:pPr>
    </w:p>
    <w:p>
      <w:pPr>
        <w:ind w:right="2759" w:firstLine="1132"/>
        <w:spacing w:after="0" w:line="238" w:lineRule="auto"/>
        <w:tabs>
          <w:tab w:leader="none" w:pos="1513" w:val="left"/>
        </w:tabs>
        <w:numPr>
          <w:ilvl w:val="0"/>
          <w:numId w:val="3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brief statement as to the nature and scope of the examination or investigation upon which the statements or opinions contained in such certificate or opinion are based;</w:t>
      </w:r>
    </w:p>
    <w:p>
      <w:pPr>
        <w:spacing w:after="0" w:line="188" w:lineRule="exact"/>
        <w:rPr>
          <w:rFonts w:ascii="Courier New" w:cs="Courier New" w:eastAsia="Courier New" w:hAnsi="Courier New"/>
          <w:sz w:val="16"/>
          <w:szCs w:val="16"/>
          <w:color w:val="auto"/>
        </w:rPr>
      </w:pPr>
    </w:p>
    <w:p>
      <w:pPr>
        <w:ind w:right="2839" w:firstLine="1132"/>
        <w:spacing w:after="0" w:line="239" w:lineRule="auto"/>
        <w:tabs>
          <w:tab w:leader="none" w:pos="1513" w:val="left"/>
        </w:tabs>
        <w:numPr>
          <w:ilvl w:val="0"/>
          <w:numId w:val="3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that, in the opinion of such Person, he or she has or they have made such examination or investigation as is necessary to enable him to express an informed opinion as to whether or not such covenant or condition has been satisfied; and</w:t>
      </w:r>
    </w:p>
    <w:p>
      <w:pPr>
        <w:spacing w:after="0" w:line="187" w:lineRule="exact"/>
        <w:rPr>
          <w:rFonts w:ascii="Courier New" w:cs="Courier New" w:eastAsia="Courier New" w:hAnsi="Courier New"/>
          <w:sz w:val="16"/>
          <w:szCs w:val="16"/>
          <w:color w:val="auto"/>
        </w:rPr>
      </w:pPr>
    </w:p>
    <w:p>
      <w:pPr>
        <w:ind w:right="2659" w:firstLine="1132"/>
        <w:spacing w:after="0" w:line="237" w:lineRule="auto"/>
        <w:tabs>
          <w:tab w:leader="none" w:pos="1513" w:val="left"/>
        </w:tabs>
        <w:numPr>
          <w:ilvl w:val="0"/>
          <w:numId w:val="3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as to whether or not, in the opinion of such Person, such condition or covenant has been satisfied.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13.06 RULES BY TRUSTEE AND AGENTS.</w:t>
      </w:r>
    </w:p>
    <w:p>
      <w:pPr>
        <w:spacing w:after="0" w:line="186" w:lineRule="exact"/>
        <w:rPr>
          <w:sz w:val="20"/>
          <w:szCs w:val="20"/>
          <w:color w:val="auto"/>
        </w:rPr>
      </w:pPr>
    </w:p>
    <w:p>
      <w:pPr>
        <w:ind w:right="2759" w:firstLine="1135"/>
        <w:spacing w:after="0" w:line="238" w:lineRule="auto"/>
        <w:rPr>
          <w:sz w:val="20"/>
          <w:szCs w:val="20"/>
          <w:color w:val="auto"/>
        </w:rPr>
      </w:pPr>
      <w:r>
        <w:rPr>
          <w:rFonts w:ascii="Courier New" w:cs="Courier New" w:eastAsia="Courier New" w:hAnsi="Courier New"/>
          <w:sz w:val="16"/>
          <w:szCs w:val="16"/>
          <w:color w:val="auto"/>
        </w:rPr>
        <w:t>The Trustee may make reasonable rules for action by or at a meeting of Holders. The Registrar or Paying Agent may make reasonable rules and set reasonable requirements for its functions.</w:t>
      </w:r>
    </w:p>
    <w:p>
      <w:pPr>
        <w:spacing w:after="0" w:line="188" w:lineRule="exact"/>
        <w:rPr>
          <w:sz w:val="20"/>
          <w:szCs w:val="20"/>
          <w:color w:val="auto"/>
        </w:rPr>
      </w:pPr>
    </w:p>
    <w:p>
      <w:pPr>
        <w:ind w:left="1320" w:right="3319" w:hanging="1323"/>
        <w:spacing w:after="0" w:line="237" w:lineRule="auto"/>
        <w:rPr>
          <w:sz w:val="20"/>
          <w:szCs w:val="20"/>
          <w:color w:val="auto"/>
        </w:rPr>
      </w:pPr>
      <w:r>
        <w:rPr>
          <w:rFonts w:ascii="Courier New" w:cs="Courier New" w:eastAsia="Courier New" w:hAnsi="Courier New"/>
          <w:sz w:val="16"/>
          <w:szCs w:val="16"/>
          <w:color w:val="auto"/>
        </w:rPr>
        <w:t>SECTION 13.07 NO PERSONAL LIABILITY OF DIRECTORS, OFFICERS, EMPLOYEES AND SHAREHOLDERS.</w:t>
      </w:r>
    </w:p>
    <w:p>
      <w:pPr>
        <w:spacing w:after="0" w:line="188"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No past, present or future director, officer, employee, incorporator or shareholder of the Company or any Guarantor, as such, shall have any liability for any obligations of the Company or such Guarantor under the Notes, the Subsidiary Guarantees, the Registration Rights Agreement, this Indenture or for any claim based on, in respect of, or by reason of, such</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92</w:t>
      </w:r>
    </w:p>
    <w:p>
      <w:pPr>
        <w:sectPr>
          <w:pgSz w:w="11900" w:h="16838" w:orient="portrait"/>
          <w:cols w:equalWidth="0" w:num="1">
            <w:col w:w="10219"/>
          </w:cols>
          <w:pgMar w:left="240" w:top="477" w:right="1440" w:bottom="1440" w:gutter="0" w:footer="0" w:header="0"/>
        </w:sectPr>
      </w:pPr>
    </w:p>
    <w:bookmarkStart w:id="332" w:name="page333"/>
    <w:bookmarkEnd w:id="332"/>
    <w:p>
      <w:pPr>
        <w:ind w:right="3319"/>
        <w:spacing w:after="0" w:line="238" w:lineRule="auto"/>
        <w:rPr>
          <w:sz w:val="20"/>
          <w:szCs w:val="20"/>
          <w:color w:val="auto"/>
        </w:rPr>
      </w:pPr>
      <w:r>
        <w:rPr>
          <w:rFonts w:ascii="Courier New" w:cs="Courier New" w:eastAsia="Courier New" w:hAnsi="Courier New"/>
          <w:sz w:val="16"/>
          <w:szCs w:val="16"/>
          <w:color w:val="auto"/>
        </w:rPr>
        <w:t>obligations or their creation. Each Holder by accepting a Note waives and releases all such liability. The waiver and release are part of the consideration for issuance of the Notes.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13.08 GOVERNING LAW.</w:t>
      </w:r>
    </w:p>
    <w:p>
      <w:pPr>
        <w:spacing w:after="0" w:line="186" w:lineRule="exact"/>
        <w:rPr>
          <w:sz w:val="20"/>
          <w:szCs w:val="20"/>
          <w:color w:val="auto"/>
        </w:rPr>
      </w:pPr>
    </w:p>
    <w:p>
      <w:pPr>
        <w:ind w:right="3039" w:firstLine="1135"/>
        <w:spacing w:after="0" w:line="238" w:lineRule="auto"/>
        <w:rPr>
          <w:sz w:val="20"/>
          <w:szCs w:val="20"/>
          <w:color w:val="auto"/>
        </w:rPr>
      </w:pPr>
      <w:r>
        <w:rPr>
          <w:rFonts w:ascii="Courier New" w:cs="Courier New" w:eastAsia="Courier New" w:hAnsi="Courier New"/>
          <w:sz w:val="16"/>
          <w:szCs w:val="16"/>
          <w:color w:val="auto"/>
        </w:rPr>
        <w:t>THIS INDENTURE, THE NOTES AND THE SUBSIDIARY GUARANTEES SHALL BE GOVERNED BY, AND CONSTRUED IN ACCORDANCE WITH, THE LAWS OF THE STATE OF NEW YORK.</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13.09 NO ADVERSE INTERPRETATION OF OTHER AGREEMENTS.</w:t>
      </w:r>
    </w:p>
    <w:p>
      <w:pPr>
        <w:spacing w:after="0" w:line="186"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This Indenture may not be used to interpret any other indenture, loan or debt agreement of the Company or its Subsidiaries or of any other Person. Any such indenture, loan or debt agreement may not be used to interpret this Indenture.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13.10 SUCCESSORS.</w:t>
      </w:r>
    </w:p>
    <w:p>
      <w:pPr>
        <w:spacing w:after="0" w:line="186" w:lineRule="exact"/>
        <w:rPr>
          <w:sz w:val="20"/>
          <w:szCs w:val="20"/>
          <w:color w:val="auto"/>
        </w:rPr>
      </w:pPr>
    </w:p>
    <w:p>
      <w:pPr>
        <w:jc w:val="both"/>
        <w:ind w:right="2759" w:firstLine="1135"/>
        <w:spacing w:after="0" w:line="238" w:lineRule="auto"/>
        <w:rPr>
          <w:sz w:val="20"/>
          <w:szCs w:val="20"/>
          <w:color w:val="auto"/>
        </w:rPr>
      </w:pPr>
      <w:r>
        <w:rPr>
          <w:rFonts w:ascii="Courier New" w:cs="Courier New" w:eastAsia="Courier New" w:hAnsi="Courier New"/>
          <w:sz w:val="16"/>
          <w:szCs w:val="16"/>
          <w:color w:val="auto"/>
        </w:rPr>
        <w:t>All agreements of the Company in this Indenture and the Notes shall bind its successors. All agreements of the Trustee in this Indenture shall bind its successors.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13.11 SEVERABILITY.</w:t>
      </w:r>
    </w:p>
    <w:p>
      <w:pPr>
        <w:spacing w:after="0" w:line="186"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In case any provision in this Indenture or in the Notes shall be invalid, illegal or unenforceable, then, to the extent permitted by applicable law, the validity, legality and enforceability of the remaining provisions shall not in any way be affected or impaired thereby.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13.12 COUNTERPART ORIGINALS.</w:t>
      </w:r>
    </w:p>
    <w:p>
      <w:pPr>
        <w:spacing w:after="0" w:line="186" w:lineRule="exact"/>
        <w:rPr>
          <w:sz w:val="20"/>
          <w:szCs w:val="20"/>
          <w:color w:val="auto"/>
        </w:rPr>
      </w:pPr>
    </w:p>
    <w:p>
      <w:pPr>
        <w:jc w:val="both"/>
        <w:ind w:right="2939" w:firstLine="1135"/>
        <w:spacing w:after="0" w:line="238" w:lineRule="auto"/>
        <w:rPr>
          <w:sz w:val="20"/>
          <w:szCs w:val="20"/>
          <w:color w:val="auto"/>
        </w:rPr>
      </w:pPr>
      <w:r>
        <w:rPr>
          <w:rFonts w:ascii="Courier New" w:cs="Courier New" w:eastAsia="Courier New" w:hAnsi="Courier New"/>
          <w:sz w:val="16"/>
          <w:szCs w:val="16"/>
          <w:color w:val="auto"/>
        </w:rPr>
        <w:t>The parties may sign any number of copies of this Indenture. Each signed copy shall be an original, but all of them together represent the same agreement.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13.13 TABLE OF CONTENTS, HEADINGS, ETC.</w:t>
      </w:r>
    </w:p>
    <w:p>
      <w:pPr>
        <w:spacing w:after="0" w:line="186" w:lineRule="exact"/>
        <w:rPr>
          <w:sz w:val="20"/>
          <w:szCs w:val="20"/>
          <w:color w:val="auto"/>
        </w:rPr>
      </w:pPr>
    </w:p>
    <w:p>
      <w:pPr>
        <w:ind w:right="2839" w:firstLine="1135"/>
        <w:spacing w:after="0" w:line="239" w:lineRule="auto"/>
        <w:rPr>
          <w:sz w:val="20"/>
          <w:szCs w:val="20"/>
          <w:color w:val="auto"/>
        </w:rPr>
      </w:pPr>
      <w:r>
        <w:rPr>
          <w:rFonts w:ascii="Courier New" w:cs="Courier New" w:eastAsia="Courier New" w:hAnsi="Courier New"/>
          <w:sz w:val="16"/>
          <w:szCs w:val="16"/>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[Indenture signature page follows]</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93</w:t>
      </w:r>
    </w:p>
    <w:p>
      <w:pPr>
        <w:sectPr>
          <w:pgSz w:w="11900" w:h="16838" w:orient="portrait"/>
          <w:cols w:equalWidth="0" w:num="1">
            <w:col w:w="10219"/>
          </w:cols>
          <w:pgMar w:left="240" w:top="481" w:right="1440" w:bottom="1440" w:gutter="0" w:footer="0" w:header="0"/>
        </w:sectPr>
      </w:pPr>
    </w:p>
    <w:bookmarkStart w:id="333" w:name="page334"/>
    <w:bookmarkEnd w:id="333"/>
    <w:tbl>
      <w:tblPr>
        <w:tblLayout w:type="fixed"/>
        <w:tblInd w:w="0" w:type="dxa"/>
        <w:tblCellMar>
          <w:top w:w="0" w:type="dxa"/>
          <w:left w:w="0" w:type="dxa"/>
          <w:bottom w:w="0" w:type="dxa"/>
          <w:right w:w="0" w:type="dxa"/>
        </w:tblCellMar>
      </w:tblPr>
      <w:tr>
        <w:trPr>
          <w:trHeight w:val="181"/>
        </w:trPr>
        <w:tc>
          <w:tcPr>
            <w:tcW w:w="4680" w:type="dxa"/>
            <w:vAlign w:val="bottom"/>
            <w:gridSpan w:val="3"/>
          </w:tcPr>
          <w:p>
            <w:pPr>
              <w:ind w:left="2000"/>
              <w:spacing w:after="0"/>
              <w:rPr>
                <w:sz w:val="20"/>
                <w:szCs w:val="20"/>
                <w:color w:val="auto"/>
              </w:rPr>
            </w:pPr>
            <w:r>
              <w:rPr>
                <w:rFonts w:ascii="Courier New" w:cs="Courier New" w:eastAsia="Courier New" w:hAnsi="Courier New"/>
                <w:sz w:val="16"/>
                <w:szCs w:val="16"/>
                <w:color w:val="auto"/>
              </w:rPr>
              <w:t>[Indenture signature page]</w:t>
            </w:r>
          </w:p>
        </w:tc>
        <w:tc>
          <w:tcPr>
            <w:tcW w:w="2320" w:type="dxa"/>
            <w:vAlign w:val="bottom"/>
          </w:tcPr>
          <w:p>
            <w:pPr>
              <w:spacing w:after="0"/>
              <w:rPr>
                <w:sz w:val="15"/>
                <w:szCs w:val="15"/>
                <w:color w:val="auto"/>
              </w:rPr>
            </w:pPr>
          </w:p>
        </w:tc>
      </w:tr>
      <w:tr>
        <w:trPr>
          <w:trHeight w:val="364"/>
        </w:trPr>
        <w:tc>
          <w:tcPr>
            <w:tcW w:w="2880" w:type="dxa"/>
            <w:vAlign w:val="bottom"/>
          </w:tcPr>
          <w:p>
            <w:pPr>
              <w:spacing w:after="0"/>
              <w:rPr>
                <w:sz w:val="20"/>
                <w:szCs w:val="20"/>
                <w:color w:val="auto"/>
              </w:rPr>
            </w:pPr>
            <w:r>
              <w:rPr>
                <w:rFonts w:ascii="Courier New" w:cs="Courier New" w:eastAsia="Courier New" w:hAnsi="Courier New"/>
                <w:sz w:val="16"/>
                <w:szCs w:val="16"/>
                <w:color w:val="auto"/>
              </w:rPr>
              <w:t>DATED AS OF OCTOBER 08, 2003</w:t>
            </w:r>
          </w:p>
        </w:tc>
        <w:tc>
          <w:tcPr>
            <w:tcW w:w="412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THE SCOTTS COMPANY</w:t>
            </w:r>
          </w:p>
        </w:tc>
      </w:tr>
      <w:tr>
        <w:trPr>
          <w:trHeight w:val="364"/>
        </w:trPr>
        <w:tc>
          <w:tcPr>
            <w:tcW w:w="2880" w:type="dxa"/>
            <w:vAlign w:val="bottom"/>
          </w:tcPr>
          <w:p>
            <w:pPr>
              <w:spacing w:after="0"/>
              <w:rPr>
                <w:sz w:val="24"/>
                <w:szCs w:val="24"/>
                <w:color w:val="auto"/>
              </w:rPr>
            </w:pPr>
          </w:p>
        </w:tc>
        <w:tc>
          <w:tcPr>
            <w:tcW w:w="4120" w:type="dxa"/>
            <w:vAlign w:val="bottom"/>
            <w:gridSpan w:val="3"/>
          </w:tcPr>
          <w:p>
            <w:pPr>
              <w:ind w:left="900"/>
              <w:spacing w:after="0"/>
              <w:rPr>
                <w:sz w:val="20"/>
                <w:szCs w:val="20"/>
                <w:color w:val="auto"/>
              </w:rPr>
            </w:pPr>
            <w:r>
              <w:rPr>
                <w:rFonts w:ascii="Courier New" w:cs="Courier New" w:eastAsia="Courier New" w:hAnsi="Courier New"/>
                <w:sz w:val="16"/>
                <w:szCs w:val="16"/>
                <w:color w:val="auto"/>
              </w:rPr>
              <w:t>By: /s/ Rebecca J. Bruening</w:t>
            </w:r>
          </w:p>
        </w:tc>
      </w:tr>
      <w:tr>
        <w:trPr>
          <w:trHeight w:val="182"/>
        </w:trPr>
        <w:tc>
          <w:tcPr>
            <w:tcW w:w="2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2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Name:</w:t>
            </w:r>
          </w:p>
        </w:tc>
        <w:tc>
          <w:tcPr>
            <w:tcW w:w="2320" w:type="dxa"/>
            <w:vAlign w:val="bottom"/>
          </w:tcPr>
          <w:p>
            <w:pPr>
              <w:ind w:left="140"/>
              <w:spacing w:after="0"/>
              <w:rPr>
                <w:sz w:val="20"/>
                <w:szCs w:val="20"/>
                <w:color w:val="auto"/>
              </w:rPr>
            </w:pPr>
            <w:r>
              <w:rPr>
                <w:rFonts w:ascii="Courier New" w:cs="Courier New" w:eastAsia="Courier New" w:hAnsi="Courier New"/>
                <w:sz w:val="16"/>
                <w:szCs w:val="16"/>
                <w:color w:val="auto"/>
              </w:rPr>
              <w:t>Rebecca J. Bruening</w:t>
            </w:r>
          </w:p>
        </w:tc>
      </w:tr>
      <w:tr>
        <w:trPr>
          <w:trHeight w:val="182"/>
        </w:trPr>
        <w:tc>
          <w:tcPr>
            <w:tcW w:w="2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Title: Vice President and</w:t>
            </w:r>
          </w:p>
        </w:tc>
      </w:tr>
      <w:tr>
        <w:trPr>
          <w:trHeight w:val="182"/>
        </w:trPr>
        <w:tc>
          <w:tcPr>
            <w:tcW w:w="2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20" w:type="dxa"/>
            <w:vAlign w:val="bottom"/>
          </w:tcPr>
          <w:p>
            <w:pPr>
              <w:ind w:left="140"/>
              <w:spacing w:after="0"/>
              <w:rPr>
                <w:sz w:val="20"/>
                <w:szCs w:val="20"/>
                <w:color w:val="auto"/>
              </w:rPr>
            </w:pPr>
            <w:r>
              <w:rPr>
                <w:rFonts w:ascii="Courier New" w:cs="Courier New" w:eastAsia="Courier New" w:hAnsi="Courier New"/>
                <w:sz w:val="16"/>
                <w:szCs w:val="16"/>
                <w:color w:val="auto"/>
              </w:rPr>
              <w:t>Treasurer</w:t>
            </w:r>
          </w:p>
        </w:tc>
      </w:tr>
      <w:tr>
        <w:trPr>
          <w:trHeight w:val="546"/>
        </w:trPr>
        <w:tc>
          <w:tcPr>
            <w:tcW w:w="2880" w:type="dxa"/>
            <w:vAlign w:val="bottom"/>
          </w:tcPr>
          <w:p>
            <w:pPr>
              <w:spacing w:after="0"/>
              <w:rPr>
                <w:sz w:val="24"/>
                <w:szCs w:val="24"/>
                <w:color w:val="auto"/>
              </w:rPr>
            </w:pPr>
          </w:p>
        </w:tc>
        <w:tc>
          <w:tcPr>
            <w:tcW w:w="412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SCOTTS MANUFACTURING COMPANY</w:t>
            </w:r>
          </w:p>
        </w:tc>
      </w:tr>
      <w:tr>
        <w:trPr>
          <w:trHeight w:val="364"/>
        </w:trPr>
        <w:tc>
          <w:tcPr>
            <w:tcW w:w="2880" w:type="dxa"/>
            <w:vAlign w:val="bottom"/>
          </w:tcPr>
          <w:p>
            <w:pPr>
              <w:spacing w:after="0"/>
              <w:rPr>
                <w:sz w:val="24"/>
                <w:szCs w:val="24"/>
                <w:color w:val="auto"/>
              </w:rPr>
            </w:pPr>
          </w:p>
        </w:tc>
        <w:tc>
          <w:tcPr>
            <w:tcW w:w="180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9"/>
              </w:rPr>
              <w:t>By: /s/ Rebecca</w:t>
            </w:r>
          </w:p>
        </w:tc>
        <w:tc>
          <w:tcPr>
            <w:tcW w:w="2320" w:type="dxa"/>
            <w:vAlign w:val="bottom"/>
          </w:tcPr>
          <w:p>
            <w:pPr>
              <w:ind w:left="60"/>
              <w:spacing w:after="0"/>
              <w:rPr>
                <w:sz w:val="20"/>
                <w:szCs w:val="20"/>
                <w:color w:val="auto"/>
              </w:rPr>
            </w:pPr>
            <w:r>
              <w:rPr>
                <w:rFonts w:ascii="Courier New" w:cs="Courier New" w:eastAsia="Courier New" w:hAnsi="Courier New"/>
                <w:sz w:val="16"/>
                <w:szCs w:val="16"/>
                <w:color w:val="auto"/>
              </w:rPr>
              <w:t>J. Bruening</w:t>
            </w:r>
          </w:p>
        </w:tc>
      </w:tr>
      <w:tr>
        <w:trPr>
          <w:trHeight w:val="182"/>
        </w:trPr>
        <w:tc>
          <w:tcPr>
            <w:tcW w:w="2880" w:type="dxa"/>
            <w:vAlign w:val="bottom"/>
          </w:tcPr>
          <w:p>
            <w:pPr>
              <w:spacing w:after="0"/>
              <w:rPr>
                <w:sz w:val="15"/>
                <w:szCs w:val="15"/>
                <w:color w:val="auto"/>
              </w:rPr>
            </w:pPr>
          </w:p>
        </w:tc>
        <w:tc>
          <w:tcPr>
            <w:tcW w:w="4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880" w:type="dxa"/>
            <w:vAlign w:val="bottom"/>
          </w:tcPr>
          <w:p>
            <w:pPr>
              <w:spacing w:after="0"/>
              <w:rPr>
                <w:sz w:val="15"/>
                <w:szCs w:val="15"/>
                <w:color w:val="auto"/>
              </w:rPr>
            </w:pPr>
          </w:p>
        </w:tc>
        <w:tc>
          <w:tcPr>
            <w:tcW w:w="1240" w:type="dxa"/>
            <w:vAlign w:val="bottom"/>
          </w:tcPr>
          <w:p>
            <w:pPr>
              <w:ind w:left="720"/>
              <w:spacing w:after="0"/>
              <w:rPr>
                <w:sz w:val="20"/>
                <w:szCs w:val="20"/>
                <w:color w:val="auto"/>
              </w:rPr>
            </w:pPr>
            <w:r>
              <w:rPr>
                <w:rFonts w:ascii="Courier New" w:cs="Courier New" w:eastAsia="Courier New" w:hAnsi="Courier New"/>
                <w:sz w:val="16"/>
                <w:szCs w:val="16"/>
                <w:color w:val="auto"/>
              </w:rPr>
              <w:t>Name:</w:t>
            </w:r>
          </w:p>
        </w:tc>
        <w:tc>
          <w:tcPr>
            <w:tcW w:w="288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rPr>
              <w:t>Rebecca J. Bruening</w:t>
            </w:r>
          </w:p>
        </w:tc>
      </w:tr>
      <w:tr>
        <w:trPr>
          <w:trHeight w:val="182"/>
        </w:trPr>
        <w:tc>
          <w:tcPr>
            <w:tcW w:w="2880" w:type="dxa"/>
            <w:vAlign w:val="bottom"/>
          </w:tcPr>
          <w:p>
            <w:pPr>
              <w:spacing w:after="0"/>
              <w:rPr>
                <w:sz w:val="15"/>
                <w:szCs w:val="15"/>
                <w:color w:val="auto"/>
              </w:rPr>
            </w:pPr>
          </w:p>
        </w:tc>
        <w:tc>
          <w:tcPr>
            <w:tcW w:w="1800" w:type="dxa"/>
            <w:vAlign w:val="bottom"/>
            <w:gridSpan w:val="2"/>
          </w:tcPr>
          <w:p>
            <w:pPr>
              <w:ind w:left="720"/>
              <w:spacing w:after="0"/>
              <w:rPr>
                <w:sz w:val="20"/>
                <w:szCs w:val="20"/>
                <w:color w:val="auto"/>
              </w:rPr>
            </w:pPr>
            <w:r>
              <w:rPr>
                <w:rFonts w:ascii="Courier New" w:cs="Courier New" w:eastAsia="Courier New" w:hAnsi="Courier New"/>
                <w:sz w:val="16"/>
                <w:szCs w:val="16"/>
                <w:color w:val="auto"/>
              </w:rPr>
              <w:t>Title: Vice</w:t>
            </w:r>
          </w:p>
        </w:tc>
        <w:tc>
          <w:tcPr>
            <w:tcW w:w="2320" w:type="dxa"/>
            <w:vAlign w:val="bottom"/>
          </w:tcPr>
          <w:p>
            <w:pPr>
              <w:ind w:left="60"/>
              <w:spacing w:after="0"/>
              <w:rPr>
                <w:sz w:val="20"/>
                <w:szCs w:val="20"/>
                <w:color w:val="auto"/>
              </w:rPr>
            </w:pPr>
            <w:r>
              <w:rPr>
                <w:rFonts w:ascii="Courier New" w:cs="Courier New" w:eastAsia="Courier New" w:hAnsi="Courier New"/>
                <w:sz w:val="16"/>
                <w:szCs w:val="16"/>
                <w:color w:val="auto"/>
              </w:rPr>
              <w:t>President and Treasurer</w:t>
            </w:r>
          </w:p>
        </w:tc>
      </w:tr>
      <w:tr>
        <w:trPr>
          <w:trHeight w:val="546"/>
        </w:trPr>
        <w:tc>
          <w:tcPr>
            <w:tcW w:w="2880" w:type="dxa"/>
            <w:vAlign w:val="bottom"/>
          </w:tcPr>
          <w:p>
            <w:pPr>
              <w:spacing w:after="0"/>
              <w:rPr>
                <w:sz w:val="24"/>
                <w:szCs w:val="24"/>
                <w:color w:val="auto"/>
              </w:rPr>
            </w:pPr>
          </w:p>
        </w:tc>
        <w:tc>
          <w:tcPr>
            <w:tcW w:w="412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SCOTTS PROFESSIONAL PRODUCTS CO.</w:t>
            </w:r>
          </w:p>
        </w:tc>
      </w:tr>
      <w:tr>
        <w:trPr>
          <w:trHeight w:val="364"/>
        </w:trPr>
        <w:tc>
          <w:tcPr>
            <w:tcW w:w="2880" w:type="dxa"/>
            <w:vAlign w:val="bottom"/>
          </w:tcPr>
          <w:p>
            <w:pPr>
              <w:spacing w:after="0"/>
              <w:rPr>
                <w:sz w:val="24"/>
                <w:szCs w:val="24"/>
                <w:color w:val="auto"/>
              </w:rPr>
            </w:pPr>
          </w:p>
        </w:tc>
        <w:tc>
          <w:tcPr>
            <w:tcW w:w="180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9"/>
              </w:rPr>
              <w:t>By: /s/ Rebecca</w:t>
            </w:r>
          </w:p>
        </w:tc>
        <w:tc>
          <w:tcPr>
            <w:tcW w:w="2320" w:type="dxa"/>
            <w:vAlign w:val="bottom"/>
          </w:tcPr>
          <w:p>
            <w:pPr>
              <w:ind w:left="60"/>
              <w:spacing w:after="0"/>
              <w:rPr>
                <w:sz w:val="20"/>
                <w:szCs w:val="20"/>
                <w:color w:val="auto"/>
              </w:rPr>
            </w:pPr>
            <w:r>
              <w:rPr>
                <w:rFonts w:ascii="Courier New" w:cs="Courier New" w:eastAsia="Courier New" w:hAnsi="Courier New"/>
                <w:sz w:val="16"/>
                <w:szCs w:val="16"/>
                <w:color w:val="auto"/>
              </w:rPr>
              <w:t>J. Bruening</w:t>
            </w:r>
          </w:p>
        </w:tc>
      </w:tr>
      <w:tr>
        <w:trPr>
          <w:trHeight w:val="182"/>
        </w:trPr>
        <w:tc>
          <w:tcPr>
            <w:tcW w:w="2880" w:type="dxa"/>
            <w:vAlign w:val="bottom"/>
          </w:tcPr>
          <w:p>
            <w:pPr>
              <w:spacing w:after="0"/>
              <w:rPr>
                <w:sz w:val="15"/>
                <w:szCs w:val="15"/>
                <w:color w:val="auto"/>
              </w:rPr>
            </w:pPr>
          </w:p>
        </w:tc>
        <w:tc>
          <w:tcPr>
            <w:tcW w:w="4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880" w:type="dxa"/>
            <w:vAlign w:val="bottom"/>
          </w:tcPr>
          <w:p>
            <w:pPr>
              <w:spacing w:after="0"/>
              <w:rPr>
                <w:sz w:val="15"/>
                <w:szCs w:val="15"/>
                <w:color w:val="auto"/>
              </w:rPr>
            </w:pPr>
          </w:p>
        </w:tc>
        <w:tc>
          <w:tcPr>
            <w:tcW w:w="1240" w:type="dxa"/>
            <w:vAlign w:val="bottom"/>
          </w:tcPr>
          <w:p>
            <w:pPr>
              <w:ind w:left="720"/>
              <w:spacing w:after="0"/>
              <w:rPr>
                <w:sz w:val="20"/>
                <w:szCs w:val="20"/>
                <w:color w:val="auto"/>
              </w:rPr>
            </w:pPr>
            <w:r>
              <w:rPr>
                <w:rFonts w:ascii="Courier New" w:cs="Courier New" w:eastAsia="Courier New" w:hAnsi="Courier New"/>
                <w:sz w:val="16"/>
                <w:szCs w:val="16"/>
                <w:color w:val="auto"/>
              </w:rPr>
              <w:t>Name:</w:t>
            </w:r>
          </w:p>
        </w:tc>
        <w:tc>
          <w:tcPr>
            <w:tcW w:w="288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rPr>
              <w:t>Rebecca J. Bruening</w:t>
            </w:r>
          </w:p>
        </w:tc>
      </w:tr>
      <w:tr>
        <w:trPr>
          <w:trHeight w:val="182"/>
        </w:trPr>
        <w:tc>
          <w:tcPr>
            <w:tcW w:w="2880" w:type="dxa"/>
            <w:vAlign w:val="bottom"/>
          </w:tcPr>
          <w:p>
            <w:pPr>
              <w:spacing w:after="0"/>
              <w:rPr>
                <w:sz w:val="15"/>
                <w:szCs w:val="15"/>
                <w:color w:val="auto"/>
              </w:rPr>
            </w:pPr>
          </w:p>
        </w:tc>
        <w:tc>
          <w:tcPr>
            <w:tcW w:w="1800" w:type="dxa"/>
            <w:vAlign w:val="bottom"/>
            <w:gridSpan w:val="2"/>
          </w:tcPr>
          <w:p>
            <w:pPr>
              <w:ind w:left="720"/>
              <w:spacing w:after="0"/>
              <w:rPr>
                <w:sz w:val="20"/>
                <w:szCs w:val="20"/>
                <w:color w:val="auto"/>
              </w:rPr>
            </w:pPr>
            <w:r>
              <w:rPr>
                <w:rFonts w:ascii="Courier New" w:cs="Courier New" w:eastAsia="Courier New" w:hAnsi="Courier New"/>
                <w:sz w:val="16"/>
                <w:szCs w:val="16"/>
                <w:color w:val="auto"/>
              </w:rPr>
              <w:t>Title: Vice</w:t>
            </w:r>
          </w:p>
        </w:tc>
        <w:tc>
          <w:tcPr>
            <w:tcW w:w="2320" w:type="dxa"/>
            <w:vAlign w:val="bottom"/>
          </w:tcPr>
          <w:p>
            <w:pPr>
              <w:ind w:left="60"/>
              <w:spacing w:after="0"/>
              <w:rPr>
                <w:sz w:val="20"/>
                <w:szCs w:val="20"/>
                <w:color w:val="auto"/>
              </w:rPr>
            </w:pPr>
            <w:r>
              <w:rPr>
                <w:rFonts w:ascii="Courier New" w:cs="Courier New" w:eastAsia="Courier New" w:hAnsi="Courier New"/>
                <w:sz w:val="16"/>
                <w:szCs w:val="16"/>
                <w:color w:val="auto"/>
              </w:rPr>
              <w:t>President and Treasurer</w:t>
            </w:r>
          </w:p>
        </w:tc>
      </w:tr>
      <w:tr>
        <w:trPr>
          <w:trHeight w:val="546"/>
        </w:trPr>
        <w:tc>
          <w:tcPr>
            <w:tcW w:w="2880" w:type="dxa"/>
            <w:vAlign w:val="bottom"/>
          </w:tcPr>
          <w:p>
            <w:pPr>
              <w:spacing w:after="0"/>
              <w:rPr>
                <w:sz w:val="24"/>
                <w:szCs w:val="24"/>
                <w:color w:val="auto"/>
              </w:rPr>
            </w:pPr>
          </w:p>
        </w:tc>
        <w:tc>
          <w:tcPr>
            <w:tcW w:w="180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9"/>
              </w:rPr>
              <w:t>SCOTTS PRODUCTS</w:t>
            </w:r>
          </w:p>
        </w:tc>
        <w:tc>
          <w:tcPr>
            <w:tcW w:w="2320" w:type="dxa"/>
            <w:vAlign w:val="bottom"/>
          </w:tcPr>
          <w:p>
            <w:pPr>
              <w:ind w:left="60"/>
              <w:spacing w:after="0"/>
              <w:rPr>
                <w:sz w:val="20"/>
                <w:szCs w:val="20"/>
                <w:color w:val="auto"/>
              </w:rPr>
            </w:pPr>
            <w:r>
              <w:rPr>
                <w:rFonts w:ascii="Courier New" w:cs="Courier New" w:eastAsia="Courier New" w:hAnsi="Courier New"/>
                <w:sz w:val="16"/>
                <w:szCs w:val="16"/>
                <w:color w:val="auto"/>
              </w:rPr>
              <w:t>CO.</w:t>
            </w:r>
          </w:p>
        </w:tc>
      </w:tr>
      <w:tr>
        <w:trPr>
          <w:trHeight w:val="364"/>
        </w:trPr>
        <w:tc>
          <w:tcPr>
            <w:tcW w:w="2880" w:type="dxa"/>
            <w:vAlign w:val="bottom"/>
          </w:tcPr>
          <w:p>
            <w:pPr>
              <w:spacing w:after="0"/>
              <w:rPr>
                <w:sz w:val="24"/>
                <w:szCs w:val="24"/>
                <w:color w:val="auto"/>
              </w:rPr>
            </w:pPr>
          </w:p>
        </w:tc>
        <w:tc>
          <w:tcPr>
            <w:tcW w:w="180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9"/>
              </w:rPr>
              <w:t>By: /s/ Rebecca</w:t>
            </w:r>
          </w:p>
        </w:tc>
        <w:tc>
          <w:tcPr>
            <w:tcW w:w="2320" w:type="dxa"/>
            <w:vAlign w:val="bottom"/>
          </w:tcPr>
          <w:p>
            <w:pPr>
              <w:ind w:left="60"/>
              <w:spacing w:after="0"/>
              <w:rPr>
                <w:sz w:val="20"/>
                <w:szCs w:val="20"/>
                <w:color w:val="auto"/>
              </w:rPr>
            </w:pPr>
            <w:r>
              <w:rPr>
                <w:rFonts w:ascii="Courier New" w:cs="Courier New" w:eastAsia="Courier New" w:hAnsi="Courier New"/>
                <w:sz w:val="16"/>
                <w:szCs w:val="16"/>
                <w:color w:val="auto"/>
              </w:rPr>
              <w:t>J. Bruening</w:t>
            </w:r>
          </w:p>
        </w:tc>
      </w:tr>
      <w:tr>
        <w:trPr>
          <w:trHeight w:val="182"/>
        </w:trPr>
        <w:tc>
          <w:tcPr>
            <w:tcW w:w="2880" w:type="dxa"/>
            <w:vAlign w:val="bottom"/>
          </w:tcPr>
          <w:p>
            <w:pPr>
              <w:spacing w:after="0"/>
              <w:rPr>
                <w:sz w:val="15"/>
                <w:szCs w:val="15"/>
                <w:color w:val="auto"/>
              </w:rPr>
            </w:pPr>
          </w:p>
        </w:tc>
        <w:tc>
          <w:tcPr>
            <w:tcW w:w="4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880" w:type="dxa"/>
            <w:vAlign w:val="bottom"/>
          </w:tcPr>
          <w:p>
            <w:pPr>
              <w:spacing w:after="0"/>
              <w:rPr>
                <w:sz w:val="15"/>
                <w:szCs w:val="15"/>
                <w:color w:val="auto"/>
              </w:rPr>
            </w:pPr>
          </w:p>
        </w:tc>
        <w:tc>
          <w:tcPr>
            <w:tcW w:w="1240" w:type="dxa"/>
            <w:vAlign w:val="bottom"/>
          </w:tcPr>
          <w:p>
            <w:pPr>
              <w:ind w:left="720"/>
              <w:spacing w:after="0"/>
              <w:rPr>
                <w:sz w:val="20"/>
                <w:szCs w:val="20"/>
                <w:color w:val="auto"/>
              </w:rPr>
            </w:pPr>
            <w:r>
              <w:rPr>
                <w:rFonts w:ascii="Courier New" w:cs="Courier New" w:eastAsia="Courier New" w:hAnsi="Courier New"/>
                <w:sz w:val="16"/>
                <w:szCs w:val="16"/>
                <w:color w:val="auto"/>
              </w:rPr>
              <w:t>Name:</w:t>
            </w:r>
          </w:p>
        </w:tc>
        <w:tc>
          <w:tcPr>
            <w:tcW w:w="288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rPr>
              <w:t>Rebecca J. Bruening</w:t>
            </w:r>
          </w:p>
        </w:tc>
      </w:tr>
      <w:tr>
        <w:trPr>
          <w:trHeight w:val="182"/>
        </w:trPr>
        <w:tc>
          <w:tcPr>
            <w:tcW w:w="2880" w:type="dxa"/>
            <w:vAlign w:val="bottom"/>
          </w:tcPr>
          <w:p>
            <w:pPr>
              <w:spacing w:after="0"/>
              <w:rPr>
                <w:sz w:val="15"/>
                <w:szCs w:val="15"/>
                <w:color w:val="auto"/>
              </w:rPr>
            </w:pPr>
          </w:p>
        </w:tc>
        <w:tc>
          <w:tcPr>
            <w:tcW w:w="1800" w:type="dxa"/>
            <w:vAlign w:val="bottom"/>
            <w:gridSpan w:val="2"/>
          </w:tcPr>
          <w:p>
            <w:pPr>
              <w:ind w:left="720"/>
              <w:spacing w:after="0"/>
              <w:rPr>
                <w:sz w:val="20"/>
                <w:szCs w:val="20"/>
                <w:color w:val="auto"/>
              </w:rPr>
            </w:pPr>
            <w:r>
              <w:rPr>
                <w:rFonts w:ascii="Courier New" w:cs="Courier New" w:eastAsia="Courier New" w:hAnsi="Courier New"/>
                <w:sz w:val="16"/>
                <w:szCs w:val="16"/>
                <w:color w:val="auto"/>
              </w:rPr>
              <w:t>Title: Vice</w:t>
            </w:r>
          </w:p>
        </w:tc>
        <w:tc>
          <w:tcPr>
            <w:tcW w:w="2320" w:type="dxa"/>
            <w:vAlign w:val="bottom"/>
          </w:tcPr>
          <w:p>
            <w:pPr>
              <w:ind w:left="60"/>
              <w:spacing w:after="0"/>
              <w:rPr>
                <w:sz w:val="20"/>
                <w:szCs w:val="20"/>
                <w:color w:val="auto"/>
              </w:rPr>
            </w:pPr>
            <w:r>
              <w:rPr>
                <w:rFonts w:ascii="Courier New" w:cs="Courier New" w:eastAsia="Courier New" w:hAnsi="Courier New"/>
                <w:sz w:val="16"/>
                <w:szCs w:val="16"/>
                <w:color w:val="auto"/>
              </w:rPr>
              <w:t>President and Treasurer</w:t>
            </w:r>
          </w:p>
        </w:tc>
      </w:tr>
      <w:tr>
        <w:trPr>
          <w:trHeight w:val="546"/>
        </w:trPr>
        <w:tc>
          <w:tcPr>
            <w:tcW w:w="2880" w:type="dxa"/>
            <w:vAlign w:val="bottom"/>
          </w:tcPr>
          <w:p>
            <w:pPr>
              <w:spacing w:after="0"/>
              <w:rPr>
                <w:sz w:val="24"/>
                <w:szCs w:val="24"/>
                <w:color w:val="auto"/>
              </w:rPr>
            </w:pPr>
          </w:p>
        </w:tc>
        <w:tc>
          <w:tcPr>
            <w:tcW w:w="412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SCOTTS-SIERRA HORTICULTURAL PRODUCTS</w:t>
            </w:r>
          </w:p>
        </w:tc>
      </w:tr>
      <w:tr>
        <w:trPr>
          <w:trHeight w:val="182"/>
        </w:trPr>
        <w:tc>
          <w:tcPr>
            <w:tcW w:w="2880" w:type="dxa"/>
            <w:vAlign w:val="bottom"/>
          </w:tcPr>
          <w:p>
            <w:pPr>
              <w:spacing w:after="0"/>
              <w:rPr>
                <w:sz w:val="15"/>
                <w:szCs w:val="15"/>
                <w:color w:val="auto"/>
              </w:rPr>
            </w:pPr>
          </w:p>
        </w:tc>
        <w:tc>
          <w:tcPr>
            <w:tcW w:w="1240" w:type="dxa"/>
            <w:vAlign w:val="bottom"/>
          </w:tcPr>
          <w:p>
            <w:pPr>
              <w:ind w:left="340"/>
              <w:spacing w:after="0"/>
              <w:rPr>
                <w:sz w:val="20"/>
                <w:szCs w:val="20"/>
                <w:color w:val="auto"/>
              </w:rPr>
            </w:pPr>
            <w:r>
              <w:rPr>
                <w:rFonts w:ascii="Courier New" w:cs="Courier New" w:eastAsia="Courier New" w:hAnsi="Courier New"/>
                <w:sz w:val="16"/>
                <w:szCs w:val="16"/>
                <w:color w:val="auto"/>
              </w:rPr>
              <w:t>COMPANY</w:t>
            </w:r>
          </w:p>
        </w:tc>
        <w:tc>
          <w:tcPr>
            <w:tcW w:w="56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364"/>
        </w:trPr>
        <w:tc>
          <w:tcPr>
            <w:tcW w:w="2880" w:type="dxa"/>
            <w:vAlign w:val="bottom"/>
          </w:tcPr>
          <w:p>
            <w:pPr>
              <w:spacing w:after="0"/>
              <w:rPr>
                <w:sz w:val="24"/>
                <w:szCs w:val="24"/>
                <w:color w:val="auto"/>
              </w:rPr>
            </w:pPr>
          </w:p>
        </w:tc>
        <w:tc>
          <w:tcPr>
            <w:tcW w:w="180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9"/>
              </w:rPr>
              <w:t>By: /s/ Rebecca</w:t>
            </w:r>
          </w:p>
        </w:tc>
        <w:tc>
          <w:tcPr>
            <w:tcW w:w="2320" w:type="dxa"/>
            <w:vAlign w:val="bottom"/>
          </w:tcPr>
          <w:p>
            <w:pPr>
              <w:ind w:left="60"/>
              <w:spacing w:after="0"/>
              <w:rPr>
                <w:sz w:val="20"/>
                <w:szCs w:val="20"/>
                <w:color w:val="auto"/>
              </w:rPr>
            </w:pPr>
            <w:r>
              <w:rPr>
                <w:rFonts w:ascii="Courier New" w:cs="Courier New" w:eastAsia="Courier New" w:hAnsi="Courier New"/>
                <w:sz w:val="16"/>
                <w:szCs w:val="16"/>
                <w:color w:val="auto"/>
              </w:rPr>
              <w:t>J. Bruening</w:t>
            </w:r>
          </w:p>
        </w:tc>
      </w:tr>
      <w:tr>
        <w:trPr>
          <w:trHeight w:val="182"/>
        </w:trPr>
        <w:tc>
          <w:tcPr>
            <w:tcW w:w="2880" w:type="dxa"/>
            <w:vAlign w:val="bottom"/>
          </w:tcPr>
          <w:p>
            <w:pPr>
              <w:spacing w:after="0"/>
              <w:rPr>
                <w:sz w:val="15"/>
                <w:szCs w:val="15"/>
                <w:color w:val="auto"/>
              </w:rPr>
            </w:pPr>
          </w:p>
        </w:tc>
        <w:tc>
          <w:tcPr>
            <w:tcW w:w="4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880" w:type="dxa"/>
            <w:vAlign w:val="bottom"/>
          </w:tcPr>
          <w:p>
            <w:pPr>
              <w:spacing w:after="0"/>
              <w:rPr>
                <w:sz w:val="15"/>
                <w:szCs w:val="15"/>
                <w:color w:val="auto"/>
              </w:rPr>
            </w:pPr>
          </w:p>
        </w:tc>
        <w:tc>
          <w:tcPr>
            <w:tcW w:w="1240" w:type="dxa"/>
            <w:vAlign w:val="bottom"/>
          </w:tcPr>
          <w:p>
            <w:pPr>
              <w:ind w:left="720"/>
              <w:spacing w:after="0"/>
              <w:rPr>
                <w:sz w:val="20"/>
                <w:szCs w:val="20"/>
                <w:color w:val="auto"/>
              </w:rPr>
            </w:pPr>
            <w:r>
              <w:rPr>
                <w:rFonts w:ascii="Courier New" w:cs="Courier New" w:eastAsia="Courier New" w:hAnsi="Courier New"/>
                <w:sz w:val="16"/>
                <w:szCs w:val="16"/>
                <w:color w:val="auto"/>
              </w:rPr>
              <w:t>Name:</w:t>
            </w:r>
          </w:p>
        </w:tc>
        <w:tc>
          <w:tcPr>
            <w:tcW w:w="288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rPr>
              <w:t>Rebecca J. Bruening</w:t>
            </w:r>
          </w:p>
        </w:tc>
      </w:tr>
      <w:tr>
        <w:trPr>
          <w:trHeight w:val="182"/>
        </w:trPr>
        <w:tc>
          <w:tcPr>
            <w:tcW w:w="2880" w:type="dxa"/>
            <w:vAlign w:val="bottom"/>
          </w:tcPr>
          <w:p>
            <w:pPr>
              <w:spacing w:after="0"/>
              <w:rPr>
                <w:sz w:val="15"/>
                <w:szCs w:val="15"/>
                <w:color w:val="auto"/>
              </w:rPr>
            </w:pPr>
          </w:p>
        </w:tc>
        <w:tc>
          <w:tcPr>
            <w:tcW w:w="1800" w:type="dxa"/>
            <w:vAlign w:val="bottom"/>
            <w:gridSpan w:val="2"/>
          </w:tcPr>
          <w:p>
            <w:pPr>
              <w:ind w:left="720"/>
              <w:spacing w:after="0"/>
              <w:rPr>
                <w:sz w:val="20"/>
                <w:szCs w:val="20"/>
                <w:color w:val="auto"/>
              </w:rPr>
            </w:pPr>
            <w:r>
              <w:rPr>
                <w:rFonts w:ascii="Courier New" w:cs="Courier New" w:eastAsia="Courier New" w:hAnsi="Courier New"/>
                <w:sz w:val="16"/>
                <w:szCs w:val="16"/>
                <w:color w:val="auto"/>
              </w:rPr>
              <w:t>Title: Vice</w:t>
            </w:r>
          </w:p>
        </w:tc>
        <w:tc>
          <w:tcPr>
            <w:tcW w:w="2320" w:type="dxa"/>
            <w:vAlign w:val="bottom"/>
          </w:tcPr>
          <w:p>
            <w:pPr>
              <w:ind w:left="60"/>
              <w:spacing w:after="0"/>
              <w:rPr>
                <w:sz w:val="20"/>
                <w:szCs w:val="20"/>
                <w:color w:val="auto"/>
              </w:rPr>
            </w:pPr>
            <w:r>
              <w:rPr>
                <w:rFonts w:ascii="Courier New" w:cs="Courier New" w:eastAsia="Courier New" w:hAnsi="Courier New"/>
                <w:sz w:val="16"/>
                <w:szCs w:val="16"/>
                <w:color w:val="auto"/>
              </w:rPr>
              <w:t>President and Treasurer</w:t>
            </w:r>
          </w:p>
        </w:tc>
      </w:tr>
      <w:tr>
        <w:trPr>
          <w:trHeight w:val="546"/>
        </w:trPr>
        <w:tc>
          <w:tcPr>
            <w:tcW w:w="2880" w:type="dxa"/>
            <w:vAlign w:val="bottom"/>
          </w:tcPr>
          <w:p>
            <w:pPr>
              <w:spacing w:after="0"/>
              <w:rPr>
                <w:sz w:val="24"/>
                <w:szCs w:val="24"/>
                <w:color w:val="auto"/>
              </w:rPr>
            </w:pPr>
          </w:p>
        </w:tc>
        <w:tc>
          <w:tcPr>
            <w:tcW w:w="412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OMS INVESTMENTS, INC.</w:t>
            </w:r>
          </w:p>
        </w:tc>
      </w:tr>
      <w:tr>
        <w:trPr>
          <w:trHeight w:val="364"/>
        </w:trPr>
        <w:tc>
          <w:tcPr>
            <w:tcW w:w="2880" w:type="dxa"/>
            <w:vAlign w:val="bottom"/>
          </w:tcPr>
          <w:p>
            <w:pPr>
              <w:spacing w:after="0"/>
              <w:rPr>
                <w:sz w:val="24"/>
                <w:szCs w:val="24"/>
                <w:color w:val="auto"/>
              </w:rPr>
            </w:pPr>
          </w:p>
        </w:tc>
        <w:tc>
          <w:tcPr>
            <w:tcW w:w="180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9"/>
              </w:rPr>
              <w:t>By: /s/ Rebecca</w:t>
            </w:r>
          </w:p>
        </w:tc>
        <w:tc>
          <w:tcPr>
            <w:tcW w:w="2320" w:type="dxa"/>
            <w:vAlign w:val="bottom"/>
          </w:tcPr>
          <w:p>
            <w:pPr>
              <w:ind w:left="60"/>
              <w:spacing w:after="0"/>
              <w:rPr>
                <w:sz w:val="20"/>
                <w:szCs w:val="20"/>
                <w:color w:val="auto"/>
              </w:rPr>
            </w:pPr>
            <w:r>
              <w:rPr>
                <w:rFonts w:ascii="Courier New" w:cs="Courier New" w:eastAsia="Courier New" w:hAnsi="Courier New"/>
                <w:sz w:val="16"/>
                <w:szCs w:val="16"/>
                <w:color w:val="auto"/>
              </w:rPr>
              <w:t>J. Bruening</w:t>
            </w:r>
          </w:p>
        </w:tc>
      </w:tr>
      <w:tr>
        <w:trPr>
          <w:trHeight w:val="182"/>
        </w:trPr>
        <w:tc>
          <w:tcPr>
            <w:tcW w:w="2880" w:type="dxa"/>
            <w:vAlign w:val="bottom"/>
          </w:tcPr>
          <w:p>
            <w:pPr>
              <w:spacing w:after="0"/>
              <w:rPr>
                <w:sz w:val="15"/>
                <w:szCs w:val="15"/>
                <w:color w:val="auto"/>
              </w:rPr>
            </w:pPr>
          </w:p>
        </w:tc>
        <w:tc>
          <w:tcPr>
            <w:tcW w:w="4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880" w:type="dxa"/>
            <w:vAlign w:val="bottom"/>
          </w:tcPr>
          <w:p>
            <w:pPr>
              <w:spacing w:after="0"/>
              <w:rPr>
                <w:sz w:val="15"/>
                <w:szCs w:val="15"/>
                <w:color w:val="auto"/>
              </w:rPr>
            </w:pPr>
          </w:p>
        </w:tc>
        <w:tc>
          <w:tcPr>
            <w:tcW w:w="1240" w:type="dxa"/>
            <w:vAlign w:val="bottom"/>
          </w:tcPr>
          <w:p>
            <w:pPr>
              <w:ind w:left="720"/>
              <w:spacing w:after="0"/>
              <w:rPr>
                <w:sz w:val="20"/>
                <w:szCs w:val="20"/>
                <w:color w:val="auto"/>
              </w:rPr>
            </w:pPr>
            <w:r>
              <w:rPr>
                <w:rFonts w:ascii="Courier New" w:cs="Courier New" w:eastAsia="Courier New" w:hAnsi="Courier New"/>
                <w:sz w:val="16"/>
                <w:szCs w:val="16"/>
                <w:color w:val="auto"/>
              </w:rPr>
              <w:t>Name:</w:t>
            </w:r>
          </w:p>
        </w:tc>
        <w:tc>
          <w:tcPr>
            <w:tcW w:w="288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rPr>
              <w:t>Rebecca J. Bruening</w:t>
            </w:r>
          </w:p>
        </w:tc>
      </w:tr>
      <w:tr>
        <w:trPr>
          <w:trHeight w:val="182"/>
        </w:trPr>
        <w:tc>
          <w:tcPr>
            <w:tcW w:w="2880" w:type="dxa"/>
            <w:vAlign w:val="bottom"/>
          </w:tcPr>
          <w:p>
            <w:pPr>
              <w:spacing w:after="0"/>
              <w:rPr>
                <w:sz w:val="15"/>
                <w:szCs w:val="15"/>
                <w:color w:val="auto"/>
              </w:rPr>
            </w:pPr>
          </w:p>
        </w:tc>
        <w:tc>
          <w:tcPr>
            <w:tcW w:w="1800" w:type="dxa"/>
            <w:vAlign w:val="bottom"/>
            <w:gridSpan w:val="2"/>
          </w:tcPr>
          <w:p>
            <w:pPr>
              <w:ind w:left="720"/>
              <w:spacing w:after="0"/>
              <w:rPr>
                <w:sz w:val="20"/>
                <w:szCs w:val="20"/>
                <w:color w:val="auto"/>
              </w:rPr>
            </w:pPr>
            <w:r>
              <w:rPr>
                <w:rFonts w:ascii="Courier New" w:cs="Courier New" w:eastAsia="Courier New" w:hAnsi="Courier New"/>
                <w:sz w:val="16"/>
                <w:szCs w:val="16"/>
                <w:color w:val="auto"/>
              </w:rPr>
              <w:t>Title: Vice</w:t>
            </w:r>
          </w:p>
        </w:tc>
        <w:tc>
          <w:tcPr>
            <w:tcW w:w="2320" w:type="dxa"/>
            <w:vAlign w:val="bottom"/>
          </w:tcPr>
          <w:p>
            <w:pPr>
              <w:ind w:left="60"/>
              <w:spacing w:after="0"/>
              <w:rPr>
                <w:sz w:val="20"/>
                <w:szCs w:val="20"/>
                <w:color w:val="auto"/>
              </w:rPr>
            </w:pPr>
            <w:r>
              <w:rPr>
                <w:rFonts w:ascii="Courier New" w:cs="Courier New" w:eastAsia="Courier New" w:hAnsi="Courier New"/>
                <w:sz w:val="16"/>
                <w:szCs w:val="16"/>
                <w:color w:val="auto"/>
              </w:rPr>
              <w:t>President and Treasurer</w:t>
            </w:r>
          </w:p>
        </w:tc>
      </w:tr>
      <w:tr>
        <w:trPr>
          <w:trHeight w:val="546"/>
        </w:trPr>
        <w:tc>
          <w:tcPr>
            <w:tcW w:w="2880" w:type="dxa"/>
            <w:vAlign w:val="bottom"/>
          </w:tcPr>
          <w:p>
            <w:pPr>
              <w:spacing w:after="0"/>
              <w:rPr>
                <w:sz w:val="24"/>
                <w:szCs w:val="24"/>
                <w:color w:val="auto"/>
              </w:rPr>
            </w:pP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94</w:t>
            </w:r>
          </w:p>
        </w:tc>
        <w:tc>
          <w:tcPr>
            <w:tcW w:w="56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1">
            <w:col w:w="9659"/>
          </w:cols>
          <w:pgMar w:left="800" w:top="477" w:right="1440" w:bottom="1440" w:gutter="0" w:footer="0" w:header="0"/>
        </w:sectPr>
      </w:pPr>
    </w:p>
    <w:bookmarkStart w:id="334" w:name="page335"/>
    <w:bookmarkEnd w:id="334"/>
    <w:p>
      <w:pPr>
        <w:ind w:left="2580"/>
        <w:spacing w:after="0"/>
        <w:rPr>
          <w:sz w:val="20"/>
          <w:szCs w:val="20"/>
          <w:color w:val="auto"/>
        </w:rPr>
      </w:pPr>
      <w:r>
        <w:rPr>
          <w:rFonts w:ascii="Courier New" w:cs="Courier New" w:eastAsia="Courier New" w:hAnsi="Courier New"/>
          <w:sz w:val="16"/>
          <w:szCs w:val="16"/>
          <w:color w:val="auto"/>
        </w:rPr>
        <w:t>HYPONEX CORPORATION</w:t>
      </w:r>
    </w:p>
    <w:p>
      <w:pPr>
        <w:spacing w:after="0" w:line="183" w:lineRule="exact"/>
        <w:rPr>
          <w:sz w:val="20"/>
          <w:szCs w:val="20"/>
          <w:color w:val="auto"/>
        </w:rPr>
      </w:pPr>
    </w:p>
    <w:p>
      <w:pPr>
        <w:ind w:left="2580"/>
        <w:spacing w:after="0"/>
        <w:tabs>
          <w:tab w:leader="none" w:pos="3040" w:val="left"/>
        </w:tabs>
        <w:rPr>
          <w:sz w:val="20"/>
          <w:szCs w:val="20"/>
          <w:color w:val="auto"/>
        </w:rPr>
      </w:pPr>
      <w:r>
        <w:rPr>
          <w:rFonts w:ascii="Courier New" w:cs="Courier New" w:eastAsia="Courier New" w:hAnsi="Courier New"/>
          <w:sz w:val="16"/>
          <w:szCs w:val="16"/>
          <w:color w:val="auto"/>
        </w:rPr>
        <w:t>By:</w:t>
        <w:tab/>
        <w:t>/s/ Rebecca J. Bruening</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060"/>
        <w:spacing w:after="0"/>
        <w:tabs>
          <w:tab w:leader="none" w:pos="3700" w:val="left"/>
        </w:tabs>
        <w:rPr>
          <w:sz w:val="20"/>
          <w:szCs w:val="20"/>
          <w:color w:val="auto"/>
        </w:rPr>
      </w:pPr>
      <w:r>
        <w:rPr>
          <w:rFonts w:ascii="Courier New" w:cs="Courier New" w:eastAsia="Courier New" w:hAnsi="Courier New"/>
          <w:sz w:val="16"/>
          <w:szCs w:val="16"/>
          <w:color w:val="auto"/>
        </w:rPr>
        <w:t>Name:</w:t>
        <w:tab/>
        <w:t>Rebecca J. Bruening</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Title: Vice President and Treasurer</w:t>
      </w:r>
    </w:p>
    <w:p>
      <w:pPr>
        <w:spacing w:after="0" w:line="37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SWISS FARMS PRODUCTS, INC.</w:t>
      </w:r>
    </w:p>
    <w:p>
      <w:pPr>
        <w:spacing w:after="0" w:line="183" w:lineRule="exact"/>
        <w:rPr>
          <w:sz w:val="20"/>
          <w:szCs w:val="20"/>
          <w:color w:val="auto"/>
        </w:rPr>
      </w:pPr>
    </w:p>
    <w:p>
      <w:pPr>
        <w:ind w:left="2580"/>
        <w:spacing w:after="0"/>
        <w:tabs>
          <w:tab w:leader="none" w:pos="3040" w:val="left"/>
        </w:tabs>
        <w:rPr>
          <w:sz w:val="20"/>
          <w:szCs w:val="20"/>
          <w:color w:val="auto"/>
        </w:rPr>
      </w:pPr>
      <w:r>
        <w:rPr>
          <w:rFonts w:ascii="Courier New" w:cs="Courier New" w:eastAsia="Courier New" w:hAnsi="Courier New"/>
          <w:sz w:val="16"/>
          <w:szCs w:val="16"/>
          <w:color w:val="auto"/>
        </w:rPr>
        <w:t>By:</w:t>
        <w:tab/>
        <w:t>/s/ Rebecca J. Bruening</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060"/>
        <w:spacing w:after="0"/>
        <w:tabs>
          <w:tab w:leader="none" w:pos="3700" w:val="left"/>
        </w:tabs>
        <w:rPr>
          <w:sz w:val="20"/>
          <w:szCs w:val="20"/>
          <w:color w:val="auto"/>
        </w:rPr>
      </w:pPr>
      <w:r>
        <w:rPr>
          <w:rFonts w:ascii="Courier New" w:cs="Courier New" w:eastAsia="Courier New" w:hAnsi="Courier New"/>
          <w:sz w:val="16"/>
          <w:szCs w:val="16"/>
          <w:color w:val="auto"/>
        </w:rPr>
        <w:t>Name:</w:t>
        <w:tab/>
        <w:t>Rebecca J. Bruening</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Title: Vice President and Treasurer</w:t>
      </w:r>
    </w:p>
    <w:p>
      <w:pPr>
        <w:spacing w:after="0" w:line="37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SCOTTS TEMECULA OPERATIONS, LLC</w:t>
      </w:r>
    </w:p>
    <w:p>
      <w:pPr>
        <w:spacing w:after="0" w:line="183" w:lineRule="exact"/>
        <w:rPr>
          <w:sz w:val="20"/>
          <w:szCs w:val="20"/>
          <w:color w:val="auto"/>
        </w:rPr>
      </w:pPr>
    </w:p>
    <w:p>
      <w:pPr>
        <w:ind w:left="2580"/>
        <w:spacing w:after="0"/>
        <w:tabs>
          <w:tab w:leader="none" w:pos="3040" w:val="left"/>
        </w:tabs>
        <w:rPr>
          <w:sz w:val="20"/>
          <w:szCs w:val="20"/>
          <w:color w:val="auto"/>
        </w:rPr>
      </w:pPr>
      <w:r>
        <w:rPr>
          <w:rFonts w:ascii="Courier New" w:cs="Courier New" w:eastAsia="Courier New" w:hAnsi="Courier New"/>
          <w:sz w:val="16"/>
          <w:szCs w:val="16"/>
          <w:color w:val="auto"/>
        </w:rPr>
        <w:t>By:</w:t>
        <w:tab/>
        <w:t>/s/ Rebecca J. Bruening</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060"/>
        <w:spacing w:after="0"/>
        <w:tabs>
          <w:tab w:leader="none" w:pos="3700" w:val="left"/>
        </w:tabs>
        <w:rPr>
          <w:sz w:val="20"/>
          <w:szCs w:val="20"/>
          <w:color w:val="auto"/>
        </w:rPr>
      </w:pPr>
      <w:r>
        <w:rPr>
          <w:rFonts w:ascii="Courier New" w:cs="Courier New" w:eastAsia="Courier New" w:hAnsi="Courier New"/>
          <w:sz w:val="16"/>
          <w:szCs w:val="16"/>
          <w:color w:val="auto"/>
        </w:rPr>
        <w:t>Name:</w:t>
        <w:tab/>
        <w:t>Rebecca J. Bruening</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Title: Vice President and Treasurer</w:t>
      </w:r>
    </w:p>
    <w:p>
      <w:pPr>
        <w:spacing w:after="0" w:line="37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SCOTTS-SIERRA INVESTMENTS, INC.</w:t>
      </w:r>
    </w:p>
    <w:p>
      <w:pPr>
        <w:spacing w:after="0" w:line="183" w:lineRule="exact"/>
        <w:rPr>
          <w:sz w:val="20"/>
          <w:szCs w:val="20"/>
          <w:color w:val="auto"/>
        </w:rPr>
      </w:pPr>
    </w:p>
    <w:p>
      <w:pPr>
        <w:ind w:left="2580"/>
        <w:spacing w:after="0"/>
        <w:tabs>
          <w:tab w:leader="none" w:pos="3040" w:val="left"/>
        </w:tabs>
        <w:rPr>
          <w:sz w:val="20"/>
          <w:szCs w:val="20"/>
          <w:color w:val="auto"/>
        </w:rPr>
      </w:pPr>
      <w:r>
        <w:rPr>
          <w:rFonts w:ascii="Courier New" w:cs="Courier New" w:eastAsia="Courier New" w:hAnsi="Courier New"/>
          <w:sz w:val="16"/>
          <w:szCs w:val="16"/>
          <w:color w:val="auto"/>
        </w:rPr>
        <w:t>By:</w:t>
        <w:tab/>
        <w:t>/s/ Rebecca J. Bruening</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060"/>
        <w:spacing w:after="0"/>
        <w:tabs>
          <w:tab w:leader="none" w:pos="3700" w:val="left"/>
        </w:tabs>
        <w:rPr>
          <w:sz w:val="20"/>
          <w:szCs w:val="20"/>
          <w:color w:val="auto"/>
        </w:rPr>
      </w:pPr>
      <w:r>
        <w:rPr>
          <w:rFonts w:ascii="Courier New" w:cs="Courier New" w:eastAsia="Courier New" w:hAnsi="Courier New"/>
          <w:sz w:val="16"/>
          <w:szCs w:val="16"/>
          <w:color w:val="auto"/>
        </w:rPr>
        <w:t>Name:</w:t>
        <w:tab/>
        <w:t>Rebecca J. Bruening</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Title: Vice President and Treasurer</w:t>
      </w:r>
    </w:p>
    <w:p>
      <w:pPr>
        <w:spacing w:after="0" w:line="37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SCOTTS-SIERRA CROP PROTECTION COMPANY</w:t>
      </w:r>
    </w:p>
    <w:p>
      <w:pPr>
        <w:spacing w:after="0" w:line="183" w:lineRule="exact"/>
        <w:rPr>
          <w:sz w:val="20"/>
          <w:szCs w:val="20"/>
          <w:color w:val="auto"/>
        </w:rPr>
      </w:pPr>
    </w:p>
    <w:p>
      <w:pPr>
        <w:ind w:left="2580"/>
        <w:spacing w:after="0"/>
        <w:tabs>
          <w:tab w:leader="none" w:pos="3040" w:val="left"/>
        </w:tabs>
        <w:rPr>
          <w:sz w:val="20"/>
          <w:szCs w:val="20"/>
          <w:color w:val="auto"/>
        </w:rPr>
      </w:pPr>
      <w:r>
        <w:rPr>
          <w:rFonts w:ascii="Courier New" w:cs="Courier New" w:eastAsia="Courier New" w:hAnsi="Courier New"/>
          <w:sz w:val="16"/>
          <w:szCs w:val="16"/>
          <w:color w:val="auto"/>
        </w:rPr>
        <w:t>By:</w:t>
        <w:tab/>
        <w:t>/s/ Rebecca J. Bruening</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060"/>
        <w:spacing w:after="0"/>
        <w:tabs>
          <w:tab w:leader="none" w:pos="3700" w:val="left"/>
        </w:tabs>
        <w:rPr>
          <w:sz w:val="20"/>
          <w:szCs w:val="20"/>
          <w:color w:val="auto"/>
        </w:rPr>
      </w:pPr>
      <w:r>
        <w:rPr>
          <w:rFonts w:ascii="Courier New" w:cs="Courier New" w:eastAsia="Courier New" w:hAnsi="Courier New"/>
          <w:sz w:val="16"/>
          <w:szCs w:val="16"/>
          <w:color w:val="auto"/>
        </w:rPr>
        <w:t>Name:</w:t>
        <w:tab/>
        <w:t>Rebecca J. Bruening</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Title: Vice President and Treasurer</w:t>
      </w:r>
    </w:p>
    <w:p>
      <w:pPr>
        <w:spacing w:after="0" w:line="37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MIRACLE-GRO LAWN PRODUCTS, INC.</w:t>
      </w:r>
    </w:p>
    <w:p>
      <w:pPr>
        <w:spacing w:after="0" w:line="183" w:lineRule="exact"/>
        <w:rPr>
          <w:sz w:val="20"/>
          <w:szCs w:val="20"/>
          <w:color w:val="auto"/>
        </w:rPr>
      </w:pPr>
    </w:p>
    <w:p>
      <w:pPr>
        <w:ind w:left="2580"/>
        <w:spacing w:after="0"/>
        <w:tabs>
          <w:tab w:leader="none" w:pos="3040" w:val="left"/>
        </w:tabs>
        <w:rPr>
          <w:sz w:val="20"/>
          <w:szCs w:val="20"/>
          <w:color w:val="auto"/>
        </w:rPr>
      </w:pPr>
      <w:r>
        <w:rPr>
          <w:rFonts w:ascii="Courier New" w:cs="Courier New" w:eastAsia="Courier New" w:hAnsi="Courier New"/>
          <w:sz w:val="16"/>
          <w:szCs w:val="16"/>
          <w:color w:val="auto"/>
        </w:rPr>
        <w:t>By:</w:t>
        <w:tab/>
        <w:t>/s/ Rebecca J. Bruening</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060"/>
        <w:spacing w:after="0"/>
        <w:tabs>
          <w:tab w:leader="none" w:pos="3700" w:val="left"/>
        </w:tabs>
        <w:rPr>
          <w:sz w:val="20"/>
          <w:szCs w:val="20"/>
          <w:color w:val="auto"/>
        </w:rPr>
      </w:pPr>
      <w:r>
        <w:rPr>
          <w:rFonts w:ascii="Courier New" w:cs="Courier New" w:eastAsia="Courier New" w:hAnsi="Courier New"/>
          <w:sz w:val="16"/>
          <w:szCs w:val="16"/>
          <w:color w:val="auto"/>
        </w:rPr>
        <w:t>Name:</w:t>
        <w:tab/>
        <w:t>Rebecca J. Bruening</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Title: Vice President and Treasurer</w:t>
      </w:r>
    </w:p>
    <w:p>
      <w:pPr>
        <w:spacing w:after="0" w:line="37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95</w:t>
      </w:r>
    </w:p>
    <w:p>
      <w:pPr>
        <w:sectPr>
          <w:pgSz w:w="11900" w:h="16838" w:orient="portrait"/>
          <w:cols w:equalWidth="0" w:num="1">
            <w:col w:w="9019"/>
          </w:cols>
          <w:pgMar w:left="1440" w:top="476" w:right="1440" w:bottom="1440" w:gutter="0" w:footer="0" w:header="0"/>
        </w:sectPr>
      </w:pPr>
    </w:p>
    <w:bookmarkStart w:id="335" w:name="page336"/>
    <w:bookmarkEnd w:id="335"/>
    <w:p>
      <w:pPr>
        <w:ind w:left="2580"/>
        <w:spacing w:after="0"/>
        <w:rPr>
          <w:sz w:val="20"/>
          <w:szCs w:val="20"/>
          <w:color w:val="auto"/>
        </w:rPr>
      </w:pPr>
      <w:r>
        <w:rPr>
          <w:rFonts w:ascii="Courier New" w:cs="Courier New" w:eastAsia="Courier New" w:hAnsi="Courier New"/>
          <w:sz w:val="16"/>
          <w:szCs w:val="16"/>
          <w:color w:val="auto"/>
        </w:rPr>
        <w:t>EG SYSTEMS, INC. (D/B/A SCOTTS</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LAWNSERVICE)</w:t>
      </w:r>
    </w:p>
    <w:p>
      <w:pPr>
        <w:spacing w:after="0" w:line="183"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By: /s/ Rebecca J. Bruening</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060"/>
        <w:spacing w:after="0"/>
        <w:tabs>
          <w:tab w:leader="none" w:pos="3700" w:val="left"/>
        </w:tabs>
        <w:rPr>
          <w:sz w:val="20"/>
          <w:szCs w:val="20"/>
          <w:color w:val="auto"/>
        </w:rPr>
      </w:pPr>
      <w:r>
        <w:rPr>
          <w:rFonts w:ascii="Courier New" w:cs="Courier New" w:eastAsia="Courier New" w:hAnsi="Courier New"/>
          <w:sz w:val="16"/>
          <w:szCs w:val="16"/>
          <w:color w:val="auto"/>
        </w:rPr>
        <w:t>Name:</w:t>
        <w:tab/>
        <w:t>Rebecca J. Bruening</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Title: Vice President and Treasurer</w:t>
      </w:r>
    </w:p>
    <w:p>
      <w:pPr>
        <w:spacing w:after="0" w:line="37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U.S. BANK NATIONAL ASSOCIATION, AS</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TRUSTEE</w:t>
      </w:r>
    </w:p>
    <w:p>
      <w:pPr>
        <w:spacing w:after="0" w:line="183"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By: /s/ Philip G. Kane, Jr.</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580"/>
        <w:spacing w:after="0"/>
        <w:tabs>
          <w:tab w:leader="none" w:pos="32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Philip G. Kane, Jr.</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Title: Vice President</w:t>
      </w:r>
    </w:p>
    <w:p>
      <w:pPr>
        <w:spacing w:after="0" w:line="364"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96</w:t>
      </w:r>
    </w:p>
    <w:p>
      <w:pPr>
        <w:sectPr>
          <w:pgSz w:w="11900" w:h="16838" w:orient="portrait"/>
          <w:cols w:equalWidth="0" w:num="1">
            <w:col w:w="9019"/>
          </w:cols>
          <w:pgMar w:left="1440" w:top="477" w:right="1440" w:bottom="1440" w:gutter="0" w:footer="0" w:header="0"/>
        </w:sectPr>
      </w:pPr>
    </w:p>
    <w:bookmarkStart w:id="336" w:name="page337"/>
    <w:bookmarkEnd w:id="336"/>
    <w:p>
      <w:pPr>
        <w:ind w:left="3400"/>
        <w:spacing w:after="0"/>
        <w:rPr>
          <w:sz w:val="20"/>
          <w:szCs w:val="20"/>
          <w:color w:val="auto"/>
        </w:rPr>
      </w:pPr>
      <w:r>
        <w:rPr>
          <w:rFonts w:ascii="Courier New" w:cs="Courier New" w:eastAsia="Courier New" w:hAnsi="Courier New"/>
          <w:sz w:val="16"/>
          <w:szCs w:val="16"/>
          <w:color w:val="auto"/>
        </w:rPr>
        <w:t>EXHIBIT A</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(Face of Note)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p>
      <w:pPr>
        <w:ind w:left="5960"/>
        <w:spacing w:after="0"/>
        <w:rPr>
          <w:sz w:val="20"/>
          <w:szCs w:val="20"/>
          <w:color w:val="auto"/>
        </w:rPr>
      </w:pPr>
      <w:r>
        <w:rPr>
          <w:rFonts w:ascii="Courier New" w:cs="Courier New" w:eastAsia="Courier New" w:hAnsi="Courier New"/>
          <w:sz w:val="16"/>
          <w:szCs w:val="16"/>
          <w:color w:val="auto"/>
        </w:rPr>
        <w:t>CUSIP:___________</w:t>
      </w:r>
    </w:p>
    <w:p>
      <w:pPr>
        <w:spacing w:after="0" w:line="1" w:lineRule="exact"/>
        <w:rPr>
          <w:sz w:val="20"/>
          <w:szCs w:val="20"/>
          <w:color w:val="auto"/>
        </w:rPr>
      </w:pPr>
    </w:p>
    <w:p>
      <w:pPr>
        <w:ind w:left="5960"/>
        <w:spacing w:after="0"/>
        <w:rPr>
          <w:sz w:val="20"/>
          <w:szCs w:val="20"/>
          <w:color w:val="auto"/>
        </w:rPr>
      </w:pPr>
      <w:r>
        <w:rPr>
          <w:rFonts w:ascii="Courier New" w:cs="Courier New" w:eastAsia="Courier New" w:hAnsi="Courier New"/>
          <w:sz w:val="16"/>
          <w:szCs w:val="16"/>
          <w:color w:val="auto"/>
        </w:rPr>
        <w:t>ISIN:____________</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6.625% [SERIES A] [SERIES B] SENIOR SUBORDINATED NOTES DUE 2013</w:t>
      </w:r>
    </w:p>
    <w:p>
      <w:pPr>
        <w:sectPr>
          <w:pgSz w:w="11900" w:h="16838" w:orient="portrait"/>
          <w:cols w:equalWidth="0" w:num="1">
            <w:col w:w="10219"/>
          </w:cols>
          <w:pgMar w:left="240" w:top="477"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No._____________</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194" w:lineRule="exact"/>
        <w:rPr>
          <w:sz w:val="20"/>
          <w:szCs w:val="20"/>
          <w:color w:val="auto"/>
        </w:rPr>
      </w:pPr>
    </w:p>
    <w:p>
      <w:pPr>
        <w:sectPr>
          <w:pgSz w:w="11900" w:h="16838" w:orient="portrait"/>
          <w:cols w:equalWidth="0" w:num="2">
            <w:col w:w="5620" w:space="720"/>
            <w:col w:w="3879"/>
          </w:cols>
          <w:pgMar w:left="240" w:top="477" w:right="1440" w:bottom="1440" w:gutter="0" w:footer="0" w:header="0"/>
          <w:type w:val="continuous"/>
        </w:sectPr>
      </w:pPr>
    </w:p>
    <w:p>
      <w:pPr>
        <w:ind w:left="2920"/>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10219"/>
          </w:cols>
          <w:pgMar w:left="240" w:top="477" w:right="1440" w:bottom="1440" w:gutter="0" w:footer="0" w:header="0"/>
          <w:type w:val="continuous"/>
        </w:sectPr>
      </w:pP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promises to pay to Cede &amp; Co or registered assigns, the principal sum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 on November 15, 2013.</w:t>
      </w:r>
    </w:p>
    <w:p>
      <w:pPr>
        <w:spacing w:after="0" w:line="183"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Interest Payment Dates: May 15 and November 15, commencing May 15, 2004</w:t>
      </w:r>
    </w:p>
    <w:p>
      <w:pPr>
        <w:spacing w:after="0" w:line="183"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Record Dates: May 1 and November 1</w:t>
      </w:r>
    </w:p>
    <w:p>
      <w:pPr>
        <w:spacing w:after="0" w:line="186"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Additional provisions of this Note are set forth below following the signatures of the authorized officers of The Scotts Company (the "Company").</w:t>
      </w:r>
    </w:p>
    <w:p>
      <w:pPr>
        <w:spacing w:after="0" w:line="37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_________________________________________</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36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477" w:right="1440" w:bottom="1440" w:gutter="0" w:footer="0" w:header="0"/>
          <w:type w:val="continuous"/>
        </w:sectPr>
      </w:pPr>
    </w:p>
    <w:bookmarkStart w:id="337" w:name="page338"/>
    <w:bookmarkEnd w:id="337"/>
    <w:p>
      <w:pPr>
        <w:ind w:right="2939" w:firstLine="1135"/>
        <w:spacing w:after="0" w:line="237" w:lineRule="auto"/>
        <w:rPr>
          <w:sz w:val="20"/>
          <w:szCs w:val="20"/>
          <w:color w:val="auto"/>
        </w:rPr>
      </w:pPr>
      <w:r>
        <w:rPr>
          <w:rFonts w:ascii="Courier New" w:cs="Courier New" w:eastAsia="Courier New" w:hAnsi="Courier New"/>
          <w:sz w:val="16"/>
          <w:szCs w:val="16"/>
          <w:color w:val="auto"/>
        </w:rPr>
        <w:t>IN WITNESS WHEREOF, the Company has caused this Note to be signed manually or by facsimile by its duly authorized officers.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THE SCOTTS COMPANY</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Title:</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Title: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is one of the Global Notes referred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in the within-mentioned Indenture.</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BANK NATIONAL ASSOCIATION,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Trustee</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Title:</w:t>
      </w:r>
    </w:p>
    <w:p>
      <w:pPr>
        <w:spacing w:after="0" w:line="36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481" w:right="1440" w:bottom="1440" w:gutter="0" w:footer="0" w:header="0"/>
        </w:sectPr>
      </w:pPr>
    </w:p>
    <w:bookmarkStart w:id="338" w:name="page339"/>
    <w:bookmarkEnd w:id="338"/>
    <w:p>
      <w:pPr>
        <w:jc w:val="center"/>
        <w:ind w:right="2659"/>
        <w:spacing w:after="0"/>
        <w:rPr>
          <w:sz w:val="20"/>
          <w:szCs w:val="20"/>
          <w:color w:val="auto"/>
        </w:rPr>
      </w:pPr>
      <w:r>
        <w:rPr>
          <w:rFonts w:ascii="Courier New" w:cs="Courier New" w:eastAsia="Courier New" w:hAnsi="Courier New"/>
          <w:sz w:val="16"/>
          <w:szCs w:val="16"/>
          <w:color w:val="auto"/>
        </w:rPr>
        <w:t>(Back of Note)</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SCOTTS COMPANY</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6.625% [Series A] [Series B] Senior Subordinated Notes due 2013</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[INSERT THE GLOBAL NOTE LEGEND, IF APPLICABLE PURSUANT TO THE PROVISIONS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OF THE INDENTURE]</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[INSERT THE PRIVATE PLACEMENT LEGEND, IF APPLICABLE PURSUANT TO THE PROVISIONS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OF THE INDENTURE]</w:t>
      </w:r>
    </w:p>
    <w:p>
      <w:pPr>
        <w:spacing w:after="0" w:line="186" w:lineRule="exact"/>
        <w:rPr>
          <w:sz w:val="20"/>
          <w:szCs w:val="20"/>
          <w:color w:val="auto"/>
        </w:rPr>
      </w:pPr>
    </w:p>
    <w:p>
      <w:pPr>
        <w:ind w:right="2939" w:firstLine="1135"/>
        <w:spacing w:after="0" w:line="237" w:lineRule="auto"/>
        <w:rPr>
          <w:sz w:val="20"/>
          <w:szCs w:val="20"/>
          <w:color w:val="auto"/>
        </w:rPr>
      </w:pPr>
      <w:r>
        <w:rPr>
          <w:rFonts w:ascii="Courier New" w:cs="Courier New" w:eastAsia="Courier New" w:hAnsi="Courier New"/>
          <w:sz w:val="16"/>
          <w:szCs w:val="16"/>
          <w:color w:val="auto"/>
        </w:rPr>
        <w:t>Capitalized terms used herein shall have the meanings assigned to them in the Indenture referred to below unless otherwise indicated.</w:t>
      </w:r>
    </w:p>
    <w:p>
      <w:pPr>
        <w:spacing w:after="0" w:line="188" w:lineRule="exact"/>
        <w:rPr>
          <w:sz w:val="20"/>
          <w:szCs w:val="20"/>
          <w:color w:val="auto"/>
        </w:rPr>
      </w:pPr>
    </w:p>
    <w:p>
      <w:pPr>
        <w:ind w:right="2659" w:firstLine="1132"/>
        <w:spacing w:after="0" w:line="257" w:lineRule="auto"/>
        <w:tabs>
          <w:tab w:leader="none" w:pos="1419"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The Scotts Company, an Ohio corporation (the "Company"), promises to pay interest on the principal amount of this Note at 6.625% per annum from October 8, 2003 until maturity and shall pay the Registration Default Damages payable pursuant to Section 8 of the Registration Rights Agreement referred to below. The Company shall pay interest and Registration Default Damages semi-annually on May 15 and November 15 of each year, or if any such day is not a Business Day, on the next succeeding Business Day (each an "Interest Payment Date"). Interest on the Notes shall accrue from the most recent date to which interest has been paid or, if no interest has been paid, from the date of issuance; provided that if there is no existing Default in the payment of interest, and if this Note is authenticated between a record date referred to on the face hereof and the next succeeding Interest Payment Date, interest shall accrue from such next succeeding Interest Payment Date; provided, further, that the first Interest Payment Date shall be May 15, 2004. The Company shall pay interest (including post-petition interest in any proceeding under any Bankruptcy Law) on overdue principal and premium, if any, from time to time on demand at a rate that is 1.0% per annum in excess of the rate then in effect; it shall pay interest (including post-petition interest in any proceeding under any Bankruptcy Law) on overdue installments of interest and Registration Default Damages (without regard to any applicable grace periods) from time to time on demand at the same rate to the extent lawful. Interest shall be computed on the basis of a 360-day year of twelve 30-day months.</w:t>
      </w:r>
    </w:p>
    <w:p>
      <w:pPr>
        <w:spacing w:after="0" w:line="180" w:lineRule="exact"/>
        <w:rPr>
          <w:rFonts w:ascii="Courier New" w:cs="Courier New" w:eastAsia="Courier New" w:hAnsi="Courier New"/>
          <w:sz w:val="15"/>
          <w:szCs w:val="15"/>
          <w:color w:val="auto"/>
        </w:rPr>
      </w:pPr>
    </w:p>
    <w:p>
      <w:pPr>
        <w:ind w:right="2759" w:firstLine="1132"/>
        <w:spacing w:after="0" w:line="257" w:lineRule="auto"/>
        <w:tabs>
          <w:tab w:leader="none" w:pos="1419"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The Company shall pay interest on the Notes (except defaulted interest) and Registration Default Damages to the Persons who are registered Holders of Notes at the close of business on the May 1 or November 1 next preceding the Interest Payment Date, even if such Notes are canceled after such record date and on or before such Interest Payment Date, except as provided in Section 2.12 of the Indenture with respect to defaulted interest. The Notes shall be payable as to principal, premium and Registration Default Damages, if any, and interest at the office or agency of the Company maintained for such purpose within or without the City and State of New York, or, at the option of the Company, payment of interest and Registration Default Damages may be made by check mailed to the Holders at their addresses set forth in the register of Holders, and provided that payment by wire transfer of immediately available funds shall be required with respect to principal of and interest, premium and Registration Default Damages on, all Global Notes and all other Notes the Holders of which shall have provided wire transfer instructions to the Company or the Paying Agent. Such payment shall be in such coin or currency of the United States of America as at the time of payment is legal tender for payment of public and private debts.</w:t>
      </w:r>
    </w:p>
    <w:p>
      <w:pPr>
        <w:spacing w:after="0" w:line="200" w:lineRule="exact"/>
        <w:rPr>
          <w:sz w:val="20"/>
          <w:szCs w:val="20"/>
          <w:color w:val="auto"/>
        </w:rPr>
      </w:pPr>
    </w:p>
    <w:p>
      <w:pPr>
        <w:spacing w:after="0" w:line="34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477" w:right="1440" w:bottom="1440" w:gutter="0" w:footer="0" w:header="0"/>
        </w:sectPr>
      </w:pPr>
    </w:p>
    <w:bookmarkStart w:id="339" w:name="page340"/>
    <w:bookmarkEnd w:id="339"/>
    <w:p>
      <w:pPr>
        <w:ind w:right="2839" w:firstLine="1132"/>
        <w:spacing w:after="0" w:line="239" w:lineRule="auto"/>
        <w:tabs>
          <w:tab w:leader="none" w:pos="1419" w:val="left"/>
        </w:tabs>
        <w:numPr>
          <w:ilvl w:val="0"/>
          <w:numId w:val="3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PAYING AGENT AND REGISTRAR. Initially, U.S. Bank National Association, the Trustee under the Indenture, shall act as Paying Agent and Registrar. The Company may change any Paying Agent or Registrar without notice to any Holder. The Company or any of its Subsidiaries may act in any such capacity.</w:t>
      </w:r>
    </w:p>
    <w:p>
      <w:pPr>
        <w:spacing w:after="0" w:line="188" w:lineRule="exact"/>
        <w:rPr>
          <w:rFonts w:ascii="Courier New" w:cs="Courier New" w:eastAsia="Courier New" w:hAnsi="Courier New"/>
          <w:sz w:val="16"/>
          <w:szCs w:val="16"/>
          <w:color w:val="auto"/>
        </w:rPr>
      </w:pPr>
    </w:p>
    <w:p>
      <w:pPr>
        <w:ind w:right="2659" w:firstLine="1132"/>
        <w:spacing w:after="0" w:line="257" w:lineRule="auto"/>
        <w:tabs>
          <w:tab w:leader="none" w:pos="1419"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The Company issued the Notes under an Indenture dated as of October 8, 2003 ("Indenture") among the Company, the Guarantors and the Trustee. The Company may issue Additional Notes of this series after this Note has been issued. This Note and any Additional Notes of this series subsequently issued under the Indenture shall be treated as a single series for all purposes under the Indenture, including, without limitation, waivers, amendments, redemptions and offers to purchase. The terms of the Notes include those stated in the Indenture and those made part of the Indenture by reference to the Trust Indenture Act of 1939, as amended (15 U.S. Code Sections 77aaa-77bbbb) (the "TIA"). The Notes are subject to all such terms, and Holders are referred to the Indenture and the TIA for a statement of such terms. To the extent any provision of this Note conflicts with the express provisions of the Indenture, the provisions of the Indenture shall govern and be controlling. The Notes are obligations of the Company unlimited in aggregate principal amount.</w:t>
      </w:r>
    </w:p>
    <w:p>
      <w:pPr>
        <w:spacing w:after="0" w:line="176" w:lineRule="exact"/>
        <w:rPr>
          <w:rFonts w:ascii="Courier New" w:cs="Courier New" w:eastAsia="Courier New" w:hAnsi="Courier New"/>
          <w:sz w:val="15"/>
          <w:szCs w:val="15"/>
          <w:color w:val="auto"/>
        </w:rPr>
      </w:pPr>
    </w:p>
    <w:p>
      <w:pPr>
        <w:ind w:left="1420" w:hanging="288"/>
        <w:spacing w:after="0"/>
        <w:tabs>
          <w:tab w:leader="none" w:pos="1420" w:val="left"/>
        </w:tabs>
        <w:numPr>
          <w:ilvl w:val="0"/>
          <w:numId w:val="3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OPTIONAL REDEMPTION.</w:t>
      </w:r>
    </w:p>
    <w:p>
      <w:pPr>
        <w:spacing w:after="0" w:line="186" w:lineRule="exact"/>
        <w:rPr>
          <w:sz w:val="20"/>
          <w:szCs w:val="20"/>
          <w:color w:val="auto"/>
        </w:rPr>
      </w:pPr>
    </w:p>
    <w:p>
      <w:pPr>
        <w:ind w:right="2659" w:firstLine="1132"/>
        <w:spacing w:after="0"/>
        <w:tabs>
          <w:tab w:leader="none" w:pos="1513" w:val="left"/>
        </w:tabs>
        <w:numPr>
          <w:ilvl w:val="0"/>
          <w:numId w:val="3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subparagraphs (b) and (c) of this Paragraph 5, the Notes will not be redeemable at the Company's option prior to November 15, 2008. Thereafter, the Notes will be subject to redemption at any time at the option of the Company, in whole or in part, upon not less than 30 nor more than 60 days' notice, at the redemption prices (expressed as percentages of principal amount) set forth below plus accrued and unpaid interest and Registration Default Damages thereon to the applicable redemption date, if redeemed during the twelve-month period beginning on November 15 of the years indicated below:</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Year</w:t>
            </w:r>
          </w:p>
        </w:tc>
        <w:tc>
          <w:tcPr>
            <w:tcW w:w="6040" w:type="dxa"/>
            <w:vAlign w:val="bottom"/>
          </w:tcPr>
          <w:p>
            <w:pPr>
              <w:spacing w:after="0"/>
              <w:rPr>
                <w:sz w:val="15"/>
                <w:szCs w:val="15"/>
                <w:color w:val="auto"/>
              </w:rPr>
            </w:pPr>
          </w:p>
        </w:tc>
        <w:tc>
          <w:tcPr>
            <w:tcW w:w="1340" w:type="dxa"/>
            <w:vAlign w:val="bottom"/>
          </w:tcPr>
          <w:p>
            <w:pPr>
              <w:ind w:left="200"/>
              <w:spacing w:after="0"/>
              <w:rPr>
                <w:sz w:val="20"/>
                <w:szCs w:val="20"/>
                <w:color w:val="auto"/>
              </w:rPr>
            </w:pPr>
            <w:r>
              <w:rPr>
                <w:rFonts w:ascii="Courier New" w:cs="Courier New" w:eastAsia="Courier New" w:hAnsi="Courier New"/>
                <w:sz w:val="16"/>
                <w:szCs w:val="16"/>
                <w:color w:val="auto"/>
              </w:rPr>
              <w:t>Percentage</w:t>
            </w:r>
          </w:p>
        </w:tc>
      </w:tr>
      <w:tr>
        <w:trPr>
          <w:trHeight w:val="182"/>
        </w:trPr>
        <w:tc>
          <w:tcPr>
            <w:tcW w:w="64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340" w:type="dxa"/>
            <w:vAlign w:val="bottom"/>
          </w:tcPr>
          <w:p>
            <w:pPr>
              <w:ind w:left="380"/>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2008</w:t>
            </w:r>
          </w:p>
        </w:tc>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w:t>
            </w:r>
          </w:p>
        </w:tc>
        <w:tc>
          <w:tcPr>
            <w:tcW w:w="1340" w:type="dxa"/>
            <w:vAlign w:val="bottom"/>
          </w:tcPr>
          <w:p>
            <w:pPr>
              <w:ind w:left="200"/>
              <w:spacing w:after="0"/>
              <w:rPr>
                <w:sz w:val="20"/>
                <w:szCs w:val="20"/>
                <w:color w:val="auto"/>
              </w:rPr>
            </w:pPr>
            <w:r>
              <w:rPr>
                <w:rFonts w:ascii="Courier New" w:cs="Courier New" w:eastAsia="Courier New" w:hAnsi="Courier New"/>
                <w:sz w:val="16"/>
                <w:szCs w:val="16"/>
                <w:color w:val="auto"/>
              </w:rPr>
              <w:t>103.313%</w:t>
            </w:r>
          </w:p>
        </w:tc>
      </w:tr>
      <w:tr>
        <w:trPr>
          <w:trHeight w:val="182"/>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2009</w:t>
            </w:r>
          </w:p>
        </w:tc>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w:t>
            </w:r>
          </w:p>
        </w:tc>
        <w:tc>
          <w:tcPr>
            <w:tcW w:w="1340" w:type="dxa"/>
            <w:vAlign w:val="bottom"/>
          </w:tcPr>
          <w:p>
            <w:pPr>
              <w:ind w:left="200"/>
              <w:spacing w:after="0"/>
              <w:rPr>
                <w:sz w:val="20"/>
                <w:szCs w:val="20"/>
                <w:color w:val="auto"/>
              </w:rPr>
            </w:pPr>
            <w:r>
              <w:rPr>
                <w:rFonts w:ascii="Courier New" w:cs="Courier New" w:eastAsia="Courier New" w:hAnsi="Courier New"/>
                <w:sz w:val="16"/>
                <w:szCs w:val="16"/>
                <w:color w:val="auto"/>
              </w:rPr>
              <w:t>102.208%</w:t>
            </w:r>
          </w:p>
        </w:tc>
      </w:tr>
      <w:tr>
        <w:trPr>
          <w:trHeight w:val="182"/>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2010</w:t>
            </w:r>
          </w:p>
        </w:tc>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w:t>
            </w:r>
          </w:p>
        </w:tc>
        <w:tc>
          <w:tcPr>
            <w:tcW w:w="1340" w:type="dxa"/>
            <w:vAlign w:val="bottom"/>
          </w:tcPr>
          <w:p>
            <w:pPr>
              <w:ind w:left="200"/>
              <w:spacing w:after="0"/>
              <w:rPr>
                <w:sz w:val="20"/>
                <w:szCs w:val="20"/>
                <w:color w:val="auto"/>
              </w:rPr>
            </w:pPr>
            <w:r>
              <w:rPr>
                <w:rFonts w:ascii="Courier New" w:cs="Courier New" w:eastAsia="Courier New" w:hAnsi="Courier New"/>
                <w:sz w:val="16"/>
                <w:szCs w:val="16"/>
                <w:color w:val="auto"/>
              </w:rPr>
              <w:t>101.104%</w:t>
            </w:r>
          </w:p>
        </w:tc>
      </w:tr>
      <w:tr>
        <w:trPr>
          <w:trHeight w:val="182"/>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2011</w:t>
            </w:r>
          </w:p>
        </w:tc>
        <w:tc>
          <w:tcPr>
            <w:tcW w:w="6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9"/>
              </w:rPr>
              <w:t>and thereafter...............................................</w:t>
            </w:r>
          </w:p>
        </w:tc>
        <w:tc>
          <w:tcPr>
            <w:tcW w:w="1340" w:type="dxa"/>
            <w:vAlign w:val="bottom"/>
          </w:tcPr>
          <w:p>
            <w:pPr>
              <w:ind w:left="200"/>
              <w:spacing w:after="0"/>
              <w:rPr>
                <w:sz w:val="20"/>
                <w:szCs w:val="20"/>
                <w:color w:val="auto"/>
              </w:rPr>
            </w:pPr>
            <w:r>
              <w:rPr>
                <w:rFonts w:ascii="Courier New" w:cs="Courier New" w:eastAsia="Courier New" w:hAnsi="Courier New"/>
                <w:sz w:val="16"/>
                <w:szCs w:val="16"/>
                <w:color w:val="auto"/>
              </w:rPr>
              <w:t>100.000%</w:t>
            </w:r>
          </w:p>
        </w:tc>
      </w:tr>
    </w:tbl>
    <w:p>
      <w:pPr>
        <w:spacing w:after="0" w:line="368" w:lineRule="exact"/>
        <w:rPr>
          <w:sz w:val="20"/>
          <w:szCs w:val="20"/>
          <w:color w:val="auto"/>
        </w:rPr>
      </w:pPr>
    </w:p>
    <w:p>
      <w:pPr>
        <w:ind w:right="2759" w:firstLine="1132"/>
        <w:spacing w:after="0" w:line="256" w:lineRule="auto"/>
        <w:tabs>
          <w:tab w:leader="none" w:pos="1513" w:val="left"/>
        </w:tabs>
        <w:numPr>
          <w:ilvl w:val="0"/>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prior to November 15, 2006, the Company may redeem up to 35% of the aggregate principal amount of Notes (calculated after giving effect to any issuance of Additional Notes) issued under the Indenture with the Net Cash Proceeds of one or more Equity Offerings at a redemption price of</w:t>
      </w:r>
    </w:p>
    <w:p>
      <w:pPr>
        <w:spacing w:after="0" w:line="2" w:lineRule="exact"/>
        <w:rPr>
          <w:rFonts w:ascii="Courier New" w:cs="Courier New" w:eastAsia="Courier New" w:hAnsi="Courier New"/>
          <w:sz w:val="15"/>
          <w:szCs w:val="15"/>
          <w:color w:val="auto"/>
        </w:rPr>
      </w:pPr>
    </w:p>
    <w:p>
      <w:pPr>
        <w:ind w:right="283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106.625% of the principal amount thereof, plus accrued and unpaid interest and Registration Default Damages, if any, to the redemption date (subject to the right of holders of record on the relevant record date to receive interest due on the relevant interest payment date); provided that:</w:t>
      </w:r>
    </w:p>
    <w:p>
      <w:pPr>
        <w:spacing w:after="0" w:line="183" w:lineRule="exact"/>
        <w:rPr>
          <w:sz w:val="20"/>
          <w:szCs w:val="20"/>
          <w:color w:val="auto"/>
        </w:rPr>
      </w:pPr>
    </w:p>
    <w:p>
      <w:pPr>
        <w:ind w:left="1520" w:hanging="388"/>
        <w:spacing w:after="0"/>
        <w:tabs>
          <w:tab w:leader="none" w:pos="1520" w:val="left"/>
        </w:tabs>
        <w:numPr>
          <w:ilvl w:val="0"/>
          <w:numId w:val="3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a Public Market at the time of such redemption;</w:t>
      </w:r>
    </w:p>
    <w:p>
      <w:pPr>
        <w:spacing w:after="0" w:line="186" w:lineRule="exact"/>
        <w:rPr>
          <w:rFonts w:ascii="Courier New" w:cs="Courier New" w:eastAsia="Courier New" w:hAnsi="Courier New"/>
          <w:sz w:val="16"/>
          <w:szCs w:val="16"/>
          <w:color w:val="auto"/>
        </w:rPr>
      </w:pPr>
    </w:p>
    <w:p>
      <w:pPr>
        <w:jc w:val="both"/>
        <w:ind w:left="560" w:right="2659" w:firstLine="572"/>
        <w:spacing w:after="0" w:line="239" w:lineRule="auto"/>
        <w:tabs>
          <w:tab w:leader="none" w:pos="1506" w:val="left"/>
        </w:tabs>
        <w:numPr>
          <w:ilvl w:val="0"/>
          <w:numId w:val="3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65% of the original principal amount of the Notes (calculated after giving effect to any issuance of Additional Notes) issued under the Indenture remains outstanding after each such redemption; and</w:t>
      </w:r>
    </w:p>
    <w:p>
      <w:pPr>
        <w:spacing w:after="0" w:line="36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481" w:right="1440" w:bottom="1440" w:gutter="0" w:footer="0" w:header="0"/>
        </w:sectPr>
      </w:pPr>
    </w:p>
    <w:bookmarkStart w:id="340" w:name="page341"/>
    <w:bookmarkEnd w:id="340"/>
    <w:p>
      <w:pPr>
        <w:ind w:left="560" w:right="2839" w:firstLine="572"/>
        <w:spacing w:after="0" w:line="237" w:lineRule="auto"/>
        <w:tabs>
          <w:tab w:leader="none" w:pos="1506" w:val="left"/>
        </w:tabs>
        <w:numPr>
          <w:ilvl w:val="0"/>
          <w:numId w:val="3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occurs within 60 days after the closing of such Equity Offering.</w:t>
      </w:r>
    </w:p>
    <w:p>
      <w:pPr>
        <w:spacing w:after="0" w:line="188"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If the optional redemption date is on or after an interest record date and on or before the related interest payment date, the accrued and unpaid interest, if any, will be paid to the Person in whose name the Note is registered at the close of business on such record date, and no additional interest will be payable to holders whose Notes will be subject to redemption by the Company.</w:t>
      </w:r>
    </w:p>
    <w:p>
      <w:pPr>
        <w:spacing w:after="0" w:line="190" w:lineRule="exact"/>
        <w:rPr>
          <w:sz w:val="20"/>
          <w:szCs w:val="20"/>
          <w:color w:val="auto"/>
        </w:rPr>
      </w:pPr>
    </w:p>
    <w:p>
      <w:pPr>
        <w:ind w:right="2759" w:firstLine="1132"/>
        <w:spacing w:after="0"/>
        <w:tabs>
          <w:tab w:leader="none" w:pos="1513" w:val="left"/>
        </w:tabs>
        <w:numPr>
          <w:ilvl w:val="0"/>
          <w:numId w:val="3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prior to November 15, 2008, the Notes may be redeemed or purchased, by or on behalf of the Company, in whole or in part, at the Company's option, upon not less than 30 nor more than 60 days notice, at a redemption or purchase price equal to 100% of the principal amount thereof plus the Applicable Premium plus accrued and unpaid interest, if any, to the redemption or purchase date (subject to the right of holders of record on the relevant record date to receive interest due on the relevant interest payment date).</w:t>
      </w:r>
    </w:p>
    <w:p>
      <w:pPr>
        <w:spacing w:after="0" w:line="187" w:lineRule="exact"/>
        <w:rPr>
          <w:sz w:val="20"/>
          <w:szCs w:val="20"/>
          <w:color w:val="auto"/>
        </w:rPr>
      </w:pPr>
    </w:p>
    <w:p>
      <w:pPr>
        <w:ind w:right="2659" w:firstLine="1135"/>
        <w:spacing w:after="0" w:line="258" w:lineRule="auto"/>
        <w:rPr>
          <w:sz w:val="20"/>
          <w:szCs w:val="20"/>
          <w:color w:val="auto"/>
        </w:rPr>
      </w:pPr>
      <w:r>
        <w:rPr>
          <w:rFonts w:ascii="Courier New" w:cs="Courier New" w:eastAsia="Courier New" w:hAnsi="Courier New"/>
          <w:sz w:val="15"/>
          <w:szCs w:val="15"/>
          <w:color w:val="auto"/>
        </w:rPr>
        <w:t>"Applicable Premium" means, with respect to a Note at any Redemption Date, the greater of (i) 1.0% of the principal amount of such Note and (ii) the excess of (A) the present value at such time of (1) the redemption price of such Note at November 15, 2008 (such redemption price being set forth in the table above) plus (2) all required interest payments due on such Note through November 15, 2008, computed using a discount rate equal to the Treasury Rate plus 50 basis points, over (B) the principal amount of such Note.</w:t>
      </w:r>
    </w:p>
    <w:p>
      <w:pPr>
        <w:spacing w:after="0" w:line="176"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"Treasury Rate" means the yield to maturity at the time of computation of United States Treasury securities with a constant maturity (as compiled and published in the most recent Federal Reserve Statistical Release H.15 (519) which has become publicly available at least two business days prior to the Redemption Date (or, if such Statistical Release is no longer published, any publicly available source or similar market data)) most nearly equal to the period from the Redemption Date to November 15, 2008; provided, however, that if the period from the Redemption Date to November 15, 2008 is not equal to the constant maturity of a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period from the Redemption Date to November 15, 2008 is less than one year, the weekly average yield on actually traded United States Treasury securities adjusted to a constant maturity of one year shall be used.</w:t>
      </w:r>
    </w:p>
    <w:p>
      <w:pPr>
        <w:spacing w:after="0" w:line="177"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6. MANDATORY REDEMPTION.</w:t>
      </w:r>
    </w:p>
    <w:p>
      <w:pPr>
        <w:spacing w:after="0" w:line="186" w:lineRule="exact"/>
        <w:rPr>
          <w:sz w:val="20"/>
          <w:szCs w:val="20"/>
          <w:color w:val="auto"/>
        </w:rPr>
      </w:pPr>
    </w:p>
    <w:p>
      <w:pPr>
        <w:ind w:right="2939" w:firstLine="1135"/>
        <w:spacing w:after="0" w:line="237" w:lineRule="auto"/>
        <w:rPr>
          <w:sz w:val="20"/>
          <w:szCs w:val="20"/>
          <w:color w:val="auto"/>
        </w:rPr>
      </w:pPr>
      <w:r>
        <w:rPr>
          <w:rFonts w:ascii="Courier New" w:cs="Courier New" w:eastAsia="Courier New" w:hAnsi="Courier New"/>
          <w:sz w:val="16"/>
          <w:szCs w:val="16"/>
          <w:color w:val="auto"/>
        </w:rPr>
        <w:t>The Company shall not be required to make mandatory redemption or sinking fund payments with respect to the Notes.</w:t>
      </w:r>
    </w:p>
    <w:p>
      <w:pPr>
        <w:spacing w:after="0" w:line="184"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7. REPURCHASE AT OPTION OF HOLDER.</w:t>
      </w:r>
    </w:p>
    <w:p>
      <w:pPr>
        <w:spacing w:after="0" w:line="186" w:lineRule="exact"/>
        <w:rPr>
          <w:sz w:val="20"/>
          <w:szCs w:val="20"/>
          <w:color w:val="auto"/>
        </w:rPr>
      </w:pPr>
    </w:p>
    <w:p>
      <w:pPr>
        <w:ind w:right="2659" w:firstLine="1132"/>
        <w:spacing w:after="0" w:line="239" w:lineRule="auto"/>
        <w:tabs>
          <w:tab w:leader="none" w:pos="1513" w:val="left"/>
        </w:tabs>
        <w:numPr>
          <w:ilvl w:val="0"/>
          <w:numId w:val="3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occurrence of a Change of Control, the Company shall make an offer (a "Change of Control Offer") to repurchase all or any part (equal to $1,000 or an integral multiple thereof) of each Holder's Notes at a purchase price equal to 101% of the aggregate principal amount thereof, plus accrued and unpaid interest and Registration Default Damages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19"/>
          </w:cols>
          <w:pgMar w:left="240" w:top="481" w:right="1440" w:bottom="1440" w:gutter="0" w:footer="0" w:header="0"/>
        </w:sectPr>
      </w:pPr>
    </w:p>
    <w:bookmarkStart w:id="341" w:name="page342"/>
    <w:bookmarkEnd w:id="341"/>
    <w:p>
      <w:pPr>
        <w:ind w:right="2759"/>
        <w:spacing w:after="0" w:line="239" w:lineRule="auto"/>
        <w:rPr>
          <w:sz w:val="20"/>
          <w:szCs w:val="20"/>
          <w:color w:val="auto"/>
        </w:rPr>
      </w:pPr>
      <w:r>
        <w:rPr>
          <w:rFonts w:ascii="Courier New" w:cs="Courier New" w:eastAsia="Courier New" w:hAnsi="Courier New"/>
          <w:sz w:val="16"/>
          <w:szCs w:val="16"/>
          <w:color w:val="auto"/>
        </w:rPr>
        <w:t>thereon, if any, to the date of repurchase (the "Change of Control Payment"). Within 30 days following any Change of Control, the Company shall mail a notice to each Holder setting forth the procedures governing the Change of Control Offer as required by the Indenture.</w:t>
      </w:r>
    </w:p>
    <w:p>
      <w:pPr>
        <w:spacing w:after="0" w:line="187" w:lineRule="exact"/>
        <w:rPr>
          <w:sz w:val="20"/>
          <w:szCs w:val="20"/>
          <w:color w:val="auto"/>
        </w:rPr>
      </w:pPr>
    </w:p>
    <w:p>
      <w:pPr>
        <w:ind w:right="2659" w:firstLine="1132"/>
        <w:spacing w:after="0" w:line="257" w:lineRule="auto"/>
        <w:tabs>
          <w:tab w:leader="none" w:pos="1513"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or a Restricted Subsidiary consummates any Asset Sales, when the aggregate amount of Excess Proceeds exceeds $10.0 million, the Company shall be required to make an offer to all Holders of Notes and all holders of other Indebtedness containing provisions similar to those set forth in the Indenture with respect to offers to purchase or redeem with the proceeds of sales of assets (an "Asset Sale Offer") to purchase the maximum principal amount of Notes and such other Indebtedness that may be purchased out of the Excess Proceeds, at an offer price in cash in an amount equal to 100% of the principal amount thereof plus accrued and unpaid interest and Registration Default Damages thereon, if any, to the date of purchase, in accordance with the procedures set forth in the Indenture and such other Indebtedness. To the extent that any Excess Proceeds remain after consummation of an Asset Sale Offer, the Company may use such Excess Proceeds for any purpose not otherwise prohibited by this Indenture. If the aggregate principal amount of Notes and such other Indebtedness tendered into such Asset Sale Offer surrendered by Holders thereof exceeds the amount of Excess Proceeds, the Trustee shall select the Notes and such other Indebtedness to be purchased on a pro rata basis. Upon completion of such offer to purchase, the amount of Excess Proceeds shall be reset at zero. Holders of Notes that are the subject of an offer to purchase will receive an Asset Sale Offer from the Company prior to any related purchase date and may elect to have such Notes purchased by completing the form entitled "Option of Holder to Elect Purchase" on the reverse of the Notes.</w:t>
      </w:r>
    </w:p>
    <w:p>
      <w:pPr>
        <w:spacing w:after="0" w:line="362" w:lineRule="exact"/>
        <w:rPr>
          <w:sz w:val="20"/>
          <w:szCs w:val="20"/>
          <w:color w:val="auto"/>
        </w:rPr>
      </w:pPr>
    </w:p>
    <w:p>
      <w:pPr>
        <w:ind w:right="3039" w:firstLine="1132"/>
        <w:spacing w:after="0" w:line="239" w:lineRule="auto"/>
        <w:tabs>
          <w:tab w:leader="none" w:pos="1419" w:val="left"/>
        </w:tabs>
        <w:numPr>
          <w:ilvl w:val="0"/>
          <w:numId w:val="3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REDEMPTION. Notice of redemption shall be mailed at least 30 days but not more than 60 days before the redemption date to each Holder whose Notes are to be redeemed at its registered address. Notes in denominations larger than $1,000 may be redeemed in part but only in whole multiples of $1,000, unless all of the Notes held by a Holder are to be redeemed. On and after the redemption date interest shall cease to accrue on Notes or portions thereof called for redemption.</w:t>
      </w:r>
    </w:p>
    <w:p>
      <w:pPr>
        <w:spacing w:after="0" w:line="191" w:lineRule="exact"/>
        <w:rPr>
          <w:rFonts w:ascii="Courier New" w:cs="Courier New" w:eastAsia="Courier New" w:hAnsi="Courier New"/>
          <w:sz w:val="16"/>
          <w:szCs w:val="16"/>
          <w:color w:val="auto"/>
        </w:rPr>
      </w:pPr>
    </w:p>
    <w:p>
      <w:pPr>
        <w:ind w:right="2659" w:firstLine="1132"/>
        <w:spacing w:after="0"/>
        <w:tabs>
          <w:tab w:leader="none" w:pos="1419" w:val="left"/>
        </w:tabs>
        <w:numPr>
          <w:ilvl w:val="0"/>
          <w:numId w:val="3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DENOMINATIONS, TRANSFER, EXCHANGE. The Notes are in registered form without coupons in denominations of $1,000 and integral multiples of $1,000.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corresponding Interest Payment Date.</w:t>
      </w:r>
    </w:p>
    <w:p>
      <w:pPr>
        <w:spacing w:after="0" w:line="189" w:lineRule="exact"/>
        <w:rPr>
          <w:rFonts w:ascii="Courier New" w:cs="Courier New" w:eastAsia="Courier New" w:hAnsi="Courier New"/>
          <w:sz w:val="16"/>
          <w:szCs w:val="16"/>
          <w:color w:val="auto"/>
        </w:rPr>
      </w:pPr>
    </w:p>
    <w:p>
      <w:pPr>
        <w:ind w:right="2939" w:firstLine="1132"/>
        <w:spacing w:after="0" w:line="237" w:lineRule="auto"/>
        <w:tabs>
          <w:tab w:leader="none" w:pos="1513" w:val="left"/>
        </w:tabs>
        <w:numPr>
          <w:ilvl w:val="0"/>
          <w:numId w:val="3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PERSONS DEEMED OWNERS. The registered Holder of a Note may be treated as its owner for all purposes under the Indenture.</w:t>
      </w:r>
    </w:p>
    <w:p>
      <w:pPr>
        <w:spacing w:after="0" w:line="36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219"/>
          </w:cols>
          <w:pgMar w:left="240" w:top="481" w:right="1440" w:bottom="1440" w:gutter="0" w:footer="0" w:header="0"/>
        </w:sectPr>
      </w:pPr>
    </w:p>
    <w:bookmarkStart w:id="342" w:name="page343"/>
    <w:bookmarkEnd w:id="342"/>
    <w:p>
      <w:pPr>
        <w:ind w:left="-1132" w:right="2659" w:firstLine="1132"/>
        <w:spacing w:after="0"/>
        <w:tabs>
          <w:tab w:leader="none" w:pos="381" w:val="left"/>
        </w:tabs>
        <w:numPr>
          <w:ilvl w:val="0"/>
          <w:numId w:val="3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SUPPLEMENT AND WAIVER. Subject to certain exceptions, the Indenture, the Notes or the Subsidiary Guarantees may be amended or supplemented with the consent of the Holders of at least a majority in principal amount of the then outstanding Notes (and Additional Notes, if any) voting as a single class, and any existing default or compliance with any provision of the Indenture, the Notes or the Subsidiary Guarantees may be waived with the consent of the Holders of a majority in principal amount of the then outstanding Notes (and Additional Notes, if any) voting as a single class. Without the consent of any Holder of a Note, the Indenture, the Notes or the Subsidiary Guarantees may be amended or supplemented to cure any ambiguity, defect or inconsistency, to provide for uncertificated Notes in addition to or in place of certificated Notes, to provide for the assumption of the Company's or the Guarantor's obligations to Holders of the Notes in case of a merger or consolidation, to make any change that would provide any additional rights or benefits to the Holders of the Notes or that does not adversely affect the legal rights under the Indenture of any such Holder, to comply with the requirements of the SEC in order to effect or maintain the qualification of the Indenture under the TIA, to provide for the issuance of Additional Notes in accordance with the limitations set forth in the Indenture or to allow any Guarantor to execute a supplemental indenture to the Indenture and/or a subsidiary guarantee with respect to the Notes.</w:t>
      </w:r>
    </w:p>
    <w:p>
      <w:pPr>
        <w:spacing w:after="0" w:line="195" w:lineRule="exact"/>
        <w:rPr>
          <w:rFonts w:ascii="Courier New" w:cs="Courier New" w:eastAsia="Courier New" w:hAnsi="Courier New"/>
          <w:sz w:val="16"/>
          <w:szCs w:val="16"/>
          <w:color w:val="auto"/>
        </w:rPr>
      </w:pPr>
    </w:p>
    <w:p>
      <w:pPr>
        <w:ind w:left="-1132" w:right="2659" w:firstLine="1132"/>
        <w:spacing w:after="0" w:line="239" w:lineRule="auto"/>
        <w:tabs>
          <w:tab w:leader="none" w:pos="381" w:val="left"/>
        </w:tabs>
        <w:numPr>
          <w:ilvl w:val="0"/>
          <w:numId w:val="3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DISCHARGE AND DEFEASANCE. Subject to certain conditions, the Company at any time may terminate some or all of its obligations under this Note and the Indenture if the Company deposits with the Trustee money and/or Government Securities for the payment of Principal and interest on this Note to maturity.</w:t>
      </w:r>
    </w:p>
    <w:p>
      <w:pPr>
        <w:spacing w:after="0" w:line="184" w:lineRule="exact"/>
        <w:rPr>
          <w:rFonts w:ascii="Courier New" w:cs="Courier New" w:eastAsia="Courier New" w:hAnsi="Courier New"/>
          <w:sz w:val="16"/>
          <w:szCs w:val="16"/>
          <w:color w:val="auto"/>
        </w:rPr>
      </w:pPr>
    </w:p>
    <w:p>
      <w:pPr>
        <w:ind w:left="388" w:hanging="388"/>
        <w:spacing w:after="0"/>
        <w:tabs>
          <w:tab w:leader="none" w:pos="388" w:val="left"/>
        </w:tabs>
        <w:numPr>
          <w:ilvl w:val="0"/>
          <w:numId w:val="3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DEFAULTS AND REMEDIES.</w:t>
      </w:r>
    </w:p>
    <w:p>
      <w:pPr>
        <w:spacing w:after="0" w:line="186" w:lineRule="exact"/>
        <w:rPr>
          <w:sz w:val="20"/>
          <w:szCs w:val="20"/>
          <w:color w:val="auto"/>
        </w:rPr>
      </w:pPr>
    </w:p>
    <w:p>
      <w:pPr>
        <w:ind w:left="-1132" w:right="2659" w:firstLine="1132"/>
        <w:spacing w:after="0" w:line="257" w:lineRule="auto"/>
        <w:tabs>
          <w:tab w:leader="none" w:pos="381" w:val="left"/>
        </w:tabs>
        <w:numPr>
          <w:ilvl w:val="0"/>
          <w:numId w:val="3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of Default under the Indenture include: (i) default for 30 days in the payment when due of interest on, or Registration Default Damages with respect to, the Notes (whether or not prohibited by the subordination provisions of the Indenture); (ii) default in payment when due of the principal of or premium, if any, on the Notes (whether or not prohibited by the subordination provisions of the Indenture); (iii) failure by the Company or any of its Subsidiaries for 30 days after notice to comply with the provisions of Sections 4.07, 4.09, 4.10 or 4.15 of the Indenture; (iv) failure by the Company to comply with its obligations under 5.01 hereof; (v) failure by the Company or any of its Subsidiaries for 60 days after notice to comply with any of its other agreements in the Indenture or the Notes; (vi) 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whether such Indebtedness or guarantee now exists, or is created after the date of the Indenture, which default (a) is caused by a failure to pay principal of or premium, if any, or interest on such Indebtedness prior to the expiration of the grace period provided in such Indebtedness on the date of such default (a "Payment Default") or (b)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 (vii) failure by the Company or any of its Subsidiaries to pay final judgments aggregating in excess of $20.0 million, which judgments are not paid, discharged or stayed for a period of 60 days; (viii) except as permitted by the Indenture,</w:t>
      </w:r>
    </w:p>
    <w:p>
      <w:pPr>
        <w:spacing w:after="0" w:line="358" w:lineRule="exact"/>
        <w:rPr>
          <w:sz w:val="20"/>
          <w:szCs w:val="20"/>
          <w:color w:val="auto"/>
        </w:rPr>
      </w:pPr>
    </w:p>
    <w:p>
      <w:pPr>
        <w:ind w:left="2468"/>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9087"/>
          </w:cols>
          <w:pgMar w:left="1372" w:top="481" w:right="1440" w:bottom="1440" w:gutter="0" w:footer="0" w:header="0"/>
        </w:sectPr>
      </w:pPr>
    </w:p>
    <w:bookmarkStart w:id="343" w:name="page344"/>
    <w:bookmarkEnd w:id="343"/>
    <w:p>
      <w:pPr>
        <w:ind w:right="2659"/>
        <w:spacing w:after="0"/>
        <w:rPr>
          <w:sz w:val="20"/>
          <w:szCs w:val="20"/>
          <w:color w:val="auto"/>
        </w:rPr>
      </w:pPr>
      <w:r>
        <w:rPr>
          <w:rFonts w:ascii="Courier New" w:cs="Courier New" w:eastAsia="Courier New" w:hAnsi="Courier New"/>
          <w:sz w:val="16"/>
          <w:szCs w:val="16"/>
          <w:color w:val="auto"/>
        </w:rPr>
        <w:t>any Subsidiary Guarantee(s) of any Guarantor that is a Significant Subsidiary or of any group of Guarantors that collectively would constitute a Significant Subsidiary shall be held in any judicial proceeding to be unenforceable or invalid or shall cease for any reason to be in full force and effect or any Guarantor that is a Significant Subsidiary or any group of Guarantors that collectively would constitute a Significant Subsidiary, or any Person acting on behalf of any such Guarantor or group of Guarantors, shall deny or disaffirm the obligations of each such Guarantor under its Subsidiary Guarantee; and (ix) certain events of bankruptcy or insolvency with respect to the Company or any of its Significant Subsidiaries.</w:t>
      </w:r>
    </w:p>
    <w:p>
      <w:pPr>
        <w:spacing w:after="0" w:line="188" w:lineRule="exact"/>
        <w:rPr>
          <w:sz w:val="20"/>
          <w:szCs w:val="20"/>
          <w:color w:val="auto"/>
        </w:rPr>
      </w:pPr>
    </w:p>
    <w:p>
      <w:pPr>
        <w:ind w:right="2659" w:firstLine="1132"/>
        <w:spacing w:after="0" w:line="257" w:lineRule="auto"/>
        <w:tabs>
          <w:tab w:leader="none" w:pos="1513" w:val="left"/>
        </w:tabs>
        <w:numPr>
          <w:ilvl w:val="0"/>
          <w:numId w:val="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Event of Default occurs and is continuing, the Trustee or the Holders of at least 25% in principal amount of the then outstanding Notes may declare all the Notes to be due and payable immediately. Notwithstanding the foregoing, in the case of an Event of Default arising from certain events of bankruptcy or insolvency, all outstanding Notes shall become due and payable without further action or notice. Holders may not enforce the Indenture or the Notes except as provided in the Indenture. Subject to certain limitations, Holders of a majority in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or interest) if it determines that withholding notice is in their interest.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on, or principal of, the Notes. The Company shall deliver to the Trustee annually a statement regarding compliance with the Indenture, and the Company, upon becoming aware of any Default or Event of Default, shall deliver to the Trustee a statement specifying such Default or Event of Default.</w:t>
      </w:r>
    </w:p>
    <w:p>
      <w:pPr>
        <w:spacing w:after="0" w:line="180" w:lineRule="exact"/>
        <w:rPr>
          <w:sz w:val="20"/>
          <w:szCs w:val="20"/>
          <w:color w:val="auto"/>
        </w:rPr>
      </w:pPr>
    </w:p>
    <w:p>
      <w:pPr>
        <w:ind w:right="2659" w:firstLine="1132"/>
        <w:spacing w:after="0"/>
        <w:tabs>
          <w:tab w:leader="none" w:pos="1513" w:val="left"/>
        </w:tabs>
        <w:numPr>
          <w:ilvl w:val="0"/>
          <w:numId w:val="3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SUBROGATION. The Company agrees, and each Holder by accepting this Note agrees, that the principal of and premium, interest and Registration Default Damages, if any, with respect to this Note are subordinated in right of payment, to the extent and in the manner provided in Article 10 of the Indenture, to the prior payment in full in cash or Cash Equivalents of all Senior Debt of the Company (whether outstanding on the date hereof or hereafter created, incurred, assumed or guaranteed), and that the subordination is for the benefit of the holders of Senior Debt.</w:t>
      </w:r>
    </w:p>
    <w:p>
      <w:pPr>
        <w:spacing w:after="0" w:line="186" w:lineRule="exact"/>
        <w:rPr>
          <w:rFonts w:ascii="Courier New" w:cs="Courier New" w:eastAsia="Courier New" w:hAnsi="Courier New"/>
          <w:sz w:val="16"/>
          <w:szCs w:val="16"/>
          <w:color w:val="auto"/>
        </w:rPr>
      </w:pPr>
    </w:p>
    <w:p>
      <w:pPr>
        <w:ind w:right="2659" w:firstLine="1132"/>
        <w:spacing w:after="0" w:line="239" w:lineRule="auto"/>
        <w:tabs>
          <w:tab w:leader="none" w:pos="1513" w:val="left"/>
        </w:tabs>
        <w:numPr>
          <w:ilvl w:val="0"/>
          <w:numId w:val="3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TRUSTEE DEALINGS WITH COMPANY. The Trustee, in its individual or any other capacity, may make loans to, accept deposits from, and perform services for the Company or its Affiliates, and may otherwise deal with the Company or its Affiliates, as if it were not the Trustee.</w:t>
      </w:r>
    </w:p>
    <w:p>
      <w:pPr>
        <w:spacing w:after="0" w:line="187" w:lineRule="exact"/>
        <w:rPr>
          <w:rFonts w:ascii="Courier New" w:cs="Courier New" w:eastAsia="Courier New" w:hAnsi="Courier New"/>
          <w:sz w:val="16"/>
          <w:szCs w:val="16"/>
          <w:color w:val="auto"/>
        </w:rPr>
      </w:pPr>
    </w:p>
    <w:p>
      <w:pPr>
        <w:ind w:right="2659" w:firstLine="1132"/>
        <w:spacing w:after="0"/>
        <w:tabs>
          <w:tab w:leader="none" w:pos="1513" w:val="left"/>
        </w:tabs>
        <w:numPr>
          <w:ilvl w:val="0"/>
          <w:numId w:val="3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RECOURSE AGAINST OTHERS. No past, present or future director, officer, employee, incorporator or shareholder, of the Company or any Guarantor, as such, shall not have any liability for any obligations of the Company or any Guarantor under the Notes, any Subsidiary Guarantee; the Registration Rights Agreement the Indenture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36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A-7</w:t>
      </w:r>
    </w:p>
    <w:p>
      <w:pPr>
        <w:sectPr>
          <w:pgSz w:w="11900" w:h="16838" w:orient="portrait"/>
          <w:cols w:equalWidth="0" w:num="1">
            <w:col w:w="10219"/>
          </w:cols>
          <w:pgMar w:left="240" w:top="481" w:right="1440" w:bottom="1440" w:gutter="0" w:footer="0" w:header="0"/>
        </w:sectPr>
      </w:pPr>
    </w:p>
    <w:bookmarkStart w:id="344" w:name="page345"/>
    <w:bookmarkEnd w:id="344"/>
    <w:p>
      <w:pPr>
        <w:ind w:right="2839" w:firstLine="1132"/>
        <w:spacing w:after="0" w:line="237" w:lineRule="auto"/>
        <w:tabs>
          <w:tab w:leader="none" w:pos="1513"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NOTE SHALL BE GOVERNED BY AND CONSTRUED IN ACCORDANCE WITH THE LAWS OF THE STATE OF NEW YORK.</w:t>
      </w:r>
    </w:p>
    <w:p>
      <w:pPr>
        <w:spacing w:after="0" w:line="187" w:lineRule="exact"/>
        <w:rPr>
          <w:rFonts w:ascii="Courier New" w:cs="Courier New" w:eastAsia="Courier New" w:hAnsi="Courier New"/>
          <w:sz w:val="16"/>
          <w:szCs w:val="16"/>
          <w:color w:val="auto"/>
        </w:rPr>
      </w:pPr>
    </w:p>
    <w:p>
      <w:pPr>
        <w:ind w:right="2759" w:firstLine="1132"/>
        <w:spacing w:after="0" w:line="239" w:lineRule="auto"/>
        <w:tabs>
          <w:tab w:leader="none" w:pos="1513"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GUARANTEES. This Note will be entitled to the benefits of certain Subsidiary Guarantees made for the benefit of the Holders. Reference is hereby made to the Indenture for a statement of the respective rights, limitations of rights, duties and obligations thereunder of the Guarantors, the Trustee and the Holders.</w:t>
      </w:r>
    </w:p>
    <w:p>
      <w:pPr>
        <w:spacing w:after="0" w:line="188" w:lineRule="exact"/>
        <w:rPr>
          <w:rFonts w:ascii="Courier New" w:cs="Courier New" w:eastAsia="Courier New" w:hAnsi="Courier New"/>
          <w:sz w:val="16"/>
          <w:szCs w:val="16"/>
          <w:color w:val="auto"/>
        </w:rPr>
      </w:pPr>
    </w:p>
    <w:p>
      <w:pPr>
        <w:ind w:right="2659" w:firstLine="1132"/>
        <w:spacing w:after="0" w:line="267" w:lineRule="auto"/>
        <w:tabs>
          <w:tab w:leader="none" w:pos="1513" w:val="left"/>
        </w:tabs>
        <w:numPr>
          <w:ilvl w:val="0"/>
          <w:numId w:val="3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AUTHENTICATION. This Note shall not be valid until authenticated by the manual signature of the Trustee or an authenticating agent.</w:t>
      </w:r>
    </w:p>
    <w:p>
      <w:pPr>
        <w:spacing w:after="0" w:line="167" w:lineRule="exact"/>
        <w:rPr>
          <w:rFonts w:ascii="Courier New" w:cs="Courier New" w:eastAsia="Courier New" w:hAnsi="Courier New"/>
          <w:sz w:val="15"/>
          <w:szCs w:val="15"/>
          <w:color w:val="auto"/>
        </w:rPr>
      </w:pPr>
    </w:p>
    <w:p>
      <w:pPr>
        <w:ind w:right="2659" w:firstLine="1132"/>
        <w:spacing w:after="0" w:line="239" w:lineRule="auto"/>
        <w:tabs>
          <w:tab w:leader="none" w:pos="1513"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ABBREVIATIONS. Customary abbreviations may be used in the name of a Holder or an assignee, such as: TEN COM (= tenants in common), TEN ENT (= tenants by the entirety), JT TEN (= joint tenants with right of survivorship and not as tenants in common), CUST (= Custodian), and U/G/M/A (= Uniform Gifts to Minors Act).</w:t>
      </w:r>
    </w:p>
    <w:p>
      <w:pPr>
        <w:spacing w:after="0" w:line="188" w:lineRule="exact"/>
        <w:rPr>
          <w:rFonts w:ascii="Courier New" w:cs="Courier New" w:eastAsia="Courier New" w:hAnsi="Courier New"/>
          <w:sz w:val="16"/>
          <w:szCs w:val="16"/>
          <w:color w:val="auto"/>
        </w:rPr>
      </w:pPr>
    </w:p>
    <w:p>
      <w:pPr>
        <w:ind w:right="2939" w:firstLine="1132"/>
        <w:spacing w:after="0"/>
        <w:tabs>
          <w:tab w:leader="none" w:pos="1513"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RIGHTS OF HOLDERS OF RESTRICTED GLOBAL NOTES AND RESTRICTED DEFINITIVE NOTES. In addition to the rights provided to Holders of Notes under the Indenture, Holders of Initial Notes shall have all the rights set forth in the Registration Rights Agreement or, in the case of Additional Notes, Holders shall have the rights set forth in one or more registration rights agreements, if any, between the Company and the other parties thereto, relating to rights given by the Company to the purchasers of any Additional Notes.</w:t>
      </w:r>
    </w:p>
    <w:p>
      <w:pPr>
        <w:spacing w:after="0" w:line="186" w:lineRule="exact"/>
        <w:rPr>
          <w:rFonts w:ascii="Courier New" w:cs="Courier New" w:eastAsia="Courier New" w:hAnsi="Courier New"/>
          <w:sz w:val="16"/>
          <w:szCs w:val="16"/>
          <w:color w:val="auto"/>
        </w:rPr>
      </w:pPr>
    </w:p>
    <w:p>
      <w:pPr>
        <w:ind w:right="2759" w:firstLine="1132"/>
        <w:spacing w:after="0" w:line="239" w:lineRule="auto"/>
        <w:tabs>
          <w:tab w:leader="none" w:pos="1513"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NUMBERS. Pursuant to a recommendation promulgated by the Committee on Uniform Security Identification Procedures, 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92" w:lineRule="exact"/>
        <w:rPr>
          <w:sz w:val="20"/>
          <w:szCs w:val="20"/>
          <w:color w:val="auto"/>
        </w:rPr>
      </w:pPr>
    </w:p>
    <w:p>
      <w:pPr>
        <w:ind w:right="2659" w:firstLine="1135"/>
        <w:spacing w:after="0" w:line="238" w:lineRule="auto"/>
        <w:rPr>
          <w:sz w:val="20"/>
          <w:szCs w:val="20"/>
          <w:color w:val="auto"/>
        </w:rPr>
      </w:pPr>
      <w:r>
        <w:rPr>
          <w:rFonts w:ascii="Courier New" w:cs="Courier New" w:eastAsia="Courier New" w:hAnsi="Courier New"/>
          <w:sz w:val="16"/>
          <w:szCs w:val="16"/>
          <w:color w:val="auto"/>
        </w:rPr>
        <w:t>The Company shall furnish to any Holder upon written request and without charge a copy of the Indenture and/or the Registration Rights Agreement. Requests may be made to:</w:t>
      </w:r>
    </w:p>
    <w:p>
      <w:pPr>
        <w:spacing w:after="0" w:line="184"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14111 Scottslawn Road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Marysville, Ohio 43041</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Telecopier No.: (937) 644-7136</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Attention: Treasurer</w:t>
      </w:r>
    </w:p>
    <w:p>
      <w:pPr>
        <w:spacing w:after="0" w:line="36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A-8</w:t>
      </w:r>
    </w:p>
    <w:p>
      <w:pPr>
        <w:sectPr>
          <w:pgSz w:w="11900" w:h="16838" w:orient="portrait"/>
          <w:cols w:equalWidth="0" w:num="1">
            <w:col w:w="10219"/>
          </w:cols>
          <w:pgMar w:left="240" w:top="481" w:right="1440" w:bottom="1440" w:gutter="0" w:footer="0" w:header="0"/>
        </w:sectPr>
      </w:pPr>
    </w:p>
    <w:bookmarkStart w:id="345" w:name="page346"/>
    <w:bookmarkEnd w:id="345"/>
    <w:p>
      <w:pPr>
        <w:ind w:left="3123"/>
        <w:spacing w:after="0"/>
        <w:rPr>
          <w:sz w:val="20"/>
          <w:szCs w:val="20"/>
          <w:color w:val="auto"/>
        </w:rPr>
      </w:pPr>
      <w:r>
        <w:rPr>
          <w:rFonts w:ascii="Courier New" w:cs="Courier New" w:eastAsia="Courier New" w:hAnsi="Courier New"/>
          <w:sz w:val="16"/>
          <w:szCs w:val="16"/>
          <w:color w:val="auto"/>
        </w:rPr>
        <w:t>ASSIGNMENT FORM</w:t>
      </w:r>
    </w:p>
    <w:p>
      <w:pPr>
        <w:spacing w:after="0" w:line="186" w:lineRule="exact"/>
        <w:rPr>
          <w:sz w:val="20"/>
          <w:szCs w:val="20"/>
          <w:color w:val="auto"/>
        </w:rPr>
      </w:pPr>
    </w:p>
    <w:p>
      <w:pPr>
        <w:ind w:left="3" w:right="3039"/>
        <w:spacing w:after="0" w:line="237" w:lineRule="auto"/>
        <w:rPr>
          <w:sz w:val="20"/>
          <w:szCs w:val="20"/>
          <w:color w:val="auto"/>
        </w:rPr>
      </w:pPr>
      <w:r>
        <w:rPr>
          <w:rFonts w:ascii="Courier New" w:cs="Courier New" w:eastAsia="Courier New" w:hAnsi="Courier New"/>
          <w:sz w:val="16"/>
          <w:szCs w:val="16"/>
          <w:color w:val="auto"/>
        </w:rPr>
        <w:t>To assign this Note, fill in the form below: (I) or (we) assign and transfer this Note to</w:t>
      </w:r>
    </w:p>
    <w:p>
      <w:pPr>
        <w:spacing w:after="0" w:line="188" w:lineRule="exact"/>
        <w:rPr>
          <w:sz w:val="20"/>
          <w:szCs w:val="20"/>
          <w:color w:val="auto"/>
        </w:rPr>
      </w:pPr>
    </w:p>
    <w:p>
      <w:pPr>
        <w:ind w:left="183" w:hanging="183"/>
        <w:spacing w:after="0"/>
        <w:tabs>
          <w:tab w:leader="none" w:pos="183"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70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(Insert assignee's soc. sec. or tax I.D. no.)</w:t>
      </w:r>
    </w:p>
    <w:p>
      <w:pPr>
        <w:spacing w:after="0" w:line="186"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3"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3"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3"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(Print or type assignee's name, address and zip code)</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and irrevocably appoint_______________________________________________________</w:t>
      </w:r>
    </w:p>
    <w:p>
      <w:pPr>
        <w:spacing w:after="0" w:line="5" w:lineRule="exact"/>
        <w:rPr>
          <w:sz w:val="20"/>
          <w:szCs w:val="20"/>
          <w:color w:val="auto"/>
        </w:rPr>
      </w:pPr>
    </w:p>
    <w:p>
      <w:pPr>
        <w:ind w:left="3" w:right="3119"/>
        <w:spacing w:after="0" w:line="237" w:lineRule="auto"/>
        <w:rPr>
          <w:sz w:val="20"/>
          <w:szCs w:val="20"/>
          <w:color w:val="auto"/>
        </w:rPr>
      </w:pPr>
      <w:r>
        <w:rPr>
          <w:rFonts w:ascii="Courier New" w:cs="Courier New" w:eastAsia="Courier New" w:hAnsi="Courier New"/>
          <w:sz w:val="16"/>
          <w:szCs w:val="16"/>
          <w:color w:val="auto"/>
        </w:rPr>
        <w:t>to transfer this Note on the books of the Company. The agent may substitute another to act for him.</w:t>
      </w:r>
    </w:p>
    <w:p>
      <w:pPr>
        <w:spacing w:after="0" w:line="188"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Date:</w:t>
      </w:r>
    </w:p>
    <w:p>
      <w:pPr>
        <w:spacing w:after="0" w:line="1"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Your Signature:</w:t>
      </w:r>
    </w:p>
    <w:p>
      <w:pPr>
        <w:spacing w:after="0" w:line="1" w:lineRule="exact"/>
        <w:rPr>
          <w:sz w:val="20"/>
          <w:szCs w:val="20"/>
          <w:color w:val="auto"/>
        </w:rPr>
      </w:pPr>
    </w:p>
    <w:p>
      <w:pPr>
        <w:ind w:left="530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(Sign exactly as your name appears on</w:t>
      </w:r>
    </w:p>
    <w:p>
      <w:pPr>
        <w:spacing w:after="0" w:line="1"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the face of this Note)</w:t>
      </w:r>
    </w:p>
    <w:p>
      <w:pPr>
        <w:spacing w:after="0" w:line="183"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Tax Identification No:</w:t>
      </w:r>
    </w:p>
    <w:p>
      <w:pPr>
        <w:spacing w:after="0" w:line="1" w:lineRule="exact"/>
        <w:rPr>
          <w:sz w:val="20"/>
          <w:szCs w:val="20"/>
          <w:color w:val="auto"/>
        </w:rPr>
      </w:pPr>
    </w:p>
    <w:p>
      <w:pPr>
        <w:ind w:left="586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SIGNATURE GUARANTEE:</w:t>
      </w:r>
    </w:p>
    <w:p>
      <w:pPr>
        <w:spacing w:after="0" w:line="183"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Signatures must be guaranteed by an</w:t>
      </w:r>
    </w:p>
    <w:p>
      <w:pPr>
        <w:spacing w:after="0" w:line="1"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"eligible guarantor institution" meeting</w:t>
      </w:r>
    </w:p>
    <w:p>
      <w:pPr>
        <w:spacing w:after="0" w:line="1"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the requirements of the Registrar, which</w:t>
      </w:r>
    </w:p>
    <w:p>
      <w:pPr>
        <w:spacing w:after="0" w:line="1"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requirements include membership or</w:t>
      </w:r>
    </w:p>
    <w:p>
      <w:pPr>
        <w:spacing w:after="0" w:line="1"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participation in the Security Transfer</w:t>
      </w:r>
    </w:p>
    <w:p>
      <w:pPr>
        <w:spacing w:after="0" w:line="1"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Agent Medallion Program ("STAMP") or</w:t>
      </w:r>
    </w:p>
    <w:p>
      <w:pPr>
        <w:spacing w:after="0" w:line="1"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such other "signature guarantee program"</w:t>
      </w:r>
    </w:p>
    <w:p>
      <w:pPr>
        <w:spacing w:after="0" w:line="1"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as may be determined by the Registrar in</w:t>
      </w:r>
    </w:p>
    <w:p>
      <w:pPr>
        <w:spacing w:after="0" w:line="1"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addition to, or in substitution for,</w:t>
      </w:r>
    </w:p>
    <w:p>
      <w:pPr>
        <w:spacing w:after="0" w:line="1"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STAMP, all in accordance with the</w:t>
      </w:r>
    </w:p>
    <w:p>
      <w:pPr>
        <w:spacing w:after="0" w:line="1"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Securities Exchange Act of 1934, as</w:t>
      </w:r>
    </w:p>
    <w:p>
      <w:pPr>
        <w:spacing w:after="0" w:line="1"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amended.</w:t>
      </w:r>
    </w:p>
    <w:p>
      <w:pPr>
        <w:spacing w:after="0" w:line="364"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A-9</w:t>
      </w:r>
    </w:p>
    <w:p>
      <w:pPr>
        <w:sectPr>
          <w:pgSz w:w="11900" w:h="16838" w:orient="portrait"/>
          <w:cols w:equalWidth="0" w:num="1">
            <w:col w:w="10222"/>
          </w:cols>
          <w:pgMar w:left="237" w:top="477" w:right="1440" w:bottom="1440" w:gutter="0" w:footer="0" w:header="0"/>
        </w:sectPr>
      </w:pPr>
    </w:p>
    <w:bookmarkStart w:id="346" w:name="page347"/>
    <w:bookmarkEnd w:id="346"/>
    <w:p>
      <w:pPr>
        <w:ind w:left="2180"/>
        <w:spacing w:after="0"/>
        <w:rPr>
          <w:sz w:val="20"/>
          <w:szCs w:val="20"/>
          <w:color w:val="auto"/>
        </w:rPr>
      </w:pPr>
      <w:r>
        <w:rPr>
          <w:rFonts w:ascii="Courier New" w:cs="Courier New" w:eastAsia="Courier New" w:hAnsi="Courier New"/>
          <w:sz w:val="16"/>
          <w:szCs w:val="16"/>
          <w:color w:val="auto"/>
        </w:rPr>
        <w:t>OPTION OF HOLDER TO ELECT PURCHASE</w:t>
      </w:r>
    </w:p>
    <w:p>
      <w:pPr>
        <w:spacing w:after="0" w:line="186" w:lineRule="exact"/>
        <w:rPr>
          <w:sz w:val="20"/>
          <w:szCs w:val="20"/>
          <w:color w:val="auto"/>
        </w:rPr>
      </w:pPr>
    </w:p>
    <w:p>
      <w:pPr>
        <w:ind w:right="3119" w:firstLine="1135"/>
        <w:spacing w:after="0" w:line="267" w:lineRule="auto"/>
        <w:rPr>
          <w:sz w:val="20"/>
          <w:szCs w:val="20"/>
          <w:color w:val="auto"/>
        </w:rPr>
      </w:pPr>
      <w:r>
        <w:rPr>
          <w:rFonts w:ascii="Courier New" w:cs="Courier New" w:eastAsia="Courier New" w:hAnsi="Courier New"/>
          <w:sz w:val="15"/>
          <w:szCs w:val="15"/>
          <w:color w:val="auto"/>
        </w:rPr>
        <w:t>If you want to elect to have this Note purchased by the Company pursuant to Section 4.10 or 4.15 of the Indenture, check the box below:</w:t>
      </w:r>
    </w:p>
    <w:p>
      <w:pPr>
        <w:spacing w:after="0" w:line="164" w:lineRule="exact"/>
        <w:rPr>
          <w:sz w:val="20"/>
          <w:szCs w:val="20"/>
          <w:color w:val="auto"/>
        </w:rPr>
      </w:pPr>
    </w:p>
    <w:p>
      <w:pPr>
        <w:ind w:left="1140"/>
        <w:spacing w:after="0"/>
        <w:tabs>
          <w:tab w:leader="none" w:pos="3100" w:val="left"/>
        </w:tabs>
        <w:rPr>
          <w:sz w:val="20"/>
          <w:szCs w:val="20"/>
          <w:color w:val="auto"/>
        </w:rPr>
      </w:pPr>
      <w:r>
        <w:rPr>
          <w:rFonts w:ascii="Courier New" w:cs="Courier New" w:eastAsia="Courier New" w:hAnsi="Courier New"/>
          <w:sz w:val="16"/>
          <w:szCs w:val="16"/>
          <w:color w:val="auto"/>
        </w:rPr>
        <w:t>[ ] Section 4.10</w:t>
      </w:r>
      <w:r>
        <w:rPr>
          <w:sz w:val="20"/>
          <w:szCs w:val="20"/>
          <w:color w:val="auto"/>
        </w:rPr>
        <w:tab/>
      </w:r>
      <w:r>
        <w:rPr>
          <w:rFonts w:ascii="Courier New" w:cs="Courier New" w:eastAsia="Courier New" w:hAnsi="Courier New"/>
          <w:sz w:val="15"/>
          <w:szCs w:val="15"/>
          <w:color w:val="auto"/>
        </w:rPr>
        <w:t>[ ] Section 4.15</w:t>
      </w:r>
    </w:p>
    <w:p>
      <w:pPr>
        <w:spacing w:after="0" w:line="186" w:lineRule="exact"/>
        <w:rPr>
          <w:sz w:val="20"/>
          <w:szCs w:val="20"/>
          <w:color w:val="auto"/>
        </w:rPr>
      </w:pPr>
    </w:p>
    <w:p>
      <w:pPr>
        <w:ind w:right="2759" w:firstLine="1135"/>
        <w:spacing w:after="0" w:line="238" w:lineRule="auto"/>
        <w:rPr>
          <w:sz w:val="20"/>
          <w:szCs w:val="20"/>
          <w:color w:val="auto"/>
        </w:rPr>
      </w:pPr>
      <w:r>
        <w:rPr>
          <w:rFonts w:ascii="Courier New" w:cs="Courier New" w:eastAsia="Courier New" w:hAnsi="Courier New"/>
          <w:sz w:val="16"/>
          <w:szCs w:val="16"/>
          <w:color w:val="auto"/>
        </w:rPr>
        <w:t>If you want to elect to have only part of the Note purchased by the Company pursuant to Section 4.10 or Section 4.15 of the Indenture, state the amount you elect to have purchased: $________</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Your Signature:</w:t>
      </w:r>
    </w:p>
    <w:p>
      <w:pPr>
        <w:spacing w:after="0" w:line="5" w:lineRule="exact"/>
        <w:rPr>
          <w:sz w:val="20"/>
          <w:szCs w:val="20"/>
          <w:color w:val="auto"/>
        </w:rPr>
      </w:pPr>
    </w:p>
    <w:p>
      <w:pPr>
        <w:ind w:left="5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(Sign exactly as your name appears on</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the face of this Note)</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Tax Identification No:</w:t>
      </w:r>
    </w:p>
    <w:p>
      <w:pPr>
        <w:spacing w:after="0" w:line="5"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SIGNATURE GUARANTEE:</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Signatures must be guaranteed by an</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"eligible guarantor institution" meeting</w:t>
      </w:r>
    </w:p>
    <w:p>
      <w:pPr>
        <w:spacing w:after="0" w:line="12"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the requirements of the Registrar, which</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requirements include membership or</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participation in the Security Transfer</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Agent Medallion Program in ("STAMP") or</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such other "signature guarantee program"</w:t>
      </w:r>
    </w:p>
    <w:p>
      <w:pPr>
        <w:spacing w:after="0" w:line="12"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as may be determined by the Registrar in</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addition to, or in substitution for,</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STAMP, all in accordance with the</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Securities Exchange Act of 1934, as</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amended.</w:t>
      </w:r>
    </w:p>
    <w:p>
      <w:pPr>
        <w:spacing w:after="0" w:line="36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A-10</w:t>
      </w:r>
    </w:p>
    <w:p>
      <w:pPr>
        <w:sectPr>
          <w:pgSz w:w="11900" w:h="16838" w:orient="portrait"/>
          <w:cols w:equalWidth="0" w:num="1">
            <w:col w:w="10219"/>
          </w:cols>
          <w:pgMar w:left="240" w:top="476" w:right="1440" w:bottom="1440" w:gutter="0" w:footer="0" w:header="0"/>
        </w:sectPr>
      </w:pPr>
    </w:p>
    <w:bookmarkStart w:id="347" w:name="page348"/>
    <w:bookmarkEnd w:id="347"/>
    <w:p>
      <w:pPr>
        <w:ind w:left="1143"/>
        <w:spacing w:after="0"/>
        <w:rPr>
          <w:sz w:val="20"/>
          <w:szCs w:val="20"/>
          <w:color w:val="auto"/>
        </w:rPr>
      </w:pPr>
      <w:r>
        <w:rPr>
          <w:rFonts w:ascii="Courier New" w:cs="Courier New" w:eastAsia="Courier New" w:hAnsi="Courier New"/>
          <w:sz w:val="16"/>
          <w:szCs w:val="16"/>
          <w:color w:val="auto"/>
        </w:rPr>
        <w:t>SCHEDULE OF EXCHANGES OF INTERESTS IN THE GLOBAL NOTE(1)</w:t>
      </w:r>
    </w:p>
    <w:p>
      <w:pPr>
        <w:spacing w:after="0" w:line="183" w:lineRule="exact"/>
        <w:rPr>
          <w:sz w:val="20"/>
          <w:szCs w:val="20"/>
          <w:color w:val="auto"/>
        </w:rPr>
      </w:pPr>
    </w:p>
    <w:p>
      <w:pPr>
        <w:ind w:left="1143"/>
        <w:spacing w:after="0"/>
        <w:rPr>
          <w:sz w:val="20"/>
          <w:szCs w:val="20"/>
          <w:color w:val="auto"/>
        </w:rPr>
      </w:pPr>
      <w:r>
        <w:rPr>
          <w:rFonts w:ascii="Courier New" w:cs="Courier New" w:eastAsia="Courier New" w:hAnsi="Courier New"/>
          <w:sz w:val="16"/>
          <w:szCs w:val="16"/>
          <w:color w:val="auto"/>
        </w:rPr>
        <w:t>The following exchanges of a part of this Global Note for an</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54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interest in another Global Note or for a Definitive Note,</w:t>
            </w:r>
          </w:p>
        </w:tc>
        <w:tc>
          <w:tcPr>
            <w:tcW w:w="14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or exchanges of</w:t>
            </w:r>
          </w:p>
        </w:tc>
        <w:tc>
          <w:tcPr>
            <w:tcW w:w="1800" w:type="dxa"/>
            <w:vAlign w:val="bottom"/>
          </w:tcPr>
          <w:p>
            <w:pPr>
              <w:ind w:left="100"/>
              <w:spacing w:after="0"/>
              <w:rPr>
                <w:sz w:val="20"/>
                <w:szCs w:val="20"/>
                <w:color w:val="auto"/>
              </w:rPr>
            </w:pPr>
            <w:r>
              <w:rPr>
                <w:rFonts w:ascii="Courier New" w:cs="Courier New" w:eastAsia="Courier New" w:hAnsi="Courier New"/>
                <w:sz w:val="16"/>
                <w:szCs w:val="16"/>
                <w:color w:val="auto"/>
              </w:rPr>
              <w:t>a part</w:t>
            </w:r>
          </w:p>
        </w:tc>
        <w:tc>
          <w:tcPr>
            <w:tcW w:w="1880" w:type="dxa"/>
            <w:vAlign w:val="bottom"/>
          </w:tcPr>
          <w:p>
            <w:pPr>
              <w:spacing w:after="0"/>
              <w:rPr>
                <w:sz w:val="15"/>
                <w:szCs w:val="15"/>
                <w:color w:val="auto"/>
              </w:rPr>
            </w:pPr>
          </w:p>
        </w:tc>
      </w:tr>
      <w:tr>
        <w:trPr>
          <w:trHeight w:val="182"/>
        </w:trPr>
        <w:tc>
          <w:tcPr>
            <w:tcW w:w="54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of another Global Note or Definitive Note for an interest</w:t>
            </w:r>
          </w:p>
        </w:tc>
        <w:tc>
          <w:tcPr>
            <w:tcW w:w="32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in this Global Note,</w:t>
            </w:r>
          </w:p>
        </w:tc>
        <w:tc>
          <w:tcPr>
            <w:tcW w:w="1880" w:type="dxa"/>
            <w:vAlign w:val="bottom"/>
          </w:tcPr>
          <w:p>
            <w:pPr>
              <w:spacing w:after="0"/>
              <w:rPr>
                <w:sz w:val="15"/>
                <w:szCs w:val="15"/>
                <w:color w:val="auto"/>
              </w:rPr>
            </w:pP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have been made:</w:t>
            </w:r>
          </w:p>
        </w:tc>
        <w:tc>
          <w:tcPr>
            <w:tcW w:w="2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728"/>
        </w:trPr>
        <w:tc>
          <w:tcPr>
            <w:tcW w:w="19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Principal Amount</w:t>
            </w:r>
          </w:p>
        </w:tc>
        <w:tc>
          <w:tcPr>
            <w:tcW w:w="1880" w:type="dxa"/>
            <w:vAlign w:val="bottom"/>
          </w:tcPr>
          <w:p>
            <w:pPr>
              <w:spacing w:after="0"/>
              <w:rPr>
                <w:sz w:val="24"/>
                <w:szCs w:val="24"/>
                <w:color w:val="auto"/>
              </w:rPr>
            </w:pPr>
          </w:p>
        </w:tc>
      </w:tr>
      <w:tr>
        <w:trPr>
          <w:trHeight w:val="182"/>
        </w:trPr>
        <w:tc>
          <w:tcPr>
            <w:tcW w:w="1940" w:type="dxa"/>
            <w:vAlign w:val="bottom"/>
          </w:tcPr>
          <w:p>
            <w:pPr>
              <w:spacing w:after="0"/>
              <w:rPr>
                <w:sz w:val="15"/>
                <w:szCs w:val="15"/>
                <w:color w:val="auto"/>
              </w:rPr>
            </w:pPr>
          </w:p>
        </w:tc>
        <w:tc>
          <w:tcPr>
            <w:tcW w:w="23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Amount of decrease</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Amount of</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increase</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of</w:t>
            </w:r>
          </w:p>
        </w:tc>
        <w:tc>
          <w:tcPr>
            <w:tcW w:w="1800" w:type="dxa"/>
            <w:vAlign w:val="bottom"/>
          </w:tcPr>
          <w:p>
            <w:pPr>
              <w:ind w:left="100"/>
              <w:spacing w:after="0"/>
              <w:rPr>
                <w:sz w:val="20"/>
                <w:szCs w:val="20"/>
                <w:color w:val="auto"/>
              </w:rPr>
            </w:pPr>
            <w:r>
              <w:rPr>
                <w:rFonts w:ascii="Courier New" w:cs="Courier New" w:eastAsia="Courier New" w:hAnsi="Courier New"/>
                <w:sz w:val="16"/>
                <w:szCs w:val="16"/>
                <w:color w:val="auto"/>
              </w:rPr>
              <w:t>this Global Note</w:t>
            </w:r>
          </w:p>
        </w:tc>
        <w:tc>
          <w:tcPr>
            <w:tcW w:w="188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7"/>
              </w:rPr>
              <w:t>Signature of</w:t>
            </w:r>
          </w:p>
        </w:tc>
      </w:tr>
      <w:tr>
        <w:trPr>
          <w:trHeight w:val="182"/>
        </w:trPr>
        <w:tc>
          <w:tcPr>
            <w:tcW w:w="1940" w:type="dxa"/>
            <w:vAlign w:val="bottom"/>
          </w:tcPr>
          <w:p>
            <w:pPr>
              <w:spacing w:after="0"/>
              <w:rPr>
                <w:sz w:val="15"/>
                <w:szCs w:val="15"/>
                <w:color w:val="auto"/>
              </w:rPr>
            </w:pPr>
          </w:p>
        </w:tc>
        <w:tc>
          <w:tcPr>
            <w:tcW w:w="23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in Principal</w:t>
            </w:r>
          </w:p>
        </w:tc>
        <w:tc>
          <w:tcPr>
            <w:tcW w:w="22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in Principal</w:t>
            </w:r>
          </w:p>
        </w:tc>
        <w:tc>
          <w:tcPr>
            <w:tcW w:w="420" w:type="dxa"/>
            <w:vAlign w:val="bottom"/>
          </w:tcPr>
          <w:p>
            <w:pPr>
              <w:spacing w:after="0"/>
              <w:rPr>
                <w:sz w:val="15"/>
                <w:szCs w:val="15"/>
                <w:color w:val="auto"/>
              </w:rPr>
            </w:pPr>
          </w:p>
        </w:tc>
        <w:tc>
          <w:tcPr>
            <w:tcW w:w="1800" w:type="dxa"/>
            <w:vAlign w:val="bottom"/>
          </w:tcPr>
          <w:p>
            <w:pPr>
              <w:jc w:val="center"/>
              <w:ind w:right="401"/>
              <w:spacing w:after="0"/>
              <w:rPr>
                <w:sz w:val="20"/>
                <w:szCs w:val="20"/>
                <w:color w:val="auto"/>
              </w:rPr>
            </w:pPr>
            <w:r>
              <w:rPr>
                <w:rFonts w:ascii="Courier New" w:cs="Courier New" w:eastAsia="Courier New" w:hAnsi="Courier New"/>
                <w:sz w:val="16"/>
                <w:szCs w:val="16"/>
                <w:color w:val="auto"/>
                <w:w w:val="98"/>
              </w:rPr>
              <w:t>following such</w:t>
            </w:r>
          </w:p>
        </w:tc>
        <w:tc>
          <w:tcPr>
            <w:tcW w:w="188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authorized officer</w:t>
            </w:r>
          </w:p>
        </w:tc>
      </w:tr>
      <w:tr>
        <w:trPr>
          <w:trHeight w:val="182"/>
        </w:trPr>
        <w:tc>
          <w:tcPr>
            <w:tcW w:w="1940" w:type="dxa"/>
            <w:vAlign w:val="bottom"/>
          </w:tcPr>
          <w:p>
            <w:pPr>
              <w:spacing w:after="0"/>
              <w:rPr>
                <w:sz w:val="15"/>
                <w:szCs w:val="15"/>
                <w:color w:val="auto"/>
              </w:rPr>
            </w:pPr>
          </w:p>
        </w:tc>
        <w:tc>
          <w:tcPr>
            <w:tcW w:w="2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Amount of this</w:t>
            </w:r>
          </w:p>
        </w:tc>
        <w:tc>
          <w:tcPr>
            <w:tcW w:w="222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Amount of this</w:t>
            </w:r>
          </w:p>
        </w:tc>
        <w:tc>
          <w:tcPr>
            <w:tcW w:w="420" w:type="dxa"/>
            <w:vAlign w:val="bottom"/>
          </w:tcPr>
          <w:p>
            <w:pPr>
              <w:spacing w:after="0"/>
              <w:rPr>
                <w:sz w:val="15"/>
                <w:szCs w:val="15"/>
                <w:color w:val="auto"/>
              </w:rPr>
            </w:pPr>
          </w:p>
        </w:tc>
        <w:tc>
          <w:tcPr>
            <w:tcW w:w="1800" w:type="dxa"/>
            <w:vAlign w:val="bottom"/>
          </w:tcPr>
          <w:p>
            <w:pPr>
              <w:jc w:val="center"/>
              <w:ind w:right="401"/>
              <w:spacing w:after="0"/>
              <w:rPr>
                <w:sz w:val="20"/>
                <w:szCs w:val="20"/>
                <w:color w:val="auto"/>
              </w:rPr>
            </w:pPr>
            <w:r>
              <w:rPr>
                <w:rFonts w:ascii="Courier New" w:cs="Courier New" w:eastAsia="Courier New" w:hAnsi="Courier New"/>
                <w:sz w:val="16"/>
                <w:szCs w:val="16"/>
                <w:color w:val="auto"/>
                <w:w w:val="98"/>
              </w:rPr>
              <w:t>decrease</w:t>
            </w:r>
          </w:p>
        </w:tc>
        <w:tc>
          <w:tcPr>
            <w:tcW w:w="1880" w:type="dxa"/>
            <w:vAlign w:val="bottom"/>
          </w:tcPr>
          <w:p>
            <w:pPr>
              <w:ind w:left="480"/>
              <w:spacing w:after="0"/>
              <w:rPr>
                <w:sz w:val="20"/>
                <w:szCs w:val="20"/>
                <w:color w:val="auto"/>
              </w:rPr>
            </w:pPr>
            <w:r>
              <w:rPr>
                <w:rFonts w:ascii="Courier New" w:cs="Courier New" w:eastAsia="Courier New" w:hAnsi="Courier New"/>
                <w:sz w:val="16"/>
                <w:szCs w:val="16"/>
                <w:color w:val="auto"/>
              </w:rPr>
              <w:t>of Trustee or</w:t>
            </w:r>
          </w:p>
        </w:tc>
      </w:tr>
      <w:tr>
        <w:trPr>
          <w:trHeight w:val="182"/>
        </w:trPr>
        <w:tc>
          <w:tcPr>
            <w:tcW w:w="1940" w:type="dxa"/>
            <w:vAlign w:val="bottom"/>
          </w:tcPr>
          <w:p>
            <w:pPr>
              <w:ind w:left="100"/>
              <w:spacing w:after="0"/>
              <w:rPr>
                <w:sz w:val="20"/>
                <w:szCs w:val="20"/>
                <w:color w:val="auto"/>
              </w:rPr>
            </w:pPr>
            <w:r>
              <w:rPr>
                <w:rFonts w:ascii="Courier New" w:cs="Courier New" w:eastAsia="Courier New" w:hAnsi="Courier New"/>
                <w:sz w:val="16"/>
                <w:szCs w:val="16"/>
                <w:color w:val="auto"/>
              </w:rPr>
              <w:t>Date of Exchange</w:t>
            </w:r>
          </w:p>
        </w:tc>
        <w:tc>
          <w:tcPr>
            <w:tcW w:w="23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Global Note</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Global</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Note</w:t>
            </w:r>
          </w:p>
        </w:tc>
        <w:tc>
          <w:tcPr>
            <w:tcW w:w="420" w:type="dxa"/>
            <w:vAlign w:val="bottom"/>
          </w:tcPr>
          <w:p>
            <w:pPr>
              <w:spacing w:after="0"/>
              <w:rPr>
                <w:sz w:val="15"/>
                <w:szCs w:val="15"/>
                <w:color w:val="auto"/>
              </w:rPr>
            </w:pPr>
          </w:p>
        </w:tc>
        <w:tc>
          <w:tcPr>
            <w:tcW w:w="1800" w:type="dxa"/>
            <w:vAlign w:val="bottom"/>
          </w:tcPr>
          <w:p>
            <w:pPr>
              <w:ind w:left="100"/>
              <w:spacing w:after="0"/>
              <w:rPr>
                <w:sz w:val="20"/>
                <w:szCs w:val="20"/>
                <w:color w:val="auto"/>
              </w:rPr>
            </w:pPr>
            <w:r>
              <w:rPr>
                <w:rFonts w:ascii="Courier New" w:cs="Courier New" w:eastAsia="Courier New" w:hAnsi="Courier New"/>
                <w:sz w:val="16"/>
                <w:szCs w:val="16"/>
                <w:color w:val="auto"/>
              </w:rPr>
              <w:t>(or increase)</w:t>
            </w:r>
          </w:p>
        </w:tc>
        <w:tc>
          <w:tcPr>
            <w:tcW w:w="188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8"/>
              </w:rPr>
              <w:t>Note Custodian</w:t>
            </w:r>
          </w:p>
        </w:tc>
      </w:tr>
      <w:tr>
        <w:trPr>
          <w:trHeight w:val="182"/>
        </w:trPr>
        <w:tc>
          <w:tcPr>
            <w:tcW w:w="19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23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8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3603" w:right="5660" w:hanging="3603"/>
        <w:spacing w:after="0" w:line="717" w:lineRule="auto"/>
        <w:tabs>
          <w:tab w:leader="none" w:pos="577" w:val="left"/>
        </w:tabs>
        <w:numPr>
          <w:ilvl w:val="0"/>
          <w:numId w:val="3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 only if Note is issued in Global Form. A-11</w:t>
      </w:r>
    </w:p>
    <w:p>
      <w:pPr>
        <w:sectPr>
          <w:pgSz w:w="11900" w:h="16838" w:orient="portrait"/>
          <w:cols w:equalWidth="0" w:num="1">
            <w:col w:w="10583"/>
          </w:cols>
          <w:pgMar w:left="237" w:top="476" w:right="1079" w:bottom="1440" w:gutter="0" w:footer="0" w:header="0"/>
        </w:sectPr>
      </w:pPr>
    </w:p>
    <w:bookmarkStart w:id="348" w:name="page349"/>
    <w:bookmarkEnd w:id="348"/>
    <w:p>
      <w:pPr>
        <w:jc w:val="center"/>
        <w:ind w:right="2556"/>
        <w:spacing w:after="0"/>
        <w:rPr>
          <w:sz w:val="20"/>
          <w:szCs w:val="20"/>
          <w:color w:val="auto"/>
        </w:rPr>
      </w:pPr>
      <w:r>
        <w:rPr>
          <w:rFonts w:ascii="Courier New" w:cs="Courier New" w:eastAsia="Courier New" w:hAnsi="Courier New"/>
          <w:sz w:val="16"/>
          <w:szCs w:val="16"/>
          <w:color w:val="auto"/>
        </w:rPr>
        <w:t>EXHIBIT B</w:t>
      </w:r>
    </w:p>
    <w:p>
      <w:pPr>
        <w:spacing w:after="0" w:line="183"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FORM OF CERTIFICATE OF TRANSFER</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14111 Scottslawn Road</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Marysville, Ohio 43041</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Attention: Treasurer</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U.S. Bank National Association</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Corporate Trust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Goodwin Square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225 Asylum Street, 23rd Fl.</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Hartford, Connecticut 06103</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Attention: Corporate Trust Administration</w:t>
      </w:r>
    </w:p>
    <w:p>
      <w:pPr>
        <w:spacing w:after="0" w:line="183" w:lineRule="exact"/>
        <w:rPr>
          <w:sz w:val="20"/>
          <w:szCs w:val="20"/>
          <w:color w:val="auto"/>
        </w:rPr>
      </w:pPr>
    </w:p>
    <w:p>
      <w:pPr>
        <w:ind w:left="1143"/>
        <w:spacing w:after="0"/>
        <w:tabs>
          <w:tab w:leader="none" w:pos="1683" w:val="left"/>
        </w:tabs>
        <w:rPr>
          <w:sz w:val="20"/>
          <w:szCs w:val="20"/>
          <w:color w:val="auto"/>
        </w:rPr>
      </w:pPr>
      <w:r>
        <w:rPr>
          <w:rFonts w:ascii="Courier New" w:cs="Courier New" w:eastAsia="Courier New" w:hAnsi="Courier New"/>
          <w:sz w:val="16"/>
          <w:szCs w:val="16"/>
          <w:color w:val="auto"/>
        </w:rPr>
        <w:t>Re:</w:t>
        <w:tab/>
        <w:t>6.625% Senior Subordinated Notes due 2013</w:t>
      </w:r>
    </w:p>
    <w:p>
      <w:pPr>
        <w:spacing w:after="0" w:line="186" w:lineRule="exact"/>
        <w:rPr>
          <w:sz w:val="20"/>
          <w:szCs w:val="20"/>
          <w:color w:val="auto"/>
        </w:rPr>
      </w:pPr>
    </w:p>
    <w:p>
      <w:pPr>
        <w:ind w:left="3" w:right="2659" w:firstLine="1135"/>
        <w:spacing w:after="0" w:line="239" w:lineRule="auto"/>
        <w:rPr>
          <w:sz w:val="20"/>
          <w:szCs w:val="20"/>
          <w:color w:val="auto"/>
        </w:rPr>
      </w:pPr>
      <w:r>
        <w:rPr>
          <w:rFonts w:ascii="Courier New" w:cs="Courier New" w:eastAsia="Courier New" w:hAnsi="Courier New"/>
          <w:sz w:val="16"/>
          <w:szCs w:val="16"/>
          <w:color w:val="auto"/>
        </w:rPr>
        <w:t>Reference is hereby made to the Indenture, dated as of October 8, 2003 (the "Indenture"), among The Scotts Company, as issuer (the "Company"), the Guarantors and U.S. Bank National Association, as trustee. Capitalized terms used but not defined herein shall have the meanings given to them in the Indenture.</w:t>
      </w:r>
    </w:p>
    <w:p>
      <w:pPr>
        <w:spacing w:after="0" w:line="185"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000" w:type="dxa"/>
            <w:vAlign w:val="bottom"/>
          </w:tcPr>
          <w:p>
            <w:pPr>
              <w:spacing w:after="0"/>
              <w:rPr>
                <w:sz w:val="15"/>
                <w:szCs w:val="15"/>
                <w:color w:val="auto"/>
              </w:rPr>
            </w:pPr>
          </w:p>
        </w:tc>
        <w:tc>
          <w:tcPr>
            <w:tcW w:w="5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___________, (the "Transferor") owns and proposes to</w:t>
            </w: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transfer the</w:t>
            </w:r>
          </w:p>
        </w:tc>
      </w:tr>
      <w:tr>
        <w:trPr>
          <w:trHeight w:val="182"/>
        </w:trPr>
        <w:tc>
          <w:tcPr>
            <w:tcW w:w="1000" w:type="dxa"/>
            <w:vAlign w:val="bottom"/>
          </w:tcPr>
          <w:p>
            <w:pPr>
              <w:spacing w:after="0"/>
              <w:rPr>
                <w:sz w:val="20"/>
                <w:szCs w:val="20"/>
                <w:color w:val="auto"/>
              </w:rPr>
            </w:pPr>
            <w:r>
              <w:rPr>
                <w:rFonts w:ascii="Courier New" w:cs="Courier New" w:eastAsia="Courier New" w:hAnsi="Courier New"/>
                <w:sz w:val="16"/>
                <w:szCs w:val="16"/>
                <w:color w:val="auto"/>
              </w:rPr>
              <w:t>Note[s] or</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interest</w:t>
            </w:r>
          </w:p>
        </w:tc>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w w:val="98"/>
              </w:rPr>
              <w:t>in such Note[s] specified in Annex A hereto,</w:t>
            </w: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in the</w:t>
            </w:r>
          </w:p>
        </w:tc>
      </w:tr>
      <w:tr>
        <w:trPr>
          <w:trHeight w:val="182"/>
        </w:trPr>
        <w:tc>
          <w:tcPr>
            <w:tcW w:w="1840" w:type="dxa"/>
            <w:vAlign w:val="bottom"/>
            <w:gridSpan w:val="2"/>
          </w:tcPr>
          <w:p>
            <w:pPr>
              <w:spacing w:after="0"/>
              <w:rPr>
                <w:sz w:val="20"/>
                <w:szCs w:val="20"/>
                <w:color w:val="auto"/>
              </w:rPr>
            </w:pPr>
            <w:r>
              <w:rPr>
                <w:rFonts w:ascii="Courier New" w:cs="Courier New" w:eastAsia="Courier New" w:hAnsi="Courier New"/>
                <w:sz w:val="16"/>
                <w:szCs w:val="16"/>
                <w:color w:val="auto"/>
                <w:w w:val="99"/>
              </w:rPr>
              <w:t>principal amount of</w:t>
            </w:r>
          </w:p>
        </w:tc>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w w:val="98"/>
              </w:rPr>
              <w:t>$_________ in such Note[s] or interests (the</w:t>
            </w: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w w:val="97"/>
              </w:rPr>
              <w:t>"Transfer"), to</w:t>
            </w:r>
          </w:p>
        </w:tc>
      </w:tr>
      <w:tr>
        <w:trPr>
          <w:trHeight w:val="182"/>
        </w:trPr>
        <w:tc>
          <w:tcPr>
            <w:tcW w:w="6100" w:type="dxa"/>
            <w:vAlign w:val="bottom"/>
            <w:gridSpan w:val="3"/>
          </w:tcPr>
          <w:p>
            <w:pPr>
              <w:spacing w:after="0"/>
              <w:rPr>
                <w:sz w:val="20"/>
                <w:szCs w:val="20"/>
                <w:color w:val="auto"/>
              </w:rPr>
            </w:pPr>
            <w:r>
              <w:rPr>
                <w:rFonts w:ascii="Courier New" w:cs="Courier New" w:eastAsia="Courier New" w:hAnsi="Courier New"/>
                <w:sz w:val="16"/>
                <w:szCs w:val="16"/>
                <w:color w:val="auto"/>
                <w:w w:val="98"/>
              </w:rPr>
              <w:t>____________ (the "Transferee"), as further specified in Annex A</w:t>
            </w: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hereto. In</w:t>
            </w:r>
          </w:p>
        </w:tc>
      </w:tr>
      <w:tr>
        <w:trPr>
          <w:trHeight w:val="182"/>
        </w:trPr>
        <w:tc>
          <w:tcPr>
            <w:tcW w:w="1000" w:type="dxa"/>
            <w:vAlign w:val="bottom"/>
          </w:tcPr>
          <w:p>
            <w:pPr>
              <w:spacing w:after="0"/>
              <w:rPr>
                <w:sz w:val="20"/>
                <w:szCs w:val="20"/>
                <w:color w:val="auto"/>
              </w:rPr>
            </w:pPr>
            <w:r>
              <w:rPr>
                <w:rFonts w:ascii="Courier New" w:cs="Courier New" w:eastAsia="Courier New" w:hAnsi="Courier New"/>
                <w:sz w:val="16"/>
                <w:szCs w:val="16"/>
                <w:color w:val="auto"/>
              </w:rPr>
              <w:t>connection</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with the</w:t>
            </w:r>
          </w:p>
        </w:tc>
        <w:tc>
          <w:tcPr>
            <w:tcW w:w="57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Transfer, the Transferor hereby certifies that:</w:t>
            </w:r>
          </w:p>
        </w:tc>
      </w:tr>
      <w:tr>
        <w:trPr>
          <w:trHeight w:val="364"/>
        </w:trPr>
        <w:tc>
          <w:tcPr>
            <w:tcW w:w="1000" w:type="dxa"/>
            <w:vAlign w:val="bottom"/>
          </w:tcPr>
          <w:p>
            <w:pPr>
              <w:spacing w:after="0"/>
              <w:rPr>
                <w:sz w:val="20"/>
                <w:szCs w:val="20"/>
                <w:color w:val="auto"/>
              </w:rPr>
            </w:pPr>
            <w:r>
              <w:rPr>
                <w:rFonts w:ascii="Courier New" w:cs="Courier New" w:eastAsia="Courier New" w:hAnsi="Courier New"/>
                <w:sz w:val="16"/>
                <w:szCs w:val="16"/>
                <w:color w:val="auto"/>
              </w:rPr>
              <w:t>[CHECK ALL</w:t>
            </w:r>
          </w:p>
        </w:tc>
        <w:tc>
          <w:tcPr>
            <w:tcW w:w="5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THAT APPLY]</w:t>
            </w:r>
          </w:p>
        </w:tc>
        <w:tc>
          <w:tcPr>
            <w:tcW w:w="1460" w:type="dxa"/>
            <w:vAlign w:val="bottom"/>
          </w:tcPr>
          <w:p>
            <w:pPr>
              <w:spacing w:after="0"/>
              <w:rPr>
                <w:sz w:val="24"/>
                <w:szCs w:val="24"/>
                <w:color w:val="auto"/>
              </w:rPr>
            </w:pPr>
          </w:p>
        </w:tc>
      </w:tr>
    </w:tbl>
    <w:p>
      <w:pPr>
        <w:spacing w:after="0" w:line="186" w:lineRule="exact"/>
        <w:rPr>
          <w:sz w:val="20"/>
          <w:szCs w:val="20"/>
          <w:color w:val="auto"/>
        </w:rPr>
      </w:pPr>
    </w:p>
    <w:p>
      <w:pPr>
        <w:ind w:left="3" w:right="2659" w:hanging="3"/>
        <w:spacing w:after="0" w:line="257" w:lineRule="auto"/>
        <w:tabs>
          <w:tab w:leader="none" w:pos="287"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CHECK IF TRANSFEREE WILL TAKE DELIVERY OF A BENEFICIAL INTEREST IN THE 144A GLOBAL NOTE OR A DEFINITIVE NOTE PURSUANT TO RULE 144A. The Transfer is being effected pursuant to and in accordance with Rule 144A under the United States Securities Act of 1933, as amended (the "Securities Act"), and, accordingly, the Transferor hereby further certifies that the beneficial interest or Definitive Note is being transferred to a Person that the Transferor reasonably believed and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Definitive Note and in the Indenture and the Securities Act.</w:t>
      </w:r>
    </w:p>
    <w:p>
      <w:pPr>
        <w:spacing w:after="0" w:line="180" w:lineRule="exact"/>
        <w:rPr>
          <w:rFonts w:ascii="Courier New" w:cs="Courier New" w:eastAsia="Courier New" w:hAnsi="Courier New"/>
          <w:sz w:val="15"/>
          <w:szCs w:val="15"/>
          <w:color w:val="auto"/>
        </w:rPr>
      </w:pPr>
    </w:p>
    <w:p>
      <w:pPr>
        <w:ind w:left="3" w:right="2939" w:hanging="3"/>
        <w:spacing w:after="0" w:line="238" w:lineRule="auto"/>
        <w:tabs>
          <w:tab w:leader="none" w:pos="287" w:val="left"/>
        </w:tabs>
        <w:numPr>
          <w:ilvl w:val="0"/>
          <w:numId w:val="3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CHECK IF TRANSFEREE WILL TAKE DELIVERY OF A BENEFICIAL INTEREST IN THE REGULATION S GLOBAL NOTE OR A DEFINITIVE NOTE PURSUANT TO REGULATION S. The Transfer is being effected</w:t>
      </w:r>
    </w:p>
    <w:p>
      <w:pPr>
        <w:spacing w:after="0" w:line="366"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B-1</w:t>
      </w:r>
    </w:p>
    <w:p>
      <w:pPr>
        <w:sectPr>
          <w:pgSz w:w="11900" w:h="16838" w:orient="portrait"/>
          <w:cols w:equalWidth="0" w:num="1">
            <w:col w:w="10222"/>
          </w:cols>
          <w:pgMar w:left="237" w:top="477" w:right="1440" w:bottom="1440" w:gutter="0" w:footer="0" w:header="0"/>
        </w:sectPr>
      </w:pPr>
    </w:p>
    <w:bookmarkStart w:id="349" w:name="page350"/>
    <w:bookmarkEnd w:id="349"/>
    <w:p>
      <w:pPr>
        <w:ind w:left="3" w:right="2659"/>
        <w:spacing w:after="0" w:line="257" w:lineRule="auto"/>
        <w:rPr>
          <w:sz w:val="20"/>
          <w:szCs w:val="20"/>
          <w:color w:val="auto"/>
        </w:rPr>
      </w:pPr>
      <w:r>
        <w:rPr>
          <w:rFonts w:ascii="Courier New" w:cs="Courier New" w:eastAsia="Courier New" w:hAnsi="Courier New"/>
          <w:sz w:val="15"/>
          <w:szCs w:val="15"/>
          <w:color w:val="auto"/>
        </w:rPr>
        <w:t>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Definitive Note and in the Indenture and the Securities Act.</w:t>
      </w:r>
    </w:p>
    <w:p>
      <w:pPr>
        <w:spacing w:after="0" w:line="180" w:lineRule="exact"/>
        <w:rPr>
          <w:sz w:val="20"/>
          <w:szCs w:val="20"/>
          <w:color w:val="auto"/>
        </w:rPr>
      </w:pPr>
    </w:p>
    <w:p>
      <w:pPr>
        <w:ind w:left="3" w:right="2759" w:hanging="3"/>
        <w:spacing w:after="0" w:line="258" w:lineRule="auto"/>
        <w:tabs>
          <w:tab w:leader="none" w:pos="287"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CHECK AND COMPLETE IF TRANSFEREE WILL TAKE DELIVERY OF A BENEFICIAL INTEREST IN THE IAI GLOBAL NOTE OR A DEFINITIVE NOTE PURSUANT TO ANY PROVISION OF THE SECURITIES ACT OTHER THAN RULE 144A OR REGULATION S.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75" w:lineRule="exact"/>
        <w:rPr>
          <w:rFonts w:ascii="Courier New" w:cs="Courier New" w:eastAsia="Courier New" w:hAnsi="Courier New"/>
          <w:sz w:val="15"/>
          <w:szCs w:val="15"/>
          <w:color w:val="auto"/>
        </w:rPr>
      </w:pPr>
    </w:p>
    <w:p>
      <w:pPr>
        <w:ind w:left="3" w:right="3599" w:firstLine="1132"/>
        <w:spacing w:after="0" w:line="237" w:lineRule="auto"/>
        <w:tabs>
          <w:tab w:leader="none" w:pos="1516" w:val="left"/>
        </w:tabs>
        <w:numPr>
          <w:ilvl w:val="1"/>
          <w:numId w:val="3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such Transfer is being effected pursuant to and in accordance with Rule 144 under the Securities Act;</w:t>
      </w:r>
    </w:p>
    <w:p>
      <w:pPr>
        <w:spacing w:after="0" w:line="18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or</w:t>
      </w:r>
    </w:p>
    <w:p>
      <w:pPr>
        <w:spacing w:after="0" w:line="186" w:lineRule="exact"/>
        <w:rPr>
          <w:sz w:val="20"/>
          <w:szCs w:val="20"/>
          <w:color w:val="auto"/>
        </w:rPr>
      </w:pPr>
    </w:p>
    <w:p>
      <w:pPr>
        <w:ind w:left="3" w:right="3499" w:firstLine="1132"/>
        <w:spacing w:after="0" w:line="237" w:lineRule="auto"/>
        <w:tabs>
          <w:tab w:leader="none" w:pos="1516" w:val="left"/>
        </w:tabs>
        <w:numPr>
          <w:ilvl w:val="0"/>
          <w:numId w:val="3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such Transfer is being effected to the Company or a subsidiary thereof;</w:t>
      </w:r>
    </w:p>
    <w:p>
      <w:pPr>
        <w:spacing w:after="0" w:line="18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or</w:t>
      </w:r>
    </w:p>
    <w:p>
      <w:pPr>
        <w:spacing w:after="0" w:line="186" w:lineRule="exact"/>
        <w:rPr>
          <w:sz w:val="20"/>
          <w:szCs w:val="20"/>
          <w:color w:val="auto"/>
        </w:rPr>
      </w:pPr>
    </w:p>
    <w:p>
      <w:pPr>
        <w:ind w:left="3" w:right="3039" w:firstLine="1132"/>
        <w:spacing w:after="0" w:line="262" w:lineRule="auto"/>
        <w:tabs>
          <w:tab w:leader="none" w:pos="1516"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such Transfer is being effected pursuant to an effective registration statement under the Securities Act and in compliance with the prospectus delivery requirements of the Securities Act;</w:t>
      </w:r>
    </w:p>
    <w:p>
      <w:pPr>
        <w:spacing w:after="0" w:line="167"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or</w:t>
      </w:r>
    </w:p>
    <w:p>
      <w:pPr>
        <w:spacing w:after="0" w:line="186" w:lineRule="exact"/>
        <w:rPr>
          <w:sz w:val="20"/>
          <w:szCs w:val="20"/>
          <w:color w:val="auto"/>
        </w:rPr>
      </w:pPr>
    </w:p>
    <w:p>
      <w:pPr>
        <w:ind w:left="3" w:right="2659" w:firstLine="1132"/>
        <w:spacing w:after="0" w:line="258" w:lineRule="auto"/>
        <w:tabs>
          <w:tab w:leader="none" w:pos="1516"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such Transfer is being effected to an Institutional Accredited Investor and pursuant to an exemption from the registration requirements of the Securities Act other than Rule 144A, Rule 144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Exhibit D to the Indenture and (2) if such Transfer is in respect of a principal amount of</w:t>
      </w:r>
    </w:p>
    <w:p>
      <w:pPr>
        <w:spacing w:after="0" w:line="352"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B-2</w:t>
      </w:r>
    </w:p>
    <w:p>
      <w:pPr>
        <w:sectPr>
          <w:pgSz w:w="11900" w:h="16838" w:orient="portrait"/>
          <w:cols w:equalWidth="0" w:num="1">
            <w:col w:w="10222"/>
          </w:cols>
          <w:pgMar w:left="237" w:top="481" w:right="1440" w:bottom="1440" w:gutter="0" w:footer="0" w:header="0"/>
        </w:sectPr>
      </w:pPr>
    </w:p>
    <w:bookmarkStart w:id="350" w:name="page351"/>
    <w:bookmarkEnd w:id="350"/>
    <w:p>
      <w:pPr>
        <w:ind w:left="3" w:right="2659"/>
        <w:spacing w:after="0"/>
        <w:rPr>
          <w:sz w:val="20"/>
          <w:szCs w:val="20"/>
          <w:color w:val="auto"/>
        </w:rPr>
      </w:pPr>
      <w:r>
        <w:rPr>
          <w:rFonts w:ascii="Courier New" w:cs="Courier New" w:eastAsia="Courier New" w:hAnsi="Courier New"/>
          <w:sz w:val="16"/>
          <w:szCs w:val="16"/>
          <w:color w:val="auto"/>
        </w:rPr>
        <w:t>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Definitive Notes and in the Indenture and the Securities Act.</w:t>
      </w:r>
    </w:p>
    <w:p>
      <w:pPr>
        <w:spacing w:after="0" w:line="187" w:lineRule="exact"/>
        <w:rPr>
          <w:sz w:val="20"/>
          <w:szCs w:val="20"/>
          <w:color w:val="auto"/>
        </w:rPr>
      </w:pPr>
    </w:p>
    <w:p>
      <w:pPr>
        <w:ind w:left="3" w:right="3039" w:hanging="3"/>
        <w:spacing w:after="0" w:line="237" w:lineRule="auto"/>
        <w:tabs>
          <w:tab w:leader="none" w:pos="287" w:val="left"/>
        </w:tabs>
        <w:numPr>
          <w:ilvl w:val="0"/>
          <w:numId w:val="3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Check if Transferee will take delivery of a beneficial interest in an Unrestricted Global Note or of an Unrestricted Definitive Note.</w:t>
      </w:r>
    </w:p>
    <w:p>
      <w:pPr>
        <w:spacing w:after="0" w:line="187" w:lineRule="exact"/>
        <w:rPr>
          <w:rFonts w:ascii="Courier New" w:cs="Courier New" w:eastAsia="Courier New" w:hAnsi="Courier New"/>
          <w:sz w:val="16"/>
          <w:szCs w:val="16"/>
          <w:color w:val="auto"/>
        </w:rPr>
      </w:pPr>
    </w:p>
    <w:p>
      <w:pPr>
        <w:ind w:left="3" w:right="2659" w:firstLine="1132"/>
        <w:spacing w:after="0" w:line="257" w:lineRule="auto"/>
        <w:tabs>
          <w:tab w:leader="none" w:pos="1516" w:val="left"/>
        </w:tabs>
        <w:numPr>
          <w:ilvl w:val="1"/>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CHECK IF TRANSFER IS PURSUANT TO RULE 144. (i) The Transfer is being effected pursuant to and in accordance with Rule 144 under the Securities Act and in compliance with the transfer restrictions contained in the Indenture and any applicable blue sky securities laws of any slate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81" w:lineRule="exact"/>
        <w:rPr>
          <w:rFonts w:ascii="Courier New" w:cs="Courier New" w:eastAsia="Courier New" w:hAnsi="Courier New"/>
          <w:sz w:val="15"/>
          <w:szCs w:val="15"/>
          <w:color w:val="auto"/>
        </w:rPr>
      </w:pPr>
    </w:p>
    <w:p>
      <w:pPr>
        <w:ind w:left="3" w:right="2839" w:firstLine="1132"/>
        <w:spacing w:after="0" w:line="256" w:lineRule="auto"/>
        <w:tabs>
          <w:tab w:leader="none" w:pos="1516" w:val="left"/>
        </w:tabs>
        <w:numPr>
          <w:ilvl w:val="1"/>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CHECK IF TRANSFER IS PURSUANT TO REGULATION S. (i) The Transfer is being effected pursuant to and in accordance with Rule 903 or Rule</w:t>
      </w:r>
    </w:p>
    <w:p>
      <w:pPr>
        <w:spacing w:after="0" w:line="1" w:lineRule="exact"/>
        <w:rPr>
          <w:rFonts w:ascii="Courier New" w:cs="Courier New" w:eastAsia="Courier New" w:hAnsi="Courier New"/>
          <w:sz w:val="15"/>
          <w:szCs w:val="15"/>
          <w:color w:val="auto"/>
        </w:rPr>
      </w:pPr>
    </w:p>
    <w:p>
      <w:pPr>
        <w:ind w:left="3" w:right="2839" w:hanging="3"/>
        <w:spacing w:after="0"/>
        <w:tabs>
          <w:tab w:leader="none" w:pos="381" w:val="left"/>
        </w:tabs>
        <w:numPr>
          <w:ilvl w:val="0"/>
          <w:numId w:val="3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88" w:lineRule="exact"/>
        <w:rPr>
          <w:rFonts w:ascii="Courier New" w:cs="Courier New" w:eastAsia="Courier New" w:hAnsi="Courier New"/>
          <w:sz w:val="16"/>
          <w:szCs w:val="16"/>
          <w:color w:val="auto"/>
        </w:rPr>
      </w:pPr>
    </w:p>
    <w:p>
      <w:pPr>
        <w:ind w:left="3" w:right="2759" w:firstLine="1132"/>
        <w:spacing w:after="0" w:line="256" w:lineRule="auto"/>
        <w:tabs>
          <w:tab w:leader="none" w:pos="1516" w:val="left"/>
        </w:tabs>
        <w:numPr>
          <w:ilvl w:val="1"/>
          <w:numId w:val="3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CHECK IF TRANSFER IS PURSUANT TO OTHER EXEMPTION. (i) The Transfer is being effected pursuant to and in compliance with an exemption from the registration requirements of the Securities Act other than Rule 144, Rule</w:t>
      </w:r>
    </w:p>
    <w:p>
      <w:pPr>
        <w:spacing w:after="0" w:line="1" w:lineRule="exact"/>
        <w:rPr>
          <w:rFonts w:ascii="Courier New" w:cs="Courier New" w:eastAsia="Courier New" w:hAnsi="Courier New"/>
          <w:sz w:val="15"/>
          <w:szCs w:val="15"/>
          <w:color w:val="auto"/>
        </w:rPr>
      </w:pPr>
    </w:p>
    <w:p>
      <w:pPr>
        <w:ind w:left="3" w:right="2759" w:hanging="3"/>
        <w:spacing w:after="0" w:line="258" w:lineRule="auto"/>
        <w:tabs>
          <w:tab w:leader="none" w:pos="381"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353"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B-3</w:t>
      </w:r>
    </w:p>
    <w:p>
      <w:pPr>
        <w:sectPr>
          <w:pgSz w:w="11900" w:h="16838" w:orient="portrait"/>
          <w:cols w:equalWidth="0" w:num="1">
            <w:col w:w="10222"/>
          </w:cols>
          <w:pgMar w:left="237" w:top="481" w:right="1440" w:bottom="1440" w:gutter="0" w:footer="0" w:header="0"/>
        </w:sectPr>
      </w:pPr>
    </w:p>
    <w:bookmarkStart w:id="351" w:name="page352"/>
    <w:bookmarkEnd w:id="351"/>
    <w:p>
      <w:pPr>
        <w:ind w:right="2939" w:firstLine="1135"/>
        <w:spacing w:after="0" w:line="237" w:lineRule="auto"/>
        <w:rPr>
          <w:sz w:val="20"/>
          <w:szCs w:val="20"/>
          <w:color w:val="auto"/>
        </w:rPr>
      </w:pPr>
      <w:r>
        <w:rPr>
          <w:rFonts w:ascii="Courier New" w:cs="Courier New" w:eastAsia="Courier New" w:hAnsi="Courier New"/>
          <w:sz w:val="16"/>
          <w:szCs w:val="16"/>
          <w:color w:val="auto"/>
        </w:rPr>
        <w:t>This certificate and the statements contained herein are made for your benefit and the benefit of the Company.</w:t>
      </w:r>
    </w:p>
    <w:p>
      <w:pPr>
        <w:spacing w:after="0" w:line="184" w:lineRule="exact"/>
        <w:rPr>
          <w:sz w:val="20"/>
          <w:szCs w:val="20"/>
          <w:color w:val="auto"/>
        </w:rPr>
      </w:pPr>
    </w:p>
    <w:p>
      <w:pPr>
        <w:ind w:left="1140"/>
        <w:spacing w:after="0"/>
        <w:tabs>
          <w:tab w:leader="none" w:pos="3000" w:val="left"/>
        </w:tabs>
        <w:rPr>
          <w:sz w:val="20"/>
          <w:szCs w:val="20"/>
          <w:color w:val="auto"/>
        </w:rPr>
      </w:pPr>
      <w:r>
        <w:rPr>
          <w:rFonts w:ascii="Courier New" w:cs="Courier New" w:eastAsia="Courier New" w:hAnsi="Courier New"/>
          <w:sz w:val="16"/>
          <w:szCs w:val="16"/>
          <w:color w:val="auto"/>
        </w:rPr>
        <w:t>Dated:</w:t>
      </w:r>
      <w:r>
        <w:rPr>
          <w:sz w:val="20"/>
          <w:szCs w:val="20"/>
          <w:color w:val="auto"/>
        </w:rPr>
        <w:tab/>
      </w:r>
      <w:r>
        <w:rPr>
          <w:rFonts w:ascii="Courier New" w:cs="Courier New" w:eastAsia="Courier New" w:hAnsi="Courier New"/>
          <w:sz w:val="16"/>
          <w:szCs w:val="16"/>
          <w:color w:val="auto"/>
        </w:rPr>
        <w:t>,</w:t>
      </w:r>
    </w:p>
    <w:p>
      <w:pPr>
        <w:spacing w:after="0" w:line="1" w:lineRule="exact"/>
        <w:rPr>
          <w:sz w:val="20"/>
          <w:szCs w:val="20"/>
          <w:color w:val="auto"/>
        </w:rPr>
      </w:pPr>
    </w:p>
    <w:p>
      <w:pPr>
        <w:ind w:left="1700"/>
        <w:spacing w:after="0"/>
        <w:tabs>
          <w:tab w:leader="none" w:pos="3200" w:val="left"/>
          <w:tab w:leader="none" w:pos="42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[Insert Name of Transferor]</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Title:</w:t>
      </w:r>
    </w:p>
    <w:p>
      <w:pPr>
        <w:spacing w:after="0" w:line="36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B-4</w:t>
      </w:r>
    </w:p>
    <w:p>
      <w:pPr>
        <w:sectPr>
          <w:pgSz w:w="11900" w:h="16838" w:orient="portrait"/>
          <w:cols w:equalWidth="0" w:num="1">
            <w:col w:w="10219"/>
          </w:cols>
          <w:pgMar w:left="240" w:top="481" w:right="1440" w:bottom="1440" w:gutter="0" w:footer="0" w:header="0"/>
        </w:sectPr>
      </w:pPr>
    </w:p>
    <w:bookmarkStart w:id="352" w:name="page353"/>
    <w:bookmarkEnd w:id="352"/>
    <w:p>
      <w:pPr>
        <w:ind w:left="2183"/>
        <w:spacing w:after="0"/>
        <w:rPr>
          <w:sz w:val="20"/>
          <w:szCs w:val="20"/>
          <w:color w:val="auto"/>
        </w:rPr>
      </w:pPr>
      <w:r>
        <w:rPr>
          <w:rFonts w:ascii="Courier New" w:cs="Courier New" w:eastAsia="Courier New" w:hAnsi="Courier New"/>
          <w:sz w:val="16"/>
          <w:szCs w:val="16"/>
          <w:color w:val="auto"/>
        </w:rPr>
        <w:t>ANNEX A TO CERTIFICATE OF TRANSFER</w:t>
      </w:r>
    </w:p>
    <w:p>
      <w:pPr>
        <w:spacing w:after="0" w:line="186" w:lineRule="exact"/>
        <w:rPr>
          <w:sz w:val="20"/>
          <w:szCs w:val="20"/>
          <w:color w:val="auto"/>
        </w:rPr>
      </w:pPr>
    </w:p>
    <w:p>
      <w:pPr>
        <w:ind w:left="2643" w:right="4079" w:hanging="2643"/>
        <w:spacing w:after="0" w:line="476" w:lineRule="auto"/>
        <w:tabs>
          <w:tab w:leader="none" w:pos="562" w:val="left"/>
        </w:tabs>
        <w:numPr>
          <w:ilvl w:val="0"/>
          <w:numId w:val="4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Transferor owns and proposes to transfer the following: [CHECK ONE OF (a) OR (b)]</w:t>
      </w:r>
    </w:p>
    <w:p>
      <w:pPr>
        <w:spacing w:after="0" w:line="4" w:lineRule="exact"/>
        <w:rPr>
          <w:rFonts w:ascii="Courier New" w:cs="Courier New" w:eastAsia="Courier New" w:hAnsi="Courier New"/>
          <w:sz w:val="16"/>
          <w:szCs w:val="16"/>
          <w:color w:val="auto"/>
        </w:rPr>
      </w:pPr>
    </w:p>
    <w:p>
      <w:pPr>
        <w:ind w:left="1143" w:hanging="576"/>
        <w:spacing w:after="0"/>
        <w:tabs>
          <w:tab w:leader="none" w:pos="1143" w:val="left"/>
        </w:tabs>
        <w:numPr>
          <w:ilvl w:val="1"/>
          <w:numId w:val="4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beneficial interest in the:</w:t>
      </w:r>
    </w:p>
    <w:p>
      <w:pPr>
        <w:spacing w:after="0" w:line="182" w:lineRule="exact"/>
        <w:rPr>
          <w:rFonts w:ascii="Courier New" w:cs="Courier New" w:eastAsia="Courier New" w:hAnsi="Courier New"/>
          <w:sz w:val="16"/>
          <w:szCs w:val="16"/>
          <w:color w:val="auto"/>
        </w:rPr>
      </w:pPr>
    </w:p>
    <w:p>
      <w:pPr>
        <w:ind w:left="1703" w:hanging="568"/>
        <w:spacing w:after="0"/>
        <w:tabs>
          <w:tab w:leader="none" w:pos="1703" w:val="left"/>
        </w:tabs>
        <w:numPr>
          <w:ilvl w:val="2"/>
          <w:numId w:val="4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144A Global Note (CUSIP _____), or</w:t>
      </w:r>
    </w:p>
    <w:p>
      <w:pPr>
        <w:spacing w:after="0" w:line="182" w:lineRule="exact"/>
        <w:rPr>
          <w:rFonts w:ascii="Courier New" w:cs="Courier New" w:eastAsia="Courier New" w:hAnsi="Courier New"/>
          <w:sz w:val="16"/>
          <w:szCs w:val="16"/>
          <w:color w:val="auto"/>
        </w:rPr>
      </w:pPr>
    </w:p>
    <w:p>
      <w:pPr>
        <w:ind w:left="1703" w:hanging="568"/>
        <w:spacing w:after="0"/>
        <w:tabs>
          <w:tab w:leader="none" w:pos="1703" w:val="left"/>
        </w:tabs>
        <w:numPr>
          <w:ilvl w:val="2"/>
          <w:numId w:val="4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Regulation S Global Note (CUSIP _____), or</w:t>
      </w:r>
    </w:p>
    <w:p>
      <w:pPr>
        <w:spacing w:after="0" w:line="182" w:lineRule="exact"/>
        <w:rPr>
          <w:rFonts w:ascii="Courier New" w:cs="Courier New" w:eastAsia="Courier New" w:hAnsi="Courier New"/>
          <w:sz w:val="16"/>
          <w:szCs w:val="16"/>
          <w:color w:val="auto"/>
        </w:rPr>
      </w:pPr>
    </w:p>
    <w:p>
      <w:pPr>
        <w:ind w:left="1703" w:hanging="568"/>
        <w:spacing w:after="0"/>
        <w:tabs>
          <w:tab w:leader="none" w:pos="1703" w:val="left"/>
        </w:tabs>
        <w:numPr>
          <w:ilvl w:val="2"/>
          <w:numId w:val="4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IAI Global Note (CUSIP _____); or</w:t>
      </w:r>
    </w:p>
    <w:p>
      <w:pPr>
        <w:spacing w:after="0" w:line="182" w:lineRule="exact"/>
        <w:rPr>
          <w:rFonts w:ascii="Courier New" w:cs="Courier New" w:eastAsia="Courier New" w:hAnsi="Courier New"/>
          <w:sz w:val="16"/>
          <w:szCs w:val="16"/>
          <w:color w:val="auto"/>
        </w:rPr>
      </w:pPr>
    </w:p>
    <w:p>
      <w:pPr>
        <w:ind w:left="1143" w:hanging="576"/>
        <w:spacing w:after="0"/>
        <w:tabs>
          <w:tab w:leader="none" w:pos="1143" w:val="left"/>
        </w:tabs>
        <w:numPr>
          <w:ilvl w:val="1"/>
          <w:numId w:val="4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Restricted Definitive Note.</w:t>
      </w:r>
    </w:p>
    <w:p>
      <w:pPr>
        <w:spacing w:after="0" w:line="182" w:lineRule="exact"/>
        <w:rPr>
          <w:rFonts w:ascii="Courier New" w:cs="Courier New" w:eastAsia="Courier New" w:hAnsi="Courier New"/>
          <w:sz w:val="16"/>
          <w:szCs w:val="16"/>
          <w:color w:val="auto"/>
        </w:rPr>
      </w:pPr>
    </w:p>
    <w:p>
      <w:pPr>
        <w:ind w:left="563" w:hanging="563"/>
        <w:spacing w:after="0"/>
        <w:tabs>
          <w:tab w:leader="none" w:pos="563" w:val="left"/>
        </w:tabs>
        <w:numPr>
          <w:ilvl w:val="0"/>
          <w:numId w:val="4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Transfer the Transferee will hold:</w:t>
      </w:r>
    </w:p>
    <w:p>
      <w:pPr>
        <w:spacing w:after="0" w:line="183"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[CHECK ONE]</w:t>
      </w:r>
    </w:p>
    <w:p>
      <w:pPr>
        <w:spacing w:after="0" w:line="183" w:lineRule="exact"/>
        <w:rPr>
          <w:sz w:val="20"/>
          <w:szCs w:val="20"/>
          <w:color w:val="auto"/>
        </w:rPr>
      </w:pPr>
    </w:p>
    <w:p>
      <w:pPr>
        <w:ind w:left="1143" w:hanging="576"/>
        <w:spacing w:after="0"/>
        <w:tabs>
          <w:tab w:leader="none" w:pos="1143" w:val="left"/>
        </w:tabs>
        <w:numPr>
          <w:ilvl w:val="0"/>
          <w:numId w:val="4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beneficial interest in the:</w:t>
      </w:r>
    </w:p>
    <w:p>
      <w:pPr>
        <w:spacing w:after="0" w:line="182" w:lineRule="exact"/>
        <w:rPr>
          <w:rFonts w:ascii="Courier New" w:cs="Courier New" w:eastAsia="Courier New" w:hAnsi="Courier New"/>
          <w:sz w:val="16"/>
          <w:szCs w:val="16"/>
          <w:color w:val="auto"/>
        </w:rPr>
      </w:pPr>
    </w:p>
    <w:p>
      <w:pPr>
        <w:ind w:left="1703" w:hanging="568"/>
        <w:spacing w:after="0"/>
        <w:tabs>
          <w:tab w:leader="none" w:pos="1703" w:val="left"/>
        </w:tabs>
        <w:numPr>
          <w:ilvl w:val="1"/>
          <w:numId w:val="4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144A Global Note (CUSIP _____), or</w:t>
      </w:r>
    </w:p>
    <w:p>
      <w:pPr>
        <w:spacing w:after="0" w:line="182" w:lineRule="exact"/>
        <w:rPr>
          <w:rFonts w:ascii="Courier New" w:cs="Courier New" w:eastAsia="Courier New" w:hAnsi="Courier New"/>
          <w:sz w:val="16"/>
          <w:szCs w:val="16"/>
          <w:color w:val="auto"/>
        </w:rPr>
      </w:pPr>
    </w:p>
    <w:p>
      <w:pPr>
        <w:ind w:left="1703" w:hanging="568"/>
        <w:spacing w:after="0"/>
        <w:tabs>
          <w:tab w:leader="none" w:pos="1703" w:val="left"/>
        </w:tabs>
        <w:numPr>
          <w:ilvl w:val="1"/>
          <w:numId w:val="4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Regulation S Global Note (CUSIP _____), or</w:t>
      </w:r>
    </w:p>
    <w:p>
      <w:pPr>
        <w:spacing w:after="0" w:line="182" w:lineRule="exact"/>
        <w:rPr>
          <w:rFonts w:ascii="Courier New" w:cs="Courier New" w:eastAsia="Courier New" w:hAnsi="Courier New"/>
          <w:sz w:val="16"/>
          <w:szCs w:val="16"/>
          <w:color w:val="auto"/>
        </w:rPr>
      </w:pPr>
    </w:p>
    <w:p>
      <w:pPr>
        <w:ind w:left="1703" w:hanging="568"/>
        <w:spacing w:after="0"/>
        <w:tabs>
          <w:tab w:leader="none" w:pos="1703" w:val="left"/>
        </w:tabs>
        <w:numPr>
          <w:ilvl w:val="1"/>
          <w:numId w:val="4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IAI Global Note (CUSIP _____); or</w:t>
      </w:r>
    </w:p>
    <w:p>
      <w:pPr>
        <w:spacing w:after="0" w:line="182" w:lineRule="exact"/>
        <w:rPr>
          <w:rFonts w:ascii="Courier New" w:cs="Courier New" w:eastAsia="Courier New" w:hAnsi="Courier New"/>
          <w:sz w:val="16"/>
          <w:szCs w:val="16"/>
          <w:color w:val="auto"/>
        </w:rPr>
      </w:pPr>
    </w:p>
    <w:p>
      <w:pPr>
        <w:ind w:left="1703" w:hanging="568"/>
        <w:spacing w:after="0"/>
        <w:tabs>
          <w:tab w:leader="none" w:pos="1703" w:val="left"/>
        </w:tabs>
        <w:numPr>
          <w:ilvl w:val="1"/>
          <w:numId w:val="4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Unrestricted Global Note (CUSIP _____); or</w:t>
      </w:r>
    </w:p>
    <w:p>
      <w:pPr>
        <w:spacing w:after="0" w:line="182" w:lineRule="exact"/>
        <w:rPr>
          <w:rFonts w:ascii="Courier New" w:cs="Courier New" w:eastAsia="Courier New" w:hAnsi="Courier New"/>
          <w:sz w:val="16"/>
          <w:szCs w:val="16"/>
          <w:color w:val="auto"/>
        </w:rPr>
      </w:pPr>
    </w:p>
    <w:p>
      <w:pPr>
        <w:ind w:left="1143" w:hanging="576"/>
        <w:spacing w:after="0"/>
        <w:tabs>
          <w:tab w:leader="none" w:pos="1143" w:val="left"/>
        </w:tabs>
        <w:numPr>
          <w:ilvl w:val="0"/>
          <w:numId w:val="4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Restricted Definitive Note; or</w:t>
      </w:r>
    </w:p>
    <w:p>
      <w:pPr>
        <w:spacing w:after="0" w:line="182" w:lineRule="exact"/>
        <w:rPr>
          <w:rFonts w:ascii="Courier New" w:cs="Courier New" w:eastAsia="Courier New" w:hAnsi="Courier New"/>
          <w:sz w:val="16"/>
          <w:szCs w:val="16"/>
          <w:color w:val="auto"/>
        </w:rPr>
      </w:pPr>
    </w:p>
    <w:p>
      <w:pPr>
        <w:ind w:left="1143" w:hanging="576"/>
        <w:spacing w:after="0"/>
        <w:tabs>
          <w:tab w:leader="none" w:pos="1143" w:val="left"/>
        </w:tabs>
        <w:numPr>
          <w:ilvl w:val="0"/>
          <w:numId w:val="4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an Unrestricted Definitive Note,</w:t>
      </w:r>
    </w:p>
    <w:p>
      <w:pPr>
        <w:spacing w:after="0" w:line="182" w:lineRule="exact"/>
        <w:rPr>
          <w:rFonts w:ascii="Courier New" w:cs="Courier New" w:eastAsia="Courier New" w:hAnsi="Courier New"/>
          <w:sz w:val="16"/>
          <w:szCs w:val="16"/>
          <w:color w:val="auto"/>
        </w:rPr>
      </w:pPr>
    </w:p>
    <w:p>
      <w:pPr>
        <w:ind w:left="11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B-5</w:t>
      </w:r>
    </w:p>
    <w:p>
      <w:pPr>
        <w:sectPr>
          <w:pgSz w:w="11900" w:h="16838" w:orient="portrait"/>
          <w:cols w:equalWidth="0" w:num="1">
            <w:col w:w="10222"/>
          </w:cols>
          <w:pgMar w:left="237" w:top="477" w:right="1440" w:bottom="1440" w:gutter="0" w:footer="0" w:header="0"/>
        </w:sectPr>
      </w:pPr>
    </w:p>
    <w:bookmarkStart w:id="353" w:name="page354"/>
    <w:bookmarkEnd w:id="353"/>
    <w:p>
      <w:pPr>
        <w:jc w:val="center"/>
        <w:ind w:right="2556"/>
        <w:spacing w:after="0"/>
        <w:rPr>
          <w:sz w:val="20"/>
          <w:szCs w:val="20"/>
          <w:color w:val="auto"/>
        </w:rPr>
      </w:pPr>
      <w:r>
        <w:rPr>
          <w:rFonts w:ascii="Courier New" w:cs="Courier New" w:eastAsia="Courier New" w:hAnsi="Courier New"/>
          <w:sz w:val="16"/>
          <w:szCs w:val="16"/>
          <w:color w:val="auto"/>
        </w:rPr>
        <w:t>EXHIBIT C</w:t>
      </w:r>
    </w:p>
    <w:p>
      <w:pPr>
        <w:spacing w:after="0" w:line="183"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FORM OF CERTIFICATE OF EXCHANGE</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14111 Scottslawn Road</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Marysville, Ohio 43041</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Attention: Treasurer</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U.S. Bank National Association</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Goodwin Square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225 Asylum Street, 23rd Fl.</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Hartford, Connecticut 06103</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Attention: Corporate Trust Administration</w:t>
      </w:r>
    </w:p>
    <w:p>
      <w:pPr>
        <w:spacing w:after="0" w:line="183" w:lineRule="exact"/>
        <w:rPr>
          <w:sz w:val="20"/>
          <w:szCs w:val="20"/>
          <w:color w:val="auto"/>
        </w:rPr>
      </w:pPr>
    </w:p>
    <w:p>
      <w:pPr>
        <w:ind w:left="1143"/>
        <w:spacing w:after="0"/>
        <w:tabs>
          <w:tab w:leader="none" w:pos="1683" w:val="left"/>
        </w:tabs>
        <w:rPr>
          <w:sz w:val="20"/>
          <w:szCs w:val="20"/>
          <w:color w:val="auto"/>
        </w:rPr>
      </w:pPr>
      <w:r>
        <w:rPr>
          <w:rFonts w:ascii="Courier New" w:cs="Courier New" w:eastAsia="Courier New" w:hAnsi="Courier New"/>
          <w:sz w:val="16"/>
          <w:szCs w:val="16"/>
          <w:color w:val="auto"/>
        </w:rPr>
        <w:t>Re:</w:t>
        <w:tab/>
        <w:t>6.625% Senior Subordinated Notes due 2013</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(CUSIP ______________)</w:t>
      </w:r>
    </w:p>
    <w:p>
      <w:pPr>
        <w:spacing w:after="0" w:line="186" w:lineRule="exact"/>
        <w:rPr>
          <w:sz w:val="20"/>
          <w:szCs w:val="20"/>
          <w:color w:val="auto"/>
        </w:rPr>
      </w:pPr>
    </w:p>
    <w:p>
      <w:pPr>
        <w:ind w:left="3" w:right="2659" w:firstLine="1135"/>
        <w:spacing w:after="0" w:line="239" w:lineRule="auto"/>
        <w:rPr>
          <w:sz w:val="20"/>
          <w:szCs w:val="20"/>
          <w:color w:val="auto"/>
        </w:rPr>
      </w:pPr>
      <w:r>
        <w:rPr>
          <w:rFonts w:ascii="Courier New" w:cs="Courier New" w:eastAsia="Courier New" w:hAnsi="Courier New"/>
          <w:sz w:val="16"/>
          <w:szCs w:val="16"/>
          <w:color w:val="auto"/>
        </w:rPr>
        <w:t>Reference is hereby made to the Indenture, dated as of October 8, 2003 (the "Indenture"), among The Scotts Company, as issuer (the "Company"), the Guarantors and U.S. Bank National Association, as trustee. Capitalized terms used but not defined herein shall have the meanings given to them in the Indenture.</w:t>
      </w:r>
    </w:p>
    <w:p>
      <w:pPr>
        <w:spacing w:after="0" w:line="185" w:lineRule="exact"/>
        <w:rPr>
          <w:sz w:val="20"/>
          <w:szCs w:val="20"/>
          <w:color w:val="auto"/>
        </w:rPr>
      </w:pPr>
    </w:p>
    <w:p>
      <w:pPr>
        <w:ind w:left="1143"/>
        <w:spacing w:after="0"/>
        <w:rPr>
          <w:sz w:val="20"/>
          <w:szCs w:val="20"/>
          <w:color w:val="auto"/>
        </w:rPr>
      </w:pPr>
      <w:r>
        <w:rPr>
          <w:rFonts w:ascii="Courier New" w:cs="Courier New" w:eastAsia="Courier New" w:hAnsi="Courier New"/>
          <w:sz w:val="16"/>
          <w:szCs w:val="16"/>
          <w:color w:val="auto"/>
        </w:rPr>
        <w:t>_________, (the "Owner") owns and proposes to exchange the Note[s]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or interest in such Note[s] specified herein, in the principal amount of</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$__________ in such Note[s] or interests (the "Exchange"). In connection with</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Exchange, the Owner hereby certifies that:</w:t>
      </w:r>
    </w:p>
    <w:p>
      <w:pPr>
        <w:spacing w:after="0" w:line="186" w:lineRule="exact"/>
        <w:rPr>
          <w:sz w:val="20"/>
          <w:szCs w:val="20"/>
          <w:color w:val="auto"/>
        </w:rPr>
      </w:pPr>
    </w:p>
    <w:p>
      <w:pPr>
        <w:ind w:left="3" w:right="2659" w:hanging="3"/>
        <w:spacing w:after="0" w:line="238" w:lineRule="auto"/>
        <w:tabs>
          <w:tab w:leader="none" w:pos="287" w:val="left"/>
        </w:tabs>
        <w:numPr>
          <w:ilvl w:val="0"/>
          <w:numId w:val="4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OF RESTRICTED DEFINITIVE NOTES OR BENEFICIAL INTERESTS IN A RESTRICTED GLOBAL NOTE FOR UNRESTRICTED DEFINITIVE NOTES OR BENEFICIAL INTERESTS IN AN UNRESTRICTED GLOBAL NOTE</w:t>
      </w:r>
    </w:p>
    <w:p>
      <w:pPr>
        <w:spacing w:after="0" w:line="188" w:lineRule="exact"/>
        <w:rPr>
          <w:rFonts w:ascii="Courier New" w:cs="Courier New" w:eastAsia="Courier New" w:hAnsi="Courier New"/>
          <w:sz w:val="16"/>
          <w:szCs w:val="16"/>
          <w:color w:val="auto"/>
        </w:rPr>
      </w:pPr>
    </w:p>
    <w:p>
      <w:pPr>
        <w:ind w:left="3" w:right="2659" w:firstLine="1132"/>
        <w:spacing w:after="0"/>
        <w:tabs>
          <w:tab w:leader="none" w:pos="1516" w:val="left"/>
        </w:tabs>
        <w:numPr>
          <w:ilvl w:val="1"/>
          <w:numId w:val="4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CHECK IF EXCHANGE IS FROM BENEFICIAL INTEREST IN A RESTRICTED GLOBAL NOTE TO BENEFICIAL INTEREST IN AN UNRESTRICTED GLOBAL NOTE.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"Securities Act"),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91" w:lineRule="exact"/>
        <w:rPr>
          <w:sz w:val="20"/>
          <w:szCs w:val="20"/>
          <w:color w:val="auto"/>
        </w:rPr>
      </w:pPr>
    </w:p>
    <w:p>
      <w:pPr>
        <w:ind w:left="3" w:right="2659" w:firstLine="1135"/>
        <w:spacing w:after="0" w:line="239" w:lineRule="auto"/>
        <w:rPr>
          <w:sz w:val="20"/>
          <w:szCs w:val="20"/>
          <w:color w:val="auto"/>
        </w:rPr>
      </w:pPr>
      <w:r>
        <w:rPr>
          <w:rFonts w:ascii="Courier New" w:cs="Courier New" w:eastAsia="Courier New" w:hAnsi="Courier New"/>
          <w:sz w:val="16"/>
          <w:szCs w:val="16"/>
          <w:color w:val="auto"/>
        </w:rPr>
        <w:t>(b)[ ] CHECK IF EXCHANGE IS FROM BENEFICIAL INTEREST IN A RESTRICTED GLOBAL NOTE TO UNRESTRICTED DEFINITIVE NOTE. In connection with the Exchange of the Owner's beneficial interest in a Restricted Global Note for an Unrestricted Definitive Note, the Owner hereby certifies (i) the Definitive Note is being acquired for the Owner's own account without</w:t>
      </w:r>
    </w:p>
    <w:p>
      <w:pPr>
        <w:spacing w:after="0" w:line="185"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C-1</w:t>
      </w:r>
    </w:p>
    <w:p>
      <w:pPr>
        <w:sectPr>
          <w:pgSz w:w="11900" w:h="16838" w:orient="portrait"/>
          <w:cols w:equalWidth="0" w:num="1">
            <w:col w:w="10222"/>
          </w:cols>
          <w:pgMar w:left="237" w:top="477" w:right="1440" w:bottom="1440" w:gutter="0" w:footer="0" w:header="0"/>
        </w:sectPr>
      </w:pPr>
    </w:p>
    <w:bookmarkStart w:id="354" w:name="page355"/>
    <w:bookmarkEnd w:id="354"/>
    <w:p>
      <w:pPr>
        <w:ind w:left="3" w:right="2659"/>
        <w:spacing w:after="0" w:line="239" w:lineRule="auto"/>
        <w:rPr>
          <w:sz w:val="20"/>
          <w:szCs w:val="20"/>
          <w:color w:val="auto"/>
        </w:rPr>
      </w:pPr>
      <w:r>
        <w:rPr>
          <w:rFonts w:ascii="Courier New" w:cs="Courier New" w:eastAsia="Courier New" w:hAnsi="Courier New"/>
          <w:sz w:val="16"/>
          <w:szCs w:val="16"/>
          <w:color w:val="auto"/>
        </w:rPr>
        <w:t>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92" w:lineRule="exact"/>
        <w:rPr>
          <w:sz w:val="20"/>
          <w:szCs w:val="20"/>
          <w:color w:val="auto"/>
        </w:rPr>
      </w:pPr>
    </w:p>
    <w:p>
      <w:pPr>
        <w:ind w:left="3" w:right="2659" w:firstLine="1132"/>
        <w:spacing w:after="0"/>
        <w:tabs>
          <w:tab w:leader="none" w:pos="1516" w:val="left"/>
        </w:tabs>
        <w:numPr>
          <w:ilvl w:val="1"/>
          <w:numId w:val="4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CHECK IF EXCHANGE IS FROM RESTRICTED DEFINITIVE NOTE TO BENEFICIAL INTEREST IN AN UNRESTRICTED GLOBAL NOTE.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89" w:lineRule="exact"/>
        <w:rPr>
          <w:rFonts w:ascii="Courier New" w:cs="Courier New" w:eastAsia="Courier New" w:hAnsi="Courier New"/>
          <w:sz w:val="16"/>
          <w:szCs w:val="16"/>
          <w:color w:val="auto"/>
        </w:rPr>
      </w:pPr>
    </w:p>
    <w:p>
      <w:pPr>
        <w:ind w:left="3" w:right="2659" w:firstLine="1132"/>
        <w:spacing w:after="0" w:line="257" w:lineRule="auto"/>
        <w:tabs>
          <w:tab w:leader="none" w:pos="1516" w:val="left"/>
        </w:tabs>
        <w:numPr>
          <w:ilvl w:val="1"/>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CHECK IF EXCHANGE IS FROM RESTRICTED DEFINITIVE NOTE TO UNRESTRICTED DEFINITIVE NOTE.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81" w:lineRule="exact"/>
        <w:rPr>
          <w:rFonts w:ascii="Courier New" w:cs="Courier New" w:eastAsia="Courier New" w:hAnsi="Courier New"/>
          <w:sz w:val="15"/>
          <w:szCs w:val="15"/>
          <w:color w:val="auto"/>
        </w:rPr>
      </w:pPr>
    </w:p>
    <w:p>
      <w:pPr>
        <w:ind w:left="3" w:right="2659" w:hanging="3"/>
        <w:spacing w:after="0" w:line="238" w:lineRule="auto"/>
        <w:tabs>
          <w:tab w:leader="none" w:pos="287" w:val="left"/>
        </w:tabs>
        <w:numPr>
          <w:ilvl w:val="0"/>
          <w:numId w:val="4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OF RESTRICTED DEFINITIVE NOTES OR BENEFICIAL INTERESTS IN RESTRICTED GLOBAL NOTES FOR RESTRICTED DEFINITIVE NOTES OR BENEFICIAL INTERESTS IN RESTRICTED GLOBAL NOTES</w:t>
      </w:r>
    </w:p>
    <w:p>
      <w:pPr>
        <w:spacing w:after="0" w:line="188" w:lineRule="exact"/>
        <w:rPr>
          <w:rFonts w:ascii="Courier New" w:cs="Courier New" w:eastAsia="Courier New" w:hAnsi="Courier New"/>
          <w:sz w:val="16"/>
          <w:szCs w:val="16"/>
          <w:color w:val="auto"/>
        </w:rPr>
      </w:pPr>
    </w:p>
    <w:p>
      <w:pPr>
        <w:ind w:left="3" w:right="2659" w:firstLine="1132"/>
        <w:spacing w:after="0"/>
        <w:tabs>
          <w:tab w:leader="none" w:pos="1516" w:val="left"/>
        </w:tabs>
        <w:numPr>
          <w:ilvl w:val="1"/>
          <w:numId w:val="4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CHECK IF EXCHANGE IS FROM BENEFICIAL INTEREST IN A RESTRICTED GLOBAL NOTE TO RESTRICTED DEFINITIVE NOTE.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88" w:lineRule="exact"/>
        <w:rPr>
          <w:rFonts w:ascii="Courier New" w:cs="Courier New" w:eastAsia="Courier New" w:hAnsi="Courier New"/>
          <w:sz w:val="16"/>
          <w:szCs w:val="16"/>
          <w:color w:val="auto"/>
        </w:rPr>
      </w:pPr>
    </w:p>
    <w:p>
      <w:pPr>
        <w:ind w:left="3" w:right="2659" w:firstLine="1132"/>
        <w:spacing w:after="0"/>
        <w:tabs>
          <w:tab w:leader="none" w:pos="1516" w:val="left"/>
        </w:tabs>
        <w:numPr>
          <w:ilvl w:val="1"/>
          <w:numId w:val="4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CHECK IF EXCHANGE IS FROM RESTRICTED DEFINITIVE NOTE TO BENEFICIAL INTEREST IN A RESTRICTED GLOBAL NOTE. In connection with the Exchange of the Owner's Restricted Definitive Note for a beneficial interest in the [CHECK ONE] [ ] 144A Global Note, [ ] Regulation S Global Note, [ ] IAI Global Note with an equal principal amount, the Owner hereby certifies (i) the beneficial interest is being acquired for the Owner's own account without transfer and (ii) such Exchange has been effected in compliance with the transfer restrictions</w:t>
      </w:r>
    </w:p>
    <w:p>
      <w:pPr>
        <w:spacing w:after="0" w:line="183"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C-2</w:t>
      </w:r>
    </w:p>
    <w:p>
      <w:pPr>
        <w:sectPr>
          <w:pgSz w:w="11900" w:h="16838" w:orient="portrait"/>
          <w:cols w:equalWidth="0" w:num="1">
            <w:col w:w="10222"/>
          </w:cols>
          <w:pgMar w:left="237" w:top="481" w:right="1440" w:bottom="1440" w:gutter="0" w:footer="0" w:header="0"/>
        </w:sectPr>
      </w:pPr>
    </w:p>
    <w:bookmarkStart w:id="355" w:name="page356"/>
    <w:bookmarkEnd w:id="355"/>
    <w:p>
      <w:pPr>
        <w:ind w:right="2659"/>
        <w:spacing w:after="0" w:line="239" w:lineRule="auto"/>
        <w:rPr>
          <w:sz w:val="20"/>
          <w:szCs w:val="20"/>
          <w:color w:val="auto"/>
        </w:rPr>
      </w:pPr>
      <w:r>
        <w:rPr>
          <w:rFonts w:ascii="Courier New" w:cs="Courier New" w:eastAsia="Courier New" w:hAnsi="Courier New"/>
          <w:sz w:val="16"/>
          <w:szCs w:val="16"/>
          <w:color w:val="auto"/>
        </w:rPr>
        <w:t>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92" w:lineRule="exact"/>
        <w:rPr>
          <w:sz w:val="20"/>
          <w:szCs w:val="20"/>
          <w:color w:val="auto"/>
        </w:rPr>
      </w:pPr>
    </w:p>
    <w:p>
      <w:pPr>
        <w:ind w:right="2939" w:firstLine="1135"/>
        <w:spacing w:after="0" w:line="237" w:lineRule="auto"/>
        <w:rPr>
          <w:sz w:val="20"/>
          <w:szCs w:val="20"/>
          <w:color w:val="auto"/>
        </w:rPr>
      </w:pPr>
      <w:r>
        <w:rPr>
          <w:rFonts w:ascii="Courier New" w:cs="Courier New" w:eastAsia="Courier New" w:hAnsi="Courier New"/>
          <w:sz w:val="16"/>
          <w:szCs w:val="16"/>
          <w:color w:val="auto"/>
        </w:rPr>
        <w:t>This certificate and the statements contained herein are made for your benefit and the benefit of the Company.</w:t>
      </w:r>
    </w:p>
    <w:p>
      <w:pPr>
        <w:spacing w:after="0" w:line="36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[Insert Name of Owner]</w:t>
      </w:r>
    </w:p>
    <w:p>
      <w:pPr>
        <w:spacing w:after="0" w:line="183"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_____________________________</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Title: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 ____</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C-3</w:t>
      </w:r>
    </w:p>
    <w:p>
      <w:pPr>
        <w:sectPr>
          <w:pgSz w:w="11900" w:h="16838" w:orient="portrait"/>
          <w:cols w:equalWidth="0" w:num="1">
            <w:col w:w="10219"/>
          </w:cols>
          <w:pgMar w:left="240" w:top="480" w:right="1440" w:bottom="1440" w:gutter="0" w:footer="0" w:header="0"/>
        </w:sectPr>
      </w:pPr>
    </w:p>
    <w:bookmarkStart w:id="356" w:name="page357"/>
    <w:bookmarkEnd w:id="356"/>
    <w:p>
      <w:pPr>
        <w:ind w:left="3400"/>
        <w:spacing w:after="0"/>
        <w:rPr>
          <w:sz w:val="20"/>
          <w:szCs w:val="20"/>
          <w:color w:val="auto"/>
        </w:rPr>
      </w:pPr>
      <w:r>
        <w:rPr>
          <w:rFonts w:ascii="Courier New" w:cs="Courier New" w:eastAsia="Courier New" w:hAnsi="Courier New"/>
          <w:sz w:val="16"/>
          <w:szCs w:val="16"/>
          <w:color w:val="auto"/>
        </w:rPr>
        <w:t>EXHIBIT D</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FORM OF CERTIFICATE FROM</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ACQUIRING INSTITUTIONAL ACCREDITED INVESTOR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14111 Scottslawn Road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Marysville, Ohio 43041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Treasurer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Bank National Association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Goodwin Square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225 Asylum Street, 23rd Fl.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Hartford, Connecticut 06103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Corporate Trust Administration</w:t>
      </w:r>
    </w:p>
    <w:p>
      <w:pPr>
        <w:spacing w:after="0" w:line="183" w:lineRule="exact"/>
        <w:rPr>
          <w:sz w:val="20"/>
          <w:szCs w:val="20"/>
          <w:color w:val="auto"/>
        </w:rPr>
      </w:pPr>
    </w:p>
    <w:p>
      <w:pPr>
        <w:ind w:left="1140"/>
        <w:spacing w:after="0"/>
        <w:tabs>
          <w:tab w:leader="none" w:pos="1680" w:val="left"/>
        </w:tabs>
        <w:rPr>
          <w:sz w:val="20"/>
          <w:szCs w:val="20"/>
          <w:color w:val="auto"/>
        </w:rPr>
      </w:pPr>
      <w:r>
        <w:rPr>
          <w:rFonts w:ascii="Courier New" w:cs="Courier New" w:eastAsia="Courier New" w:hAnsi="Courier New"/>
          <w:sz w:val="16"/>
          <w:szCs w:val="16"/>
          <w:color w:val="auto"/>
        </w:rPr>
        <w:t>Re:</w:t>
        <w:tab/>
        <w:t>6.625% Senior Subordinated Notes due 2013</w:t>
      </w:r>
    </w:p>
    <w:p>
      <w:pPr>
        <w:spacing w:after="0" w:line="186"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Reference is hereby made to the Indenture, dated as of October 8, 2003 (the "Indenture"), among The Scotts Company, as issuer (the "Company"), the Guarantors and U.S. Bank National Association, as trustee. Capitalized terms used but not defined herein shall have the meanings given to them in the Indenture.</w:t>
      </w:r>
    </w:p>
    <w:p>
      <w:pPr>
        <w:spacing w:after="0" w:line="185"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In connection with our proposed purchase of $___________ aggregate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 of:</w:t>
      </w:r>
    </w:p>
    <w:p>
      <w:pPr>
        <w:spacing w:after="0" w:line="183" w:lineRule="exact"/>
        <w:rPr>
          <w:sz w:val="20"/>
          <w:szCs w:val="20"/>
          <w:color w:val="auto"/>
        </w:rPr>
      </w:pPr>
    </w:p>
    <w:p>
      <w:pPr>
        <w:ind w:left="1700" w:hanging="568"/>
        <w:spacing w:after="0"/>
        <w:tabs>
          <w:tab w:leader="none" w:pos="1700" w:val="left"/>
        </w:tabs>
        <w:numPr>
          <w:ilvl w:val="0"/>
          <w:numId w:val="4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beneficial interest in a Global Note, or</w:t>
      </w:r>
    </w:p>
    <w:p>
      <w:pPr>
        <w:spacing w:after="0" w:line="182" w:lineRule="exact"/>
        <w:rPr>
          <w:rFonts w:ascii="Courier New" w:cs="Courier New" w:eastAsia="Courier New" w:hAnsi="Courier New"/>
          <w:sz w:val="16"/>
          <w:szCs w:val="16"/>
          <w:color w:val="auto"/>
        </w:rPr>
      </w:pPr>
    </w:p>
    <w:p>
      <w:pPr>
        <w:ind w:left="1700" w:hanging="568"/>
        <w:spacing w:after="0"/>
        <w:tabs>
          <w:tab w:leader="none" w:pos="1700" w:val="left"/>
        </w:tabs>
        <w:numPr>
          <w:ilvl w:val="0"/>
          <w:numId w:val="4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Definitive Note,</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we confirm that:</w:t>
      </w:r>
    </w:p>
    <w:p>
      <w:pPr>
        <w:spacing w:after="0" w:line="186" w:lineRule="exact"/>
        <w:rPr>
          <w:sz w:val="20"/>
          <w:szCs w:val="20"/>
          <w:color w:val="auto"/>
        </w:rPr>
      </w:pPr>
    </w:p>
    <w:p>
      <w:pPr>
        <w:ind w:right="2759" w:firstLine="1132"/>
        <w:spacing w:after="0" w:line="239" w:lineRule="auto"/>
        <w:tabs>
          <w:tab w:leader="none" w:pos="1419" w:val="left"/>
        </w:tabs>
        <w:numPr>
          <w:ilvl w:val="0"/>
          <w:numId w:val="4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United States Securities Act of 1933, as amended (the "Securities Act").</w:t>
      </w:r>
    </w:p>
    <w:p>
      <w:pPr>
        <w:spacing w:after="0" w:line="190" w:lineRule="exact"/>
        <w:rPr>
          <w:rFonts w:ascii="Courier New" w:cs="Courier New" w:eastAsia="Courier New" w:hAnsi="Courier New"/>
          <w:sz w:val="16"/>
          <w:szCs w:val="16"/>
          <w:color w:val="auto"/>
        </w:rPr>
      </w:pPr>
    </w:p>
    <w:p>
      <w:pPr>
        <w:ind w:right="2659" w:firstLine="1132"/>
        <w:spacing w:after="0"/>
        <w:tabs>
          <w:tab w:leader="none" w:pos="1419" w:val="left"/>
        </w:tabs>
        <w:numPr>
          <w:ilvl w:val="0"/>
          <w:numId w:val="4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 (B) 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if such transfer is in respect of a principal amount of Notes, at the time of transfer of less than $250,000, an Opinion of</w:t>
      </w:r>
    </w:p>
    <w:p>
      <w:pPr>
        <w:spacing w:after="0" w:line="200" w:lineRule="exact"/>
        <w:rPr>
          <w:sz w:val="20"/>
          <w:szCs w:val="20"/>
          <w:color w:val="auto"/>
        </w:rPr>
      </w:pPr>
    </w:p>
    <w:p>
      <w:pPr>
        <w:spacing w:after="0" w:line="35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D-1</w:t>
      </w:r>
    </w:p>
    <w:p>
      <w:pPr>
        <w:sectPr>
          <w:pgSz w:w="11900" w:h="16838" w:orient="portrait"/>
          <w:cols w:equalWidth="0" w:num="1">
            <w:col w:w="10219"/>
          </w:cols>
          <w:pgMar w:left="240" w:top="477" w:right="1440" w:bottom="1440" w:gutter="0" w:footer="0" w:header="0"/>
        </w:sectPr>
      </w:pPr>
    </w:p>
    <w:bookmarkStart w:id="357" w:name="page358"/>
    <w:bookmarkEnd w:id="357"/>
    <w:p>
      <w:pPr>
        <w:ind w:right="2659"/>
        <w:spacing w:after="0"/>
        <w:rPr>
          <w:sz w:val="20"/>
          <w:szCs w:val="20"/>
          <w:color w:val="auto"/>
        </w:rPr>
      </w:pPr>
      <w:r>
        <w:rPr>
          <w:rFonts w:ascii="Courier New" w:cs="Courier New" w:eastAsia="Courier New" w:hAnsi="Courier New"/>
          <w:sz w:val="16"/>
          <w:szCs w:val="16"/>
          <w:color w:val="auto"/>
        </w:rPr>
        <w:t>Counsel in form reasonably acceptable to the Company to the effect that such transfer is in compliance with the Securities Act, (D) outside the United States in accordance with Rule 904 of Regulation S under the Securities Act, (E) pursuant to the provisions of Rule 144(k)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188" w:lineRule="exact"/>
        <w:rPr>
          <w:sz w:val="20"/>
          <w:szCs w:val="20"/>
          <w:color w:val="auto"/>
        </w:rPr>
      </w:pPr>
    </w:p>
    <w:p>
      <w:pPr>
        <w:ind w:right="2659" w:firstLine="1132"/>
        <w:spacing w:after="0" w:line="239" w:lineRule="auto"/>
        <w:tabs>
          <w:tab w:leader="none" w:pos="1419" w:val="left"/>
        </w:tabs>
        <w:numPr>
          <w:ilvl w:val="0"/>
          <w:numId w:val="4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190" w:lineRule="exact"/>
        <w:rPr>
          <w:rFonts w:ascii="Courier New" w:cs="Courier New" w:eastAsia="Courier New" w:hAnsi="Courier New"/>
          <w:sz w:val="16"/>
          <w:szCs w:val="16"/>
          <w:color w:val="auto"/>
        </w:rPr>
      </w:pPr>
    </w:p>
    <w:p>
      <w:pPr>
        <w:ind w:right="2659" w:firstLine="1132"/>
        <w:spacing w:after="0" w:line="239" w:lineRule="auto"/>
        <w:tabs>
          <w:tab w:leader="none" w:pos="1419" w:val="left"/>
        </w:tabs>
        <w:numPr>
          <w:ilvl w:val="0"/>
          <w:numId w:val="4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90" w:lineRule="exact"/>
        <w:rPr>
          <w:rFonts w:ascii="Courier New" w:cs="Courier New" w:eastAsia="Courier New" w:hAnsi="Courier New"/>
          <w:sz w:val="16"/>
          <w:szCs w:val="16"/>
          <w:color w:val="auto"/>
        </w:rPr>
      </w:pPr>
    </w:p>
    <w:p>
      <w:pPr>
        <w:ind w:right="2759" w:firstLine="1132"/>
        <w:spacing w:after="0" w:line="239" w:lineRule="auto"/>
        <w:tabs>
          <w:tab w:leader="none" w:pos="1419" w:val="left"/>
        </w:tabs>
        <w:numPr>
          <w:ilvl w:val="0"/>
          <w:numId w:val="4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87"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36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[Insert Name of Accredited Investor]</w:t>
      </w:r>
    </w:p>
    <w:p>
      <w:pPr>
        <w:spacing w:after="0" w:line="183"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_______________________________</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Title:</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 ____</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D-2</w:t>
      </w:r>
    </w:p>
    <w:p>
      <w:pPr>
        <w:sectPr>
          <w:pgSz w:w="11900" w:h="16838" w:orient="portrait"/>
          <w:cols w:equalWidth="0" w:num="1">
            <w:col w:w="10219"/>
          </w:cols>
          <w:pgMar w:left="240" w:top="481" w:right="1440" w:bottom="1440" w:gutter="0" w:footer="0" w:header="0"/>
        </w:sectPr>
      </w:pPr>
    </w:p>
    <w:bookmarkStart w:id="358" w:name="page359"/>
    <w:bookmarkEnd w:id="358"/>
    <w:p>
      <w:pPr>
        <w:jc w:val="center"/>
        <w:ind w:right="2559"/>
        <w:spacing w:after="0"/>
        <w:rPr>
          <w:sz w:val="20"/>
          <w:szCs w:val="20"/>
          <w:color w:val="auto"/>
        </w:rPr>
      </w:pPr>
      <w:r>
        <w:rPr>
          <w:rFonts w:ascii="Courier New" w:cs="Courier New" w:eastAsia="Courier New" w:hAnsi="Courier New"/>
          <w:sz w:val="16"/>
          <w:szCs w:val="16"/>
          <w:color w:val="auto"/>
        </w:rPr>
        <w:t>EXHIBIT E</w:t>
      </w:r>
    </w:p>
    <w:p>
      <w:pPr>
        <w:spacing w:after="0" w:line="183"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FORM OF NOTATION OF SUBSIDIARY GUARANTEE ON NOTE</w:t>
      </w:r>
    </w:p>
    <w:p>
      <w:pPr>
        <w:spacing w:after="0" w:line="186"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For value received, each undersigned Guarantor (which term includes any successor Person under the Indenture) has, jointly and severally, unconditionally guaranteed, to the extent set forth in the Indenture and subject to the provisions in the Indenture dated as of October 8, 2003 (as such Indenture may be supplemented or amended, the "Indenture") among The Scotts Company (the "Company"), the Guarantors signatories thereto and U.S. Bank National Association, as trustee (the "Trustee"), (a) the due and punctual payment of the principal of, premium, if any, and interest and Registration Default Damages, if any, on the Notes (as defined in the Indenture), whether at stated maturity, by acceleration, redemption or otherwise, the due and punctual payment of interest on overdue principal and premium, if any, and, to the extent permitted by law, interest, and the due and punctual performance of all other obligations of the Company to the Holders or the Trustee all in accordance with the terms of the Indenture and (b)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 The obligations of the undersigned Guarantors to the Holders of Notes and to the Trustee pursuant to this Subsidiary Guarantee and the Indenture are expressly set forth in Article 11 of the Indenture and reference is hereby made to the Indenture for the precise terms of this Subsidiary Guarantee. Each Holder of a Note, by accepting the same, (a) agrees to and shall be bound by such provisions, (b) authorizes the Trustee, on behalf of such Holder, to make such action as may be necessary or appropriate to effectuate the subordination as provided in the Indenture and (c) appoints the Trustee attorney-in-fact of such Holder for such purpose; provided, however, that the Indebtedness evidenced by this Subsidiary Guarantee shall cease to be so subordinated and subject in right of payment upon any defeasance of this Note in accordance with the provisions of the Indenture.</w:t>
      </w:r>
    </w:p>
    <w:p>
      <w:pPr>
        <w:spacing w:after="0" w:line="362" w:lineRule="exact"/>
        <w:rPr>
          <w:sz w:val="20"/>
          <w:szCs w:val="20"/>
          <w:color w:val="auto"/>
        </w:rPr>
      </w:pPr>
    </w:p>
    <w:p>
      <w:pPr>
        <w:ind w:right="2839" w:firstLine="1135"/>
        <w:spacing w:after="0" w:line="239" w:lineRule="auto"/>
        <w:rPr>
          <w:sz w:val="20"/>
          <w:szCs w:val="20"/>
          <w:color w:val="auto"/>
        </w:rPr>
      </w:pPr>
      <w:r>
        <w:rPr>
          <w:rFonts w:ascii="Courier New" w:cs="Courier New" w:eastAsia="Courier New" w:hAnsi="Courier New"/>
          <w:sz w:val="16"/>
          <w:szCs w:val="16"/>
          <w:color w:val="auto"/>
        </w:rPr>
        <w:t>The terms of the Indenture, including, without limitation, Article 11 of the Indenture, are incorporated herein by reference. Capitalized terms used herein shall have the meanings assigned to them in the Indenture unless otherwise indicated.</w:t>
      </w:r>
    </w:p>
    <w:p>
      <w:pPr>
        <w:spacing w:after="0" w:line="183"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[Guarantor]</w:t>
      </w:r>
    </w:p>
    <w:p>
      <w:pPr>
        <w:spacing w:after="0" w:line="183"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_______________________________</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E-1</w:t>
      </w:r>
    </w:p>
    <w:p>
      <w:pPr>
        <w:sectPr>
          <w:pgSz w:w="11900" w:h="16838" w:orient="portrait"/>
          <w:cols w:equalWidth="0" w:num="1">
            <w:col w:w="10219"/>
          </w:cols>
          <w:pgMar w:left="240" w:top="476" w:right="1440" w:bottom="1440" w:gutter="0" w:footer="0" w:header="0"/>
        </w:sectPr>
      </w:pPr>
    </w:p>
    <w:bookmarkStart w:id="359" w:name="page360"/>
    <w:bookmarkEnd w:id="359"/>
    <w:p>
      <w:pPr>
        <w:jc w:val="center"/>
        <w:ind w:right="2559"/>
        <w:spacing w:after="0"/>
        <w:rPr>
          <w:sz w:val="20"/>
          <w:szCs w:val="20"/>
          <w:color w:val="auto"/>
        </w:rPr>
      </w:pPr>
      <w:r>
        <w:rPr>
          <w:rFonts w:ascii="Courier New" w:cs="Courier New" w:eastAsia="Courier New" w:hAnsi="Courier New"/>
          <w:sz w:val="16"/>
          <w:szCs w:val="16"/>
          <w:color w:val="auto"/>
        </w:rPr>
        <w:t>EXHIBIT F</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FORM OF SUPPLEMENTAL INDENTURE</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TO BE DELIVERED BY SUBSEQUENT GUARANTORS</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SUPPLEMENTAL INDENTURE (this "Supplemental Indenture") dated as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 among _____________ (the "Guaranteeing Subsidiary'), a</w:t>
      </w:r>
    </w:p>
    <w:p>
      <w:pPr>
        <w:spacing w:after="0" w:line="5"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6"/>
          <w:szCs w:val="16"/>
          <w:color w:val="auto"/>
        </w:rPr>
        <w:t>subsidiary of The Scotts Company (or its successor), a corporation organized under the laws of Ohio (the "Company"), and U.S. Bank National Association, as trustee under the indenture referred to below (the "Trustee").</w:t>
      </w:r>
    </w:p>
    <w:p>
      <w:pPr>
        <w:spacing w:after="0" w:line="18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WITNESSETH</w:t>
      </w:r>
    </w:p>
    <w:p>
      <w:pPr>
        <w:spacing w:after="0" w:line="186" w:lineRule="exact"/>
        <w:rPr>
          <w:sz w:val="20"/>
          <w:szCs w:val="20"/>
          <w:color w:val="auto"/>
        </w:rPr>
      </w:pPr>
    </w:p>
    <w:p>
      <w:pPr>
        <w:ind w:right="2839" w:firstLine="1135"/>
        <w:spacing w:after="0" w:line="239" w:lineRule="auto"/>
        <w:rPr>
          <w:sz w:val="20"/>
          <w:szCs w:val="20"/>
          <w:color w:val="auto"/>
        </w:rPr>
      </w:pPr>
      <w:r>
        <w:rPr>
          <w:rFonts w:ascii="Courier New" w:cs="Courier New" w:eastAsia="Courier New" w:hAnsi="Courier New"/>
          <w:sz w:val="16"/>
          <w:szCs w:val="16"/>
          <w:color w:val="auto"/>
        </w:rPr>
        <w:t>WHEREAS, the Company has heretofore executed and delivered to the Trustee an indenture (the "Indenture"), dated as of October 8, 2003, providing for the issuance of an unlimited aggregate principal amount of 6.625% Senior Subordinated Notes due 2013 (the "Notes");</w:t>
      </w:r>
    </w:p>
    <w:p>
      <w:pPr>
        <w:spacing w:after="0" w:line="187"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[Holdco's] Obligations under the Notes and the Indenture on the terms and conditions set forth herein (the "Subsidiary Guarantee"); and</w:t>
      </w:r>
    </w:p>
    <w:p>
      <w:pPr>
        <w:spacing w:after="0" w:line="190" w:lineRule="exact"/>
        <w:rPr>
          <w:sz w:val="20"/>
          <w:szCs w:val="20"/>
          <w:color w:val="auto"/>
        </w:rPr>
      </w:pPr>
    </w:p>
    <w:p>
      <w:pPr>
        <w:ind w:right="2839" w:firstLine="1135"/>
        <w:spacing w:after="0" w:line="237" w:lineRule="auto"/>
        <w:rPr>
          <w:sz w:val="20"/>
          <w:szCs w:val="20"/>
          <w:color w:val="auto"/>
        </w:rPr>
      </w:pPr>
      <w:r>
        <w:rPr>
          <w:rFonts w:ascii="Courier New" w:cs="Courier New" w:eastAsia="Courier New" w:hAnsi="Courier New"/>
          <w:sz w:val="16"/>
          <w:szCs w:val="16"/>
          <w:color w:val="auto"/>
        </w:rPr>
        <w:t>WHEREAS, pursuant to Section 9.01 of the Indenture, the Trustee is authorized to execute and deliver this Supplemental Indenture.</w:t>
      </w:r>
    </w:p>
    <w:p>
      <w:pPr>
        <w:spacing w:after="0" w:line="188"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7" w:lineRule="exact"/>
        <w:rPr>
          <w:sz w:val="20"/>
          <w:szCs w:val="20"/>
          <w:color w:val="auto"/>
        </w:rPr>
      </w:pPr>
    </w:p>
    <w:p>
      <w:pPr>
        <w:ind w:right="3499" w:firstLine="1132"/>
        <w:spacing w:after="0" w:line="267" w:lineRule="auto"/>
        <w:tabs>
          <w:tab w:leader="none" w:pos="1419"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Capitalized Terms. Capitalized terms used herein without definition shall have the meanings assigned to them in the Indenture.</w:t>
      </w:r>
    </w:p>
    <w:p>
      <w:pPr>
        <w:spacing w:after="0" w:line="167" w:lineRule="exact"/>
        <w:rPr>
          <w:rFonts w:ascii="Courier New" w:cs="Courier New" w:eastAsia="Courier New" w:hAnsi="Courier New"/>
          <w:sz w:val="15"/>
          <w:szCs w:val="15"/>
          <w:color w:val="auto"/>
        </w:rPr>
      </w:pPr>
    </w:p>
    <w:p>
      <w:pPr>
        <w:ind w:left="1420" w:hanging="288"/>
        <w:spacing w:after="0"/>
        <w:tabs>
          <w:tab w:leader="none" w:pos="1420"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to Guarantee. The Guaranteeing Subsidiary hereby agrees</w:t>
      </w:r>
    </w:p>
    <w:p>
      <w:pPr>
        <w:spacing w:after="0" w:line="8"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as follows:</w:t>
      </w:r>
    </w:p>
    <w:p>
      <w:pPr>
        <w:spacing w:after="0" w:line="186" w:lineRule="exact"/>
        <w:rPr>
          <w:sz w:val="20"/>
          <w:szCs w:val="20"/>
          <w:color w:val="auto"/>
        </w:rPr>
      </w:pPr>
    </w:p>
    <w:p>
      <w:pPr>
        <w:ind w:left="1700" w:right="2659" w:hanging="568"/>
        <w:spacing w:after="0" w:line="239" w:lineRule="auto"/>
        <w:tabs>
          <w:tab w:leader="none" w:pos="1700" w:val="left"/>
        </w:tabs>
        <w:numPr>
          <w:ilvl w:val="0"/>
          <w:numId w:val="4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Along with all Guarantors named in the Indenture, to jointly and severally Guarantee to each Holder of a Note authenticated and delivered by the Trustee and to the Trustee and its successors and assigns, irrespective of the validity and enforceability of the Indenture, the Notes or the obligations of the Company hereunder or thereunder, that:</w:t>
      </w:r>
    </w:p>
    <w:p>
      <w:pPr>
        <w:spacing w:after="0" w:line="190" w:lineRule="exact"/>
        <w:rPr>
          <w:rFonts w:ascii="Courier New" w:cs="Courier New" w:eastAsia="Courier New" w:hAnsi="Courier New"/>
          <w:sz w:val="16"/>
          <w:szCs w:val="16"/>
          <w:color w:val="auto"/>
        </w:rPr>
      </w:pPr>
    </w:p>
    <w:p>
      <w:pPr>
        <w:ind w:left="2260" w:right="2839" w:hanging="561"/>
        <w:spacing w:after="0" w:line="239" w:lineRule="auto"/>
        <w:tabs>
          <w:tab w:leader="none" w:pos="2260" w:val="left"/>
        </w:tabs>
        <w:numPr>
          <w:ilvl w:val="1"/>
          <w:numId w:val="4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and interest on the Notes and Registration Default Damages, if any, will be promptly paid in full when due, whether at maturity, by acceleration, redemption or otherwise, and interest on the overdue principal of and interest on the Notes, if any, if</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F-1</w:t>
      </w:r>
    </w:p>
    <w:p>
      <w:pPr>
        <w:sectPr>
          <w:pgSz w:w="11900" w:h="16838" w:orient="portrait"/>
          <w:cols w:equalWidth="0" w:num="1">
            <w:col w:w="10219"/>
          </w:cols>
          <w:pgMar w:left="240" w:top="477" w:right="1440" w:bottom="1440" w:gutter="0" w:footer="0" w:header="0"/>
        </w:sectPr>
      </w:pPr>
    </w:p>
    <w:bookmarkStart w:id="360" w:name="page361"/>
    <w:bookmarkEnd w:id="360"/>
    <w:p>
      <w:pPr>
        <w:ind w:left="1128" w:right="2759"/>
        <w:spacing w:after="0" w:line="239" w:lineRule="auto"/>
        <w:rPr>
          <w:sz w:val="20"/>
          <w:szCs w:val="20"/>
          <w:color w:val="auto"/>
        </w:rPr>
      </w:pPr>
      <w:r>
        <w:rPr>
          <w:rFonts w:ascii="Courier New" w:cs="Courier New" w:eastAsia="Courier New" w:hAnsi="Courier New"/>
          <w:sz w:val="16"/>
          <w:szCs w:val="16"/>
          <w:color w:val="auto"/>
        </w:rPr>
        <w:t>lawful, and all other obligations of the Company to the Holders or the Trustee hereunder or thereunder will be promptly paid in full or performed, all in accordance with the terms hereof and thereof; and</w:t>
      </w:r>
    </w:p>
    <w:p>
      <w:pPr>
        <w:spacing w:after="0" w:line="187" w:lineRule="exact"/>
        <w:rPr>
          <w:sz w:val="20"/>
          <w:szCs w:val="20"/>
          <w:color w:val="auto"/>
        </w:rPr>
      </w:pPr>
    </w:p>
    <w:p>
      <w:pPr>
        <w:ind w:left="1128" w:right="2659" w:hanging="561"/>
        <w:spacing w:after="0"/>
        <w:tabs>
          <w:tab w:leader="none" w:pos="1128" w:val="left"/>
        </w:tabs>
        <w:numPr>
          <w:ilvl w:val="1"/>
          <w:numId w:val="4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any extension of time of payment or renewal of any Notes or any of such other obligations, that same will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w:t>
      </w:r>
    </w:p>
    <w:p>
      <w:pPr>
        <w:spacing w:after="0" w:line="187" w:lineRule="exact"/>
        <w:rPr>
          <w:rFonts w:ascii="Courier New" w:cs="Courier New" w:eastAsia="Courier New" w:hAnsi="Courier New"/>
          <w:sz w:val="16"/>
          <w:szCs w:val="16"/>
          <w:color w:val="auto"/>
        </w:rPr>
      </w:pPr>
    </w:p>
    <w:p>
      <w:pPr>
        <w:ind w:left="568" w:right="2659" w:hanging="568"/>
        <w:spacing w:after="0" w:line="258" w:lineRule="auto"/>
        <w:tabs>
          <w:tab w:leader="none" w:pos="568" w:val="left"/>
        </w:tabs>
        <w:numPr>
          <w:ilvl w:val="0"/>
          <w:numId w:val="4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w:t>
      </w:r>
    </w:p>
    <w:p>
      <w:pPr>
        <w:spacing w:after="0" w:line="175" w:lineRule="exact"/>
        <w:rPr>
          <w:rFonts w:ascii="Courier New" w:cs="Courier New" w:eastAsia="Courier New" w:hAnsi="Courier New"/>
          <w:sz w:val="15"/>
          <w:szCs w:val="15"/>
          <w:color w:val="auto"/>
        </w:rPr>
      </w:pPr>
    </w:p>
    <w:p>
      <w:pPr>
        <w:ind w:left="568" w:right="2659" w:hanging="568"/>
        <w:spacing w:after="0" w:line="239" w:lineRule="auto"/>
        <w:tabs>
          <w:tab w:leader="none" w:pos="568" w:val="left"/>
        </w:tabs>
        <w:numPr>
          <w:ilvl w:val="0"/>
          <w:numId w:val="4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is hereby waived: diligence, presentment, demand of payment, filing of claims with a court in the event of insolvency or bankruptcy of the Company, any right to require a proceeding first against the Company, protest, notice and all demands whatsoever.</w:t>
      </w:r>
    </w:p>
    <w:p>
      <w:pPr>
        <w:spacing w:after="0" w:line="188" w:lineRule="exact"/>
        <w:rPr>
          <w:rFonts w:ascii="Courier New" w:cs="Courier New" w:eastAsia="Courier New" w:hAnsi="Courier New"/>
          <w:sz w:val="16"/>
          <w:szCs w:val="16"/>
          <w:color w:val="auto"/>
        </w:rPr>
      </w:pPr>
    </w:p>
    <w:p>
      <w:pPr>
        <w:ind w:left="568" w:right="2659" w:hanging="568"/>
        <w:spacing w:after="0" w:line="238" w:lineRule="auto"/>
        <w:tabs>
          <w:tab w:leader="none" w:pos="568" w:val="left"/>
        </w:tabs>
        <w:numPr>
          <w:ilvl w:val="0"/>
          <w:numId w:val="4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Subsidiary Guarantee shall not be discharged except by complete performance of the obligations contained in the Notes and the Indenture.</w:t>
      </w:r>
    </w:p>
    <w:p>
      <w:pPr>
        <w:spacing w:after="0" w:line="188" w:lineRule="exact"/>
        <w:rPr>
          <w:rFonts w:ascii="Courier New" w:cs="Courier New" w:eastAsia="Courier New" w:hAnsi="Courier New"/>
          <w:sz w:val="16"/>
          <w:szCs w:val="16"/>
          <w:color w:val="auto"/>
        </w:rPr>
      </w:pPr>
    </w:p>
    <w:p>
      <w:pPr>
        <w:ind w:left="568" w:right="2759" w:hanging="568"/>
        <w:spacing w:after="0" w:line="239" w:lineRule="auto"/>
        <w:tabs>
          <w:tab w:leader="none" w:pos="568" w:val="left"/>
        </w:tabs>
        <w:numPr>
          <w:ilvl w:val="0"/>
          <w:numId w:val="4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Subsidiary Guarantee, to the extent theretofore discharged, shall be reinstated in full force and effect.</w:t>
      </w:r>
    </w:p>
    <w:p>
      <w:pPr>
        <w:spacing w:after="0" w:line="191" w:lineRule="exact"/>
        <w:rPr>
          <w:rFonts w:ascii="Courier New" w:cs="Courier New" w:eastAsia="Courier New" w:hAnsi="Courier New"/>
          <w:sz w:val="16"/>
          <w:szCs w:val="16"/>
          <w:color w:val="auto"/>
        </w:rPr>
      </w:pPr>
    </w:p>
    <w:p>
      <w:pPr>
        <w:ind w:left="568" w:right="2659" w:hanging="568"/>
        <w:spacing w:after="0" w:line="239" w:lineRule="auto"/>
        <w:tabs>
          <w:tab w:leader="none" w:pos="568" w:val="left"/>
        </w:tabs>
        <w:numPr>
          <w:ilvl w:val="0"/>
          <w:numId w:val="4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Guaranteeing Subsidiary shall not be entitled to any right of subrogation in relation to the Holders in respect of any obligations guaranteed hereby until payment in full of all obligations guaranteed hereby.</w:t>
      </w:r>
    </w:p>
    <w:p>
      <w:pPr>
        <w:spacing w:after="0" w:line="187" w:lineRule="exact"/>
        <w:rPr>
          <w:rFonts w:ascii="Courier New" w:cs="Courier New" w:eastAsia="Courier New" w:hAnsi="Courier New"/>
          <w:sz w:val="16"/>
          <w:szCs w:val="16"/>
          <w:color w:val="auto"/>
        </w:rPr>
      </w:pPr>
    </w:p>
    <w:p>
      <w:pPr>
        <w:ind w:left="568" w:right="2659" w:hanging="568"/>
        <w:spacing w:after="0"/>
        <w:tabs>
          <w:tab w:leader="none" w:pos="568" w:val="left"/>
        </w:tabs>
        <w:numPr>
          <w:ilvl w:val="0"/>
          <w:numId w:val="4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between the Guarantors, on the one hand, and the Holders and the Trustee, on the other hand, (x) the maturity of the obligations guaranteed hereby may be accelerated as provided in Article 6 of the Indenture for the purposes of this Subsidiary Guarantee, notwithstanding any stay, injunction or other prohibition preventing such acceleration in respect of the obligations guaranteed hereby, and (y) in the event of any declaration</w:t>
      </w:r>
    </w:p>
    <w:p>
      <w:pPr>
        <w:spacing w:after="0" w:line="183" w:lineRule="exact"/>
        <w:rPr>
          <w:sz w:val="20"/>
          <w:szCs w:val="20"/>
          <w:color w:val="auto"/>
        </w:rPr>
      </w:pPr>
    </w:p>
    <w:p>
      <w:pPr>
        <w:ind w:left="2468"/>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9087"/>
          </w:cols>
          <w:pgMar w:left="1372" w:top="481" w:right="1440" w:bottom="1440" w:gutter="0" w:footer="0" w:header="0"/>
        </w:sectPr>
      </w:pPr>
    </w:p>
    <w:bookmarkStart w:id="361" w:name="page362"/>
    <w:bookmarkEnd w:id="361"/>
    <w:p>
      <w:pPr>
        <w:ind w:left="568" w:right="2839"/>
        <w:spacing w:after="0" w:line="239" w:lineRule="auto"/>
        <w:rPr>
          <w:sz w:val="20"/>
          <w:szCs w:val="20"/>
          <w:color w:val="auto"/>
        </w:rPr>
      </w:pPr>
      <w:r>
        <w:rPr>
          <w:rFonts w:ascii="Courier New" w:cs="Courier New" w:eastAsia="Courier New" w:hAnsi="Courier New"/>
          <w:sz w:val="16"/>
          <w:szCs w:val="16"/>
          <w:color w:val="auto"/>
        </w:rPr>
        <w:t>of acceleration of such obligations as provided in Article 6 of the Indenture, such obligations (whether or not due and payable) shall forthwith become due and payable by the Guarantors for the purpose of this Subsidiary Guarantee.</w:t>
      </w:r>
    </w:p>
    <w:p>
      <w:pPr>
        <w:spacing w:after="0" w:line="187" w:lineRule="exact"/>
        <w:rPr>
          <w:sz w:val="20"/>
          <w:szCs w:val="20"/>
          <w:color w:val="auto"/>
        </w:rPr>
      </w:pPr>
    </w:p>
    <w:p>
      <w:pPr>
        <w:ind w:left="568" w:right="2659" w:hanging="568"/>
        <w:spacing w:after="0" w:line="262" w:lineRule="auto"/>
        <w:tabs>
          <w:tab w:leader="none" w:pos="568"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Guarantors shall have the right to seek contribution from any non-paving Guarantor so long as the exercise of such right does not impair the rights of the Holders under the Guarantee.</w:t>
      </w:r>
    </w:p>
    <w:p>
      <w:pPr>
        <w:spacing w:after="0" w:line="171" w:lineRule="exact"/>
        <w:rPr>
          <w:rFonts w:ascii="Courier New" w:cs="Courier New" w:eastAsia="Courier New" w:hAnsi="Courier New"/>
          <w:sz w:val="15"/>
          <w:szCs w:val="15"/>
          <w:color w:val="auto"/>
        </w:rPr>
      </w:pPr>
    </w:p>
    <w:p>
      <w:pPr>
        <w:ind w:left="568" w:right="3879" w:hanging="568"/>
        <w:spacing w:after="0" w:line="237" w:lineRule="auto"/>
        <w:tabs>
          <w:tab w:leader="none" w:pos="568" w:val="left"/>
        </w:tabs>
        <w:numPr>
          <w:ilvl w:val="0"/>
          <w:numId w:val="4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hereunder shall be subject to the subordination provisions of the Indenture.</w:t>
      </w:r>
    </w:p>
    <w:p>
      <w:pPr>
        <w:spacing w:after="0" w:line="188" w:lineRule="exact"/>
        <w:rPr>
          <w:sz w:val="20"/>
          <w:szCs w:val="20"/>
          <w:color w:val="auto"/>
        </w:rPr>
      </w:pPr>
    </w:p>
    <w:p>
      <w:pPr>
        <w:jc w:val="both"/>
        <w:ind w:left="-1132" w:right="2759" w:firstLine="1132"/>
        <w:spacing w:after="0" w:line="262" w:lineRule="auto"/>
        <w:tabs>
          <w:tab w:leader="none" w:pos="287" w:val="left"/>
        </w:tabs>
        <w:numPr>
          <w:ilvl w:val="0"/>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and Delivery. Each Guaranteeing Subsidiary agrees that the Subsidiary Guarantees shall remain in full force and effect notwithstanding any failure to endorse on each Note a notation of such Subsidiary Guarantee.</w:t>
      </w:r>
    </w:p>
    <w:p>
      <w:pPr>
        <w:spacing w:after="0" w:line="167" w:lineRule="exact"/>
        <w:rPr>
          <w:rFonts w:ascii="Courier New" w:cs="Courier New" w:eastAsia="Courier New" w:hAnsi="Courier New"/>
          <w:sz w:val="15"/>
          <w:szCs w:val="15"/>
          <w:color w:val="auto"/>
        </w:rPr>
      </w:pPr>
    </w:p>
    <w:p>
      <w:pPr>
        <w:ind w:left="288" w:hanging="288"/>
        <w:spacing w:after="0"/>
        <w:tabs>
          <w:tab w:leader="none" w:pos="288"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Guaranteeing Subsidiary May Consolidate, Etc. on Certain Terms.</w:t>
      </w:r>
    </w:p>
    <w:p>
      <w:pPr>
        <w:spacing w:after="0" w:line="186" w:lineRule="exact"/>
        <w:rPr>
          <w:sz w:val="20"/>
          <w:szCs w:val="20"/>
          <w:color w:val="auto"/>
        </w:rPr>
      </w:pPr>
    </w:p>
    <w:p>
      <w:pPr>
        <w:ind w:left="568" w:right="2759" w:hanging="568"/>
        <w:spacing w:after="0" w:line="239" w:lineRule="auto"/>
        <w:tabs>
          <w:tab w:leader="none" w:pos="568" w:val="left"/>
        </w:tabs>
        <w:numPr>
          <w:ilvl w:val="0"/>
          <w:numId w:val="4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Guaranteeing Subsidiary may not consolidate with or merge with or into (whether or not such Guarantor is the surviving Person) another corporation, Person or entity whether or not affiliated with such Guarantor unless:</w:t>
      </w:r>
    </w:p>
    <w:p>
      <w:pPr>
        <w:spacing w:after="0" w:line="187" w:lineRule="exact"/>
        <w:rPr>
          <w:rFonts w:ascii="Courier New" w:cs="Courier New" w:eastAsia="Courier New" w:hAnsi="Courier New"/>
          <w:sz w:val="16"/>
          <w:szCs w:val="16"/>
          <w:color w:val="auto"/>
        </w:rPr>
      </w:pPr>
    </w:p>
    <w:p>
      <w:pPr>
        <w:ind w:left="1128" w:right="2759" w:hanging="561"/>
        <w:spacing w:after="0"/>
        <w:tabs>
          <w:tab w:leader="none" w:pos="1128" w:val="left"/>
        </w:tabs>
        <w:numPr>
          <w:ilvl w:val="1"/>
          <w:numId w:val="4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11.05 of the Indenture, the Person formed by or surviving any such consolidation or merger (if other than a Guarantor) unconditionally assumes all the obligations of such Guarantor, pursuant to a supplemental indenture in form and substance reasonably satisfactory to the Trustee, under the Notes, the Indenture, the Registration Rights Agreement and the Subsidiary Guarantee on the terms set forth herein or therein; and</w:t>
      </w:r>
    </w:p>
    <w:p>
      <w:pPr>
        <w:spacing w:after="0" w:line="187" w:lineRule="exact"/>
        <w:rPr>
          <w:rFonts w:ascii="Courier New" w:cs="Courier New" w:eastAsia="Courier New" w:hAnsi="Courier New"/>
          <w:sz w:val="16"/>
          <w:szCs w:val="16"/>
          <w:color w:val="auto"/>
        </w:rPr>
      </w:pPr>
    </w:p>
    <w:p>
      <w:pPr>
        <w:ind w:left="1128" w:right="2759" w:hanging="561"/>
        <w:spacing w:after="0" w:line="237" w:lineRule="auto"/>
        <w:tabs>
          <w:tab w:leader="none" w:pos="1128" w:val="left"/>
        </w:tabs>
        <w:numPr>
          <w:ilvl w:val="1"/>
          <w:numId w:val="4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such transaction, no Default or Event of Default exists.</w:t>
      </w:r>
    </w:p>
    <w:p>
      <w:pPr>
        <w:spacing w:after="0" w:line="187" w:lineRule="exact"/>
        <w:rPr>
          <w:rFonts w:ascii="Courier New" w:cs="Courier New" w:eastAsia="Courier New" w:hAnsi="Courier New"/>
          <w:sz w:val="16"/>
          <w:szCs w:val="16"/>
          <w:color w:val="auto"/>
        </w:rPr>
      </w:pPr>
    </w:p>
    <w:p>
      <w:pPr>
        <w:ind w:left="568" w:right="2659" w:hanging="568"/>
        <w:spacing w:after="0"/>
        <w:tabs>
          <w:tab w:leader="none" w:pos="568" w:val="left"/>
        </w:tabs>
        <w:numPr>
          <w:ilvl w:val="0"/>
          <w:numId w:val="4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any such consolidation, merger, sale or conveyance and upon the assumption by the successor Person, by supplemental indenture, executed and delivered to the Trustee and satisfactory in form to the Trustee, of the Subsidiary Guarantee endorsed upon the Notes and the due and punctual performance of all of the covenants and conditions of the Indenture to be performed by the Guarantor, such successor Person shall succeed to and be substituted for the Guarantor with the same effect as if it had been named herein as a Guarantor. Such successor Person thereupon may cause to be signed any or all of the Subsidiary Guarantees to be endorsed upon all of the Notes issuable hereunder which theretofore shall not have been signed by the Company and delivered to the Trustee. All the Subsidiary Guarantees so issued shall in all respects have the same legal rank and benefit under the Indenture as the Subsidiary Guarantees theretofore and thereafter issued in accordance with the terms of the</w:t>
      </w:r>
    </w:p>
    <w:p>
      <w:pPr>
        <w:spacing w:after="0" w:line="189" w:lineRule="exact"/>
        <w:rPr>
          <w:sz w:val="20"/>
          <w:szCs w:val="20"/>
          <w:color w:val="auto"/>
        </w:rPr>
      </w:pPr>
    </w:p>
    <w:p>
      <w:pPr>
        <w:ind w:left="2468"/>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9087"/>
          </w:cols>
          <w:pgMar w:left="1372" w:top="481" w:right="1440" w:bottom="1440" w:gutter="0" w:footer="0" w:header="0"/>
        </w:sectPr>
      </w:pPr>
    </w:p>
    <w:bookmarkStart w:id="362" w:name="page363"/>
    <w:bookmarkEnd w:id="362"/>
    <w:p>
      <w:pPr>
        <w:ind w:left="568" w:right="2659"/>
        <w:spacing w:after="0" w:line="237" w:lineRule="auto"/>
        <w:rPr>
          <w:sz w:val="20"/>
          <w:szCs w:val="20"/>
          <w:color w:val="auto"/>
        </w:rPr>
      </w:pPr>
      <w:r>
        <w:rPr>
          <w:rFonts w:ascii="Courier New" w:cs="Courier New" w:eastAsia="Courier New" w:hAnsi="Courier New"/>
          <w:sz w:val="16"/>
          <w:szCs w:val="16"/>
          <w:color w:val="auto"/>
        </w:rPr>
        <w:t>Indenture as though all of such Subsidiary Guarantees had been issued at the date of the execution hereof.</w:t>
      </w:r>
    </w:p>
    <w:p>
      <w:pPr>
        <w:spacing w:after="0" w:line="188" w:lineRule="exact"/>
        <w:rPr>
          <w:sz w:val="20"/>
          <w:szCs w:val="20"/>
          <w:color w:val="auto"/>
        </w:rPr>
      </w:pPr>
    </w:p>
    <w:p>
      <w:pPr>
        <w:ind w:left="568" w:right="2759" w:hanging="568"/>
        <w:spacing w:after="0"/>
        <w:tabs>
          <w:tab w:leader="none" w:pos="568" w:val="left"/>
        </w:tabs>
        <w:numPr>
          <w:ilvl w:val="0"/>
          <w:numId w:val="4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Articles 4 and 5 of the Indenture, and notwithstanding clauses (a) and (b) above, nothing contained in the Indenture or in any of the Notes shall prevent any consolidation or merger of a Guarantor with or into the Company or another Guarantor, or shall prevent any sale or conveyance of the property of a Guarantor as an entirety or substantially as an entirety to the Company or another Guarantor.</w:t>
      </w:r>
    </w:p>
    <w:p>
      <w:pPr>
        <w:spacing w:after="0" w:line="183" w:lineRule="exact"/>
        <w:rPr>
          <w:sz w:val="20"/>
          <w:szCs w:val="20"/>
          <w:color w:val="auto"/>
        </w:rPr>
      </w:pPr>
    </w:p>
    <w:p>
      <w:pPr>
        <w:ind w:left="568" w:hanging="568"/>
        <w:spacing w:after="0"/>
        <w:tabs>
          <w:tab w:leader="none" w:pos="568" w:val="left"/>
        </w:tabs>
        <w:numPr>
          <w:ilvl w:val="0"/>
          <w:numId w:val="4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Releases.</w:t>
      </w:r>
    </w:p>
    <w:p>
      <w:pPr>
        <w:spacing w:after="0" w:line="186" w:lineRule="exact"/>
        <w:rPr>
          <w:sz w:val="20"/>
          <w:szCs w:val="20"/>
          <w:color w:val="auto"/>
        </w:rPr>
      </w:pPr>
    </w:p>
    <w:p>
      <w:pPr>
        <w:ind w:left="568" w:right="2659" w:hanging="568"/>
        <w:spacing w:after="0"/>
        <w:tabs>
          <w:tab w:leader="none" w:pos="568" w:val="left"/>
        </w:tabs>
        <w:numPr>
          <w:ilvl w:val="0"/>
          <w:numId w:val="4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sale or other disposition of all of the assets of any Guarantor, by way of merger, consolidation or otherwise, or a sale or other disposition of all to the capital stock of any Guarantor, then such Guarantor (in the event of a sale or other disposition, by way of merger, consolidation or otherwise, of all of the capital stock of such Guarantor) or the corporation acquiring the property (in the event of a sale or other disposition of all or substantially all of the assets of such Guarantor) will be released and relieved of any obligations under its Subsidiary Guarantee; provided that the Net Proceeds of such sale or other disposition are applied in accordance with the applicable provisions of the Indenture, including without limitation Section 4.10 of the Indenture. Upon delivery by the Company to the Trustee of an Officers' Certificate and an Opinion of Counsel to the effect that such sale or other disposition was made by the Company in accordance with the provisions of the Indenture, including without limitation Section 4.10 of the Indenture, the Trustee shall execute any documents reasonably required in order to evidence the release of any Guarantor from its obligations under its Subsidiary Guarantee.</w:t>
      </w:r>
    </w:p>
    <w:p>
      <w:pPr>
        <w:spacing w:after="0" w:line="195" w:lineRule="exact"/>
        <w:rPr>
          <w:rFonts w:ascii="Courier New" w:cs="Courier New" w:eastAsia="Courier New" w:hAnsi="Courier New"/>
          <w:sz w:val="16"/>
          <w:szCs w:val="16"/>
          <w:color w:val="auto"/>
        </w:rPr>
      </w:pPr>
    </w:p>
    <w:p>
      <w:pPr>
        <w:ind w:left="568" w:right="2839" w:hanging="568"/>
        <w:spacing w:after="0" w:line="239" w:lineRule="auto"/>
        <w:tabs>
          <w:tab w:leader="none" w:pos="568" w:val="left"/>
        </w:tabs>
        <w:numPr>
          <w:ilvl w:val="0"/>
          <w:numId w:val="4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Guarantor not released from its obligations under its Subsidiary Guarantee shall remain liable for the full amount of principal of and interest on the Notes and for the other obligations of any Guarantor under the Indenture as provided in Article 11 of the Indenture.</w:t>
      </w:r>
    </w:p>
    <w:p>
      <w:pPr>
        <w:spacing w:after="0" w:line="189" w:lineRule="exact"/>
        <w:rPr>
          <w:sz w:val="20"/>
          <w:szCs w:val="20"/>
          <w:color w:val="auto"/>
        </w:rPr>
      </w:pPr>
    </w:p>
    <w:p>
      <w:pPr>
        <w:ind w:left="-1132" w:right="2659" w:firstLine="1132"/>
        <w:spacing w:after="0"/>
        <w:tabs>
          <w:tab w:leader="none" w:pos="287" w:val="left"/>
        </w:tabs>
        <w:numPr>
          <w:ilvl w:val="0"/>
          <w:numId w:val="4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Recourse Against Others. No past, present or future director, officer, employee, incorporator or stockholder of the Guaranteeing Subsidiary, as such, shall have any liability for any obligations of the Company or any Guaranteeing Subsidiary under the Notes, any Subsidiary Guarantees, the Registration Rights Agreement,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w:t>
      </w:r>
    </w:p>
    <w:p>
      <w:pPr>
        <w:spacing w:after="0" w:line="187" w:lineRule="exact"/>
        <w:rPr>
          <w:rFonts w:ascii="Courier New" w:cs="Courier New" w:eastAsia="Courier New" w:hAnsi="Courier New"/>
          <w:sz w:val="16"/>
          <w:szCs w:val="16"/>
          <w:color w:val="auto"/>
        </w:rPr>
      </w:pPr>
    </w:p>
    <w:p>
      <w:pPr>
        <w:ind w:left="-1132" w:right="2939" w:firstLine="1132"/>
        <w:spacing w:after="0" w:line="237" w:lineRule="auto"/>
        <w:tabs>
          <w:tab w:leader="none" w:pos="287" w:val="left"/>
        </w:tabs>
        <w:numPr>
          <w:ilvl w:val="0"/>
          <w:numId w:val="4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YORK LAW TO GOVERN. SHALL BE GOVERNED BY, AND CONSTRUED IN ACCORDANCE WITH, THE LAWS OF THE STATE OF NEW YORK.</w:t>
      </w:r>
    </w:p>
    <w:p>
      <w:pPr>
        <w:spacing w:after="0" w:line="366" w:lineRule="exact"/>
        <w:rPr>
          <w:sz w:val="20"/>
          <w:szCs w:val="20"/>
          <w:color w:val="auto"/>
        </w:rPr>
      </w:pPr>
    </w:p>
    <w:p>
      <w:pPr>
        <w:ind w:left="2468"/>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9087"/>
          </w:cols>
          <w:pgMar w:left="1372" w:top="481" w:right="1440" w:bottom="1440" w:gutter="0" w:footer="0" w:header="0"/>
        </w:sectPr>
      </w:pPr>
    </w:p>
    <w:bookmarkStart w:id="363" w:name="page364"/>
    <w:bookmarkEnd w:id="363"/>
    <w:p>
      <w:pPr>
        <w:jc w:val="both"/>
        <w:ind w:left="-1132" w:right="2839" w:firstLine="1132"/>
        <w:spacing w:after="0" w:line="238" w:lineRule="auto"/>
        <w:tabs>
          <w:tab w:leader="none" w:pos="287" w:val="left"/>
        </w:tabs>
        <w:numPr>
          <w:ilvl w:val="0"/>
          <w:numId w:val="4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The parties may sign any number of copies of this Supplemental Indenture. Each signed copy shall be an original, but all of them together represent the same agreement.</w:t>
      </w:r>
    </w:p>
    <w:p>
      <w:pPr>
        <w:spacing w:after="0" w:line="188" w:lineRule="exact"/>
        <w:rPr>
          <w:rFonts w:ascii="Courier New" w:cs="Courier New" w:eastAsia="Courier New" w:hAnsi="Courier New"/>
          <w:sz w:val="16"/>
          <w:szCs w:val="16"/>
          <w:color w:val="auto"/>
        </w:rPr>
      </w:pPr>
    </w:p>
    <w:p>
      <w:pPr>
        <w:ind w:left="-1132" w:right="3599" w:firstLine="1132"/>
        <w:spacing w:after="0" w:line="237" w:lineRule="auto"/>
        <w:tabs>
          <w:tab w:leader="none" w:pos="287" w:val="left"/>
        </w:tabs>
        <w:numPr>
          <w:ilvl w:val="0"/>
          <w:numId w:val="4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Headings. The Section headings herein are for convenience only and shall not affect the construction hereof.</w:t>
      </w:r>
    </w:p>
    <w:p>
      <w:pPr>
        <w:spacing w:after="0" w:line="187" w:lineRule="exact"/>
        <w:rPr>
          <w:rFonts w:ascii="Courier New" w:cs="Courier New" w:eastAsia="Courier New" w:hAnsi="Courier New"/>
          <w:sz w:val="16"/>
          <w:szCs w:val="16"/>
          <w:color w:val="auto"/>
        </w:rPr>
      </w:pPr>
    </w:p>
    <w:p>
      <w:pPr>
        <w:ind w:left="-1132" w:right="2659" w:firstLine="1132"/>
        <w:spacing w:after="0" w:line="239" w:lineRule="auto"/>
        <w:tabs>
          <w:tab w:leader="none" w:pos="381" w:val="left"/>
        </w:tabs>
        <w:numPr>
          <w:ilvl w:val="0"/>
          <w:numId w:val="4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468"/>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9087"/>
          </w:cols>
          <w:pgMar w:left="1372" w:top="481" w:right="1440" w:bottom="1440" w:gutter="0" w:footer="0" w:header="0"/>
        </w:sectPr>
      </w:pPr>
    </w:p>
    <w:bookmarkStart w:id="364" w:name="page365"/>
    <w:bookmarkEnd w:id="364"/>
    <w:p>
      <w:pPr>
        <w:ind w:right="2659" w:firstLine="1135"/>
        <w:spacing w:after="0" w:line="238" w:lineRule="auto"/>
        <w:rPr>
          <w:sz w:val="20"/>
          <w:szCs w:val="20"/>
          <w:color w:val="auto"/>
        </w:rPr>
      </w:pPr>
      <w:r>
        <w:rPr>
          <w:rFonts w:ascii="Courier New" w:cs="Courier New" w:eastAsia="Courier New" w:hAnsi="Courier New"/>
          <w:sz w:val="16"/>
          <w:szCs w:val="16"/>
          <w:color w:val="auto"/>
        </w:rPr>
        <w:t>IN WITNESS WHEREOF, the parties hereto have caused this Supplemental Indenture to be duly executed and attested, all as of the date first above written.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 ____</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[Guaranteeing Subsidiary]</w:t>
      </w:r>
    </w:p>
    <w:p>
      <w:pPr>
        <w:spacing w:after="0" w:line="183" w:lineRule="exact"/>
        <w:rPr>
          <w:sz w:val="20"/>
          <w:szCs w:val="20"/>
          <w:color w:val="auto"/>
        </w:rPr>
      </w:pPr>
    </w:p>
    <w:p>
      <w:pPr>
        <w:ind w:left="3880"/>
        <w:spacing w:after="0"/>
        <w:tabs>
          <w:tab w:leader="none" w:pos="43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Title:</w:t>
      </w:r>
    </w:p>
    <w:p>
      <w:pPr>
        <w:spacing w:after="0" w:line="364"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[TRUSTEE]</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as Trustee</w:t>
      </w:r>
    </w:p>
    <w:p>
      <w:pPr>
        <w:spacing w:after="0" w:line="183" w:lineRule="exact"/>
        <w:rPr>
          <w:sz w:val="20"/>
          <w:szCs w:val="20"/>
          <w:color w:val="auto"/>
        </w:rPr>
      </w:pPr>
    </w:p>
    <w:p>
      <w:pPr>
        <w:ind w:left="3880"/>
        <w:spacing w:after="0"/>
        <w:tabs>
          <w:tab w:leader="none" w:pos="43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0219"/>
          </w:cols>
          <w:pgMar w:left="240" w:top="481" w:right="1440" w:bottom="1440" w:gutter="0" w:footer="0" w:header="0"/>
        </w:sectPr>
      </w:pPr>
    </w:p>
    <w:bookmarkStart w:id="365" w:name="page366"/>
    <w:bookmarkEnd w:id="365"/>
    <w:p>
      <w:pPr>
        <w:jc w:val="right"/>
        <w:ind w:right="2659"/>
        <w:spacing w:after="0"/>
        <w:rPr>
          <w:sz w:val="20"/>
          <w:szCs w:val="20"/>
          <w:color w:val="auto"/>
        </w:rPr>
      </w:pPr>
      <w:r>
        <w:rPr>
          <w:rFonts w:ascii="Courier New" w:cs="Courier New" w:eastAsia="Courier New" w:hAnsi="Courier New"/>
          <w:sz w:val="16"/>
          <w:szCs w:val="16"/>
          <w:color w:val="auto"/>
        </w:rPr>
        <w:t>EXHIBIT 4(o)</w:t>
      </w:r>
    </w:p>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SCOTTS COMPANY</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6.625% SENIOR SUBORDINATED NOTES DUE 2013</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REGISTRATION RIGHTS AGREEMENT</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October 8, 2003</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Citigroup Global Markets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Banc of America Securities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 Morgan Securities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Representatives of the Initial Purchasers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Citigroup Global Markets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388 Greenwich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10013</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6"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The Scotts Company, a corporation organized under the laws of Ohio (the "Company"), proposes to issue and sell to certain purchasers (the "Initial Purchasers"), for whom you (the "Representatives") are acting as representatives, its 6.625% Senior Subordinated Notes due 2013 (the "Securities"), which will be guaranteed on an unsecured senior subordinated basis by each of the guarantors listed in Schedule 1 hereto (the "Guarantors"), upon the terms set forth in the Purchase Agreement among the Company, the Guarantors and the Representatives on behalf of themselves and the other Initial Purchasers dated October 1, 2003 (the "Purchase Agreement") relating to the initial placement (the "Initial Placement") of the Securities. To induce the Initial Purchasers to enter into the Purchase Agreement and to satisfy a condition to your obligations thereunder, the Company and the Guarantors agree with you for your benefit and the benefit of the holders from time to time of the Securities (including the Initial Purchasers) (each a "Holder" and, collectively, the "Holders"), as follows:</w:t>
      </w:r>
    </w:p>
    <w:p>
      <w:pPr>
        <w:spacing w:after="0" w:line="191" w:lineRule="exact"/>
        <w:rPr>
          <w:sz w:val="20"/>
          <w:szCs w:val="20"/>
          <w:color w:val="auto"/>
        </w:rPr>
      </w:pPr>
    </w:p>
    <w:p>
      <w:pPr>
        <w:jc w:val="both"/>
        <w:ind w:right="2839" w:firstLine="1132"/>
        <w:spacing w:after="0" w:line="239" w:lineRule="auto"/>
        <w:tabs>
          <w:tab w:leader="none" w:pos="1419" w:val="left"/>
        </w:tabs>
        <w:numPr>
          <w:ilvl w:val="0"/>
          <w:numId w:val="4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Capitalized terms used herein without definition shall have their respective meanings set forth in the Purchase Agreement. As used in this Agreement, the following capitalized defined terms shall have the following meanings:</w:t>
      </w:r>
    </w:p>
    <w:p>
      <w:pPr>
        <w:spacing w:after="0" w:line="187" w:lineRule="exact"/>
        <w:rPr>
          <w:sz w:val="20"/>
          <w:szCs w:val="20"/>
          <w:color w:val="auto"/>
        </w:rPr>
      </w:pPr>
    </w:p>
    <w:p>
      <w:pPr>
        <w:ind w:right="3039" w:firstLine="1135"/>
        <w:spacing w:after="0" w:line="237" w:lineRule="auto"/>
        <w:rPr>
          <w:sz w:val="20"/>
          <w:szCs w:val="20"/>
          <w:color w:val="auto"/>
        </w:rPr>
      </w:pPr>
      <w:r>
        <w:rPr>
          <w:rFonts w:ascii="Courier New" w:cs="Courier New" w:eastAsia="Courier New" w:hAnsi="Courier New"/>
          <w:sz w:val="16"/>
          <w:szCs w:val="16"/>
          <w:color w:val="auto"/>
        </w:rPr>
        <w:t>"Act" shall mean the Securities Act of 1933, as amended, and the rules and regulations of the Commission promulgated thereunder.</w:t>
      </w:r>
    </w:p>
    <w:p>
      <w:pPr>
        <w:spacing w:after="0" w:line="188" w:lineRule="exact"/>
        <w:rPr>
          <w:sz w:val="20"/>
          <w:szCs w:val="20"/>
          <w:color w:val="auto"/>
        </w:rPr>
      </w:pPr>
    </w:p>
    <w:p>
      <w:pPr>
        <w:ind w:right="2659" w:firstLine="1135"/>
        <w:spacing w:after="0" w:line="238" w:lineRule="auto"/>
        <w:rPr>
          <w:sz w:val="20"/>
          <w:szCs w:val="20"/>
          <w:color w:val="auto"/>
        </w:rPr>
      </w:pPr>
      <w:r>
        <w:rPr>
          <w:rFonts w:ascii="Courier New" w:cs="Courier New" w:eastAsia="Courier New" w:hAnsi="Courier New"/>
          <w:sz w:val="16"/>
          <w:szCs w:val="16"/>
          <w:color w:val="auto"/>
        </w:rPr>
        <w:t>"Affiliate" shall have the meaning specified in Rule 405 under the Act and the terms "controlling" and "controlled" shall have meanings correlative thereto.</w:t>
      </w:r>
    </w:p>
    <w:p>
      <w:pPr>
        <w:spacing w:after="0" w:line="188" w:lineRule="exact"/>
        <w:rPr>
          <w:sz w:val="20"/>
          <w:szCs w:val="20"/>
          <w:color w:val="auto"/>
        </w:rPr>
      </w:pPr>
    </w:p>
    <w:p>
      <w:pPr>
        <w:ind w:right="2839" w:firstLine="1135"/>
        <w:spacing w:after="0" w:line="237" w:lineRule="auto"/>
        <w:rPr>
          <w:sz w:val="20"/>
          <w:szCs w:val="20"/>
          <w:color w:val="auto"/>
        </w:rPr>
      </w:pPr>
      <w:r>
        <w:rPr>
          <w:rFonts w:ascii="Courier New" w:cs="Courier New" w:eastAsia="Courier New" w:hAnsi="Courier New"/>
          <w:sz w:val="16"/>
          <w:szCs w:val="16"/>
          <w:color w:val="auto"/>
        </w:rPr>
        <w:t>"Broker-Dealer" shall mean any broker or dealer registered as such under the Exchange Act.</w:t>
      </w:r>
    </w:p>
    <w:p>
      <w:pPr>
        <w:sectPr>
          <w:pgSz w:w="11900" w:h="16838" w:orient="portrait"/>
          <w:cols w:equalWidth="0" w:num="1">
            <w:col w:w="10219"/>
          </w:cols>
          <w:pgMar w:left="240" w:top="319" w:right="1440" w:bottom="1440" w:gutter="0" w:footer="0" w:header="0"/>
        </w:sectPr>
      </w:pPr>
    </w:p>
    <w:bookmarkStart w:id="366" w:name="page367"/>
    <w:bookmarkEnd w:id="366"/>
    <w:p>
      <w:pPr>
        <w:ind w:right="2659" w:firstLine="1135"/>
        <w:spacing w:after="0" w:line="238" w:lineRule="auto"/>
        <w:rPr>
          <w:sz w:val="20"/>
          <w:szCs w:val="20"/>
          <w:color w:val="auto"/>
        </w:rPr>
      </w:pPr>
      <w:r>
        <w:rPr>
          <w:rFonts w:ascii="Courier New" w:cs="Courier New" w:eastAsia="Courier New" w:hAnsi="Courier New"/>
          <w:sz w:val="16"/>
          <w:szCs w:val="16"/>
          <w:color w:val="auto"/>
        </w:rPr>
        <w:t>"Business Day" shall mean any day other than a Saturday, a Sunday or a legal holiday or a day on which banking institutions or trust companies are authorized or obligated by law to close in New York City.</w:t>
      </w:r>
    </w:p>
    <w:p>
      <w:pPr>
        <w:spacing w:after="0" w:line="184"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"Closing Date" shall mean the date of the first issuance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"Commission" shall mean the Securities and Exchange Commission.</w:t>
      </w:r>
    </w:p>
    <w:p>
      <w:pPr>
        <w:spacing w:after="0" w:line="186" w:lineRule="exact"/>
        <w:rPr>
          <w:sz w:val="20"/>
          <w:szCs w:val="20"/>
          <w:color w:val="auto"/>
        </w:rPr>
      </w:pPr>
    </w:p>
    <w:p>
      <w:pPr>
        <w:ind w:right="2659" w:firstLine="1135"/>
        <w:spacing w:after="0" w:line="267" w:lineRule="auto"/>
        <w:rPr>
          <w:sz w:val="20"/>
          <w:szCs w:val="20"/>
          <w:color w:val="auto"/>
        </w:rPr>
      </w:pPr>
      <w:r>
        <w:rPr>
          <w:rFonts w:ascii="Courier New" w:cs="Courier New" w:eastAsia="Courier New" w:hAnsi="Courier New"/>
          <w:sz w:val="15"/>
          <w:szCs w:val="15"/>
          <w:color w:val="auto"/>
        </w:rPr>
        <w:t>"Exchange Act" shall mean the Securities Exchange Act of 1934, as amended, and the rules and regulations of the Commission promulgated thereunder.</w:t>
      </w:r>
    </w:p>
    <w:p>
      <w:pPr>
        <w:spacing w:after="0" w:line="168"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"Exchange Offer Registration Period" shall mean the one-year period following the consummation of the Registered Exchange Offer, exclusive of any period during which any stop order shall be in effect suspending the effectiveness of the Exchange Offer Registration Statement.</w:t>
      </w:r>
    </w:p>
    <w:p>
      <w:pPr>
        <w:spacing w:after="0" w:line="187"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"Exchange Offer Registration Statement" shall mean a registration statement of the Company and the Guarantors on an appropriate form under the Act with respect to the Registered Exchange Offer, all amendments and supplements to such registration statement, including post-effective amendments thereto, in each case including the Prospectus contained therein, all exhibits thereto and all material incorporated by reference therein.</w:t>
      </w:r>
    </w:p>
    <w:p>
      <w:pPr>
        <w:spacing w:after="0" w:line="190"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"Exchanging Dealer" shall mean any Holder (which may include any Initial Purchaser) that is a Broker-Dealer and elects to exchange for New Securities any Securities that it acquired for its own account as a result of market-making activities or other trading activities (but not directly from the Company, the Guarantors or any of their respective Affiliates).</w:t>
      </w:r>
    </w:p>
    <w:p>
      <w:pPr>
        <w:spacing w:after="0" w:line="189" w:lineRule="exact"/>
        <w:rPr>
          <w:sz w:val="20"/>
          <w:szCs w:val="20"/>
          <w:color w:val="auto"/>
        </w:rPr>
      </w:pPr>
    </w:p>
    <w:p>
      <w:pPr>
        <w:jc w:val="both"/>
        <w:ind w:right="2659" w:firstLine="1135"/>
        <w:spacing w:after="0" w:line="238" w:lineRule="auto"/>
        <w:rPr>
          <w:sz w:val="20"/>
          <w:szCs w:val="20"/>
          <w:color w:val="auto"/>
        </w:rPr>
      </w:pPr>
      <w:r>
        <w:rPr>
          <w:rFonts w:ascii="Courier New" w:cs="Courier New" w:eastAsia="Courier New" w:hAnsi="Courier New"/>
          <w:sz w:val="16"/>
          <w:szCs w:val="16"/>
          <w:color w:val="auto"/>
        </w:rPr>
        <w:t>"Final Memorandum" shall mean the offering memorandum, dated October 1, 2003, relating to the Securities, including any and all exhibits thereto and any information incorporated by reference therein as of such date.</w:t>
      </w:r>
    </w:p>
    <w:p>
      <w:pPr>
        <w:spacing w:after="0" w:line="188" w:lineRule="exact"/>
        <w:rPr>
          <w:sz w:val="20"/>
          <w:szCs w:val="20"/>
          <w:color w:val="auto"/>
        </w:rPr>
      </w:pPr>
    </w:p>
    <w:p>
      <w:pPr>
        <w:ind w:right="2939" w:firstLine="1135"/>
        <w:spacing w:after="0" w:line="237" w:lineRule="auto"/>
        <w:rPr>
          <w:sz w:val="20"/>
          <w:szCs w:val="20"/>
          <w:color w:val="auto"/>
        </w:rPr>
      </w:pPr>
      <w:r>
        <w:rPr>
          <w:rFonts w:ascii="Courier New" w:cs="Courier New" w:eastAsia="Courier New" w:hAnsi="Courier New"/>
          <w:sz w:val="16"/>
          <w:szCs w:val="16"/>
          <w:color w:val="auto"/>
        </w:rPr>
        <w:t>"Guarantors" shall have the meaning set forth in the preamble and shall also include any Guarantor's successors.</w:t>
      </w:r>
    </w:p>
    <w:p>
      <w:pPr>
        <w:spacing w:after="0" w:line="184"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"Holder" shall have the meaning set forth in the preamble hereto.</w:t>
      </w:r>
    </w:p>
    <w:p>
      <w:pPr>
        <w:spacing w:after="0" w:line="186" w:lineRule="exact"/>
        <w:rPr>
          <w:sz w:val="20"/>
          <w:szCs w:val="20"/>
          <w:color w:val="auto"/>
        </w:rPr>
      </w:pPr>
    </w:p>
    <w:p>
      <w:pPr>
        <w:ind w:right="2839" w:firstLine="1135"/>
        <w:spacing w:after="0" w:line="239" w:lineRule="auto"/>
        <w:rPr>
          <w:sz w:val="20"/>
          <w:szCs w:val="20"/>
          <w:color w:val="auto"/>
        </w:rPr>
      </w:pPr>
      <w:r>
        <w:rPr>
          <w:rFonts w:ascii="Courier New" w:cs="Courier New" w:eastAsia="Courier New" w:hAnsi="Courier New"/>
          <w:sz w:val="16"/>
          <w:szCs w:val="16"/>
          <w:color w:val="auto"/>
        </w:rPr>
        <w:t>"Indenture" shall mean the Indenture relating to the Securities, dated as of October 8, 2003, among the Company, the Guarantors and U.S. Bank National Association, as trustee, as the same may be amended from time to time in accordance with the terms thereof.</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"Initial Placement" shall have the meaning set forth in the preamble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hereto.</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"Initial Purchaser" shall have the meaning set forth in the preamble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hereto.</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"Losses" shall have the meaning set forth in Section 6(d) hereof.</w:t>
      </w:r>
    </w:p>
    <w:p>
      <w:pPr>
        <w:spacing w:after="0" w:line="186" w:lineRule="exact"/>
        <w:rPr>
          <w:sz w:val="20"/>
          <w:szCs w:val="20"/>
          <w:color w:val="auto"/>
        </w:rPr>
      </w:pPr>
    </w:p>
    <w:p>
      <w:pPr>
        <w:ind w:right="2659" w:firstLine="1135"/>
        <w:spacing w:after="0" w:line="238" w:lineRule="auto"/>
        <w:rPr>
          <w:sz w:val="20"/>
          <w:szCs w:val="20"/>
          <w:color w:val="auto"/>
        </w:rPr>
      </w:pPr>
      <w:r>
        <w:rPr>
          <w:rFonts w:ascii="Courier New" w:cs="Courier New" w:eastAsia="Courier New" w:hAnsi="Courier New"/>
          <w:sz w:val="16"/>
          <w:szCs w:val="16"/>
          <w:color w:val="auto"/>
        </w:rPr>
        <w:t>"Majority Holders" shall mean, on any date, Holders of a majority of the aggregate principal amount of Securities registered under a Registration Statement.</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81" w:right="1440" w:bottom="1440" w:gutter="0" w:footer="0" w:header="0"/>
        </w:sectPr>
      </w:pPr>
    </w:p>
    <w:bookmarkStart w:id="367" w:name="page368"/>
    <w:bookmarkEnd w:id="367"/>
    <w:p>
      <w:pPr>
        <w:ind w:right="3219" w:firstLine="1135"/>
        <w:spacing w:after="0" w:line="238" w:lineRule="auto"/>
        <w:rPr>
          <w:sz w:val="20"/>
          <w:szCs w:val="20"/>
          <w:color w:val="auto"/>
        </w:rPr>
      </w:pPr>
      <w:r>
        <w:rPr>
          <w:rFonts w:ascii="Courier New" w:cs="Courier New" w:eastAsia="Courier New" w:hAnsi="Courier New"/>
          <w:sz w:val="16"/>
          <w:szCs w:val="16"/>
          <w:color w:val="auto"/>
        </w:rPr>
        <w:t>"Managing Underwriters" shall mean the investment banker or investment bankers and manager or managers that administer an underwritten offering, if any, under a Registration Statement.</w:t>
      </w:r>
    </w:p>
    <w:p>
      <w:pPr>
        <w:spacing w:after="0" w:line="188" w:lineRule="exact"/>
        <w:rPr>
          <w:sz w:val="20"/>
          <w:szCs w:val="20"/>
          <w:color w:val="auto"/>
        </w:rPr>
      </w:pPr>
    </w:p>
    <w:p>
      <w:pPr>
        <w:ind w:right="3039" w:firstLine="1135"/>
        <w:spacing w:after="0" w:line="237" w:lineRule="auto"/>
        <w:rPr>
          <w:sz w:val="20"/>
          <w:szCs w:val="20"/>
          <w:color w:val="auto"/>
        </w:rPr>
      </w:pPr>
      <w:r>
        <w:rPr>
          <w:rFonts w:ascii="Courier New" w:cs="Courier New" w:eastAsia="Courier New" w:hAnsi="Courier New"/>
          <w:sz w:val="16"/>
          <w:szCs w:val="16"/>
          <w:color w:val="auto"/>
        </w:rPr>
        <w:t>"NASD Rules" shall mean the Conduct Rules and the By-Laws of the National Association of Securities Dealers, Inc.</w:t>
      </w:r>
    </w:p>
    <w:p>
      <w:pPr>
        <w:spacing w:after="0" w:line="188"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"New Securities" shall mean debt securities of the Company, which are guaranteed on an unsecured senior subordinated basis by each of the Guarantors, identical in all material respects to the Securities (except that the transfer restrictions shall be modified or eliminated, as appropriate) to be issued under the New Securities Indenture.</w:t>
      </w:r>
    </w:p>
    <w:p>
      <w:pPr>
        <w:spacing w:after="0" w:line="189"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"New Securities Indenture" shall mean an indenture between the Company, the Guarantors and the New Securities Trustee, identical in all material respects to the Indenture (except that the transfer restrictions shall be modified or eliminated, as appropriate), which may be the Indenture if in the terms thereof appropriate provision is made for the New Securities.</w:t>
      </w:r>
    </w:p>
    <w:p>
      <w:pPr>
        <w:spacing w:after="0" w:line="189" w:lineRule="exact"/>
        <w:rPr>
          <w:sz w:val="20"/>
          <w:szCs w:val="20"/>
          <w:color w:val="auto"/>
        </w:rPr>
      </w:pPr>
    </w:p>
    <w:p>
      <w:pPr>
        <w:ind w:right="2659" w:firstLine="1135"/>
        <w:spacing w:after="0" w:line="262" w:lineRule="auto"/>
        <w:rPr>
          <w:sz w:val="20"/>
          <w:szCs w:val="20"/>
          <w:color w:val="auto"/>
        </w:rPr>
      </w:pPr>
      <w:r>
        <w:rPr>
          <w:rFonts w:ascii="Courier New" w:cs="Courier New" w:eastAsia="Courier New" w:hAnsi="Courier New"/>
          <w:sz w:val="15"/>
          <w:szCs w:val="15"/>
          <w:color w:val="auto"/>
        </w:rPr>
        <w:t>"New Securities Trustee" shall mean a bank or trust company reasonably satisfactory to the Initial Purchasers, as trustee with respect to the New Securities under the New Securities Indenture, which may be the Trustee.</w:t>
      </w:r>
    </w:p>
    <w:p>
      <w:pPr>
        <w:spacing w:after="0" w:line="171" w:lineRule="exact"/>
        <w:rPr>
          <w:sz w:val="20"/>
          <w:szCs w:val="20"/>
          <w:color w:val="auto"/>
        </w:rPr>
      </w:pPr>
    </w:p>
    <w:p>
      <w:pPr>
        <w:ind w:right="2759" w:firstLine="1135"/>
        <w:spacing w:after="0"/>
        <w:rPr>
          <w:sz w:val="20"/>
          <w:szCs w:val="20"/>
          <w:color w:val="auto"/>
        </w:rPr>
      </w:pPr>
      <w:r>
        <w:rPr>
          <w:rFonts w:ascii="Courier New" w:cs="Courier New" w:eastAsia="Courier New" w:hAnsi="Courier New"/>
          <w:sz w:val="16"/>
          <w:szCs w:val="16"/>
          <w:color w:val="auto"/>
        </w:rPr>
        <w:t>"Prospectus" shall mean the prospectus included in any Registration Statement (including, without limitation, a prospectus that discloses information previously omitted from a prospectus filed as part of an effective registration statement in reliance upon Rule 430A under the Act), as amended or supplemented by any prospectus supplement, with respect to the terms of the offering of any portion of the Securities or the New Securities covered by such Registration Statement, and all amendments and supplements thereto, including any and all exhibits thereto and any information incorporated by reference therein.</w:t>
      </w:r>
    </w:p>
    <w:p>
      <w:pPr>
        <w:spacing w:after="0" w:line="188" w:lineRule="exact"/>
        <w:rPr>
          <w:sz w:val="20"/>
          <w:szCs w:val="20"/>
          <w:color w:val="auto"/>
        </w:rPr>
      </w:pPr>
    </w:p>
    <w:p>
      <w:pPr>
        <w:ind w:right="3419" w:firstLine="1135"/>
        <w:spacing w:after="0" w:line="237" w:lineRule="auto"/>
        <w:rPr>
          <w:sz w:val="20"/>
          <w:szCs w:val="20"/>
          <w:color w:val="auto"/>
        </w:rPr>
      </w:pPr>
      <w:r>
        <w:rPr>
          <w:rFonts w:ascii="Courier New" w:cs="Courier New" w:eastAsia="Courier New" w:hAnsi="Courier New"/>
          <w:sz w:val="16"/>
          <w:szCs w:val="16"/>
          <w:color w:val="auto"/>
        </w:rPr>
        <w:t>"Purchase Agreement" shall have the meaning set forth in the preamble hereto.</w:t>
      </w:r>
    </w:p>
    <w:p>
      <w:pPr>
        <w:spacing w:after="0" w:line="188"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"Registered Exchange Offer" shall mean the proposed offer of the Company and the Guarantors to issue and deliver to the Holders of the Securities that are not prohibited by any law or policy of the Commission from participating in such offer, in exchange for the Securities, a like aggregate principal amount of the New Securities.</w:t>
      </w:r>
    </w:p>
    <w:p>
      <w:pPr>
        <w:spacing w:after="0" w:line="189" w:lineRule="exact"/>
        <w:rPr>
          <w:sz w:val="20"/>
          <w:szCs w:val="20"/>
          <w:color w:val="auto"/>
        </w:rPr>
      </w:pPr>
    </w:p>
    <w:p>
      <w:pPr>
        <w:ind w:right="2659" w:firstLine="1135"/>
        <w:spacing w:after="0" w:line="258" w:lineRule="auto"/>
        <w:rPr>
          <w:sz w:val="20"/>
          <w:szCs w:val="20"/>
          <w:color w:val="auto"/>
        </w:rPr>
      </w:pPr>
      <w:r>
        <w:rPr>
          <w:rFonts w:ascii="Courier New" w:cs="Courier New" w:eastAsia="Courier New" w:hAnsi="Courier New"/>
          <w:sz w:val="15"/>
          <w:szCs w:val="15"/>
          <w:color w:val="auto"/>
        </w:rPr>
        <w:t>"Registrable Securities" shall mean (i) Securities other than those that have been (A) registered under a Registration Statement and disposed of in accordance therewith or (B) distributed to the public pursuant to Rule 144 under the Act or any successor rule or regulation thereto that may be adopted by the Commission and (ii) any New Securities resale of which by the Holder thereof requires compliance with the prospectus delivery requirements of the Act.</w:t>
      </w:r>
    </w:p>
    <w:p>
      <w:pPr>
        <w:spacing w:after="0" w:line="177" w:lineRule="exact"/>
        <w:rPr>
          <w:sz w:val="20"/>
          <w:szCs w:val="20"/>
          <w:color w:val="auto"/>
        </w:rPr>
      </w:pPr>
    </w:p>
    <w:p>
      <w:pPr>
        <w:ind w:right="2839" w:firstLine="1135"/>
        <w:spacing w:after="0" w:line="237" w:lineRule="auto"/>
        <w:rPr>
          <w:sz w:val="20"/>
          <w:szCs w:val="20"/>
          <w:color w:val="auto"/>
        </w:rPr>
      </w:pPr>
      <w:r>
        <w:rPr>
          <w:rFonts w:ascii="Courier New" w:cs="Courier New" w:eastAsia="Courier New" w:hAnsi="Courier New"/>
          <w:sz w:val="16"/>
          <w:szCs w:val="16"/>
          <w:color w:val="auto"/>
        </w:rPr>
        <w:t>"Registration Default Damages" shall have the meaning set forth in Section 8 hereof.</w:t>
      </w:r>
    </w:p>
    <w:p>
      <w:pPr>
        <w:spacing w:after="0" w:line="188"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"Registration Statement" shall mean any Exchange Offer Registration Statement or Shelf Registration Statement that covers any of the Securities or the New Securities pursuant to the provisions of this Agreement, any amendments and supplements to such registration</w:t>
      </w:r>
    </w:p>
    <w:p>
      <w:pPr>
        <w:spacing w:after="0" w:line="200" w:lineRule="exact"/>
        <w:rPr>
          <w:sz w:val="20"/>
          <w:szCs w:val="20"/>
          <w:color w:val="auto"/>
        </w:rPr>
      </w:pPr>
    </w:p>
    <w:p>
      <w:pPr>
        <w:spacing w:after="0" w:line="34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81" w:right="1440" w:bottom="1440" w:gutter="0" w:footer="0" w:header="0"/>
        </w:sectPr>
      </w:pPr>
    </w:p>
    <w:bookmarkStart w:id="368" w:name="page369"/>
    <w:bookmarkEnd w:id="368"/>
    <w:p>
      <w:pPr>
        <w:ind w:right="3219"/>
        <w:spacing w:after="0" w:line="238" w:lineRule="auto"/>
        <w:rPr>
          <w:sz w:val="20"/>
          <w:szCs w:val="20"/>
          <w:color w:val="auto"/>
        </w:rPr>
      </w:pPr>
      <w:r>
        <w:rPr>
          <w:rFonts w:ascii="Courier New" w:cs="Courier New" w:eastAsia="Courier New" w:hAnsi="Courier New"/>
          <w:sz w:val="16"/>
          <w:szCs w:val="16"/>
          <w:color w:val="auto"/>
        </w:rPr>
        <w:t>statement, including post-effective amendments (in each case including the Prospectus contained therein), all exhibits thereto and all material incorporated by reference therein.</w:t>
      </w:r>
    </w:p>
    <w:p>
      <w:pPr>
        <w:spacing w:after="0" w:line="184"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"Securities" shall have the meaning set forth in the preamble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hereto.</w:t>
      </w:r>
    </w:p>
    <w:p>
      <w:pPr>
        <w:spacing w:after="0" w:line="186" w:lineRule="exact"/>
        <w:rPr>
          <w:sz w:val="20"/>
          <w:szCs w:val="20"/>
          <w:color w:val="auto"/>
        </w:rPr>
      </w:pPr>
    </w:p>
    <w:p>
      <w:pPr>
        <w:ind w:right="2759" w:firstLine="1135"/>
        <w:spacing w:after="0" w:line="237" w:lineRule="auto"/>
        <w:rPr>
          <w:sz w:val="20"/>
          <w:szCs w:val="20"/>
          <w:color w:val="auto"/>
        </w:rPr>
      </w:pPr>
      <w:r>
        <w:rPr>
          <w:rFonts w:ascii="Courier New" w:cs="Courier New" w:eastAsia="Courier New" w:hAnsi="Courier New"/>
          <w:sz w:val="16"/>
          <w:szCs w:val="16"/>
          <w:color w:val="auto"/>
        </w:rPr>
        <w:t>"Shelf Registration" shall mean a registration effected pursuant to Section 3 hereof.</w:t>
      </w:r>
    </w:p>
    <w:p>
      <w:pPr>
        <w:spacing w:after="0" w:line="184"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"Shelf Registration Period" has the meaning set forth in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3(b) hereof.</w:t>
      </w:r>
    </w:p>
    <w:p>
      <w:pPr>
        <w:spacing w:after="0" w:line="186" w:lineRule="exact"/>
        <w:rPr>
          <w:sz w:val="20"/>
          <w:szCs w:val="20"/>
          <w:color w:val="auto"/>
        </w:rPr>
      </w:pPr>
    </w:p>
    <w:p>
      <w:pPr>
        <w:ind w:right="2839" w:firstLine="1135"/>
        <w:spacing w:after="0"/>
        <w:rPr>
          <w:sz w:val="20"/>
          <w:szCs w:val="20"/>
          <w:color w:val="auto"/>
        </w:rPr>
      </w:pPr>
      <w:r>
        <w:rPr>
          <w:rFonts w:ascii="Courier New" w:cs="Courier New" w:eastAsia="Courier New" w:hAnsi="Courier New"/>
          <w:sz w:val="16"/>
          <w:szCs w:val="16"/>
          <w:color w:val="auto"/>
        </w:rPr>
        <w:t>"Shelf Registration Statement" shall mean a "shelf" registration statement of the Company and the Guarantors pursuant to the provisions of Section 3 hereof which covers some or all of the Securities or New Securities, as applicable, on an appropriate form under Rule 415 under the Act, or any similar rule that may be adopted by the Commission, amendments and supplements to such registration statement, including post-effective amendments, in each case including the Prospectus contained therein, all exhibits thereto and all material incorporated by reference therein.</w:t>
      </w:r>
    </w:p>
    <w:p>
      <w:pPr>
        <w:spacing w:after="0" w:line="187" w:lineRule="exact"/>
        <w:rPr>
          <w:sz w:val="20"/>
          <w:szCs w:val="20"/>
          <w:color w:val="auto"/>
        </w:rPr>
      </w:pPr>
    </w:p>
    <w:p>
      <w:pPr>
        <w:ind w:right="3119" w:firstLine="1135"/>
        <w:spacing w:after="0" w:line="237" w:lineRule="auto"/>
        <w:rPr>
          <w:sz w:val="20"/>
          <w:szCs w:val="20"/>
          <w:color w:val="auto"/>
        </w:rPr>
      </w:pPr>
      <w:r>
        <w:rPr>
          <w:rFonts w:ascii="Courier New" w:cs="Courier New" w:eastAsia="Courier New" w:hAnsi="Courier New"/>
          <w:sz w:val="16"/>
          <w:szCs w:val="16"/>
          <w:color w:val="auto"/>
        </w:rPr>
        <w:t>"Trustee" shall mean the trustee with respect to the Securities under the Indenture.</w:t>
      </w:r>
    </w:p>
    <w:p>
      <w:pPr>
        <w:spacing w:after="0" w:line="188" w:lineRule="exact"/>
        <w:rPr>
          <w:sz w:val="20"/>
          <w:szCs w:val="20"/>
          <w:color w:val="auto"/>
        </w:rPr>
      </w:pPr>
    </w:p>
    <w:p>
      <w:pPr>
        <w:jc w:val="both"/>
        <w:ind w:right="2659" w:firstLine="1135"/>
        <w:spacing w:after="0" w:line="267" w:lineRule="auto"/>
        <w:rPr>
          <w:sz w:val="20"/>
          <w:szCs w:val="20"/>
          <w:color w:val="auto"/>
        </w:rPr>
      </w:pPr>
      <w:r>
        <w:rPr>
          <w:rFonts w:ascii="Courier New" w:cs="Courier New" w:eastAsia="Courier New" w:hAnsi="Courier New"/>
          <w:sz w:val="15"/>
          <w:szCs w:val="15"/>
          <w:color w:val="auto"/>
        </w:rPr>
        <w:t>"Trust Indenture Act" shall mean the Trust Indenture Act of 1939, as amended, and the rules and regulations of the Commission promulgated thereunder.</w:t>
      </w:r>
    </w:p>
    <w:p>
      <w:pPr>
        <w:spacing w:after="0" w:line="168" w:lineRule="exact"/>
        <w:rPr>
          <w:sz w:val="20"/>
          <w:szCs w:val="20"/>
          <w:color w:val="auto"/>
        </w:rPr>
      </w:pPr>
    </w:p>
    <w:p>
      <w:pPr>
        <w:ind w:right="2659" w:firstLine="1135"/>
        <w:spacing w:after="0" w:line="237" w:lineRule="auto"/>
        <w:rPr>
          <w:sz w:val="20"/>
          <w:szCs w:val="20"/>
          <w:color w:val="auto"/>
        </w:rPr>
      </w:pPr>
      <w:r>
        <w:rPr>
          <w:rFonts w:ascii="Courier New" w:cs="Courier New" w:eastAsia="Courier New" w:hAnsi="Courier New"/>
          <w:sz w:val="16"/>
          <w:szCs w:val="16"/>
          <w:color w:val="auto"/>
        </w:rPr>
        <w:t>"underwriter" shall mean any underwriter of Securities in connection with an offering thereof under a Shelf Registration Statement.</w:t>
      </w:r>
    </w:p>
    <w:p>
      <w:pPr>
        <w:spacing w:after="0" w:line="188" w:lineRule="exact"/>
        <w:rPr>
          <w:sz w:val="20"/>
          <w:szCs w:val="20"/>
          <w:color w:val="auto"/>
        </w:rPr>
      </w:pPr>
    </w:p>
    <w:p>
      <w:pPr>
        <w:ind w:right="2759" w:firstLine="1132"/>
        <w:spacing w:after="0" w:line="239" w:lineRule="auto"/>
        <w:tabs>
          <w:tab w:leader="none" w:pos="1419" w:val="left"/>
        </w:tabs>
        <w:numPr>
          <w:ilvl w:val="0"/>
          <w:numId w:val="4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Registered Exchange Offer. (a) The Company and the Guarantors shall use their commercially reasonable efforts to prepare and file, not later than 90 days following the Closing Date, with the Commission the Exchange Offer Registration Statement with respect to the Registered Exchange Offer. The Company and the Guarantors shall use their commercially reasonable efforts to cause the Exchange Offer Registration Statement to become effective under the Act within 210 days of the Closing Date.</w:t>
      </w:r>
    </w:p>
    <w:p>
      <w:pPr>
        <w:spacing w:after="0" w:line="192" w:lineRule="exact"/>
        <w:rPr>
          <w:sz w:val="20"/>
          <w:szCs w:val="20"/>
          <w:color w:val="auto"/>
        </w:rPr>
      </w:pPr>
    </w:p>
    <w:p>
      <w:pPr>
        <w:ind w:right="2659" w:firstLine="1132"/>
        <w:spacing w:after="0"/>
        <w:tabs>
          <w:tab w:leader="none" w:pos="1513" w:val="left"/>
        </w:tabs>
        <w:numPr>
          <w:ilvl w:val="0"/>
          <w:numId w:val="4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effectiveness of the Exchange Offer Registration Statement, the Company and the Guarantors shall promptly commence the Registered Exchange Offer, it being the objective of such Registered Exchange Offer to enable each Holder electing to exchange Securities for New Securities (assuming that such Holder is not an Affiliate of the Company or the Guarantors, acquires the New Securities in the ordinary course of such Holder's business, has no arrangements with any person to participate in the distribution of the New Securities and is not prohibited by any law or policy of the Commission from participating in the Registered Exchange Offer) to trade such New Securities from and after their receipt without any limitations or restrictions on transferability under the Act and without material restrictions on transferability under the securities laws of a substantial proportion of the several states of the United States.</w:t>
      </w:r>
    </w:p>
    <w:p>
      <w:pPr>
        <w:spacing w:after="0" w:line="190" w:lineRule="exact"/>
        <w:rPr>
          <w:rFonts w:ascii="Courier New" w:cs="Courier New" w:eastAsia="Courier New" w:hAnsi="Courier New"/>
          <w:sz w:val="16"/>
          <w:szCs w:val="16"/>
          <w:color w:val="auto"/>
        </w:rPr>
      </w:pPr>
    </w:p>
    <w:p>
      <w:pPr>
        <w:ind w:right="2939" w:firstLine="1132"/>
        <w:spacing w:after="0" w:line="237" w:lineRule="auto"/>
        <w:tabs>
          <w:tab w:leader="none" w:pos="1513" w:val="left"/>
        </w:tabs>
        <w:numPr>
          <w:ilvl w:val="0"/>
          <w:numId w:val="4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Registered Exchange Offer, the Company and the Guarantors shall:</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80" w:right="1440" w:bottom="1440" w:gutter="0" w:footer="0" w:header="0"/>
        </w:sectPr>
      </w:pPr>
    </w:p>
    <w:bookmarkStart w:id="369" w:name="page370"/>
    <w:bookmarkEnd w:id="369"/>
    <w:p>
      <w:pPr>
        <w:ind w:left="8" w:right="2759" w:firstLine="559"/>
        <w:spacing w:after="0" w:line="238" w:lineRule="auto"/>
        <w:tabs>
          <w:tab w:leader="none" w:pos="954" w:val="left"/>
        </w:tabs>
        <w:numPr>
          <w:ilvl w:val="1"/>
          <w:numId w:val="4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mail to each Holder a copy of the Prospectus forming part of the Exchange Offer Registration Statement, together with an appropriate letter of transmittal and related documents;</w:t>
      </w:r>
    </w:p>
    <w:p>
      <w:pPr>
        <w:spacing w:after="0" w:line="188" w:lineRule="exact"/>
        <w:rPr>
          <w:rFonts w:ascii="Courier New" w:cs="Courier New" w:eastAsia="Courier New" w:hAnsi="Courier New"/>
          <w:sz w:val="16"/>
          <w:szCs w:val="16"/>
          <w:color w:val="auto"/>
        </w:rPr>
      </w:pPr>
    </w:p>
    <w:p>
      <w:pPr>
        <w:ind w:left="8" w:right="2659" w:firstLine="559"/>
        <w:spacing w:after="0" w:line="239" w:lineRule="auto"/>
        <w:tabs>
          <w:tab w:leader="none" w:pos="1048" w:val="left"/>
        </w:tabs>
        <w:numPr>
          <w:ilvl w:val="1"/>
          <w:numId w:val="4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keep the Registered Exchange Offer open for not less than 20 Business Days and not more than 30 Business Days after the date notice thereof is mailed to the Holders (or, in each case, longer if required by applicable law);</w:t>
      </w:r>
    </w:p>
    <w:p>
      <w:pPr>
        <w:spacing w:after="0" w:line="187" w:lineRule="exact"/>
        <w:rPr>
          <w:rFonts w:ascii="Courier New" w:cs="Courier New" w:eastAsia="Courier New" w:hAnsi="Courier New"/>
          <w:sz w:val="16"/>
          <w:szCs w:val="16"/>
          <w:color w:val="auto"/>
        </w:rPr>
      </w:pPr>
    </w:p>
    <w:p>
      <w:pPr>
        <w:ind w:left="8" w:right="2839" w:firstLine="559"/>
        <w:spacing w:after="0" w:line="259" w:lineRule="auto"/>
        <w:tabs>
          <w:tab w:leader="none" w:pos="1143" w:val="left"/>
        </w:tabs>
        <w:numPr>
          <w:ilvl w:val="1"/>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their commercially reasonable efforts to keep the Exchange Offer Registration Statement continuously effective under the Act, and supplemented and amended as required by the Act, to ensure that it is available for sales of New Securities by Exchanging Dealers during the Exchange Offer Registration Period;</w:t>
      </w:r>
    </w:p>
    <w:p>
      <w:pPr>
        <w:spacing w:after="0" w:line="174" w:lineRule="exact"/>
        <w:rPr>
          <w:rFonts w:ascii="Courier New" w:cs="Courier New" w:eastAsia="Courier New" w:hAnsi="Courier New"/>
          <w:sz w:val="15"/>
          <w:szCs w:val="15"/>
          <w:color w:val="auto"/>
        </w:rPr>
      </w:pPr>
    </w:p>
    <w:p>
      <w:pPr>
        <w:ind w:left="8" w:right="2839" w:firstLine="559"/>
        <w:spacing w:after="0" w:line="239" w:lineRule="auto"/>
        <w:tabs>
          <w:tab w:leader="none" w:pos="1048" w:val="left"/>
        </w:tabs>
        <w:numPr>
          <w:ilvl w:val="1"/>
          <w:numId w:val="4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utilize the services of a depositary for the Registered Exchange Offer with an address in the Borough of Manhattan in New York City, which may be the Trustee, the New Securities Trustee or an Affiliate of either of them;</w:t>
      </w:r>
    </w:p>
    <w:p>
      <w:pPr>
        <w:spacing w:after="0" w:line="187" w:lineRule="exact"/>
        <w:rPr>
          <w:rFonts w:ascii="Courier New" w:cs="Courier New" w:eastAsia="Courier New" w:hAnsi="Courier New"/>
          <w:sz w:val="16"/>
          <w:szCs w:val="16"/>
          <w:color w:val="auto"/>
        </w:rPr>
      </w:pPr>
    </w:p>
    <w:p>
      <w:pPr>
        <w:ind w:left="8" w:right="2659" w:firstLine="559"/>
        <w:spacing w:after="0" w:line="238" w:lineRule="auto"/>
        <w:tabs>
          <w:tab w:leader="none" w:pos="954" w:val="left"/>
        </w:tabs>
        <w:numPr>
          <w:ilvl w:val="1"/>
          <w:numId w:val="4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 Holders to withdraw tendered Securities at any time prior to the close of business, New York time, on the last Business Day on which the Registered Exchange Offer is open;</w:t>
      </w:r>
    </w:p>
    <w:p>
      <w:pPr>
        <w:spacing w:after="0" w:line="188" w:lineRule="exact"/>
        <w:rPr>
          <w:rFonts w:ascii="Courier New" w:cs="Courier New" w:eastAsia="Courier New" w:hAnsi="Courier New"/>
          <w:sz w:val="16"/>
          <w:szCs w:val="16"/>
          <w:color w:val="auto"/>
        </w:rPr>
      </w:pPr>
    </w:p>
    <w:p>
      <w:pPr>
        <w:ind w:left="8" w:right="2659" w:firstLine="559"/>
        <w:spacing w:after="0" w:line="256" w:lineRule="auto"/>
        <w:tabs>
          <w:tab w:leader="none" w:pos="1048" w:val="left"/>
        </w:tabs>
        <w:numPr>
          <w:ilvl w:val="1"/>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effectiveness of the Exchange Offer Registration Statement, provide a supplemental letter to the Commission (A) stating that the Company and the Guarantors are conducting the Registered Exchange Offer in reliance on the position of the Commission in Exxon Capital Holdings Corporation (pub. avail. May 13, 1988) and Morgan Stanley and Co., Inc. (pub. avail. June 5,</w:t>
      </w:r>
    </w:p>
    <w:p>
      <w:pPr>
        <w:spacing w:after="0" w:line="3" w:lineRule="exact"/>
        <w:rPr>
          <w:rFonts w:ascii="Courier New" w:cs="Courier New" w:eastAsia="Courier New" w:hAnsi="Courier New"/>
          <w:sz w:val="15"/>
          <w:szCs w:val="15"/>
          <w:color w:val="auto"/>
        </w:rPr>
      </w:pPr>
    </w:p>
    <w:p>
      <w:pPr>
        <w:ind w:left="8" w:right="2659"/>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1991); and (B) including a representation that the Company and the Guarantors have not entered into any arrangement or understanding with any person to distribute the New Securities to be received in the Registered Exchange Offer and that, to the best of the Company's and each of the Guarantor's information and belief, each Holder participating in the Registered Exchange Offer is acquiring the New Securities in the ordinary course of business and has no arrangement or understanding with any person to participate in the distribution of the New Securities; and</w:t>
      </w:r>
    </w:p>
    <w:p>
      <w:pPr>
        <w:spacing w:after="0" w:line="183" w:lineRule="exact"/>
        <w:rPr>
          <w:rFonts w:ascii="Courier New" w:cs="Courier New" w:eastAsia="Courier New" w:hAnsi="Courier New"/>
          <w:sz w:val="15"/>
          <w:szCs w:val="15"/>
          <w:color w:val="auto"/>
        </w:rPr>
      </w:pPr>
    </w:p>
    <w:p>
      <w:pPr>
        <w:ind w:left="1128" w:hanging="561"/>
        <w:spacing w:after="0"/>
        <w:tabs>
          <w:tab w:leader="none" w:pos="1128" w:val="left"/>
        </w:tabs>
        <w:numPr>
          <w:ilvl w:val="1"/>
          <w:numId w:val="4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 in all material respects with all applicable</w:t>
      </w:r>
    </w:p>
    <w:p>
      <w:pPr>
        <w:ind w:left="8"/>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laws.</w:t>
      </w:r>
    </w:p>
    <w:p>
      <w:pPr>
        <w:spacing w:after="0" w:line="186" w:lineRule="exact"/>
        <w:rPr>
          <w:rFonts w:ascii="Courier New" w:cs="Courier New" w:eastAsia="Courier New" w:hAnsi="Courier New"/>
          <w:sz w:val="16"/>
          <w:szCs w:val="16"/>
          <w:color w:val="auto"/>
        </w:rPr>
      </w:pPr>
    </w:p>
    <w:p>
      <w:pPr>
        <w:ind w:left="-1132" w:right="3419" w:firstLine="1132"/>
        <w:spacing w:after="0" w:line="237" w:lineRule="auto"/>
        <w:tabs>
          <w:tab w:leader="none" w:pos="381" w:val="left"/>
        </w:tabs>
        <w:numPr>
          <w:ilvl w:val="0"/>
          <w:numId w:val="4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after the close of the Registered Exchange Offer, the Company and the Guarantors shall:</w:t>
      </w:r>
    </w:p>
    <w:p>
      <w:pPr>
        <w:spacing w:after="0" w:line="187" w:lineRule="exact"/>
        <w:rPr>
          <w:rFonts w:ascii="Courier New" w:cs="Courier New" w:eastAsia="Courier New" w:hAnsi="Courier New"/>
          <w:sz w:val="16"/>
          <w:szCs w:val="16"/>
          <w:color w:val="auto"/>
        </w:rPr>
      </w:pPr>
    </w:p>
    <w:p>
      <w:pPr>
        <w:ind w:left="8" w:right="3319" w:firstLine="559"/>
        <w:spacing w:after="0" w:line="267" w:lineRule="auto"/>
        <w:tabs>
          <w:tab w:leader="none" w:pos="954" w:val="left"/>
        </w:tabs>
        <w:numPr>
          <w:ilvl w:val="1"/>
          <w:numId w:val="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for exchange all Securities tendered and not validly withdrawn pursuant to the Registered Exchange Offer;</w:t>
      </w:r>
    </w:p>
    <w:p>
      <w:pPr>
        <w:spacing w:after="0" w:line="167" w:lineRule="exact"/>
        <w:rPr>
          <w:rFonts w:ascii="Courier New" w:cs="Courier New" w:eastAsia="Courier New" w:hAnsi="Courier New"/>
          <w:sz w:val="15"/>
          <w:szCs w:val="15"/>
          <w:color w:val="auto"/>
        </w:rPr>
      </w:pPr>
    </w:p>
    <w:p>
      <w:pPr>
        <w:ind w:left="8" w:right="3039" w:firstLine="559"/>
        <w:spacing w:after="0" w:line="267" w:lineRule="auto"/>
        <w:tabs>
          <w:tab w:leader="none" w:pos="1048" w:val="left"/>
        </w:tabs>
        <w:numPr>
          <w:ilvl w:val="1"/>
          <w:numId w:val="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to the Trustee for cancellation in accordance with Section 4(s) all Securities so accepted for exchange; and</w:t>
      </w:r>
    </w:p>
    <w:p>
      <w:pPr>
        <w:spacing w:after="0" w:line="345" w:lineRule="exact"/>
        <w:rPr>
          <w:sz w:val="20"/>
          <w:szCs w:val="20"/>
          <w:color w:val="auto"/>
        </w:rPr>
      </w:pPr>
    </w:p>
    <w:p>
      <w:pPr>
        <w:ind w:left="2548"/>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87"/>
          </w:cols>
          <w:pgMar w:left="1372" w:top="481" w:right="1440" w:bottom="1440" w:gutter="0" w:footer="0" w:header="0"/>
        </w:sectPr>
      </w:pPr>
    </w:p>
    <w:bookmarkStart w:id="370" w:name="page371"/>
    <w:bookmarkEnd w:id="370"/>
    <w:p>
      <w:pPr>
        <w:ind w:left="1140" w:right="2759" w:firstLine="559"/>
        <w:spacing w:after="0" w:line="239" w:lineRule="auto"/>
        <w:tabs>
          <w:tab w:leader="none" w:pos="2275" w:val="left"/>
        </w:tabs>
        <w:numPr>
          <w:ilvl w:val="1"/>
          <w:numId w:val="4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the New Securities Trustee promptly to authenticate and deliver to each Holder of Securities who has tendered Securities pursuant to the Registered Exchange Offer a principal amount of New Securities equal to the principal amount of the Securities of such Holder so accepted for exchange.</w:t>
      </w:r>
    </w:p>
    <w:p>
      <w:pPr>
        <w:spacing w:after="0" w:line="184" w:lineRule="exact"/>
        <w:rPr>
          <w:rFonts w:ascii="Courier New" w:cs="Courier New" w:eastAsia="Courier New" w:hAnsi="Courier New"/>
          <w:sz w:val="16"/>
          <w:szCs w:val="16"/>
          <w:color w:val="auto"/>
        </w:rPr>
      </w:pPr>
    </w:p>
    <w:p>
      <w:pPr>
        <w:ind w:left="1520" w:hanging="388"/>
        <w:spacing w:after="0"/>
        <w:tabs>
          <w:tab w:leader="none" w:pos="1520" w:val="left"/>
        </w:tabs>
        <w:numPr>
          <w:ilvl w:val="0"/>
          <w:numId w:val="4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Holder hereby acknowledges and agrees that any</w:t>
      </w:r>
    </w:p>
    <w:p>
      <w:pPr>
        <w:spacing w:after="0" w:line="5"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Broker-Dealer and any such Holder using the Registered Exchange Offer to participate in a distribution of the New Securities (x) could not under Commission policy as in effect on the date of this Agreement rely on the position of the Commission in Exxon Capital Holdings Corporation (pub. avail. May 13, 1988) and Morgan Stanley and Co., Inc. (pub. avail. June 5, 1991), as interpreted in the Commission's letter to Shearman &amp; Sterling dated July 2, 1993 and similar no-action letters; and (y) must comply with the registration and prospectus delivery requirements of the Act in connection with any secondary resale transaction, which must be covered by an effective registration statement containing the selling security holder information required by Item 507 or 508, as applicable, of Regulation S-K under the Act if the resales are of New Securities obtained by such Holder in exchange for Securities acquired by such Holder directly from the Company or one of its Affiliates. Accordingly, each Holder participating in the Registered Exchange Offer shall be required to represent to the Company and the Guarantors that, at the time of the consummation of the Registered Exchange Offer:</w:t>
      </w:r>
    </w:p>
    <w:p>
      <w:pPr>
        <w:spacing w:after="0" w:line="192" w:lineRule="exact"/>
        <w:rPr>
          <w:sz w:val="20"/>
          <w:szCs w:val="20"/>
          <w:color w:val="auto"/>
        </w:rPr>
      </w:pPr>
    </w:p>
    <w:p>
      <w:pPr>
        <w:ind w:left="1140" w:right="3419" w:firstLine="559"/>
        <w:spacing w:after="0" w:line="237" w:lineRule="auto"/>
        <w:tabs>
          <w:tab w:leader="none" w:pos="2086" w:val="left"/>
        </w:tabs>
        <w:numPr>
          <w:ilvl w:val="1"/>
          <w:numId w:val="4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New Securities received by such Holder will be acquired in the ordinary course of business;</w:t>
      </w:r>
    </w:p>
    <w:p>
      <w:pPr>
        <w:spacing w:after="0" w:line="187" w:lineRule="exact"/>
        <w:rPr>
          <w:rFonts w:ascii="Courier New" w:cs="Courier New" w:eastAsia="Courier New" w:hAnsi="Courier New"/>
          <w:sz w:val="16"/>
          <w:szCs w:val="16"/>
          <w:color w:val="auto"/>
        </w:rPr>
      </w:pPr>
    </w:p>
    <w:p>
      <w:pPr>
        <w:ind w:left="1140" w:right="2659" w:firstLine="559"/>
        <w:spacing w:after="0" w:line="262" w:lineRule="auto"/>
        <w:tabs>
          <w:tab w:leader="none" w:pos="2180" w:val="left"/>
        </w:tabs>
        <w:numPr>
          <w:ilvl w:val="1"/>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will have no arrangement or understanding with any person to participate in the distribution of the Securities or the New Securities within the meaning of the Act; and</w:t>
      </w:r>
    </w:p>
    <w:p>
      <w:pPr>
        <w:spacing w:after="0" w:line="167" w:lineRule="exact"/>
        <w:rPr>
          <w:rFonts w:ascii="Courier New" w:cs="Courier New" w:eastAsia="Courier New" w:hAnsi="Courier New"/>
          <w:sz w:val="15"/>
          <w:szCs w:val="15"/>
          <w:color w:val="auto"/>
        </w:rPr>
      </w:pPr>
    </w:p>
    <w:p>
      <w:pPr>
        <w:ind w:left="2260" w:hanging="561"/>
        <w:spacing w:after="0"/>
        <w:tabs>
          <w:tab w:leader="none" w:pos="2260" w:val="left"/>
        </w:tabs>
        <w:numPr>
          <w:ilvl w:val="1"/>
          <w:numId w:val="4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is not an Affiliate of the Company or any</w:t>
      </w:r>
    </w:p>
    <w:p>
      <w:pPr>
        <w:ind w:left="1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Guarantor.</w:t>
      </w:r>
    </w:p>
    <w:p>
      <w:pPr>
        <w:spacing w:after="0" w:line="186" w:lineRule="exact"/>
        <w:rPr>
          <w:rFonts w:ascii="Courier New" w:cs="Courier New" w:eastAsia="Courier New" w:hAnsi="Courier New"/>
          <w:sz w:val="16"/>
          <w:szCs w:val="16"/>
          <w:color w:val="auto"/>
        </w:rPr>
      </w:pPr>
    </w:p>
    <w:p>
      <w:pPr>
        <w:ind w:right="2659" w:firstLine="1132"/>
        <w:spacing w:after="0"/>
        <w:tabs>
          <w:tab w:leader="none" w:pos="1513" w:val="left"/>
        </w:tabs>
        <w:numPr>
          <w:ilvl w:val="0"/>
          <w:numId w:val="4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Initial Purchaser determines that it is not eligible to participate in the Registered Exchange Offer with respect to the exchange of Securities constituting any portion of an unsold allotment, at the request of such Initial Purchaser, the Company and the Guarantors shall issue and deliver to such Initial Purchaser, or the person purchasing New Securities registered under a Shelf Registration Statement as contemplated by Section 3 hereof from such Initial Purchaser, in exchange for such Securities, a like principal amount of New Securities. The Company and the Guarantors shall use their commercially reasonable efforts to cause the CUSIP Service Bureau to issue the same CUSIP number for such New Securities as for New Securities issued pursuant to the Registered Exchange Offer.</w:t>
      </w:r>
    </w:p>
    <w:p>
      <w:pPr>
        <w:spacing w:after="0" w:line="189" w:lineRule="exact"/>
        <w:rPr>
          <w:sz w:val="20"/>
          <w:szCs w:val="20"/>
          <w:color w:val="auto"/>
        </w:rPr>
      </w:pPr>
    </w:p>
    <w:p>
      <w:pPr>
        <w:ind w:right="2759" w:firstLine="1132"/>
        <w:spacing w:after="0"/>
        <w:tabs>
          <w:tab w:leader="none" w:pos="1419" w:val="left"/>
        </w:tabs>
        <w:numPr>
          <w:ilvl w:val="0"/>
          <w:numId w:val="4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Shelf Registration. (a) If (i) due to any change in law or applicable interpretations thereof by the Commission's staff, the Company and the Guarantors determine upon advice of their outside counsel that they are not permitted to effect the Registered Exchange Offer as contemplated by Section 2 hereof; or (ii) for any other reason the Registered Exchange Offer is not consummated within 240 days of the Closing Date; (iii) any Initial Purchaser so requests with respect to Securities that are not eligible to be exchanged for New Securities in the Registered Exchange Offer and that are held by it following consummation of the Registered Exchange Offer; (iv) any Holder (other than an Initial Purchaser) is not eligible to</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81" w:right="1440" w:bottom="1440" w:gutter="0" w:footer="0" w:header="0"/>
        </w:sectPr>
      </w:pPr>
    </w:p>
    <w:bookmarkStart w:id="371" w:name="page372"/>
    <w:bookmarkEnd w:id="371"/>
    <w:p>
      <w:pPr>
        <w:ind w:right="2659"/>
        <w:spacing w:after="0" w:line="257" w:lineRule="auto"/>
        <w:rPr>
          <w:sz w:val="20"/>
          <w:szCs w:val="20"/>
          <w:color w:val="auto"/>
        </w:rPr>
      </w:pPr>
      <w:r>
        <w:rPr>
          <w:rFonts w:ascii="Courier New" w:cs="Courier New" w:eastAsia="Courier New" w:hAnsi="Courier New"/>
          <w:sz w:val="15"/>
          <w:szCs w:val="15"/>
          <w:color w:val="auto"/>
        </w:rPr>
        <w:t>participate in the Registered Exchange Offer; or (v) in the case of any Initial Purchaser that participates in the Registered Exchange Offer or acquires New Securities pursuant to Section 2(f) hereof, such Initial Purchaser does not receive freely tradeable New Securities in exchange for Securities constituting any portion of an unsold allotment (it being understood that (x) the requirement that an Initial Purchaser deliver a Prospectus containing the information required by Item 507 or 508 of Regulation S-K under the Act in connection with sales of New Securities acquired in exchange for such Securities shall result in such New Securities being not "freely tradeable"; and (y) the requirement that an Exchanging Dealer deliver a Prospectus in connection with sales of New Securities acquired in the Registered Exchange Offer in exchange for Securities acquired as a result of market-making activities or other trading activities shall not result in such New Securities being not "freely tradeable"), the Company and the Guarantors shall effect a Shelf Registration Statement in accordance with subsection (b) below.</w:t>
      </w:r>
    </w:p>
    <w:p>
      <w:pPr>
        <w:spacing w:after="0" w:line="363" w:lineRule="exact"/>
        <w:rPr>
          <w:sz w:val="20"/>
          <w:szCs w:val="20"/>
          <w:color w:val="auto"/>
        </w:rPr>
      </w:pPr>
    </w:p>
    <w:p>
      <w:pPr>
        <w:ind w:right="2659" w:firstLine="1132"/>
        <w:spacing w:after="0"/>
        <w:tabs>
          <w:tab w:leader="none" w:pos="1513" w:val="left"/>
        </w:tabs>
        <w:numPr>
          <w:ilvl w:val="0"/>
          <w:numId w:val="4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Company and the Guarantors shall use their commercially reasonable efforts to cause to be filed as soon as practicable (but in no event more than 90 days after so required or requested pursuant to this Section 3), file with the Commission and shall use their commercially reasonable efforts to cause to be declared effective under the Act within 210 days after so required or requested, a Shelf Registration Statement relating to the offer and sale of the Securities or the New Securities, as applicable, by the Holders thereof from time to time in accordance with the methods of distribution elected by such Holders and set forth in such Shelf Registration Statement; provided, however, that no Holder (other than an Initial Purchaser) shall be entitled to have the Securities held by it covered by such Shelf Registration Statement unless such Holder agrees in writing to be bound by all of the provisions of this Agreement applicable to such Holder; and provided further, that with respect to New Securities received by an Initial Purchaser in exchange for Securities constituting any portion of an unsold allotment, the Company and the Guarantors may, if permitted by current interpretations by the Commission's staff, file a post-effective amendment to the Exchange Offer Registration Statement containing the information required by Item 507 or 508 of Regulation S-K, as applicable, in satisfaction of its obligations under this subsection with respect thereto, and any such Exchange Offer Registration Statement, as so amended, shall be referred to herein as, and governed by the provisions herein applicable to, a Shelf Registration Statement.</w:t>
      </w:r>
    </w:p>
    <w:p>
      <w:pPr>
        <w:spacing w:after="0" w:line="195" w:lineRule="exact"/>
        <w:rPr>
          <w:rFonts w:ascii="Courier New" w:cs="Courier New" w:eastAsia="Courier New" w:hAnsi="Courier New"/>
          <w:sz w:val="16"/>
          <w:szCs w:val="16"/>
          <w:color w:val="auto"/>
        </w:rPr>
      </w:pPr>
    </w:p>
    <w:p>
      <w:pPr>
        <w:ind w:left="1140" w:right="2659" w:firstLine="559"/>
        <w:spacing w:after="0"/>
        <w:tabs>
          <w:tab w:leader="none" w:pos="2180" w:val="left"/>
        </w:tabs>
        <w:numPr>
          <w:ilvl w:val="1"/>
          <w:numId w:val="4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Guarantors shall use their commercially reasonable efforts to keep the Shelf Registration Statement continuously effective under the Act, and supplemented and amended as required by the Act, in order to permit the Prospectus forming part thereof to be usable by Holders for a period (the "Shelf Registration Period") from the date the Shelf Registration Statement is declared effective by the Commission until the earlier of (A) the second anniversary thereof or (B) the date upon which all the Securities or New Securities, as applicable, covered by the Shelf Registration Statement have been sold pursuant to the Shelf Registration Statement. The Company and the Guarantors shall be deemed not to have used their commercially reasonable efforts to keep the Shelf Registration Statement effective during the Shelf Registration Period if either the Company or the Guarantors voluntarily takes any action that would result in Holders of Securities covered thereby not being able to offer and sell such Securities at any time during the Shelf Registration Period, unless such action is (x) required by applicable law or otherwise undertaken by</w:t>
      </w:r>
    </w:p>
    <w:p>
      <w:pPr>
        <w:spacing w:after="0" w:line="37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80" w:right="1440" w:bottom="1440" w:gutter="0" w:footer="0" w:header="0"/>
        </w:sectPr>
      </w:pPr>
    </w:p>
    <w:bookmarkStart w:id="372" w:name="page373"/>
    <w:bookmarkEnd w:id="372"/>
    <w:p>
      <w:pPr>
        <w:ind w:left="8" w:right="2759"/>
        <w:spacing w:after="0" w:line="239" w:lineRule="auto"/>
        <w:rPr>
          <w:sz w:val="20"/>
          <w:szCs w:val="20"/>
          <w:color w:val="auto"/>
        </w:rPr>
      </w:pPr>
      <w:r>
        <w:rPr>
          <w:rFonts w:ascii="Courier New" w:cs="Courier New" w:eastAsia="Courier New" w:hAnsi="Courier New"/>
          <w:sz w:val="16"/>
          <w:szCs w:val="16"/>
          <w:color w:val="auto"/>
        </w:rPr>
        <w:t>the Company and the Guarantors in good faith and for valid business reasons (not including avoidance of the Company's and the Guarantors' obligations hereunder), including the acquisition or divestiture of assets, and (y) permitted pursuant to Section 4(k)(ii) hereof.</w:t>
      </w:r>
    </w:p>
    <w:p>
      <w:pPr>
        <w:spacing w:after="0" w:line="189" w:lineRule="exact"/>
        <w:rPr>
          <w:sz w:val="20"/>
          <w:szCs w:val="20"/>
          <w:color w:val="auto"/>
        </w:rPr>
      </w:pPr>
    </w:p>
    <w:p>
      <w:pPr>
        <w:ind w:left="8" w:right="2659" w:firstLine="559"/>
        <w:spacing w:after="0"/>
        <w:tabs>
          <w:tab w:leader="none" w:pos="1048" w:val="left"/>
        </w:tabs>
        <w:numPr>
          <w:ilvl w:val="1"/>
          <w:numId w:val="4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Guarantors shall cause the Shelf Registration Statement and the related Prospectus and any amendment or supplement thereto, as of the effective date of the Shelf Registration Statement or such amendment or supplement, (A) to comply in all material respects with the applicable requirements of the Act; and (B) not to contain any untrue statement of a material fact or omit to state a material fact required to be stated therein or necessary in order to make the statements therein (in the case of the Prospectus, in the light of the circumstances under which they were made) not misleading.</w:t>
      </w:r>
    </w:p>
    <w:p>
      <w:pPr>
        <w:spacing w:after="0" w:line="188" w:lineRule="exact"/>
        <w:rPr>
          <w:rFonts w:ascii="Courier New" w:cs="Courier New" w:eastAsia="Courier New" w:hAnsi="Courier New"/>
          <w:sz w:val="16"/>
          <w:szCs w:val="16"/>
          <w:color w:val="auto"/>
        </w:rPr>
      </w:pPr>
    </w:p>
    <w:p>
      <w:pPr>
        <w:ind w:left="-1132" w:right="2759" w:firstLine="1132"/>
        <w:spacing w:after="0" w:line="238" w:lineRule="auto"/>
        <w:tabs>
          <w:tab w:leader="none" w:pos="287" w:val="left"/>
        </w:tabs>
        <w:numPr>
          <w:ilvl w:val="0"/>
          <w:numId w:val="4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Registration Procedures. In connection with any Shelf Registration Statement and, to the extent applicable, any Exchange Offer Registration Statement, the following provisions shall apply.</w:t>
      </w:r>
    </w:p>
    <w:p>
      <w:pPr>
        <w:spacing w:after="0" w:line="184" w:lineRule="exact"/>
        <w:rPr>
          <w:sz w:val="20"/>
          <w:szCs w:val="20"/>
          <w:color w:val="auto"/>
        </w:rPr>
      </w:pPr>
    </w:p>
    <w:p>
      <w:pPr>
        <w:ind w:left="388" w:hanging="388"/>
        <w:spacing w:after="0"/>
        <w:tabs>
          <w:tab w:leader="none" w:pos="388" w:val="left"/>
        </w:tabs>
        <w:numPr>
          <w:ilvl w:val="0"/>
          <w:numId w:val="4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Guarantors shall:</w:t>
      </w:r>
    </w:p>
    <w:p>
      <w:pPr>
        <w:spacing w:after="0" w:line="186" w:lineRule="exact"/>
        <w:rPr>
          <w:rFonts w:ascii="Courier New" w:cs="Courier New" w:eastAsia="Courier New" w:hAnsi="Courier New"/>
          <w:sz w:val="16"/>
          <w:szCs w:val="16"/>
          <w:color w:val="auto"/>
        </w:rPr>
      </w:pPr>
    </w:p>
    <w:p>
      <w:pPr>
        <w:ind w:left="8" w:right="2759" w:firstLine="559"/>
        <w:spacing w:after="0" w:line="239" w:lineRule="auto"/>
        <w:tabs>
          <w:tab w:leader="none" w:pos="954" w:val="left"/>
        </w:tabs>
        <w:numPr>
          <w:ilvl w:val="1"/>
          <w:numId w:val="4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 to each of the Representatives and to counsel for the Holders, not less than five Business Days prior to the filing thereof with the Commission, a copy of any Exchange Offer Registration Statement and any Shelf Registration Statement and shall use their commercially reasonable efforts to reflect in each such document, when so filed with the Commission, such comments as the Representatives reasonably propose;</w:t>
      </w:r>
    </w:p>
    <w:p>
      <w:pPr>
        <w:spacing w:after="0" w:line="191" w:lineRule="exact"/>
        <w:rPr>
          <w:rFonts w:ascii="Courier New" w:cs="Courier New" w:eastAsia="Courier New" w:hAnsi="Courier New"/>
          <w:sz w:val="16"/>
          <w:szCs w:val="16"/>
          <w:color w:val="auto"/>
        </w:rPr>
      </w:pPr>
    </w:p>
    <w:p>
      <w:pPr>
        <w:ind w:left="8" w:right="2659" w:firstLine="559"/>
        <w:spacing w:after="0"/>
        <w:tabs>
          <w:tab w:leader="none" w:pos="1048" w:val="left"/>
        </w:tabs>
        <w:numPr>
          <w:ilvl w:val="1"/>
          <w:numId w:val="4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 to each of the Representatives and to counsel for the Holders, not less than two Business Days prior to the filing thereof with the Commission, a copy of each amendment to any Exchange Offer Registration Statement and any Shelf Registration Statement, and each amendment or supplement, if any, to the Prospectus included therein (including all documents incorporated by reference therein after the initial filing of such Exchange Offer Registration Statement or Shelf Registration Statement,) and shall use their commercially reasonable efforts to reflect in each such document, when so filed with the Commission, such comments as the Representatives reasonably propose;</w:t>
      </w:r>
    </w:p>
    <w:p>
      <w:pPr>
        <w:spacing w:after="0" w:line="188" w:lineRule="exact"/>
        <w:rPr>
          <w:rFonts w:ascii="Courier New" w:cs="Courier New" w:eastAsia="Courier New" w:hAnsi="Courier New"/>
          <w:sz w:val="16"/>
          <w:szCs w:val="16"/>
          <w:color w:val="auto"/>
        </w:rPr>
      </w:pPr>
    </w:p>
    <w:p>
      <w:pPr>
        <w:ind w:left="8" w:right="2659" w:firstLine="559"/>
        <w:spacing w:after="0"/>
        <w:tabs>
          <w:tab w:leader="none" w:pos="1143" w:val="left"/>
        </w:tabs>
        <w:numPr>
          <w:ilvl w:val="1"/>
          <w:numId w:val="4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 information reasonably comparable to the information set forth in Annex A hereto on the facing page of the Exchange Offer Registration Statement, in Annex B hereto in the forepart of the Exchange Offer Registration Statement in a section setting forth details of the Exchange Offer, in Annex C hereto in the underwriting or plan of distribution section of the Prospectus contained in the Exchange Offer Registration Statement, and in Annex D hereto in the letter of transmittal delivered pursuant to the Registered Exchange Offer;</w:t>
      </w:r>
    </w:p>
    <w:p>
      <w:pPr>
        <w:spacing w:after="0" w:line="365" w:lineRule="exact"/>
        <w:rPr>
          <w:sz w:val="20"/>
          <w:szCs w:val="20"/>
          <w:color w:val="auto"/>
        </w:rPr>
      </w:pPr>
    </w:p>
    <w:p>
      <w:pPr>
        <w:ind w:left="2548"/>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87"/>
          </w:cols>
          <w:pgMar w:left="1372" w:top="481" w:right="1440" w:bottom="1440" w:gutter="0" w:footer="0" w:header="0"/>
        </w:sectPr>
      </w:pPr>
    </w:p>
    <w:bookmarkStart w:id="373" w:name="page374"/>
    <w:bookmarkEnd w:id="373"/>
    <w:p>
      <w:pPr>
        <w:ind w:left="8" w:right="3319" w:firstLine="559"/>
        <w:spacing w:after="0" w:line="239" w:lineRule="auto"/>
        <w:tabs>
          <w:tab w:leader="none" w:pos="1048" w:val="left"/>
        </w:tabs>
        <w:numPr>
          <w:ilvl w:val="1"/>
          <w:numId w:val="4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requested by an Initial Purchaser, include the information required by Item 507 or 508 of Regulation S-K, as applicable, in the Prospectus contained in the Exchange Offer Registration Statement; and</w:t>
      </w:r>
    </w:p>
    <w:p>
      <w:pPr>
        <w:spacing w:after="0" w:line="187" w:lineRule="exact"/>
        <w:rPr>
          <w:rFonts w:ascii="Courier New" w:cs="Courier New" w:eastAsia="Courier New" w:hAnsi="Courier New"/>
          <w:sz w:val="16"/>
          <w:szCs w:val="16"/>
          <w:color w:val="auto"/>
        </w:rPr>
      </w:pPr>
    </w:p>
    <w:p>
      <w:pPr>
        <w:jc w:val="both"/>
        <w:ind w:left="8" w:right="2659" w:firstLine="559"/>
        <w:spacing w:after="0" w:line="238" w:lineRule="auto"/>
        <w:tabs>
          <w:tab w:leader="none" w:pos="954" w:val="left"/>
        </w:tabs>
        <w:numPr>
          <w:ilvl w:val="1"/>
          <w:numId w:val="4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Shelf Registration Statement, include the names of the Holders that propose to sell Securities pursuant to the Shelf Registration Statement as selling security holders.</w:t>
      </w:r>
    </w:p>
    <w:p>
      <w:pPr>
        <w:spacing w:after="0" w:line="184" w:lineRule="exact"/>
        <w:rPr>
          <w:rFonts w:ascii="Courier New" w:cs="Courier New" w:eastAsia="Courier New" w:hAnsi="Courier New"/>
          <w:sz w:val="16"/>
          <w:szCs w:val="16"/>
          <w:color w:val="auto"/>
        </w:rPr>
      </w:pPr>
    </w:p>
    <w:p>
      <w:pPr>
        <w:ind w:left="388" w:hanging="388"/>
        <w:spacing w:after="0"/>
        <w:tabs>
          <w:tab w:leader="none" w:pos="388" w:val="left"/>
        </w:tabs>
        <w:numPr>
          <w:ilvl w:val="0"/>
          <w:numId w:val="4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Guarantors shall ensure that:</w:t>
      </w:r>
    </w:p>
    <w:p>
      <w:pPr>
        <w:spacing w:after="0" w:line="186" w:lineRule="exact"/>
        <w:rPr>
          <w:rFonts w:ascii="Courier New" w:cs="Courier New" w:eastAsia="Courier New" w:hAnsi="Courier New"/>
          <w:sz w:val="16"/>
          <w:szCs w:val="16"/>
          <w:color w:val="auto"/>
        </w:rPr>
      </w:pPr>
    </w:p>
    <w:p>
      <w:pPr>
        <w:ind w:left="8" w:right="2759" w:firstLine="559"/>
        <w:spacing w:after="0" w:line="262" w:lineRule="auto"/>
        <w:tabs>
          <w:tab w:leader="none" w:pos="954" w:val="left"/>
        </w:tabs>
        <w:numPr>
          <w:ilvl w:val="1"/>
          <w:numId w:val="4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Registration Statement and any amendment thereto and any Prospectus forming part thereof and any amendment or supplement thereto complies in all material respects with the Act; and</w:t>
      </w:r>
    </w:p>
    <w:p>
      <w:pPr>
        <w:spacing w:after="0" w:line="171" w:lineRule="exact"/>
        <w:rPr>
          <w:rFonts w:ascii="Courier New" w:cs="Courier New" w:eastAsia="Courier New" w:hAnsi="Courier New"/>
          <w:sz w:val="15"/>
          <w:szCs w:val="15"/>
          <w:color w:val="auto"/>
        </w:rPr>
      </w:pPr>
    </w:p>
    <w:p>
      <w:pPr>
        <w:ind w:left="8" w:right="2659" w:firstLine="559"/>
        <w:spacing w:after="0" w:line="260" w:lineRule="auto"/>
        <w:tabs>
          <w:tab w:leader="none" w:pos="1048" w:val="left"/>
        </w:tabs>
        <w:numPr>
          <w:ilvl w:val="1"/>
          <w:numId w:val="4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Registration Statement and any amendment thereto does not, when it becomes effective, contain an untrue statement of a material fact or omit to state a material fact required to be stated therein or necessary to make the statements therein not misleading.</w:t>
      </w:r>
    </w:p>
    <w:p>
      <w:pPr>
        <w:spacing w:after="0" w:line="173" w:lineRule="exact"/>
        <w:rPr>
          <w:rFonts w:ascii="Courier New" w:cs="Courier New" w:eastAsia="Courier New" w:hAnsi="Courier New"/>
          <w:sz w:val="15"/>
          <w:szCs w:val="15"/>
          <w:color w:val="auto"/>
        </w:rPr>
      </w:pPr>
    </w:p>
    <w:p>
      <w:pPr>
        <w:ind w:left="-1132" w:right="2659" w:firstLine="1132"/>
        <w:spacing w:after="0"/>
        <w:tabs>
          <w:tab w:leader="none" w:pos="381" w:val="left"/>
        </w:tabs>
        <w:numPr>
          <w:ilvl w:val="0"/>
          <w:numId w:val="4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Guarantors shall advise the Representatives, the Holders of Securities covered by any Shelf Registration Statement and any Exchanging Dealer under any Exchange Offer Registration Statement that has provided in writing to the Company and the Guarantors a telephone or facsimile number and address for notices, and, if requested by any Representative or any such Holder or Exchanging Dealer, shall confirm such advice in writing (which notice pursuant to clauses (ii)-(v) hereof shall be accompanied by an instruction to suspend the use of the Prospectus until the Company and the Guarantors shall have remedied the basis for such suspension):</w:t>
      </w:r>
    </w:p>
    <w:p>
      <w:pPr>
        <w:spacing w:after="0" w:line="187" w:lineRule="exact"/>
        <w:rPr>
          <w:rFonts w:ascii="Courier New" w:cs="Courier New" w:eastAsia="Courier New" w:hAnsi="Courier New"/>
          <w:sz w:val="16"/>
          <w:szCs w:val="16"/>
          <w:color w:val="auto"/>
        </w:rPr>
      </w:pPr>
    </w:p>
    <w:p>
      <w:pPr>
        <w:ind w:left="8" w:right="2939" w:firstLine="559"/>
        <w:spacing w:after="0" w:line="239" w:lineRule="auto"/>
        <w:tabs>
          <w:tab w:leader="none" w:pos="954" w:val="left"/>
        </w:tabs>
        <w:numPr>
          <w:ilvl w:val="1"/>
          <w:numId w:val="4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a Registration Statement and any amendment thereto has been filed with the Commission and when the Registration Statement or any post-effective amendment thereto has become effective;</w:t>
      </w:r>
    </w:p>
    <w:p>
      <w:pPr>
        <w:spacing w:after="0" w:line="187" w:lineRule="exact"/>
        <w:rPr>
          <w:rFonts w:ascii="Courier New" w:cs="Courier New" w:eastAsia="Courier New" w:hAnsi="Courier New"/>
          <w:sz w:val="16"/>
          <w:szCs w:val="16"/>
          <w:color w:val="auto"/>
        </w:rPr>
      </w:pPr>
    </w:p>
    <w:p>
      <w:pPr>
        <w:ind w:left="8" w:right="2939" w:firstLine="559"/>
        <w:spacing w:after="0" w:line="238" w:lineRule="auto"/>
        <w:tabs>
          <w:tab w:leader="none" w:pos="1048" w:val="left"/>
        </w:tabs>
        <w:numPr>
          <w:ilvl w:val="1"/>
          <w:numId w:val="4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any request by the Commission for any amendment or supplement to the Registration Statement or the Prospectus or for additional information;</w:t>
      </w:r>
    </w:p>
    <w:p>
      <w:pPr>
        <w:spacing w:after="0" w:line="188" w:lineRule="exact"/>
        <w:rPr>
          <w:rFonts w:ascii="Courier New" w:cs="Courier New" w:eastAsia="Courier New" w:hAnsi="Courier New"/>
          <w:sz w:val="16"/>
          <w:szCs w:val="16"/>
          <w:color w:val="auto"/>
        </w:rPr>
      </w:pPr>
    </w:p>
    <w:p>
      <w:pPr>
        <w:ind w:left="8" w:right="2939" w:firstLine="559"/>
        <w:spacing w:after="0" w:line="262" w:lineRule="auto"/>
        <w:tabs>
          <w:tab w:leader="none" w:pos="1143" w:val="left"/>
        </w:tabs>
        <w:numPr>
          <w:ilvl w:val="1"/>
          <w:numId w:val="4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issuance by the Commission of any stop order suspending the effectiveness of the Registration Statement or the institution or threatening of any proceeding for that purpose;</w:t>
      </w:r>
    </w:p>
    <w:p>
      <w:pPr>
        <w:spacing w:after="0" w:line="171" w:lineRule="exact"/>
        <w:rPr>
          <w:rFonts w:ascii="Courier New" w:cs="Courier New" w:eastAsia="Courier New" w:hAnsi="Courier New"/>
          <w:sz w:val="15"/>
          <w:szCs w:val="15"/>
          <w:color w:val="auto"/>
        </w:rPr>
      </w:pPr>
    </w:p>
    <w:p>
      <w:pPr>
        <w:ind w:left="8" w:right="2759" w:firstLine="559"/>
        <w:spacing w:after="0" w:line="260" w:lineRule="auto"/>
        <w:tabs>
          <w:tab w:leader="none" w:pos="1048" w:val="left"/>
        </w:tabs>
        <w:numPr>
          <w:ilvl w:val="1"/>
          <w:numId w:val="4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receipt by the Company or any Guarantor of any notification with respect to the suspension of the qualification of the securities included therein for sale in any jurisdiction or the institution or threatening of any proceeding for such purpose; and</w:t>
      </w:r>
    </w:p>
    <w:p>
      <w:pPr>
        <w:spacing w:after="0" w:line="173" w:lineRule="exact"/>
        <w:rPr>
          <w:rFonts w:ascii="Courier New" w:cs="Courier New" w:eastAsia="Courier New" w:hAnsi="Courier New"/>
          <w:sz w:val="15"/>
          <w:szCs w:val="15"/>
          <w:color w:val="auto"/>
        </w:rPr>
      </w:pPr>
    </w:p>
    <w:p>
      <w:pPr>
        <w:ind w:left="8" w:right="2759" w:firstLine="559"/>
        <w:spacing w:after="0" w:line="239" w:lineRule="auto"/>
        <w:tabs>
          <w:tab w:leader="none" w:pos="954" w:val="left"/>
        </w:tabs>
        <w:numPr>
          <w:ilvl w:val="1"/>
          <w:numId w:val="4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happening of any event that requires any change in the Registration Statement or the Prospectus so that, as of such date, they (A) do not contain any untrue statement of a material fact and (B) do not omit to state a</w:t>
      </w:r>
    </w:p>
    <w:p>
      <w:pPr>
        <w:spacing w:after="0" w:line="365" w:lineRule="exact"/>
        <w:rPr>
          <w:sz w:val="20"/>
          <w:szCs w:val="20"/>
          <w:color w:val="auto"/>
        </w:rPr>
      </w:pPr>
    </w:p>
    <w:p>
      <w:pPr>
        <w:ind w:left="2548"/>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87"/>
          </w:cols>
          <w:pgMar w:left="1372" w:top="481" w:right="1440" w:bottom="1440" w:gutter="0" w:footer="0" w:header="0"/>
        </w:sectPr>
      </w:pPr>
    </w:p>
    <w:bookmarkStart w:id="374" w:name="page375"/>
    <w:bookmarkEnd w:id="374"/>
    <w:p>
      <w:pPr>
        <w:ind w:left="8" w:right="2659"/>
        <w:spacing w:after="0" w:line="262" w:lineRule="auto"/>
        <w:rPr>
          <w:sz w:val="20"/>
          <w:szCs w:val="20"/>
          <w:color w:val="auto"/>
        </w:rPr>
      </w:pPr>
      <w:r>
        <w:rPr>
          <w:rFonts w:ascii="Courier New" w:cs="Courier New" w:eastAsia="Courier New" w:hAnsi="Courier New"/>
          <w:sz w:val="15"/>
          <w:szCs w:val="15"/>
          <w:color w:val="auto"/>
        </w:rPr>
        <w:t>material fact required to be stated therein or necessary to make the statements therein (in the case of the Prospectus, in the light of the circumstances under which they were made) not misleading.</w:t>
      </w:r>
    </w:p>
    <w:p>
      <w:pPr>
        <w:spacing w:after="0" w:line="171" w:lineRule="exact"/>
        <w:rPr>
          <w:sz w:val="20"/>
          <w:szCs w:val="20"/>
          <w:color w:val="auto"/>
        </w:rPr>
      </w:pPr>
    </w:p>
    <w:p>
      <w:pPr>
        <w:ind w:left="-1132" w:right="3039" w:firstLine="1132"/>
        <w:spacing w:after="0" w:line="239" w:lineRule="auto"/>
        <w:tabs>
          <w:tab w:leader="none" w:pos="381" w:val="left"/>
        </w:tabs>
        <w:numPr>
          <w:ilvl w:val="0"/>
          <w:numId w:val="4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Guarantors shall use their commercially reasonable efforts to prevent the issuance of any order suspending the effectiveness of any Registration Statement or the qualification of the securities therein for sale in any jurisdiction and, if issued, to obtain as soon as possible the withdrawal thereof.</w:t>
      </w:r>
    </w:p>
    <w:p>
      <w:pPr>
        <w:spacing w:after="0" w:line="188" w:lineRule="exact"/>
        <w:rPr>
          <w:rFonts w:ascii="Courier New" w:cs="Courier New" w:eastAsia="Courier New" w:hAnsi="Courier New"/>
          <w:sz w:val="16"/>
          <w:szCs w:val="16"/>
          <w:color w:val="auto"/>
        </w:rPr>
      </w:pPr>
    </w:p>
    <w:p>
      <w:pPr>
        <w:ind w:left="-1132" w:right="2659" w:firstLine="1132"/>
        <w:spacing w:after="0" w:line="239" w:lineRule="auto"/>
        <w:tabs>
          <w:tab w:leader="none" w:pos="381" w:val="left"/>
        </w:tabs>
        <w:numPr>
          <w:ilvl w:val="0"/>
          <w:numId w:val="4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Guarantors shall furnish to each Holder of Securities covered by any Shelf Registration Statement, without charge, at least one copy of such Shelf Registration Statement and any post-effective amendment thereto, including all material incorporated therein by reference, and, if the Holder so requests in writing, all exhibits thereto (including exhibits incorporated by reference therein).</w:t>
      </w:r>
    </w:p>
    <w:p>
      <w:pPr>
        <w:spacing w:after="0" w:line="190" w:lineRule="exact"/>
        <w:rPr>
          <w:rFonts w:ascii="Courier New" w:cs="Courier New" w:eastAsia="Courier New" w:hAnsi="Courier New"/>
          <w:sz w:val="16"/>
          <w:szCs w:val="16"/>
          <w:color w:val="auto"/>
        </w:rPr>
      </w:pPr>
    </w:p>
    <w:p>
      <w:pPr>
        <w:ind w:left="-1132" w:right="2659" w:firstLine="1132"/>
        <w:spacing w:after="0"/>
        <w:tabs>
          <w:tab w:leader="none" w:pos="381" w:val="left"/>
        </w:tabs>
        <w:numPr>
          <w:ilvl w:val="0"/>
          <w:numId w:val="4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Guarantors shall, during the Shelf Registration Period, deliver to each Holder of Securities covered by any Shelf Registration Statement, without charge, as many copies of the Prospectus (including the Preliminary Prospectus) included in such Shelf Registration Statement and any amendment or supplement thereto as such Holder may reasonably request. Each of the Company and the Guarantors consents to the use of the Prospectus or any amendment or supplement thereto by each of the selling Holders of Securities in connection with the offering and sale of the Securities covered by the Prospectus, or any amendment or supplement thereto, included in the Shelf Registration Statement.</w:t>
      </w:r>
    </w:p>
    <w:p>
      <w:pPr>
        <w:spacing w:after="0" w:line="188" w:lineRule="exact"/>
        <w:rPr>
          <w:rFonts w:ascii="Courier New" w:cs="Courier New" w:eastAsia="Courier New" w:hAnsi="Courier New"/>
          <w:sz w:val="16"/>
          <w:szCs w:val="16"/>
          <w:color w:val="auto"/>
        </w:rPr>
      </w:pPr>
    </w:p>
    <w:p>
      <w:pPr>
        <w:ind w:left="-1132" w:right="2659" w:firstLine="1132"/>
        <w:spacing w:after="0" w:line="239" w:lineRule="auto"/>
        <w:tabs>
          <w:tab w:leader="none" w:pos="381" w:val="left"/>
        </w:tabs>
        <w:numPr>
          <w:ilvl w:val="0"/>
          <w:numId w:val="4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Guarantors shall furnish to each Exchanging Dealer which so requests, without charge, at least one copy of the Exchange Offer Registration Statement and any post-effective amendment thereto, including all material incorporated by reference therein, and, if the Exchanging Dealer so requests in writing, all exhibits thereto (including exhibits incorporated by reference therein).</w:t>
      </w:r>
    </w:p>
    <w:p>
      <w:pPr>
        <w:spacing w:after="0" w:line="190" w:lineRule="exact"/>
        <w:rPr>
          <w:rFonts w:ascii="Courier New" w:cs="Courier New" w:eastAsia="Courier New" w:hAnsi="Courier New"/>
          <w:sz w:val="16"/>
          <w:szCs w:val="16"/>
          <w:color w:val="auto"/>
        </w:rPr>
      </w:pPr>
    </w:p>
    <w:p>
      <w:pPr>
        <w:ind w:left="-1132" w:right="2839" w:firstLine="1132"/>
        <w:spacing w:after="0"/>
        <w:tabs>
          <w:tab w:leader="none" w:pos="381" w:val="left"/>
        </w:tabs>
        <w:numPr>
          <w:ilvl w:val="0"/>
          <w:numId w:val="4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Guarantors shall promptly deliver to each Initial Purchaser, each Exchanging Dealer and each other person required to deliver a Prospectus during the Exchange Offer Registration Period, without charge, as many copies of the Prospectus included in such Exchange Offer Registration Statement and any amendment or supplement thereto as any such person may reasonably request. Each of the Company and the Guarantors consents to the use of the Prospectus or any amendment or supplement thereto by any Initial Purchaser, any Exchanging Dealer and any such other person that may be required to deliver a Prospectus following the Registered Exchange Offer in connection with the offering and sale of the New Securities covered by the Prospectus, or any amendment or supplement thereto, included in the Exchange Offer Registration Statement.</w:t>
      </w:r>
    </w:p>
    <w:p>
      <w:pPr>
        <w:spacing w:after="0" w:line="189" w:lineRule="exact"/>
        <w:rPr>
          <w:rFonts w:ascii="Courier New" w:cs="Courier New" w:eastAsia="Courier New" w:hAnsi="Courier New"/>
          <w:sz w:val="16"/>
          <w:szCs w:val="16"/>
          <w:color w:val="auto"/>
        </w:rPr>
      </w:pPr>
    </w:p>
    <w:p>
      <w:pPr>
        <w:ind w:left="-1132" w:right="2759" w:firstLine="1132"/>
        <w:spacing w:after="0"/>
        <w:tabs>
          <w:tab w:leader="none" w:pos="381" w:val="left"/>
        </w:tabs>
        <w:numPr>
          <w:ilvl w:val="0"/>
          <w:numId w:val="4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Registered Exchange Offer or any other offering of Securities pursuant to any Registration Statement, the Company and the Guarantors shall arrange, if necessary, for the qualification of the Securities or the New Securities for sale under the laws of such jurisdictions as any Holder shall reasonably request and shall maintain such qualification in effect so long as required; provided that in no event shall the Company and the Guarantors be obligated to qualify to do business in any jurisdiction where any of the Company or the</w:t>
      </w:r>
    </w:p>
    <w:p>
      <w:pPr>
        <w:spacing w:after="0" w:line="365" w:lineRule="exact"/>
        <w:rPr>
          <w:sz w:val="20"/>
          <w:szCs w:val="20"/>
          <w:color w:val="auto"/>
        </w:rPr>
      </w:pPr>
    </w:p>
    <w:p>
      <w:pPr>
        <w:ind w:left="2548"/>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087"/>
          </w:cols>
          <w:pgMar w:left="1372" w:top="481" w:right="1440" w:bottom="1440" w:gutter="0" w:footer="0" w:header="0"/>
        </w:sectPr>
      </w:pPr>
    </w:p>
    <w:bookmarkStart w:id="375" w:name="page376"/>
    <w:bookmarkEnd w:id="375"/>
    <w:p>
      <w:pPr>
        <w:ind w:right="2759"/>
        <w:spacing w:after="0" w:line="239" w:lineRule="auto"/>
        <w:rPr>
          <w:sz w:val="20"/>
          <w:szCs w:val="20"/>
          <w:color w:val="auto"/>
        </w:rPr>
      </w:pPr>
      <w:r>
        <w:rPr>
          <w:rFonts w:ascii="Courier New" w:cs="Courier New" w:eastAsia="Courier New" w:hAnsi="Courier New"/>
          <w:sz w:val="16"/>
          <w:szCs w:val="16"/>
          <w:color w:val="auto"/>
        </w:rPr>
        <w:t>Guarantors is not then so qualified or to take any action that would subject it to service of process in suits, other than those arising out of the Initial Placement, the Registered Exchange Offer or any offering pursuant to a Shelf Registration Statement, in any such jurisdiction where it is not then so subject.</w:t>
      </w:r>
    </w:p>
    <w:p>
      <w:pPr>
        <w:spacing w:after="0" w:line="189" w:lineRule="exact"/>
        <w:rPr>
          <w:sz w:val="20"/>
          <w:szCs w:val="20"/>
          <w:color w:val="auto"/>
        </w:rPr>
      </w:pPr>
    </w:p>
    <w:p>
      <w:pPr>
        <w:ind w:right="2659" w:firstLine="1132"/>
        <w:spacing w:after="0" w:line="239" w:lineRule="auto"/>
        <w:tabs>
          <w:tab w:leader="none" w:pos="1513" w:val="left"/>
        </w:tabs>
        <w:numPr>
          <w:ilvl w:val="0"/>
          <w:numId w:val="4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Guarantors shall cooperate with the Holders of Securities to facilitate the timely preparation and delivery of certificates representing New Securities or Securities to be issued or sold pursuant to any Registration Statement free of any restrictive legends and in such denominations and registered in such names as Holders may request.</w:t>
      </w:r>
    </w:p>
    <w:p>
      <w:pPr>
        <w:spacing w:after="0" w:line="188" w:lineRule="exact"/>
        <w:rPr>
          <w:rFonts w:ascii="Courier New" w:cs="Courier New" w:eastAsia="Courier New" w:hAnsi="Courier New"/>
          <w:sz w:val="16"/>
          <w:szCs w:val="16"/>
          <w:color w:val="auto"/>
        </w:rPr>
      </w:pPr>
    </w:p>
    <w:p>
      <w:pPr>
        <w:ind w:right="2659" w:firstLine="1132"/>
        <w:spacing w:after="0"/>
        <w:tabs>
          <w:tab w:leader="none" w:pos="1513" w:val="left"/>
        </w:tabs>
        <w:numPr>
          <w:ilvl w:val="0"/>
          <w:numId w:val="4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Upon the occurrence of any event contemplated by subsections (c)(ii) through (v) above, the Company and the Guarantors shall promptly (or within the time period provided for by clause (ii) hereof, if applicable) prepare a post-effective amendment to the applicable Registration Statement or an amendment or supplement to the related Prospectus or file any other required document so that, as thereafter delivered to Initial Purchasers of the securities included therein, the Prospectus will not include an untrue statement of a material fact or omit to state any material fact required to be stated therein or necessary to make the statements therein, in the light of the circumstances under which they were made, not misleading. In such circumstances, the period of effectiveness of the Exchange Offer Registration Statement provided for in Section 2 shall be extended by the number of days from and including the date of the giving of a notice of suspension pursuant to Section 4(c) to and including the date when the Initial Purchasers, the Holders of the Securities and any known Exchanging Dealer shall have received such amended or supplemented Prospectus pursuant to this Section.</w:t>
      </w:r>
    </w:p>
    <w:p>
      <w:pPr>
        <w:spacing w:after="0" w:line="191" w:lineRule="exact"/>
        <w:rPr>
          <w:rFonts w:ascii="Courier New" w:cs="Courier New" w:eastAsia="Courier New" w:hAnsi="Courier New"/>
          <w:sz w:val="16"/>
          <w:szCs w:val="16"/>
          <w:color w:val="auto"/>
        </w:rPr>
      </w:pPr>
    </w:p>
    <w:p>
      <w:pPr>
        <w:ind w:left="1140" w:right="2659" w:firstLine="559"/>
        <w:spacing w:after="0" w:line="256" w:lineRule="auto"/>
        <w:tabs>
          <w:tab w:leader="none" w:pos="2180" w:val="left"/>
        </w:tabs>
        <w:numPr>
          <w:ilvl w:val="1"/>
          <w:numId w:val="4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or existence of any pending corporate development or any other material event that, in the reasonable judgment of the Company and the Guarantors, makes it appropriate to suspend the availability of a Shelf Registration Statement and the related Prospectus, the Company and the Guarantors shall give notice (without notice of the nature or details of such events) to the Holders that the availability of the Shelf Registration is suspended and, upon actual receipt of any such notice, each Holder agrees not to sell any Registrable Securities pursuant to the Shelf Registration until such Holder's receipt of copies of the supplemented or amended Prospectus provided for in Section 3(i) hereof, or until it is advised in writing by the Company and the Guarantors that the Prospectus may be used, and has received copies of any additional or supplemental filings that are incorporated or deemed incorporated by reference in such Prospectus. The Company and the Guarantors may give any such notice only twice during any</w:t>
      </w:r>
    </w:p>
    <w:p>
      <w:pPr>
        <w:spacing w:after="0" w:line="10" w:lineRule="exact"/>
        <w:rPr>
          <w:rFonts w:ascii="Courier New" w:cs="Courier New" w:eastAsia="Courier New" w:hAnsi="Courier New"/>
          <w:sz w:val="15"/>
          <w:szCs w:val="15"/>
          <w:color w:val="auto"/>
        </w:rPr>
      </w:pPr>
    </w:p>
    <w:p>
      <w:pPr>
        <w:ind w:left="1140" w:right="2659"/>
        <w:spacing w:after="0" w:line="238"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365-day period and any such suspensions shall not exceed 60 days for each suspension and there shall not be more than two suspensions in effect during any 365-day period.</w:t>
      </w:r>
    </w:p>
    <w:p>
      <w:pPr>
        <w:spacing w:after="0" w:line="188" w:lineRule="exact"/>
        <w:rPr>
          <w:rFonts w:ascii="Courier New" w:cs="Courier New" w:eastAsia="Courier New" w:hAnsi="Courier New"/>
          <w:sz w:val="15"/>
          <w:szCs w:val="15"/>
          <w:color w:val="auto"/>
        </w:rPr>
      </w:pPr>
    </w:p>
    <w:p>
      <w:pPr>
        <w:ind w:right="2659" w:firstLine="1132"/>
        <w:spacing w:after="0" w:line="239" w:lineRule="auto"/>
        <w:tabs>
          <w:tab w:leader="none" w:pos="1513" w:val="left"/>
        </w:tabs>
        <w:numPr>
          <w:ilvl w:val="0"/>
          <w:numId w:val="4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later than the effective date of any Registration Statement, the Company and the Guarantors shall provide a CUSIP number for the Securities or the New Securities, as the case may be, registered under such Registration Statement and provide the</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81" w:right="1440" w:bottom="1440" w:gutter="0" w:footer="0" w:header="0"/>
        </w:sectPr>
      </w:pPr>
    </w:p>
    <w:bookmarkStart w:id="376" w:name="page377"/>
    <w:bookmarkEnd w:id="376"/>
    <w:p>
      <w:pPr>
        <w:ind w:right="2939"/>
        <w:spacing w:after="0" w:line="237" w:lineRule="auto"/>
        <w:rPr>
          <w:sz w:val="20"/>
          <w:szCs w:val="20"/>
          <w:color w:val="auto"/>
        </w:rPr>
      </w:pPr>
      <w:r>
        <w:rPr>
          <w:rFonts w:ascii="Courier New" w:cs="Courier New" w:eastAsia="Courier New" w:hAnsi="Courier New"/>
          <w:sz w:val="16"/>
          <w:szCs w:val="16"/>
          <w:color w:val="auto"/>
        </w:rPr>
        <w:t>Trustee with printed certificates for such Securities or New Securities, in a form eligible for deposit with The Depository Trust Company.</w:t>
      </w:r>
    </w:p>
    <w:p>
      <w:pPr>
        <w:spacing w:after="0" w:line="188" w:lineRule="exact"/>
        <w:rPr>
          <w:sz w:val="20"/>
          <w:szCs w:val="20"/>
          <w:color w:val="auto"/>
        </w:rPr>
      </w:pPr>
    </w:p>
    <w:p>
      <w:pPr>
        <w:ind w:right="2839" w:firstLine="1132"/>
        <w:spacing w:after="0"/>
        <w:tabs>
          <w:tab w:leader="none" w:pos="1513" w:val="left"/>
        </w:tabs>
        <w:numPr>
          <w:ilvl w:val="0"/>
          <w:numId w:val="4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Guarantors shall comply in all material respects with all applicable rules and regulations of the Commission and shall make generally available to its security holders an earnings statement satisfying the provisions of Section 11(a) of the Act as soon as practicable after the effective date of the applicable Registration Statement and in any event no later than 45 days after the end of a 12-month period (or 90 days, if such period is a fiscal year) beginning with the first month of the Company's first fiscal quarter commencing after the effective date of the applicable Registration Statement.</w:t>
      </w:r>
    </w:p>
    <w:p>
      <w:pPr>
        <w:spacing w:after="0" w:line="187" w:lineRule="exact"/>
        <w:rPr>
          <w:rFonts w:ascii="Courier New" w:cs="Courier New" w:eastAsia="Courier New" w:hAnsi="Courier New"/>
          <w:sz w:val="16"/>
          <w:szCs w:val="16"/>
          <w:color w:val="auto"/>
        </w:rPr>
      </w:pPr>
    </w:p>
    <w:p>
      <w:pPr>
        <w:ind w:right="2939" w:firstLine="1132"/>
        <w:spacing w:after="0" w:line="267" w:lineRule="auto"/>
        <w:tabs>
          <w:tab w:leader="none" w:pos="1513" w:val="left"/>
        </w:tabs>
        <w:numPr>
          <w:ilvl w:val="0"/>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Guarantors shall cause the New Securities Indenture to be qualified under the Trust Indenture Act in a timely manner.</w:t>
      </w:r>
    </w:p>
    <w:p>
      <w:pPr>
        <w:spacing w:after="0" w:line="167" w:lineRule="exact"/>
        <w:rPr>
          <w:rFonts w:ascii="Courier New" w:cs="Courier New" w:eastAsia="Courier New" w:hAnsi="Courier New"/>
          <w:sz w:val="15"/>
          <w:szCs w:val="15"/>
          <w:color w:val="auto"/>
        </w:rPr>
      </w:pPr>
    </w:p>
    <w:p>
      <w:pPr>
        <w:ind w:right="2659" w:firstLine="1132"/>
        <w:spacing w:after="0"/>
        <w:tabs>
          <w:tab w:leader="none" w:pos="1513" w:val="left"/>
        </w:tabs>
        <w:numPr>
          <w:ilvl w:val="0"/>
          <w:numId w:val="4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Guarantors may require each Holder of securities to be sold pursuant to any Shelf Registration Statement to furnish to the Company and the Guarantors such information regarding the Holder and the distribution of such securities as the Company and the Guarantors may from time to time reasonably require for inclusion in such Registration Statement. The Company and the Guarantors may exclude from such Shelf Registration Statement the Securities of any Holder that unreasonably fails to furnish such information within a reasonable time after receiving such request.</w:t>
      </w:r>
    </w:p>
    <w:p>
      <w:pPr>
        <w:spacing w:after="0" w:line="186" w:lineRule="exact"/>
        <w:rPr>
          <w:rFonts w:ascii="Courier New" w:cs="Courier New" w:eastAsia="Courier New" w:hAnsi="Courier New"/>
          <w:sz w:val="16"/>
          <w:szCs w:val="16"/>
          <w:color w:val="auto"/>
        </w:rPr>
      </w:pPr>
    </w:p>
    <w:p>
      <w:pPr>
        <w:ind w:right="2659" w:firstLine="1132"/>
        <w:spacing w:after="0" w:line="258" w:lineRule="auto"/>
        <w:tabs>
          <w:tab w:leader="none" w:pos="1513" w:val="left"/>
        </w:tabs>
        <w:numPr>
          <w:ilvl w:val="0"/>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Shelf Registration Statement, the Company and the Guarantors shall enter into customary agreements (including, if requested, an underwriting agreement in customary form) and take all other appropriate actions in order to expedite or facilitate the registration or the disposition of the Securities, and in connection therewith, if an underwriting agreement is entered into, cause the same to contain indemnification provisions and procedures no less favorable than those set forth in Section 6 hereof.</w:t>
      </w:r>
    </w:p>
    <w:p>
      <w:pPr>
        <w:spacing w:after="0" w:line="176" w:lineRule="exact"/>
        <w:rPr>
          <w:rFonts w:ascii="Courier New" w:cs="Courier New" w:eastAsia="Courier New" w:hAnsi="Courier New"/>
          <w:sz w:val="15"/>
          <w:szCs w:val="15"/>
          <w:color w:val="auto"/>
        </w:rPr>
      </w:pPr>
    </w:p>
    <w:p>
      <w:pPr>
        <w:ind w:right="2659" w:firstLine="1132"/>
        <w:spacing w:after="0" w:line="237" w:lineRule="auto"/>
        <w:tabs>
          <w:tab w:leader="none" w:pos="1513" w:val="left"/>
        </w:tabs>
        <w:numPr>
          <w:ilvl w:val="0"/>
          <w:numId w:val="4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Shelf Registration Statement, the Company and the Guarantors shall:</w:t>
      </w:r>
    </w:p>
    <w:p>
      <w:pPr>
        <w:spacing w:after="0" w:line="187" w:lineRule="exact"/>
        <w:rPr>
          <w:rFonts w:ascii="Courier New" w:cs="Courier New" w:eastAsia="Courier New" w:hAnsi="Courier New"/>
          <w:sz w:val="16"/>
          <w:szCs w:val="16"/>
          <w:color w:val="auto"/>
        </w:rPr>
      </w:pPr>
    </w:p>
    <w:p>
      <w:pPr>
        <w:ind w:left="1140" w:right="2659" w:firstLine="559"/>
        <w:spacing w:after="0" w:line="239" w:lineRule="auto"/>
        <w:tabs>
          <w:tab w:leader="none" w:pos="2086" w:val="left"/>
        </w:tabs>
        <w:numPr>
          <w:ilvl w:val="1"/>
          <w:numId w:val="4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reasonably available for inspection by the Holders of Securities to be registered thereunder, any underwriter participating in any disposition pursuant to such Registration Statement, and any attorney, accountant or other agent retained by the Holders or any such underwriter all relevant financial and other records and pertinent corporate documents of the Company and its subsidiaries;</w:t>
      </w:r>
    </w:p>
    <w:p>
      <w:pPr>
        <w:spacing w:after="0" w:line="191" w:lineRule="exact"/>
        <w:rPr>
          <w:rFonts w:ascii="Courier New" w:cs="Courier New" w:eastAsia="Courier New" w:hAnsi="Courier New"/>
          <w:sz w:val="16"/>
          <w:szCs w:val="16"/>
          <w:color w:val="auto"/>
        </w:rPr>
      </w:pPr>
    </w:p>
    <w:p>
      <w:pPr>
        <w:ind w:left="1140" w:right="2659" w:firstLine="559"/>
        <w:spacing w:after="0" w:line="239" w:lineRule="auto"/>
        <w:tabs>
          <w:tab w:leader="none" w:pos="2180" w:val="left"/>
        </w:tabs>
        <w:numPr>
          <w:ilvl w:val="1"/>
          <w:numId w:val="4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the Company's and each Guarantor's officers, directors, employees, accountants and auditors to supply all relevant information reasonably requested by the Holders or any such underwriter, attorney, accountant or agent in connection with any such Registration Statement as is customary for similar due diligence examinations;</w:t>
      </w:r>
    </w:p>
    <w:p>
      <w:pPr>
        <w:spacing w:after="0" w:line="190" w:lineRule="exact"/>
        <w:rPr>
          <w:rFonts w:ascii="Courier New" w:cs="Courier New" w:eastAsia="Courier New" w:hAnsi="Courier New"/>
          <w:sz w:val="16"/>
          <w:szCs w:val="16"/>
          <w:color w:val="auto"/>
        </w:rPr>
      </w:pPr>
    </w:p>
    <w:p>
      <w:pPr>
        <w:ind w:left="1140" w:right="2659" w:firstLine="559"/>
        <w:spacing w:after="0" w:line="239" w:lineRule="auto"/>
        <w:tabs>
          <w:tab w:leader="none" w:pos="2275" w:val="left"/>
        </w:tabs>
        <w:numPr>
          <w:ilvl w:val="1"/>
          <w:numId w:val="4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such representations and warranties to the Holders of Securities registered thereunder and the underwriters, if any, in form, substance and scope as are customarily made by issuers to underwriters in primary</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81" w:right="1440" w:bottom="1440" w:gutter="0" w:footer="0" w:header="0"/>
        </w:sectPr>
      </w:pPr>
    </w:p>
    <w:bookmarkStart w:id="377" w:name="page378"/>
    <w:bookmarkEnd w:id="377"/>
    <w:p>
      <w:pPr>
        <w:ind w:left="1140" w:right="3219"/>
        <w:spacing w:after="0" w:line="237" w:lineRule="auto"/>
        <w:rPr>
          <w:sz w:val="20"/>
          <w:szCs w:val="20"/>
          <w:color w:val="auto"/>
        </w:rPr>
      </w:pPr>
      <w:r>
        <w:rPr>
          <w:rFonts w:ascii="Courier New" w:cs="Courier New" w:eastAsia="Courier New" w:hAnsi="Courier New"/>
          <w:sz w:val="16"/>
          <w:szCs w:val="16"/>
          <w:color w:val="auto"/>
        </w:rPr>
        <w:t>underwritten offerings and covering matters including, but not limited to, those set forth in the Purchase Agreement;</w:t>
      </w:r>
    </w:p>
    <w:p>
      <w:pPr>
        <w:spacing w:after="0" w:line="188" w:lineRule="exact"/>
        <w:rPr>
          <w:sz w:val="20"/>
          <w:szCs w:val="20"/>
          <w:color w:val="auto"/>
        </w:rPr>
      </w:pPr>
    </w:p>
    <w:p>
      <w:pPr>
        <w:ind w:left="1140" w:right="2659" w:firstLine="559"/>
        <w:spacing w:after="0"/>
        <w:tabs>
          <w:tab w:leader="none" w:pos="2180" w:val="left"/>
        </w:tabs>
        <w:numPr>
          <w:ilvl w:val="0"/>
          <w:numId w:val="4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opinions of counsel to the Company and the Guarantors and updates thereof (which counsel and opinions (in form, scope and substance) shall be reasonably satisfactory to the Managing Underwriters, if any) addressed to each selling Holder and the underwriters, if any, covering such matters as are customarily covered in opinions requested in underwritten offerings and such other matters as may be reasonably requested by such Holders and underwriters;</w:t>
      </w:r>
    </w:p>
    <w:p>
      <w:pPr>
        <w:spacing w:after="0" w:line="186" w:lineRule="exact"/>
        <w:rPr>
          <w:rFonts w:ascii="Courier New" w:cs="Courier New" w:eastAsia="Courier New" w:hAnsi="Courier New"/>
          <w:sz w:val="16"/>
          <w:szCs w:val="16"/>
          <w:color w:val="auto"/>
        </w:rPr>
      </w:pPr>
    </w:p>
    <w:p>
      <w:pPr>
        <w:ind w:left="1140" w:right="2659" w:firstLine="559"/>
        <w:spacing w:after="0"/>
        <w:tabs>
          <w:tab w:leader="none" w:pos="2086" w:val="left"/>
        </w:tabs>
        <w:numPr>
          <w:ilvl w:val="0"/>
          <w:numId w:val="4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"comfort" letters and updates thereof from the independent certified public accountants of the Company and the Guarantors (and, if necessary, any other independent certified public accountants of any subsidiary of the Company or any Guarantor or of any business acquired by the Company or any Guarantor for which financial statements and financial data are, or are required to be, included in the Registration Statement), addressed to each selling Holder of Securities registered thereunder and the underwriters, if any, in customary form and covering matters of the type customarily covered in "comfort" letters in connection with primary underwritten offerings; and</w:t>
      </w:r>
    </w:p>
    <w:p>
      <w:pPr>
        <w:spacing w:after="0" w:line="188" w:lineRule="exact"/>
        <w:rPr>
          <w:rFonts w:ascii="Courier New" w:cs="Courier New" w:eastAsia="Courier New" w:hAnsi="Courier New"/>
          <w:sz w:val="16"/>
          <w:szCs w:val="16"/>
          <w:color w:val="auto"/>
        </w:rPr>
      </w:pPr>
    </w:p>
    <w:p>
      <w:pPr>
        <w:ind w:left="1140" w:right="2939" w:firstLine="559"/>
        <w:spacing w:after="0" w:line="239" w:lineRule="auto"/>
        <w:tabs>
          <w:tab w:leader="none" w:pos="2180" w:val="left"/>
        </w:tabs>
        <w:numPr>
          <w:ilvl w:val="0"/>
          <w:numId w:val="4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such documents and certificates as may be reasonably requested by the Majority Holders or the Managing Underwriters, if any, including those to evidence compliance with Section 4(k) and with any customary conditions contained in the underwriting agreement or other agreement entered into by the Company and the Guarantors.</w:t>
      </w:r>
    </w:p>
    <w:p>
      <w:pPr>
        <w:spacing w:after="0" w:line="190"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The actions set forth in clauses (iii), (iv), (v) and (vi) of this paragraph (q) shall be performed at (A) the effectiveness of such Registration Statement and each post-effective amendment thereto; and (B) each closing under any underwriting or similar agreement as and to the extent required thereunder.</w:t>
      </w:r>
    </w:p>
    <w:p>
      <w:pPr>
        <w:spacing w:after="0" w:line="187" w:lineRule="exact"/>
        <w:rPr>
          <w:sz w:val="20"/>
          <w:szCs w:val="20"/>
          <w:color w:val="auto"/>
        </w:rPr>
      </w:pPr>
    </w:p>
    <w:p>
      <w:pPr>
        <w:ind w:right="2759" w:firstLine="1132"/>
        <w:spacing w:after="0" w:line="239" w:lineRule="auto"/>
        <w:tabs>
          <w:tab w:leader="none" w:pos="1513" w:val="left"/>
        </w:tabs>
        <w:numPr>
          <w:ilvl w:val="0"/>
          <w:numId w:val="4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Exchange Offer Registration Statement, the Company and the Guarantors shall, if requested by an Initial Purchaser, or by a Broker Dealer that holds Securities that were acquired as a result of market making or other trading activities:</w:t>
      </w:r>
    </w:p>
    <w:p>
      <w:pPr>
        <w:spacing w:after="0" w:line="187" w:lineRule="exact"/>
        <w:rPr>
          <w:rFonts w:ascii="Courier New" w:cs="Courier New" w:eastAsia="Courier New" w:hAnsi="Courier New"/>
          <w:sz w:val="16"/>
          <w:szCs w:val="16"/>
          <w:color w:val="auto"/>
        </w:rPr>
      </w:pPr>
    </w:p>
    <w:p>
      <w:pPr>
        <w:ind w:left="1140" w:right="2659" w:firstLine="559"/>
        <w:spacing w:after="0" w:line="239" w:lineRule="auto"/>
        <w:tabs>
          <w:tab w:leader="none" w:pos="2086" w:val="left"/>
        </w:tabs>
        <w:numPr>
          <w:ilvl w:val="1"/>
          <w:numId w:val="4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reasonably available for inspection by the requesting party, and any attorney, accountant or other agent retained by the requesting party, all relevant financial and other records, pertinent corporate documents and properties of the Company and its subsidiaries;</w:t>
      </w:r>
    </w:p>
    <w:p>
      <w:pPr>
        <w:spacing w:after="0" w:line="188" w:lineRule="exact"/>
        <w:rPr>
          <w:rFonts w:ascii="Courier New" w:cs="Courier New" w:eastAsia="Courier New" w:hAnsi="Courier New"/>
          <w:sz w:val="16"/>
          <w:szCs w:val="16"/>
          <w:color w:val="auto"/>
        </w:rPr>
      </w:pPr>
    </w:p>
    <w:p>
      <w:pPr>
        <w:ind w:left="1140" w:right="2659" w:firstLine="559"/>
        <w:spacing w:after="0" w:line="239" w:lineRule="auto"/>
        <w:tabs>
          <w:tab w:leader="none" w:pos="2180" w:val="left"/>
        </w:tabs>
        <w:numPr>
          <w:ilvl w:val="1"/>
          <w:numId w:val="4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the Company's and each of the Guarantor's officers, directors, employees, accountants and auditors to supply all relevant information reasonably requested by the requesting party or any such attorney, accountant or agent in connection with any such Registration Statement as is customary for similar due diligence examinations;</w:t>
      </w:r>
    </w:p>
    <w:p>
      <w:pPr>
        <w:spacing w:after="0" w:line="190" w:lineRule="exact"/>
        <w:rPr>
          <w:rFonts w:ascii="Courier New" w:cs="Courier New" w:eastAsia="Courier New" w:hAnsi="Courier New"/>
          <w:sz w:val="16"/>
          <w:szCs w:val="16"/>
          <w:color w:val="auto"/>
        </w:rPr>
      </w:pPr>
    </w:p>
    <w:p>
      <w:pPr>
        <w:ind w:left="1140" w:right="2939" w:firstLine="559"/>
        <w:spacing w:after="0" w:line="238" w:lineRule="auto"/>
        <w:tabs>
          <w:tab w:leader="none" w:pos="2275" w:val="left"/>
        </w:tabs>
        <w:numPr>
          <w:ilvl w:val="1"/>
          <w:numId w:val="4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such representations and warranties to the requesting party, in form, substance and scope as are customarily made by issuers to underwriters</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81" w:right="1440" w:bottom="1440" w:gutter="0" w:footer="0" w:header="0"/>
        </w:sectPr>
      </w:pPr>
    </w:p>
    <w:bookmarkStart w:id="378" w:name="page379"/>
    <w:bookmarkEnd w:id="378"/>
    <w:p>
      <w:pPr>
        <w:ind w:left="1140" w:right="2939"/>
        <w:spacing w:after="0" w:line="267" w:lineRule="auto"/>
        <w:rPr>
          <w:sz w:val="20"/>
          <w:szCs w:val="20"/>
          <w:color w:val="auto"/>
        </w:rPr>
      </w:pPr>
      <w:r>
        <w:rPr>
          <w:rFonts w:ascii="Courier New" w:cs="Courier New" w:eastAsia="Courier New" w:hAnsi="Courier New"/>
          <w:sz w:val="15"/>
          <w:szCs w:val="15"/>
          <w:color w:val="auto"/>
        </w:rPr>
        <w:t>in primary underwritten offerings and covering matters including, but not limited to, those set forth in the Purchase Agreement;</w:t>
      </w:r>
    </w:p>
    <w:p>
      <w:pPr>
        <w:spacing w:after="0" w:line="168" w:lineRule="exact"/>
        <w:rPr>
          <w:sz w:val="20"/>
          <w:szCs w:val="20"/>
          <w:color w:val="auto"/>
        </w:rPr>
      </w:pPr>
    </w:p>
    <w:p>
      <w:pPr>
        <w:ind w:left="1140" w:right="2659" w:firstLine="559"/>
        <w:spacing w:after="0" w:line="258" w:lineRule="auto"/>
        <w:tabs>
          <w:tab w:leader="none" w:pos="2180" w:val="left"/>
        </w:tabs>
        <w:numPr>
          <w:ilvl w:val="0"/>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opinions of counsel to the Company and the Guarantors and updates thereof (which counsel and opinions (in form, scope and substance) shall be reasonably satisfactory to the requesting party and its counsel, addressed to the requesting party, covering such matters as are customarily covered in opinions requested in underwritten offerings and such other matters as may be reasonably requested by the requesting party or its counsel;</w:t>
      </w:r>
    </w:p>
    <w:p>
      <w:pPr>
        <w:spacing w:after="0" w:line="176" w:lineRule="exact"/>
        <w:rPr>
          <w:rFonts w:ascii="Courier New" w:cs="Courier New" w:eastAsia="Courier New" w:hAnsi="Courier New"/>
          <w:sz w:val="15"/>
          <w:szCs w:val="15"/>
          <w:color w:val="auto"/>
        </w:rPr>
      </w:pPr>
    </w:p>
    <w:p>
      <w:pPr>
        <w:ind w:left="1140" w:right="2659" w:firstLine="559"/>
        <w:spacing w:after="0" w:line="257" w:lineRule="auto"/>
        <w:tabs>
          <w:tab w:leader="none" w:pos="2086" w:val="left"/>
        </w:tabs>
        <w:numPr>
          <w:ilvl w:val="0"/>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"comfort" letters and updates thereof from the independent certified public accountants of the Company and the Guarantors (and, if necessary, any other independent certified public accountants of any subsidiary of the Company or of any business acquired by the Company and the Guarantors for which financial statements and financial data are, or are required to be, included in the Registration Statement), addressed to the requesting party, in customary form and covering matters of the type customarily covered in "comfort" letters in connection with primary underwritten offerings, or if requested by the requesting party or its counsel in lieu of a "comfort" letter, an agreed-upon procedures letter under Statement on Auditing Standards No. 35, covering matters requested by the requesting party or its counsel; and</w:t>
      </w:r>
    </w:p>
    <w:p>
      <w:pPr>
        <w:spacing w:after="0" w:line="180" w:lineRule="exact"/>
        <w:rPr>
          <w:rFonts w:ascii="Courier New" w:cs="Courier New" w:eastAsia="Courier New" w:hAnsi="Courier New"/>
          <w:sz w:val="15"/>
          <w:szCs w:val="15"/>
          <w:color w:val="auto"/>
        </w:rPr>
      </w:pPr>
    </w:p>
    <w:p>
      <w:pPr>
        <w:jc w:val="both"/>
        <w:ind w:left="1140" w:right="2939" w:firstLine="559"/>
        <w:spacing w:after="0" w:line="260" w:lineRule="auto"/>
        <w:tabs>
          <w:tab w:leader="none" w:pos="2180" w:val="left"/>
        </w:tabs>
        <w:numPr>
          <w:ilvl w:val="0"/>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such documents and certificates as may be reasonably requested by the requesting party or its counsel, including those to evidence compliance with Section 4(k) and with conditions customarily contained in underwriting agreements.</w:t>
      </w:r>
    </w:p>
    <w:p>
      <w:pPr>
        <w:spacing w:after="0" w:line="173"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The foregoing actions set forth in clauses (iii), (iv), (v), and (vi) of this Section shall be performed at the close of the Registered Exchange Offer and the effective date of any post-effective amendment to the Exchange Offer Registration Statement.</w:t>
      </w:r>
    </w:p>
    <w:p>
      <w:pPr>
        <w:spacing w:after="0" w:line="187" w:lineRule="exact"/>
        <w:rPr>
          <w:sz w:val="20"/>
          <w:szCs w:val="20"/>
          <w:color w:val="auto"/>
        </w:rPr>
      </w:pPr>
    </w:p>
    <w:p>
      <w:pPr>
        <w:ind w:right="2839" w:firstLine="1132"/>
        <w:spacing w:after="0" w:line="239" w:lineRule="auto"/>
        <w:tabs>
          <w:tab w:leader="none" w:pos="1513" w:val="left"/>
        </w:tabs>
        <w:numPr>
          <w:ilvl w:val="0"/>
          <w:numId w:val="4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Registered Exchange Offer is to be consummated, upon delivery of the Securities by Holders to the Company and the Guarantors (or to such other person as directed by the Company) in exchange for the New Securities, the Company and the Guarantors shall mark, or caused to be marked, on the Securities so exchanged that such Securities are being cancelled in exchange for the New Securities. In no event shall the Securities be marked as paid or otherwise satisfied.</w:t>
      </w:r>
    </w:p>
    <w:p>
      <w:pPr>
        <w:spacing w:after="0" w:line="191" w:lineRule="exact"/>
        <w:rPr>
          <w:rFonts w:ascii="Courier New" w:cs="Courier New" w:eastAsia="Courier New" w:hAnsi="Courier New"/>
          <w:sz w:val="16"/>
          <w:szCs w:val="16"/>
          <w:color w:val="auto"/>
        </w:rPr>
      </w:pPr>
    </w:p>
    <w:p>
      <w:pPr>
        <w:ind w:right="2759" w:firstLine="1132"/>
        <w:spacing w:after="0" w:line="260" w:lineRule="auto"/>
        <w:tabs>
          <w:tab w:leader="none" w:pos="1513"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Guarantors shall use their commercially reasonable efforts if the Securities have been rated prior to the initial sale of such Securities, to confirm such ratings will apply to the Securities or the New Securities, as the case may be, covered by a Registration Statement.</w:t>
      </w:r>
    </w:p>
    <w:p>
      <w:pPr>
        <w:spacing w:after="0" w:line="173" w:lineRule="exact"/>
        <w:rPr>
          <w:rFonts w:ascii="Courier New" w:cs="Courier New" w:eastAsia="Courier New" w:hAnsi="Courier New"/>
          <w:sz w:val="15"/>
          <w:szCs w:val="15"/>
          <w:color w:val="auto"/>
        </w:rPr>
      </w:pPr>
    </w:p>
    <w:p>
      <w:pPr>
        <w:ind w:right="2939" w:firstLine="1132"/>
        <w:spacing w:after="0" w:line="239" w:lineRule="auto"/>
        <w:tabs>
          <w:tab w:leader="none" w:pos="1513" w:val="left"/>
        </w:tabs>
        <w:numPr>
          <w:ilvl w:val="0"/>
          <w:numId w:val="4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Broker-Dealer shall underwrite any Securities or participate as a member of an underwriting syndicate or selling group or "assist in the distribution" (within the meaning of the NASD Rules) thereof, whether as a Holder of such Securities or as an underwriter, a placement or sales agent or a broker or dealer in respect</w:t>
      </w:r>
    </w:p>
    <w:p>
      <w:pPr>
        <w:spacing w:after="0" w:line="36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81" w:right="1440" w:bottom="1440" w:gutter="0" w:footer="0" w:header="0"/>
        </w:sectPr>
      </w:pPr>
    </w:p>
    <w:bookmarkStart w:id="379" w:name="page380"/>
    <w:bookmarkEnd w:id="379"/>
    <w:p>
      <w:pPr>
        <w:ind w:right="3499"/>
        <w:spacing w:after="0" w:line="237" w:lineRule="auto"/>
        <w:rPr>
          <w:sz w:val="20"/>
          <w:szCs w:val="20"/>
          <w:color w:val="auto"/>
        </w:rPr>
      </w:pPr>
      <w:r>
        <w:rPr>
          <w:rFonts w:ascii="Courier New" w:cs="Courier New" w:eastAsia="Courier New" w:hAnsi="Courier New"/>
          <w:sz w:val="16"/>
          <w:szCs w:val="16"/>
          <w:color w:val="auto"/>
        </w:rPr>
        <w:t>thereof, or otherwise, the Company and the Guarantors shall assist such Broker-Dealer in complying with the NASD Rules.</w:t>
      </w:r>
    </w:p>
    <w:p>
      <w:pPr>
        <w:spacing w:after="0" w:line="188" w:lineRule="exact"/>
        <w:rPr>
          <w:sz w:val="20"/>
          <w:szCs w:val="20"/>
          <w:color w:val="auto"/>
        </w:rPr>
      </w:pPr>
    </w:p>
    <w:p>
      <w:pPr>
        <w:ind w:right="2759" w:firstLine="1132"/>
        <w:spacing w:after="0" w:line="239" w:lineRule="auto"/>
        <w:tabs>
          <w:tab w:leader="none" w:pos="1513" w:val="left"/>
        </w:tabs>
        <w:numPr>
          <w:ilvl w:val="0"/>
          <w:numId w:val="4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Guarantors shall use their commercially reasonable efforts to take all other steps necessary to effect the registration of the Securities or the New Securities, as the case may be, covered by a Registration Statement.</w:t>
      </w:r>
    </w:p>
    <w:p>
      <w:pPr>
        <w:spacing w:after="0" w:line="187" w:lineRule="exact"/>
        <w:rPr>
          <w:sz w:val="20"/>
          <w:szCs w:val="20"/>
          <w:color w:val="auto"/>
        </w:rPr>
      </w:pPr>
    </w:p>
    <w:p>
      <w:pPr>
        <w:ind w:right="2659" w:firstLine="1132"/>
        <w:spacing w:after="0"/>
        <w:tabs>
          <w:tab w:leader="none" w:pos="1419" w:val="left"/>
        </w:tabs>
        <w:numPr>
          <w:ilvl w:val="0"/>
          <w:numId w:val="4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Expenses. The Company and the Guarantors shall (a) bear all expenses incurred in connection with the performance of their obligations under Sections 2, 3 and 4 hereof, (b) in the event of any Shelf Registration Statement, reimburse the Holders for the reasonable fees and disbursements of one firm or counsel (which shall initially be Simpson Thacher &amp; Bartlett LLP, but which may be another nationally recognized law firm experienced in securities matters designated by the Majority Holders) to act as counsel for the Holders in connection therewith, and (c) in the case of any Exchange Offer Registration Statement, reimburse the Initial Purchasers for the reasonable fees and disbursements of counsel acting in connection therewith; provided, that the reimbursement of the Initial Purchasers shall not exceed $10,000 in the aggregate.</w:t>
      </w:r>
    </w:p>
    <w:p>
      <w:pPr>
        <w:spacing w:after="0" w:line="189" w:lineRule="exact"/>
        <w:rPr>
          <w:rFonts w:ascii="Courier New" w:cs="Courier New" w:eastAsia="Courier New" w:hAnsi="Courier New"/>
          <w:sz w:val="16"/>
          <w:szCs w:val="16"/>
          <w:color w:val="auto"/>
        </w:rPr>
      </w:pPr>
    </w:p>
    <w:p>
      <w:pPr>
        <w:ind w:right="2659" w:firstLine="1132"/>
        <w:spacing w:after="0" w:line="257" w:lineRule="auto"/>
        <w:tabs>
          <w:tab w:leader="none" w:pos="1419" w:val="left"/>
        </w:tabs>
        <w:numPr>
          <w:ilvl w:val="0"/>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and Contribution. (a) The Company and each Guarantor, jointly and severally, agree to indemnify and hold harmless each Holder of Securities or New Securities, as the case may be, covered by any Registration Statement, each Initial Purchaser and, with respect to any Prospectus delivery as contemplated in Section 4(h) hereof, each Exchanging Dealer, the directors, officers, employees, Affiliates and agents of each such Holder, Initial Purchaser or Exchanging Dealer and each person who controls any such Holder, Initial Purchaser or Exchanging Dealer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as originally filed or in any amendment thereof, or in any preliminary Prospectus or the Prospectus, or in any amendment thereof or supplement thereto, or arise out of or are based upon the omission or alleged omission to state therein a material fact required to be stated therein or necessary to make the statements therein (in the case of any preliminary Prospectus or the Prospectus, in the light of the circumstances under which they were made) not misleading, and agrees to reimburse each such indemnified party, as incurred, for any legal or other expenses reasonably incurred by it in connection with investigating or defending any such loss, claim, damage, liability or action; provided, however, that the Company and the Guarantors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and the Guarantors by or on behalf of the party claiming indemnification specifically for inclusion therein. This indemnity agreement shall be in addition to any liability that the Company and the Guarantors may otherwise have.</w:t>
      </w:r>
    </w:p>
    <w:p>
      <w:pPr>
        <w:spacing w:after="0" w:line="361" w:lineRule="exact"/>
        <w:rPr>
          <w:sz w:val="20"/>
          <w:szCs w:val="20"/>
          <w:color w:val="auto"/>
        </w:rPr>
      </w:pPr>
    </w:p>
    <w:p>
      <w:pPr>
        <w:jc w:val="both"/>
        <w:ind w:right="2659" w:firstLine="1135"/>
        <w:spacing w:after="0" w:line="238" w:lineRule="auto"/>
        <w:rPr>
          <w:sz w:val="20"/>
          <w:szCs w:val="20"/>
          <w:color w:val="auto"/>
        </w:rPr>
      </w:pPr>
      <w:r>
        <w:rPr>
          <w:rFonts w:ascii="Courier New" w:cs="Courier New" w:eastAsia="Courier New" w:hAnsi="Courier New"/>
          <w:sz w:val="16"/>
          <w:szCs w:val="16"/>
          <w:color w:val="auto"/>
        </w:rPr>
        <w:t>The Company and each Guarantor, jointly and severally, also agree to indemnify as provided in this Section 6(a) or contribute as provided in Section 6(d) hereof to Losses of each</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81" w:right="1440" w:bottom="1440" w:gutter="0" w:footer="0" w:header="0"/>
        </w:sectPr>
      </w:pPr>
    </w:p>
    <w:bookmarkStart w:id="380" w:name="page381"/>
    <w:bookmarkEnd w:id="380"/>
    <w:p>
      <w:pPr>
        <w:ind w:left="3" w:right="2659"/>
        <w:spacing w:after="0" w:line="239" w:lineRule="auto"/>
        <w:rPr>
          <w:sz w:val="20"/>
          <w:szCs w:val="20"/>
          <w:color w:val="auto"/>
        </w:rPr>
      </w:pPr>
      <w:r>
        <w:rPr>
          <w:rFonts w:ascii="Courier New" w:cs="Courier New" w:eastAsia="Courier New" w:hAnsi="Courier New"/>
          <w:sz w:val="16"/>
          <w:szCs w:val="16"/>
          <w:color w:val="auto"/>
        </w:rPr>
        <w:t>underwriter, if any, of Securities or New Securities, as the case may be, registered under a Shelf Registration Statement, their directors, officers, employees, Affiliates or agents and each person who controls such underwriter on substantially the same basis as that of the indemnification of the Initial Purchasers and the selling Holders provided in this Section 6(a) and shall, if requested by any Holder, enter into an underwriting agreement reflecting such agreement, as provided in Section 4(p) hereof.</w:t>
      </w:r>
    </w:p>
    <w:p>
      <w:pPr>
        <w:spacing w:after="0" w:line="192" w:lineRule="exact"/>
        <w:rPr>
          <w:sz w:val="20"/>
          <w:szCs w:val="20"/>
          <w:color w:val="auto"/>
        </w:rPr>
      </w:pPr>
    </w:p>
    <w:p>
      <w:pPr>
        <w:ind w:left="3" w:right="2659" w:firstLine="1132"/>
        <w:spacing w:after="0"/>
        <w:tabs>
          <w:tab w:leader="none" w:pos="1516" w:val="left"/>
        </w:tabs>
        <w:numPr>
          <w:ilvl w:val="1"/>
          <w:numId w:val="4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Holder of securities covered by a Registration Statement (including each Initial Purchaser that is a Holder, in such capacity) severally and not jointly agrees to indemnify and hold harmless the Company, the Guarantors and each director and each officer of the Company and of the Guarantors who signs such Registration Statement and each person who controls the Company and the Guarantors within the meaning of either the Act or the Exchange Act, to the same extent as the foregoing indemnity from the Company and each Guarantor to each such Holder, but only with reference to written information relating to such Holder furnished to the Company by or on behalf of such Holder specifically for inclusion in the documents referred to in the foregoing indemnity. This indemnity agreement will be in addition to any liability that any such Holder may otherwise have.</w:t>
      </w:r>
    </w:p>
    <w:p>
      <w:pPr>
        <w:spacing w:after="0" w:line="189" w:lineRule="exact"/>
        <w:rPr>
          <w:rFonts w:ascii="Courier New" w:cs="Courier New" w:eastAsia="Courier New" w:hAnsi="Courier New"/>
          <w:sz w:val="16"/>
          <w:szCs w:val="16"/>
          <w:color w:val="auto"/>
        </w:rPr>
      </w:pPr>
    </w:p>
    <w:p>
      <w:pPr>
        <w:ind w:left="3" w:right="2659" w:firstLine="1132"/>
        <w:spacing w:after="0" w:line="256" w:lineRule="auto"/>
        <w:tabs>
          <w:tab w:leader="none" w:pos="1516" w:val="left"/>
        </w:tabs>
        <w:numPr>
          <w:ilvl w:val="1"/>
          <w:numId w:val="4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receipt by an indemnified party under this Section 6 of notice of the commencement of any action, such indemnified party will, if a claim in respect thereof is to be made against the indemnifying party under this Section,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w:t>
      </w:r>
    </w:p>
    <w:p>
      <w:pPr>
        <w:spacing w:after="0" w:line="5" w:lineRule="exact"/>
        <w:rPr>
          <w:rFonts w:ascii="Courier New" w:cs="Courier New" w:eastAsia="Courier New" w:hAnsi="Courier New"/>
          <w:sz w:val="15"/>
          <w:szCs w:val="15"/>
          <w:color w:val="auto"/>
        </w:rPr>
      </w:pPr>
    </w:p>
    <w:p>
      <w:pPr>
        <w:ind w:left="3" w:right="2659" w:hanging="3"/>
        <w:spacing w:after="0" w:line="257" w:lineRule="auto"/>
        <w:tabs>
          <w:tab w:leader="none" w:pos="476" w:val="left"/>
        </w:tabs>
        <w:numPr>
          <w:ilvl w:val="0"/>
          <w:numId w:val="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not, in any event, relieve the indemnifying party from any obligations to any indemnified party other than the indemnification obligation provided in paragraph (a) or (b) above.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provided, however, that such counsel shall be reasonably satisfactory to the indemnified party. Notwithstanding the indemnifying party's election to appoint counsel (including local counsel) to represent the indemnified party in an action, the indemnified party shall have the right to employ separate counsel (including one local counsel per jurisdiction), which counsel shall be reasonably acceptable to the indemnifying party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that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provided that the foregoing expense</w:t>
      </w:r>
    </w:p>
    <w:p>
      <w:pPr>
        <w:spacing w:after="0" w:line="200" w:lineRule="exact"/>
        <w:rPr>
          <w:sz w:val="20"/>
          <w:szCs w:val="20"/>
          <w:color w:val="auto"/>
        </w:rPr>
      </w:pPr>
    </w:p>
    <w:p>
      <w:pPr>
        <w:spacing w:after="0" w:line="340"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2"/>
          </w:cols>
          <w:pgMar w:left="237" w:top="480" w:right="1440" w:bottom="1440" w:gutter="0" w:footer="0" w:header="0"/>
        </w:sectPr>
      </w:pPr>
    </w:p>
    <w:bookmarkStart w:id="381" w:name="page382"/>
    <w:bookmarkEnd w:id="381"/>
    <w:p>
      <w:pPr>
        <w:ind w:right="2659"/>
        <w:spacing w:after="0" w:line="257" w:lineRule="auto"/>
        <w:rPr>
          <w:sz w:val="20"/>
          <w:szCs w:val="20"/>
          <w:color w:val="auto"/>
        </w:rPr>
      </w:pPr>
      <w:r>
        <w:rPr>
          <w:rFonts w:ascii="Courier New" w:cs="Courier New" w:eastAsia="Courier New" w:hAnsi="Courier New"/>
          <w:sz w:val="15"/>
          <w:szCs w:val="15"/>
          <w:color w:val="auto"/>
        </w:rPr>
        <w:t>reimbursement shall not, as to any indemnified party, apply to the extent it is finally judicially determined that the indemnified party was grossly negligent or acted with willful misconduct and such gross negligence or willful misconduct related to the indemnity provided under paragraph (a) or (b) above. Notwithstanding the foregoing sentence, if at any time an indemnified party shall have requested that an indemnifying party reimburse the indemnified party for fees and expenses of counsel as contemplated by this paragraph, the indemnifying party shall be liable for any settlement of any proceeding effected without its written consent if (i) such settlement is entered into more than 30 days after receipt by the indemnifying party of such request and (ii) the indemnifying party shall not have reimbursed the indemnified party in accordance with such request prior to the date of such settlement.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in form and substance reasonably satisfactory to such indemnified party from all liability arising out of such claim, action, suit or proceeding and does not include any statements as to, or any admission of, fault, culpability or failure to act by or on behalf of any indemnified party.</w:t>
      </w:r>
    </w:p>
    <w:p>
      <w:pPr>
        <w:spacing w:after="0" w:line="180" w:lineRule="exact"/>
        <w:rPr>
          <w:sz w:val="20"/>
          <w:szCs w:val="20"/>
          <w:color w:val="auto"/>
        </w:rPr>
      </w:pPr>
    </w:p>
    <w:p>
      <w:pPr>
        <w:ind w:right="2659" w:firstLine="1132"/>
        <w:spacing w:after="0" w:line="257" w:lineRule="auto"/>
        <w:tabs>
          <w:tab w:leader="none" w:pos="1513" w:val="left"/>
        </w:tabs>
        <w:numPr>
          <w:ilvl w:val="0"/>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indemnity provided in paragraph (a) or (b) of this Section is unavailable to or insufficient to hold harmless an indemnified party for any reason, then each applicable indemnifying party shall have a joint and several obligation to contribute to the aggregate losses, claims, damages and liabilities (including legal or other expenses reasonably incurred in connection with investigating or defending any loss, claim, liability, damage or action) (collectively "Losses") to which such indemnified party may be subject in such proportion as is appropriate to reflect the relative benefits received by such indemnifying party, on the one hand, and such indemnified party, on the other hand, from the Initial Placement and the Registration Statement which resulted in such Losses; provided, however, that in no case shall any Initial Purchaser be responsible, in the aggregate, for any amount in excess of the purchase discount or commission applicable to such Security, or in the case of a New Security, applicable to the Security that was exchangeable into such New Security, as set forth in the Final Memorandum, nor shall any underwriter be responsible for any amount in excess of the underwriting discount or commission applicable to the securities purchased by such underwriter under the Registration Statement which resulted in such Losses. If the allocation provided by the immediately preceding sentence is unavailable for any reason, the indemnifying party and the indemnified party shall contribute in such proportion as is appropriate to reflect not only such relative benefits but also the relative fault of such indemnifying party, on the one hand, and such indemnified party, on the other hand, in connection with the statements or omissions which resulted in such Losses as well as any other relevant equitable considerations. Benefits received by the Company and the Guarantors shall be deemed to be equal to the total net proceeds from the Initial Placement (before deducting expenses) as set forth in the Final Memorandum. Benefits received by the Initial Purchasers shall be deemed to be equal to the total purchase discounts and commissions as set forth on the cover page of the Final Memorandum, and benefits received by any other Holders shall be deemed to be equal to the value of receiving Securities or New Securities, as applicable, registered under the Act. Benefits received by any underwriter shall be deemed to be equal to the total underwriting discounts and commissions, as set forth on the cover page of the Prospectus forming a part of the Registration Statement which</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81" w:right="1440" w:bottom="1440" w:gutter="0" w:footer="0" w:header="0"/>
        </w:sectPr>
      </w:pPr>
    </w:p>
    <w:bookmarkStart w:id="382" w:name="page383"/>
    <w:bookmarkEnd w:id="382"/>
    <w:p>
      <w:pPr>
        <w:ind w:right="2659"/>
        <w:spacing w:after="0" w:line="257" w:lineRule="auto"/>
        <w:rPr>
          <w:sz w:val="20"/>
          <w:szCs w:val="20"/>
          <w:color w:val="auto"/>
        </w:rPr>
      </w:pPr>
      <w:r>
        <w:rPr>
          <w:rFonts w:ascii="Courier New" w:cs="Courier New" w:eastAsia="Courier New" w:hAnsi="Courier New"/>
          <w:sz w:val="15"/>
          <w:szCs w:val="15"/>
          <w:color w:val="auto"/>
        </w:rPr>
        <w:t>resulted in such Losses. Relative fault shall be determined by reference to, among other things, whether any untrue or any alleged untrue statement of a material fact or omission or alleged omission to state a material fact relates to information provided by the indemnifying party, on the one hand, or by the indemnified party, on the other hand, the intent of the parties and their relative knowledge, access to information and opportunity to correct or prevent such untrue statement or omission. The parties agree that it would not be just and equitable if contribution were determined by pro rata allocation (even if the Holders were treated as one entity for such purpose)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each person who controls a Holder within the meaning of either the Act or the Exchange Act and each director, officer, employee and agent of such Holder shall have the same rights to contribution as such Holder, and each person who controls the Company or the Guarantors within the meaning of either the Act or the Exchange Act, each officer of the Company or the Guarantors who shall have signed the Registration Statement and each director of the Company or the Guarantors shall have the same rights to contribution as the Company and the Guarantors, subject in each case to the applicable terms and conditions of this paragraph (d).</w:t>
      </w:r>
    </w:p>
    <w:p>
      <w:pPr>
        <w:spacing w:after="0" w:line="180" w:lineRule="exact"/>
        <w:rPr>
          <w:sz w:val="20"/>
          <w:szCs w:val="20"/>
          <w:color w:val="auto"/>
        </w:rPr>
      </w:pPr>
    </w:p>
    <w:p>
      <w:pPr>
        <w:ind w:right="2759" w:firstLine="1132"/>
        <w:spacing w:after="0" w:line="239" w:lineRule="auto"/>
        <w:tabs>
          <w:tab w:leader="none" w:pos="1513" w:val="left"/>
        </w:tabs>
        <w:numPr>
          <w:ilvl w:val="0"/>
          <w:numId w:val="4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this Section will remain in full force and effect, regardless of any investigation made by or on behalf of any Holder, the Company or the Guarantors or any of the indemnified persons referred to in this Section 6, and will survive the sale by a Holder of securities covered by a Registration Statement.</w:t>
      </w:r>
    </w:p>
    <w:p>
      <w:pPr>
        <w:spacing w:after="0" w:line="189" w:lineRule="exact"/>
        <w:rPr>
          <w:sz w:val="20"/>
          <w:szCs w:val="20"/>
          <w:color w:val="auto"/>
        </w:rPr>
      </w:pPr>
    </w:p>
    <w:p>
      <w:pPr>
        <w:ind w:right="2759" w:firstLine="1132"/>
        <w:spacing w:after="0" w:line="239" w:lineRule="auto"/>
        <w:tabs>
          <w:tab w:leader="none" w:pos="1419" w:val="left"/>
        </w:tabs>
        <w:numPr>
          <w:ilvl w:val="0"/>
          <w:numId w:val="4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Underwritten Registrations. (a) If any of the Securities or New Securities, as the case may be, covered by any Shelf Registration Statement are to be sold in an underwritten offering, the Managing Underwriters shall be selected by the Majority Holders.</w:t>
      </w:r>
    </w:p>
    <w:p>
      <w:pPr>
        <w:spacing w:after="0" w:line="187" w:lineRule="exact"/>
        <w:rPr>
          <w:sz w:val="20"/>
          <w:szCs w:val="20"/>
          <w:color w:val="auto"/>
        </w:rPr>
      </w:pPr>
    </w:p>
    <w:p>
      <w:pPr>
        <w:ind w:right="2659" w:firstLine="1132"/>
        <w:spacing w:after="0"/>
        <w:tabs>
          <w:tab w:leader="none" w:pos="1513" w:val="left"/>
        </w:tabs>
        <w:numPr>
          <w:ilvl w:val="0"/>
          <w:numId w:val="4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person may participate in any underwritten offering pursuant to any Shelf Registration Statement, unless such person (i) agrees to sell such person's Securities or New Securities, as the case may be, on the basis reasonably provided in any underwriting arrangements approved by the persons entitled hereunder to approve such arrangements; and (ii) completes and executes all questionnaires, powers of attorney, indemnities, underwriting agreements and other documents reasonably required under the terms of such underwriting arrangements.</w:t>
      </w:r>
    </w:p>
    <w:p>
      <w:pPr>
        <w:spacing w:after="0" w:line="187" w:lineRule="exact"/>
        <w:rPr>
          <w:sz w:val="20"/>
          <w:szCs w:val="20"/>
          <w:color w:val="auto"/>
        </w:rPr>
      </w:pPr>
    </w:p>
    <w:p>
      <w:pPr>
        <w:ind w:right="2839" w:firstLine="1132"/>
        <w:spacing w:after="0" w:line="239" w:lineRule="auto"/>
        <w:tabs>
          <w:tab w:leader="none" w:pos="1419" w:val="left"/>
        </w:tabs>
        <w:numPr>
          <w:ilvl w:val="0"/>
          <w:numId w:val="4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Defaults. If any of the following events shall occur, then the Company and the Guarantors shall pay additional interest (the "Registration Default Damages") to the Holders of Securities in respect of the Securities as follows:</w:t>
      </w:r>
    </w:p>
    <w:p>
      <w:pPr>
        <w:spacing w:after="0" w:line="187" w:lineRule="exact"/>
        <w:rPr>
          <w:sz w:val="20"/>
          <w:szCs w:val="20"/>
          <w:color w:val="auto"/>
        </w:rPr>
      </w:pPr>
    </w:p>
    <w:p>
      <w:pPr>
        <w:ind w:right="2659" w:firstLine="1132"/>
        <w:spacing w:after="0" w:line="239" w:lineRule="auto"/>
        <w:tabs>
          <w:tab w:leader="none" w:pos="1513" w:val="left"/>
        </w:tabs>
        <w:numPr>
          <w:ilvl w:val="0"/>
          <w:numId w:val="4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Registration Statement required by this Agreement is not filed with the Commission on or prior to the date specified for such filing in this Agreement, then Registration Default Damages shall accrue on the Registrable Securities at a rate of 0.25% per annum for the first 90-day period from and including such specified date and shall increase by an additional 0.25% per annum for each subsequent 90-day period thereafter, up to a maximum amount of 1.00% per annum; or</w:t>
      </w:r>
    </w:p>
    <w:p>
      <w:pPr>
        <w:spacing w:after="0" w:line="36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481" w:right="1440" w:bottom="1440" w:gutter="0" w:footer="0" w:header="0"/>
        </w:sectPr>
      </w:pPr>
    </w:p>
    <w:bookmarkStart w:id="383" w:name="page384"/>
    <w:bookmarkEnd w:id="383"/>
    <w:p>
      <w:pPr>
        <w:ind w:right="2659" w:firstLine="1132"/>
        <w:spacing w:after="0"/>
        <w:tabs>
          <w:tab w:leader="none" w:pos="1513" w:val="left"/>
        </w:tabs>
        <w:numPr>
          <w:ilvl w:val="0"/>
          <w:numId w:val="4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Registration Statement required by this Agreement is not declared effective by the Commission on or prior to the date by which commercially reasonable efforts are to be used to cause such effectiveness under this Agreement, then commencing on the day after such specified date, Registration Default Damages shall accrue on the Registrable Securities at a rate of 0.25% per annum for the first 90-day period from and including such specified date and shall increase by an additional 0.25% per annum for each subsequent 90-day period thereafter, up to a maximum amount of 1.00% per annum; or</w:t>
      </w:r>
    </w:p>
    <w:p>
      <w:pPr>
        <w:spacing w:after="0" w:line="187" w:lineRule="exact"/>
        <w:rPr>
          <w:rFonts w:ascii="Courier New" w:cs="Courier New" w:eastAsia="Courier New" w:hAnsi="Courier New"/>
          <w:sz w:val="16"/>
          <w:szCs w:val="16"/>
          <w:color w:val="auto"/>
        </w:rPr>
      </w:pPr>
    </w:p>
    <w:p>
      <w:pPr>
        <w:ind w:right="2659" w:firstLine="1132"/>
        <w:spacing w:after="0"/>
        <w:tabs>
          <w:tab w:leader="none" w:pos="1513" w:val="left"/>
        </w:tabs>
        <w:numPr>
          <w:ilvl w:val="0"/>
          <w:numId w:val="4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Registration Statement required by this Agreement has been declared effective but ceases to be effective at any time at which it is required to be effective under this Agreement, then commencing on the day the Registration Statement ceases to be effective, Registration Default Damages shall accrue on the Registrable Securities at a rate of 0.25% per annum for the first 90-day period from and including such specified date and shall increase by an additional 0.25% per annum for each subsequent 90-day period thereafter, up to a maximum amount of 1.00% per annum;</w:t>
      </w:r>
    </w:p>
    <w:p>
      <w:pPr>
        <w:spacing w:after="0" w:line="187" w:lineRule="exact"/>
        <w:rPr>
          <w:sz w:val="20"/>
          <w:szCs w:val="20"/>
          <w:color w:val="auto"/>
        </w:rPr>
      </w:pPr>
    </w:p>
    <w:p>
      <w:pPr>
        <w:ind w:right="2659"/>
        <w:spacing w:after="0" w:line="259" w:lineRule="auto"/>
        <w:rPr>
          <w:sz w:val="20"/>
          <w:szCs w:val="20"/>
          <w:color w:val="auto"/>
        </w:rPr>
      </w:pPr>
      <w:r>
        <w:rPr>
          <w:rFonts w:ascii="Courier New" w:cs="Courier New" w:eastAsia="Courier New" w:hAnsi="Courier New"/>
          <w:sz w:val="15"/>
          <w:szCs w:val="15"/>
          <w:color w:val="auto"/>
        </w:rPr>
        <w:t>provided, however, that (1) upon the filing of the Registration Statement (in the case of paragraph (a) above), (2) upon the effectiveness of the Registration Statement (in the case of paragraph (b) above), or (3) upon the effectiveness of the Registration Statement which had ceased to remain effective (in the case of paragraph (c) above), Registration Default Damages shall cease to accrue.</w:t>
      </w:r>
    </w:p>
    <w:p>
      <w:pPr>
        <w:spacing w:after="0" w:line="174" w:lineRule="exact"/>
        <w:rPr>
          <w:sz w:val="20"/>
          <w:szCs w:val="20"/>
          <w:color w:val="auto"/>
        </w:rPr>
      </w:pPr>
    </w:p>
    <w:p>
      <w:pPr>
        <w:ind w:right="2759" w:firstLine="1132"/>
        <w:spacing w:after="0" w:line="239" w:lineRule="auto"/>
        <w:tabs>
          <w:tab w:leader="none" w:pos="1419" w:val="left"/>
        </w:tabs>
        <w:numPr>
          <w:ilvl w:val="0"/>
          <w:numId w:val="4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Inconsistent Agreements. Neither the Company nor the Guarantors have entered into, and each of the Company and the Guarantors agrees not to enter into, any agreement with respect to its securities or guarantees, as applicable, that is inconsistent with the rights granted to the Holders herein or that otherwise conflicts with the provisions hereof.</w:t>
      </w:r>
    </w:p>
    <w:p>
      <w:pPr>
        <w:spacing w:after="0" w:line="188" w:lineRule="exact"/>
        <w:rPr>
          <w:rFonts w:ascii="Courier New" w:cs="Courier New" w:eastAsia="Courier New" w:hAnsi="Courier New"/>
          <w:sz w:val="16"/>
          <w:szCs w:val="16"/>
          <w:color w:val="auto"/>
        </w:rPr>
      </w:pPr>
    </w:p>
    <w:p>
      <w:pPr>
        <w:ind w:right="2659" w:firstLine="1132"/>
        <w:spacing w:after="0"/>
        <w:tabs>
          <w:tab w:leader="none" w:pos="1513" w:val="left"/>
        </w:tabs>
        <w:numPr>
          <w:ilvl w:val="0"/>
          <w:numId w:val="4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and Waivers. The provisions of this Agreement may not be amended, qualified, modified or supplemented, and waivers or consents to departures from the provisions hereof may not be given, unless the Company and the Guarantors have obtained the written consent of the Holders of a majority of the aggregate principal amount of the Registrable Securities outstanding; provided that, with respect to any matter that directly or indirectly affects the rights of any Initial Purchaser hereunder, the Company and the Guarantors shall obtain the written consent of each such Initial Purchaser against which such amendment, qualification, supplement, waiver or consent is to be effective; provided, further, that no amendment, qualification, supplement, waiver or consent with respect to Section 8 hereof shall be effective as against any Holder of Registered Securities unless consented to in writing by such Holder; and provided, further, that the provisions of this Section 10 may not be amended, qualified, modified or supplemented, and waivers or consents to departures from the provisions hereof may not be given, unless the Company and the Guarantors have obtained the written consent of the Initial Purchasers and each Holder. Notwithstanding the foregoing (except the foregoing provisos), a waiver or consent to depart from the provisions hereof with respect to a matter that relates exclusively to the rights of Holders whose Securities or New Securities, as the case may be, are being sold pursuant to a Registration Statement and that does not directly or indirectly affect the rights of other Holders may be given by the Majority Holders, determined on the basis of Securities or New Securities, as the case may be, being sold rather than registered under such Registration Statement.</w:t>
      </w:r>
    </w:p>
    <w:p>
      <w:pPr>
        <w:spacing w:after="0" w:line="37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81" w:right="1440" w:bottom="1440" w:gutter="0" w:footer="0" w:header="0"/>
        </w:sectPr>
      </w:pPr>
    </w:p>
    <w:bookmarkStart w:id="384" w:name="page385"/>
    <w:bookmarkEnd w:id="384"/>
    <w:p>
      <w:pPr>
        <w:ind w:right="2659" w:firstLine="1132"/>
        <w:spacing w:after="0" w:line="238" w:lineRule="auto"/>
        <w:tabs>
          <w:tab w:leader="none" w:pos="1513" w:val="left"/>
        </w:tabs>
        <w:numPr>
          <w:ilvl w:val="0"/>
          <w:numId w:val="4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other communications provided for or permitted hereunder shall be made in writing by hand-delivery, first-class mail, telex, telecopier or air courier guaranteeing overnight delivery:</w:t>
      </w:r>
    </w:p>
    <w:p>
      <w:pPr>
        <w:spacing w:after="0" w:line="188" w:lineRule="exact"/>
        <w:rPr>
          <w:sz w:val="20"/>
          <w:szCs w:val="20"/>
          <w:color w:val="auto"/>
        </w:rPr>
      </w:pPr>
    </w:p>
    <w:p>
      <w:pPr>
        <w:ind w:right="2659" w:firstLine="1132"/>
        <w:spacing w:after="0" w:line="239" w:lineRule="auto"/>
        <w:tabs>
          <w:tab w:leader="none" w:pos="1513" w:val="left"/>
        </w:tabs>
        <w:numPr>
          <w:ilvl w:val="0"/>
          <w:numId w:val="4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a Holder, at the most current address given by such holder to the Company and the Guarantors in accordance with the provisions of this Section 11, which address initially is, with respect to each Holder, the address of such Holder maintained by the Registrar under the Indenture;</w:t>
      </w:r>
    </w:p>
    <w:p>
      <w:pPr>
        <w:spacing w:after="0" w:line="187" w:lineRule="exact"/>
        <w:rPr>
          <w:rFonts w:ascii="Courier New" w:cs="Courier New" w:eastAsia="Courier New" w:hAnsi="Courier New"/>
          <w:sz w:val="16"/>
          <w:szCs w:val="16"/>
          <w:color w:val="auto"/>
        </w:rPr>
      </w:pPr>
    </w:p>
    <w:p>
      <w:pPr>
        <w:ind w:right="2659" w:firstLine="1132"/>
        <w:spacing w:after="0" w:line="237" w:lineRule="auto"/>
        <w:tabs>
          <w:tab w:leader="none" w:pos="1513" w:val="left"/>
        </w:tabs>
        <w:numPr>
          <w:ilvl w:val="0"/>
          <w:numId w:val="4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Representatives, initially at the address or addresses set forth in the Purchase Agreement; and</w:t>
      </w:r>
    </w:p>
    <w:p>
      <w:pPr>
        <w:spacing w:after="0" w:line="187" w:lineRule="exact"/>
        <w:rPr>
          <w:rFonts w:ascii="Courier New" w:cs="Courier New" w:eastAsia="Courier New" w:hAnsi="Courier New"/>
          <w:sz w:val="16"/>
          <w:szCs w:val="16"/>
          <w:color w:val="auto"/>
        </w:rPr>
      </w:pPr>
    </w:p>
    <w:p>
      <w:pPr>
        <w:ind w:right="2659" w:firstLine="1132"/>
        <w:spacing w:after="0" w:line="237" w:lineRule="auto"/>
        <w:tabs>
          <w:tab w:leader="none" w:pos="1513" w:val="left"/>
        </w:tabs>
        <w:numPr>
          <w:ilvl w:val="0"/>
          <w:numId w:val="4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Company or the Guarantors, initially to the address of the Company set forth in the Purchase Agreement.</w:t>
      </w:r>
    </w:p>
    <w:p>
      <w:pPr>
        <w:spacing w:after="0" w:line="188" w:lineRule="exact"/>
        <w:rPr>
          <w:sz w:val="20"/>
          <w:szCs w:val="20"/>
          <w:color w:val="auto"/>
        </w:rPr>
      </w:pPr>
    </w:p>
    <w:p>
      <w:pPr>
        <w:ind w:right="3039" w:firstLine="1135"/>
        <w:spacing w:after="0" w:line="237" w:lineRule="auto"/>
        <w:rPr>
          <w:sz w:val="20"/>
          <w:szCs w:val="20"/>
          <w:color w:val="auto"/>
        </w:rPr>
      </w:pPr>
      <w:r>
        <w:rPr>
          <w:rFonts w:ascii="Courier New" w:cs="Courier New" w:eastAsia="Courier New" w:hAnsi="Courier New"/>
          <w:sz w:val="16"/>
          <w:szCs w:val="16"/>
          <w:color w:val="auto"/>
        </w:rPr>
        <w:t>All such notices and communications shall be deemed to have been duly given when received.</w:t>
      </w:r>
    </w:p>
    <w:p>
      <w:pPr>
        <w:spacing w:after="0" w:line="188" w:lineRule="exact"/>
        <w:rPr>
          <w:sz w:val="20"/>
          <w:szCs w:val="20"/>
          <w:color w:val="auto"/>
        </w:rPr>
      </w:pPr>
    </w:p>
    <w:p>
      <w:pPr>
        <w:ind w:right="2839" w:firstLine="1135"/>
        <w:spacing w:after="0" w:line="238" w:lineRule="auto"/>
        <w:rPr>
          <w:sz w:val="20"/>
          <w:szCs w:val="20"/>
          <w:color w:val="auto"/>
        </w:rPr>
      </w:pPr>
      <w:r>
        <w:rPr>
          <w:rFonts w:ascii="Courier New" w:cs="Courier New" w:eastAsia="Courier New" w:hAnsi="Courier New"/>
          <w:sz w:val="16"/>
          <w:szCs w:val="16"/>
          <w:color w:val="auto"/>
        </w:rPr>
        <w:t>The Initial Purchasers or the Company and the Guarantors by notice to the other parties may designate additional or different addresses for subsequent notices or communications.</w:t>
      </w:r>
    </w:p>
    <w:p>
      <w:pPr>
        <w:spacing w:after="0" w:line="188" w:lineRule="exact"/>
        <w:rPr>
          <w:sz w:val="20"/>
          <w:szCs w:val="20"/>
          <w:color w:val="auto"/>
        </w:rPr>
      </w:pPr>
    </w:p>
    <w:p>
      <w:pPr>
        <w:ind w:right="2659" w:firstLine="1132"/>
        <w:spacing w:after="0" w:line="258" w:lineRule="auto"/>
        <w:tabs>
          <w:tab w:leader="none" w:pos="1513"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Each Holder, in addition to being entitled to exercise all rights provided to it herein, in the Indenture or in the Purchase Agreement or granted by law, including recovery of liquidated or other damages, will be entitled to specific performance of its rights under this Agreement. The Company and each of the Guarantors agree that monetary damages would not be adequate compensation for any loss incurred by reason of a breach by it of the provisions of this Agreement and hereby agrees to waive in any action for specific performance the defense that a remedy at law would be adequate.</w:t>
      </w:r>
    </w:p>
    <w:p>
      <w:pPr>
        <w:spacing w:after="0" w:line="175" w:lineRule="exact"/>
        <w:rPr>
          <w:rFonts w:ascii="Courier New" w:cs="Courier New" w:eastAsia="Courier New" w:hAnsi="Courier New"/>
          <w:sz w:val="15"/>
          <w:szCs w:val="15"/>
          <w:color w:val="auto"/>
        </w:rPr>
      </w:pPr>
    </w:p>
    <w:p>
      <w:pPr>
        <w:ind w:right="2659" w:firstLine="1132"/>
        <w:spacing w:after="0"/>
        <w:tabs>
          <w:tab w:leader="none" w:pos="1513" w:val="left"/>
        </w:tabs>
        <w:numPr>
          <w:ilvl w:val="0"/>
          <w:numId w:val="4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This Agreement shall inure to the benefit of and be binding upon the parties hereto, their respective successors and assigns, including, without the need for an express assignment or any consent by the Company and the Guarantors thereto, subsequent Holders of Securities and the New Securities, and the indemnified persons referred to in Section 6 hereof. The Company and each of the Guarantors hereby agree to extend the benefits of this Agreement to any Holder of Securities and the New Securities, and any such Holder may specifically enforce the provisions of this Agreement as if an original party hereto.</w:t>
      </w:r>
    </w:p>
    <w:p>
      <w:pPr>
        <w:spacing w:after="0" w:line="187" w:lineRule="exact"/>
        <w:rPr>
          <w:rFonts w:ascii="Courier New" w:cs="Courier New" w:eastAsia="Courier New" w:hAnsi="Courier New"/>
          <w:sz w:val="16"/>
          <w:szCs w:val="16"/>
          <w:color w:val="auto"/>
        </w:rPr>
      </w:pPr>
    </w:p>
    <w:p>
      <w:pPr>
        <w:jc w:val="both"/>
        <w:ind w:right="3319" w:firstLine="1132"/>
        <w:spacing w:after="0" w:line="238" w:lineRule="auto"/>
        <w:tabs>
          <w:tab w:leader="none" w:pos="1513" w:val="left"/>
        </w:tabs>
        <w:numPr>
          <w:ilvl w:val="0"/>
          <w:numId w:val="4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signed in one or more counterparts, each of which shall constitute an original and all of which together shall constitute one and the same agreement.</w:t>
      </w:r>
    </w:p>
    <w:p>
      <w:pPr>
        <w:spacing w:after="0" w:line="188" w:lineRule="exact"/>
        <w:rPr>
          <w:rFonts w:ascii="Courier New" w:cs="Courier New" w:eastAsia="Courier New" w:hAnsi="Courier New"/>
          <w:sz w:val="16"/>
          <w:szCs w:val="16"/>
          <w:color w:val="auto"/>
        </w:rPr>
      </w:pPr>
    </w:p>
    <w:p>
      <w:pPr>
        <w:ind w:right="2839" w:firstLine="1132"/>
        <w:spacing w:after="0" w:line="237" w:lineRule="auto"/>
        <w:tabs>
          <w:tab w:leader="none" w:pos="1513" w:val="left"/>
        </w:tabs>
        <w:numPr>
          <w:ilvl w:val="0"/>
          <w:numId w:val="4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The section headings used herein are for convenience only and shall not affect the construction hereof.</w:t>
      </w:r>
    </w:p>
    <w:p>
      <w:pPr>
        <w:spacing w:after="0" w:line="187" w:lineRule="exact"/>
        <w:rPr>
          <w:rFonts w:ascii="Courier New" w:cs="Courier New" w:eastAsia="Courier New" w:hAnsi="Courier New"/>
          <w:sz w:val="16"/>
          <w:szCs w:val="16"/>
          <w:color w:val="auto"/>
        </w:rPr>
      </w:pPr>
    </w:p>
    <w:p>
      <w:pPr>
        <w:ind w:right="3039" w:firstLine="1132"/>
        <w:spacing w:after="0" w:line="238" w:lineRule="auto"/>
        <w:tabs>
          <w:tab w:leader="none" w:pos="1513" w:val="left"/>
        </w:tabs>
        <w:numPr>
          <w:ilvl w:val="0"/>
          <w:numId w:val="4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Law. This Agreement shall be governed by and construed in accordance with the laws of the State of New York applicable to contracts made and to be</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481" w:right="1440" w:bottom="1440" w:gutter="0" w:footer="0" w:header="0"/>
        </w:sectPr>
      </w:pPr>
    </w:p>
    <w:bookmarkStart w:id="385" w:name="page386"/>
    <w:bookmarkEnd w:id="385"/>
    <w:p>
      <w:pPr>
        <w:ind w:right="2759"/>
        <w:spacing w:after="0" w:line="238" w:lineRule="auto"/>
        <w:rPr>
          <w:sz w:val="20"/>
          <w:szCs w:val="20"/>
          <w:color w:val="auto"/>
        </w:rPr>
      </w:pPr>
      <w:r>
        <w:rPr>
          <w:rFonts w:ascii="Courier New" w:cs="Courier New" w:eastAsia="Courier New" w:hAnsi="Courier New"/>
          <w:sz w:val="16"/>
          <w:szCs w:val="16"/>
          <w:color w:val="auto"/>
        </w:rPr>
        <w:t>performed in the State of New York. The parties hereto each hereby waive any right to trial by jury in any action, proceeding or counterclaim arising out of or relating to this Agreement.</w:t>
      </w:r>
    </w:p>
    <w:p>
      <w:pPr>
        <w:spacing w:after="0" w:line="188" w:lineRule="exact"/>
        <w:rPr>
          <w:sz w:val="20"/>
          <w:szCs w:val="20"/>
          <w:color w:val="auto"/>
        </w:rPr>
      </w:pPr>
    </w:p>
    <w:p>
      <w:pPr>
        <w:ind w:right="2659" w:firstLine="1132"/>
        <w:spacing w:after="0" w:line="258" w:lineRule="auto"/>
        <w:tabs>
          <w:tab w:leader="none" w:pos="1513" w:val="left"/>
        </w:tabs>
        <w:numPr>
          <w:ilvl w:val="0"/>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In the event that any one of more of the provisions contained herein, or the application thereof in any circumstances, is held invalid, illegal or unenforceable in any respect for any reason, the validity, legality and enforceability of any such provision in every other respect and of the remaining provisions hereof shall not be in any way impaired or affected thereby, it being intended that all of the rights and privileges of the parties shall be enforceable to the fullest extent permitted by law.</w:t>
      </w:r>
    </w:p>
    <w:p>
      <w:pPr>
        <w:spacing w:after="0" w:line="176" w:lineRule="exact"/>
        <w:rPr>
          <w:rFonts w:ascii="Courier New" w:cs="Courier New" w:eastAsia="Courier New" w:hAnsi="Courier New"/>
          <w:sz w:val="15"/>
          <w:szCs w:val="15"/>
          <w:color w:val="auto"/>
        </w:rPr>
      </w:pPr>
    </w:p>
    <w:p>
      <w:pPr>
        <w:ind w:right="2759" w:firstLine="1132"/>
        <w:spacing w:after="0"/>
        <w:tabs>
          <w:tab w:leader="none" w:pos="1513" w:val="left"/>
        </w:tabs>
        <w:numPr>
          <w:ilvl w:val="0"/>
          <w:numId w:val="4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Held by the Company, etc. Whenever the consent or approval of Holders of a specified percentage of principal amount of Securities or New Securities is required hereunder, Securities or New Securities, as applicable, held by the Company, the Guarantors or their respective Affiliates (other than subsequent Holders of Securities or New Securities if such subsequent Holders are deemed to be Affiliates solely by reason of their holdings of such Securities or New Securities) shall not be counted in determining whether such consent or approval was given by the Holders of such required percentage.</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81" w:right="1440" w:bottom="1440" w:gutter="0" w:footer="0" w:header="0"/>
        </w:sectPr>
      </w:pPr>
    </w:p>
    <w:bookmarkStart w:id="386" w:name="page387"/>
    <w:bookmarkEnd w:id="386"/>
    <w:p>
      <w:pPr>
        <w:ind w:right="2659" w:firstLine="1135"/>
        <w:spacing w:after="0" w:line="260" w:lineRule="auto"/>
        <w:rPr>
          <w:sz w:val="20"/>
          <w:szCs w:val="20"/>
          <w:color w:val="auto"/>
        </w:rPr>
      </w:pPr>
      <w:r>
        <w:rPr>
          <w:rFonts w:ascii="Courier New" w:cs="Courier New" w:eastAsia="Courier New" w:hAnsi="Courier New"/>
          <w:sz w:val="15"/>
          <w:szCs w:val="15"/>
          <w:color w:val="auto"/>
        </w:rPr>
        <w:t>If the foregoing is in accordance with your understanding of our agreement, please sign and return to us the enclosed duplicate hereof, whereupon this agreement and your acceptance shall represent a binding agreement among the Company, the Guarantors and the several Initial Purchasers.</w:t>
      </w:r>
    </w:p>
    <w:p>
      <w:pPr>
        <w:spacing w:after="0" w:line="16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Very truly yours,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THE SCOTTS COMPANY</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By: /s/ Rebecca J. Bruening</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780"/>
        <w:spacing w:after="0"/>
        <w:tabs>
          <w:tab w:leader="none" w:pos="44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Rebecca J. Bruening</w:t>
      </w:r>
    </w:p>
    <w:p>
      <w:pPr>
        <w:spacing w:after="0" w:line="1" w:lineRule="exact"/>
        <w:rPr>
          <w:sz w:val="20"/>
          <w:szCs w:val="20"/>
          <w:color w:val="auto"/>
        </w:rPr>
      </w:pPr>
    </w:p>
    <w:p>
      <w:pPr>
        <w:ind w:left="3780"/>
        <w:spacing w:after="0"/>
        <w:tabs>
          <w:tab w:leader="none" w:pos="4520" w:val="left"/>
        </w:tabs>
        <w:rPr>
          <w:sz w:val="20"/>
          <w:szCs w:val="20"/>
          <w:color w:val="auto"/>
        </w:rPr>
      </w:pPr>
      <w:r>
        <w:rPr>
          <w:rFonts w:ascii="Courier New" w:cs="Courier New" w:eastAsia="Courier New" w:hAnsi="Courier New"/>
          <w:sz w:val="16"/>
          <w:szCs w:val="16"/>
          <w:color w:val="auto"/>
        </w:rPr>
        <w:t>Title:</w:t>
        <w:tab/>
        <w:t>Vice President and Treasurer</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SCOTTS MANUFACTURING COMPANY</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By: /s/ Rebecca J. Bruening</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780"/>
        <w:spacing w:after="0"/>
        <w:tabs>
          <w:tab w:leader="none" w:pos="44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Rebecca J. Bruening</w:t>
      </w:r>
    </w:p>
    <w:p>
      <w:pPr>
        <w:spacing w:after="0" w:line="1" w:lineRule="exact"/>
        <w:rPr>
          <w:sz w:val="20"/>
          <w:szCs w:val="20"/>
          <w:color w:val="auto"/>
        </w:rPr>
      </w:pPr>
    </w:p>
    <w:p>
      <w:pPr>
        <w:ind w:left="3780"/>
        <w:spacing w:after="0"/>
        <w:tabs>
          <w:tab w:leader="none" w:pos="4520" w:val="left"/>
        </w:tabs>
        <w:rPr>
          <w:sz w:val="20"/>
          <w:szCs w:val="20"/>
          <w:color w:val="auto"/>
        </w:rPr>
      </w:pPr>
      <w:r>
        <w:rPr>
          <w:rFonts w:ascii="Courier New" w:cs="Courier New" w:eastAsia="Courier New" w:hAnsi="Courier New"/>
          <w:sz w:val="16"/>
          <w:szCs w:val="16"/>
          <w:color w:val="auto"/>
        </w:rPr>
        <w:t>Title:</w:t>
        <w:tab/>
        <w:t>Vice President and Treasurer</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SCOTTS PROFESSIONAL PRODUCTS CO.</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By: /s/ Rebecca J. Bruening</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780"/>
        <w:spacing w:after="0"/>
        <w:tabs>
          <w:tab w:leader="none" w:pos="44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Rebecca J. Bruening</w:t>
      </w:r>
    </w:p>
    <w:p>
      <w:pPr>
        <w:spacing w:after="0" w:line="1" w:lineRule="exact"/>
        <w:rPr>
          <w:sz w:val="20"/>
          <w:szCs w:val="20"/>
          <w:color w:val="auto"/>
        </w:rPr>
      </w:pPr>
    </w:p>
    <w:p>
      <w:pPr>
        <w:ind w:left="3780"/>
        <w:spacing w:after="0"/>
        <w:tabs>
          <w:tab w:leader="none" w:pos="4520" w:val="left"/>
        </w:tabs>
        <w:rPr>
          <w:sz w:val="20"/>
          <w:szCs w:val="20"/>
          <w:color w:val="auto"/>
        </w:rPr>
      </w:pPr>
      <w:r>
        <w:rPr>
          <w:rFonts w:ascii="Courier New" w:cs="Courier New" w:eastAsia="Courier New" w:hAnsi="Courier New"/>
          <w:sz w:val="16"/>
          <w:szCs w:val="16"/>
          <w:color w:val="auto"/>
        </w:rPr>
        <w:t>Title:</w:t>
        <w:tab/>
        <w:t>Vice President and Treasurer</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SCOTTS PRODUCTS CO.</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By: /s/ Rebecca J. Bruening</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780"/>
        <w:spacing w:after="0"/>
        <w:tabs>
          <w:tab w:leader="none" w:pos="44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Rebecca J. Bruening</w:t>
      </w:r>
    </w:p>
    <w:p>
      <w:pPr>
        <w:spacing w:after="0" w:line="1" w:lineRule="exact"/>
        <w:rPr>
          <w:sz w:val="20"/>
          <w:szCs w:val="20"/>
          <w:color w:val="auto"/>
        </w:rPr>
      </w:pPr>
    </w:p>
    <w:p>
      <w:pPr>
        <w:ind w:left="3780"/>
        <w:spacing w:after="0"/>
        <w:tabs>
          <w:tab w:leader="none" w:pos="4520" w:val="left"/>
        </w:tabs>
        <w:rPr>
          <w:sz w:val="20"/>
          <w:szCs w:val="20"/>
          <w:color w:val="auto"/>
        </w:rPr>
      </w:pPr>
      <w:r>
        <w:rPr>
          <w:rFonts w:ascii="Courier New" w:cs="Courier New" w:eastAsia="Courier New" w:hAnsi="Courier New"/>
          <w:sz w:val="16"/>
          <w:szCs w:val="16"/>
          <w:color w:val="auto"/>
        </w:rPr>
        <w:t>Title:</w:t>
        <w:tab/>
        <w:t>Vice President and Treasurer</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SCOTTS-SIERRA HORTICULTURAL PRODUCTS</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COMPANY</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By: /s/ Rebecca J. Bruening</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780"/>
        <w:spacing w:after="0"/>
        <w:tabs>
          <w:tab w:leader="none" w:pos="44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Rebecca J. Bruening</w:t>
      </w:r>
    </w:p>
    <w:p>
      <w:pPr>
        <w:spacing w:after="0" w:line="1" w:lineRule="exact"/>
        <w:rPr>
          <w:sz w:val="20"/>
          <w:szCs w:val="20"/>
          <w:color w:val="auto"/>
        </w:rPr>
      </w:pPr>
    </w:p>
    <w:p>
      <w:pPr>
        <w:ind w:left="3780"/>
        <w:spacing w:after="0"/>
        <w:tabs>
          <w:tab w:leader="none" w:pos="4520" w:val="left"/>
        </w:tabs>
        <w:rPr>
          <w:sz w:val="20"/>
          <w:szCs w:val="20"/>
          <w:color w:val="auto"/>
        </w:rPr>
      </w:pPr>
      <w:r>
        <w:rPr>
          <w:rFonts w:ascii="Courier New" w:cs="Courier New" w:eastAsia="Courier New" w:hAnsi="Courier New"/>
          <w:sz w:val="16"/>
          <w:szCs w:val="16"/>
          <w:color w:val="auto"/>
        </w:rPr>
        <w:t>Title:</w:t>
        <w:tab/>
        <w:t>Vice President and Treasurer</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OMS INVESTMENTS, INC.</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By: /s/ Rebecca J. Bruening</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780"/>
        <w:spacing w:after="0"/>
        <w:tabs>
          <w:tab w:leader="none" w:pos="44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Rebecca J. Bruening</w:t>
      </w:r>
    </w:p>
    <w:p>
      <w:pPr>
        <w:spacing w:after="0" w:line="1" w:lineRule="exact"/>
        <w:rPr>
          <w:sz w:val="20"/>
          <w:szCs w:val="20"/>
          <w:color w:val="auto"/>
        </w:rPr>
      </w:pPr>
    </w:p>
    <w:p>
      <w:pPr>
        <w:ind w:left="3780"/>
        <w:spacing w:after="0"/>
        <w:tabs>
          <w:tab w:leader="none" w:pos="4520" w:val="left"/>
        </w:tabs>
        <w:rPr>
          <w:sz w:val="20"/>
          <w:szCs w:val="20"/>
          <w:color w:val="auto"/>
        </w:rPr>
      </w:pPr>
      <w:r>
        <w:rPr>
          <w:rFonts w:ascii="Courier New" w:cs="Courier New" w:eastAsia="Courier New" w:hAnsi="Courier New"/>
          <w:sz w:val="16"/>
          <w:szCs w:val="16"/>
          <w:color w:val="auto"/>
        </w:rPr>
        <w:t>Title:</w:t>
        <w:tab/>
        <w:t>Vice President and Treasurer</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81" w:right="1440" w:bottom="1440" w:gutter="0" w:footer="0" w:header="0"/>
        </w:sectPr>
      </w:pPr>
    </w:p>
    <w:bookmarkStart w:id="387" w:name="page388"/>
    <w:bookmarkEnd w:id="387"/>
    <w:p>
      <w:pPr>
        <w:ind w:left="2400"/>
        <w:spacing w:after="0"/>
        <w:rPr>
          <w:sz w:val="20"/>
          <w:szCs w:val="20"/>
          <w:color w:val="auto"/>
        </w:rPr>
      </w:pPr>
      <w:r>
        <w:rPr>
          <w:rFonts w:ascii="Courier New" w:cs="Courier New" w:eastAsia="Courier New" w:hAnsi="Courier New"/>
          <w:sz w:val="16"/>
          <w:szCs w:val="16"/>
          <w:color w:val="auto"/>
        </w:rPr>
        <w:t>HYPONEX CORPORATION</w:t>
      </w:r>
    </w:p>
    <w:p>
      <w:pPr>
        <w:spacing w:after="0" w:line="183"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By: /s/ Rebecca J. Bruening</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580"/>
        <w:spacing w:after="0"/>
        <w:tabs>
          <w:tab w:leader="none" w:pos="32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Rebecca J. Bruening</w:t>
      </w:r>
    </w:p>
    <w:p>
      <w:pPr>
        <w:spacing w:after="0" w:line="5" w:lineRule="exact"/>
        <w:rPr>
          <w:sz w:val="20"/>
          <w:szCs w:val="20"/>
          <w:color w:val="auto"/>
        </w:rPr>
      </w:pPr>
    </w:p>
    <w:p>
      <w:pPr>
        <w:ind w:left="2580"/>
        <w:spacing w:after="0"/>
        <w:tabs>
          <w:tab w:leader="none" w:pos="3320" w:val="left"/>
        </w:tabs>
        <w:rPr>
          <w:sz w:val="20"/>
          <w:szCs w:val="20"/>
          <w:color w:val="auto"/>
        </w:rPr>
      </w:pPr>
      <w:r>
        <w:rPr>
          <w:rFonts w:ascii="Courier New" w:cs="Courier New" w:eastAsia="Courier New" w:hAnsi="Courier New"/>
          <w:sz w:val="15"/>
          <w:szCs w:val="15"/>
          <w:color w:val="auto"/>
        </w:rPr>
        <w:t>Title:</w:t>
        <w:tab/>
        <w:t>Vice President and Treasurer</w:t>
      </w:r>
    </w:p>
    <w:p>
      <w:pPr>
        <w:spacing w:after="0" w:line="190"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SWISS FARMS PRODUCTS, INC.</w:t>
      </w:r>
    </w:p>
    <w:p>
      <w:pPr>
        <w:spacing w:after="0" w:line="183"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By: /s/ Rebecca J. Bruening</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580"/>
        <w:spacing w:after="0"/>
        <w:tabs>
          <w:tab w:leader="none" w:pos="32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Rebecca J. Bruening</w:t>
      </w:r>
    </w:p>
    <w:p>
      <w:pPr>
        <w:spacing w:after="0" w:line="5" w:lineRule="exact"/>
        <w:rPr>
          <w:sz w:val="20"/>
          <w:szCs w:val="20"/>
          <w:color w:val="auto"/>
        </w:rPr>
      </w:pPr>
    </w:p>
    <w:p>
      <w:pPr>
        <w:ind w:left="2580"/>
        <w:spacing w:after="0"/>
        <w:tabs>
          <w:tab w:leader="none" w:pos="3320" w:val="left"/>
        </w:tabs>
        <w:rPr>
          <w:sz w:val="20"/>
          <w:szCs w:val="20"/>
          <w:color w:val="auto"/>
        </w:rPr>
      </w:pPr>
      <w:r>
        <w:rPr>
          <w:rFonts w:ascii="Courier New" w:cs="Courier New" w:eastAsia="Courier New" w:hAnsi="Courier New"/>
          <w:sz w:val="15"/>
          <w:szCs w:val="15"/>
          <w:color w:val="auto"/>
        </w:rPr>
        <w:t>Title:</w:t>
        <w:tab/>
        <w:t>Vice President and Treasurer</w:t>
      </w:r>
    </w:p>
    <w:p>
      <w:pPr>
        <w:spacing w:after="0" w:line="190"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SCOTTS TEMECULA OPERATIONS, LLC</w:t>
      </w:r>
    </w:p>
    <w:p>
      <w:pPr>
        <w:spacing w:after="0" w:line="183"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By: /s/ Rebecca J. Bruening</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580"/>
        <w:spacing w:after="0"/>
        <w:tabs>
          <w:tab w:leader="none" w:pos="32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Rebecca J. Bruening</w:t>
      </w:r>
    </w:p>
    <w:p>
      <w:pPr>
        <w:spacing w:after="0" w:line="5" w:lineRule="exact"/>
        <w:rPr>
          <w:sz w:val="20"/>
          <w:szCs w:val="20"/>
          <w:color w:val="auto"/>
        </w:rPr>
      </w:pPr>
    </w:p>
    <w:p>
      <w:pPr>
        <w:ind w:left="2580"/>
        <w:spacing w:after="0"/>
        <w:tabs>
          <w:tab w:leader="none" w:pos="3320" w:val="left"/>
        </w:tabs>
        <w:rPr>
          <w:sz w:val="20"/>
          <w:szCs w:val="20"/>
          <w:color w:val="auto"/>
        </w:rPr>
      </w:pPr>
      <w:r>
        <w:rPr>
          <w:rFonts w:ascii="Courier New" w:cs="Courier New" w:eastAsia="Courier New" w:hAnsi="Courier New"/>
          <w:sz w:val="15"/>
          <w:szCs w:val="15"/>
          <w:color w:val="auto"/>
        </w:rPr>
        <w:t>Title:</w:t>
        <w:tab/>
        <w:t>Vice President and Treasurer</w:t>
      </w:r>
    </w:p>
    <w:p>
      <w:pPr>
        <w:spacing w:after="0" w:line="190"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SCOTTS-SIERRA INVESTMENTS, INC.</w:t>
      </w:r>
    </w:p>
    <w:p>
      <w:pPr>
        <w:spacing w:after="0" w:line="183"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By: /s/ Rebecca J. Bruening</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580"/>
        <w:spacing w:after="0"/>
        <w:tabs>
          <w:tab w:leader="none" w:pos="32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Rebecca J. Bruening</w:t>
      </w:r>
    </w:p>
    <w:p>
      <w:pPr>
        <w:spacing w:after="0" w:line="5" w:lineRule="exact"/>
        <w:rPr>
          <w:sz w:val="20"/>
          <w:szCs w:val="20"/>
          <w:color w:val="auto"/>
        </w:rPr>
      </w:pPr>
    </w:p>
    <w:p>
      <w:pPr>
        <w:ind w:left="2580"/>
        <w:spacing w:after="0"/>
        <w:tabs>
          <w:tab w:leader="none" w:pos="3320" w:val="left"/>
        </w:tabs>
        <w:rPr>
          <w:sz w:val="20"/>
          <w:szCs w:val="20"/>
          <w:color w:val="auto"/>
        </w:rPr>
      </w:pPr>
      <w:r>
        <w:rPr>
          <w:rFonts w:ascii="Courier New" w:cs="Courier New" w:eastAsia="Courier New" w:hAnsi="Courier New"/>
          <w:sz w:val="15"/>
          <w:szCs w:val="15"/>
          <w:color w:val="auto"/>
        </w:rPr>
        <w:t>Title:</w:t>
        <w:tab/>
        <w:t>Vice President and Treasurer</w:t>
      </w:r>
    </w:p>
    <w:p>
      <w:pPr>
        <w:spacing w:after="0" w:line="190"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SCOTTS-SIERRA CROP PROTECTION COMPANY</w:t>
      </w:r>
    </w:p>
    <w:p>
      <w:pPr>
        <w:spacing w:after="0" w:line="183"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By: /s/ Rebecca J. Bruening</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580"/>
        <w:spacing w:after="0"/>
        <w:tabs>
          <w:tab w:leader="none" w:pos="32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Rebecca J. Bruening</w:t>
      </w:r>
    </w:p>
    <w:p>
      <w:pPr>
        <w:spacing w:after="0" w:line="5" w:lineRule="exact"/>
        <w:rPr>
          <w:sz w:val="20"/>
          <w:szCs w:val="20"/>
          <w:color w:val="auto"/>
        </w:rPr>
      </w:pPr>
    </w:p>
    <w:p>
      <w:pPr>
        <w:ind w:left="2580"/>
        <w:spacing w:after="0"/>
        <w:tabs>
          <w:tab w:leader="none" w:pos="3320" w:val="left"/>
        </w:tabs>
        <w:rPr>
          <w:sz w:val="20"/>
          <w:szCs w:val="20"/>
          <w:color w:val="auto"/>
        </w:rPr>
      </w:pPr>
      <w:r>
        <w:rPr>
          <w:rFonts w:ascii="Courier New" w:cs="Courier New" w:eastAsia="Courier New" w:hAnsi="Courier New"/>
          <w:sz w:val="15"/>
          <w:szCs w:val="15"/>
          <w:color w:val="auto"/>
        </w:rPr>
        <w:t>Title:</w:t>
        <w:tab/>
        <w:t>Vice President and Treasurer</w:t>
      </w:r>
    </w:p>
    <w:p>
      <w:pPr>
        <w:spacing w:after="0" w:line="190"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MIRACLE-GRO LAWN PRODUCTS, INC.</w:t>
      </w:r>
    </w:p>
    <w:p>
      <w:pPr>
        <w:spacing w:after="0" w:line="183"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By: /s/ Rebecca J. Bruening</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580"/>
        <w:spacing w:after="0"/>
        <w:tabs>
          <w:tab w:leader="none" w:pos="32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Rebecca J. Bruening</w:t>
      </w:r>
    </w:p>
    <w:p>
      <w:pPr>
        <w:spacing w:after="0" w:line="5" w:lineRule="exact"/>
        <w:rPr>
          <w:sz w:val="20"/>
          <w:szCs w:val="20"/>
          <w:color w:val="auto"/>
        </w:rPr>
      </w:pPr>
    </w:p>
    <w:p>
      <w:pPr>
        <w:ind w:left="2580"/>
        <w:spacing w:after="0"/>
        <w:tabs>
          <w:tab w:leader="none" w:pos="3320" w:val="left"/>
        </w:tabs>
        <w:rPr>
          <w:sz w:val="20"/>
          <w:szCs w:val="20"/>
          <w:color w:val="auto"/>
        </w:rPr>
      </w:pPr>
      <w:r>
        <w:rPr>
          <w:rFonts w:ascii="Courier New" w:cs="Courier New" w:eastAsia="Courier New" w:hAnsi="Courier New"/>
          <w:sz w:val="15"/>
          <w:szCs w:val="15"/>
          <w:color w:val="auto"/>
        </w:rPr>
        <w:t>Title:</w:t>
        <w:tab/>
        <w:t>Vice President and Treasurer</w:t>
      </w:r>
    </w:p>
    <w:p>
      <w:pPr>
        <w:spacing w:after="0" w:line="37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9019"/>
          </w:cols>
          <w:pgMar w:left="1440" w:top="477" w:right="1440" w:bottom="1440" w:gutter="0" w:footer="0" w:header="0"/>
        </w:sectPr>
      </w:pPr>
    </w:p>
    <w:bookmarkStart w:id="388" w:name="page389"/>
    <w:bookmarkEnd w:id="388"/>
    <w:p>
      <w:pPr>
        <w:ind w:left="3600"/>
        <w:spacing w:after="0"/>
        <w:rPr>
          <w:sz w:val="20"/>
          <w:szCs w:val="20"/>
          <w:color w:val="auto"/>
        </w:rPr>
      </w:pPr>
      <w:r>
        <w:rPr>
          <w:rFonts w:ascii="Courier New" w:cs="Courier New" w:eastAsia="Courier New" w:hAnsi="Courier New"/>
          <w:sz w:val="16"/>
          <w:szCs w:val="16"/>
          <w:color w:val="auto"/>
        </w:rPr>
        <w:t>EG SYSTEMS, INC. (D/B/A SCOTTS</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LAWNSERVICE)</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By: /s/ Rebecca J. Bruening</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780"/>
        <w:spacing w:after="0"/>
        <w:tabs>
          <w:tab w:leader="none" w:pos="44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Rebecca J. Bruening</w:t>
      </w:r>
    </w:p>
    <w:p>
      <w:pPr>
        <w:spacing w:after="0" w:line="1" w:lineRule="exact"/>
        <w:rPr>
          <w:sz w:val="20"/>
          <w:szCs w:val="20"/>
          <w:color w:val="auto"/>
        </w:rPr>
      </w:pPr>
    </w:p>
    <w:p>
      <w:pPr>
        <w:ind w:left="3780"/>
        <w:spacing w:after="0"/>
        <w:tabs>
          <w:tab w:leader="none" w:pos="4520" w:val="left"/>
        </w:tabs>
        <w:rPr>
          <w:sz w:val="20"/>
          <w:szCs w:val="20"/>
          <w:color w:val="auto"/>
        </w:rPr>
      </w:pPr>
      <w:r>
        <w:rPr>
          <w:rFonts w:ascii="Courier New" w:cs="Courier New" w:eastAsia="Courier New" w:hAnsi="Courier New"/>
          <w:sz w:val="16"/>
          <w:szCs w:val="16"/>
          <w:color w:val="auto"/>
        </w:rPr>
        <w:t>Title:</w:t>
        <w:tab/>
        <w:t>Vice President and Treasurer</w:t>
      </w:r>
    </w:p>
    <w:p>
      <w:pPr>
        <w:spacing w:after="0" w:line="186"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6"/>
          <w:szCs w:val="16"/>
          <w:color w:val="auto"/>
        </w:rPr>
        <w:t>The foregoing Agreement is hereby confirmed and accepted as of the date first above written.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CITIGROUP GLOBAL MARKETS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BANC OF AMERICA SECURITIES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 MORGAN SECURITIES INC.</w:t>
      </w:r>
    </w:p>
    <w:p>
      <w:pPr>
        <w:sectPr>
          <w:pgSz w:w="11900" w:h="16838" w:orient="portrait"/>
          <w:cols w:equalWidth="0" w:num="1">
            <w:col w:w="10219"/>
          </w:cols>
          <w:pgMar w:left="240" w:top="477"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Citigroup Global Markets Inc.</w:t>
      </w:r>
    </w:p>
    <w:p>
      <w:pPr>
        <w:spacing w:after="0" w:line="190" w:lineRule="exact"/>
        <w:rPr>
          <w:sz w:val="20"/>
          <w:szCs w:val="20"/>
          <w:color w:val="auto"/>
        </w:rPr>
      </w:pPr>
    </w:p>
    <w:p>
      <w:pPr>
        <w:sectPr>
          <w:pgSz w:w="11900" w:h="16838" w:orient="portrait"/>
          <w:cols w:equalWidth="0" w:num="2">
            <w:col w:w="280" w:space="180"/>
            <w:col w:w="9759"/>
          </w:cols>
          <w:pgMar w:left="240" w:top="477"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M. Corey Whisner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M. Corey Whisner</w:t>
      </w:r>
    </w:p>
    <w:p>
      <w:pPr>
        <w:spacing w:after="0" w:line="1"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186" w:lineRule="exact"/>
        <w:rPr>
          <w:sz w:val="20"/>
          <w:szCs w:val="20"/>
          <w:color w:val="auto"/>
        </w:rPr>
      </w:pPr>
    </w:p>
    <w:p>
      <w:pPr>
        <w:sectPr>
          <w:pgSz w:w="11900" w:h="16838" w:orient="portrait"/>
          <w:cols w:equalWidth="0" w:num="2">
            <w:col w:w="180" w:space="380"/>
            <w:col w:w="9659"/>
          </w:cols>
          <w:pgMar w:left="240" w:top="477" w:right="1440" w:bottom="1440" w:gutter="0" w:footer="0" w:header="0"/>
          <w:type w:val="continuous"/>
        </w:sectPr>
      </w:pPr>
    </w:p>
    <w:p>
      <w:pPr>
        <w:ind w:right="2839"/>
        <w:spacing w:after="0" w:line="237" w:lineRule="auto"/>
        <w:rPr>
          <w:sz w:val="20"/>
          <w:szCs w:val="20"/>
          <w:color w:val="auto"/>
        </w:rPr>
      </w:pPr>
      <w:r>
        <w:rPr>
          <w:rFonts w:ascii="Courier New" w:cs="Courier New" w:eastAsia="Courier New" w:hAnsi="Courier New"/>
          <w:sz w:val="16"/>
          <w:szCs w:val="16"/>
          <w:color w:val="auto"/>
        </w:rPr>
        <w:t>For themselves and the other several Initial Purchasers named in Schedule I to the Purchase Agreement.</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477" w:right="1440" w:bottom="1440" w:gutter="0" w:footer="0" w:header="0"/>
          <w:type w:val="continuous"/>
        </w:sectPr>
      </w:pPr>
    </w:p>
    <w:bookmarkStart w:id="389" w:name="page390"/>
    <w:bookmarkEnd w:id="389"/>
    <w:p>
      <w:pPr>
        <w:jc w:val="right"/>
        <w:ind w:right="5959"/>
        <w:spacing w:after="0"/>
        <w:rPr>
          <w:sz w:val="20"/>
          <w:szCs w:val="20"/>
          <w:color w:val="auto"/>
        </w:rPr>
      </w:pPr>
      <w:r>
        <w:rPr>
          <w:rFonts w:ascii="Courier New" w:cs="Courier New" w:eastAsia="Courier New" w:hAnsi="Courier New"/>
          <w:sz w:val="16"/>
          <w:szCs w:val="16"/>
          <w:color w:val="auto"/>
        </w:rPr>
        <w:t>SCHEDULE 1</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Manufacturing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Professional Products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Products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Scotts-Sierra Horticultural Products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OMS Investments,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Hyponex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Swiss Farms Products,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Temecula Operations,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Scotts-Sierra Investments,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Scotts-Sierra Crop Protection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Miracle-Gro Lawn Products,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EG Systems, Inc. (d/b/a Scotts LawnService)</w:t>
      </w:r>
    </w:p>
    <w:p>
      <w:pPr>
        <w:sectPr>
          <w:pgSz w:w="11900" w:h="16838" w:orient="portrait"/>
          <w:cols w:equalWidth="0" w:num="1">
            <w:col w:w="10219"/>
          </w:cols>
          <w:pgMar w:left="240" w:top="476" w:right="1440" w:bottom="1440" w:gutter="0" w:footer="0" w:header="0"/>
        </w:sectPr>
      </w:pPr>
    </w:p>
    <w:bookmarkStart w:id="390" w:name="page391"/>
    <w:bookmarkEnd w:id="390"/>
    <w:p>
      <w:pPr>
        <w:ind w:left="3500"/>
        <w:spacing w:after="0"/>
        <w:rPr>
          <w:sz w:val="20"/>
          <w:szCs w:val="20"/>
          <w:color w:val="auto"/>
        </w:rPr>
      </w:pPr>
      <w:r>
        <w:rPr>
          <w:rFonts w:ascii="Courier New" w:cs="Courier New" w:eastAsia="Courier New" w:hAnsi="Courier New"/>
          <w:sz w:val="16"/>
          <w:szCs w:val="16"/>
          <w:color w:val="auto"/>
        </w:rPr>
        <w:t>ANNEX A</w:t>
      </w:r>
    </w:p>
    <w:p>
      <w:pPr>
        <w:spacing w:after="0" w:line="186"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Each broker-dealer that receives new securities for its own account pursuant to the Exchange Offer must acknowledge that it will deliver a prospectus in connection with any resale of such new securities. The Letter of Transmittal states that by so acknowledging and by delivering a prospectus, a broker-dealer will not be deemed to admit that it is an "underwriter" within the meaning of the Act. This prospectus, as it may be amended or supplemented from time to time, may be used by a broker-dealer in connection with resales of new securities received in exchange for securities where such securities were acquired by such broker-dealer as a result of market-making activities or other trading activities. The company has agreed that, starting on the expiration date and ending on the close of business one year after the expiration date, it will make this prospectus available to any broker-dealer for use in connection with any such resale. See "Plan of Distribution".</w:t>
      </w:r>
    </w:p>
    <w:p>
      <w:pPr>
        <w:sectPr>
          <w:pgSz w:w="11900" w:h="16838" w:orient="portrait"/>
          <w:cols w:equalWidth="0" w:num="1">
            <w:col w:w="10219"/>
          </w:cols>
          <w:pgMar w:left="240" w:top="477" w:right="1440" w:bottom="1440" w:gutter="0" w:footer="0" w:header="0"/>
        </w:sectPr>
      </w:pPr>
    </w:p>
    <w:bookmarkStart w:id="391" w:name="page392"/>
    <w:bookmarkEnd w:id="391"/>
    <w:p>
      <w:pPr>
        <w:ind w:left="3500"/>
        <w:spacing w:after="0"/>
        <w:rPr>
          <w:sz w:val="20"/>
          <w:szCs w:val="20"/>
          <w:color w:val="auto"/>
        </w:rPr>
      </w:pPr>
      <w:r>
        <w:rPr>
          <w:rFonts w:ascii="Courier New" w:cs="Courier New" w:eastAsia="Courier New" w:hAnsi="Courier New"/>
          <w:sz w:val="16"/>
          <w:szCs w:val="16"/>
          <w:color w:val="auto"/>
        </w:rPr>
        <w:t>ANNEX B</w:t>
      </w:r>
    </w:p>
    <w:p>
      <w:pPr>
        <w:spacing w:after="0" w:line="186"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Each broker-dealer that receives new securities for its own account in exchange for securities, where such securities were acquired by such broker-dealer as a result of market-making activities or other trading activities, must acknowledge that it will deliver a prospectus in connection with any resale of such new securities. See "Plan of Distribution".</w:t>
      </w:r>
    </w:p>
    <w:p>
      <w:pPr>
        <w:sectPr>
          <w:pgSz w:w="11900" w:h="16838" w:orient="portrait"/>
          <w:cols w:equalWidth="0" w:num="1">
            <w:col w:w="10219"/>
          </w:cols>
          <w:pgMar w:left="240" w:top="477" w:right="1440" w:bottom="1440" w:gutter="0" w:footer="0" w:header="0"/>
        </w:sectPr>
      </w:pPr>
    </w:p>
    <w:bookmarkStart w:id="392" w:name="page393"/>
    <w:bookmarkEnd w:id="392"/>
    <w:p>
      <w:pPr>
        <w:ind w:left="3500"/>
        <w:spacing w:after="0"/>
        <w:rPr>
          <w:sz w:val="20"/>
          <w:szCs w:val="20"/>
          <w:color w:val="auto"/>
        </w:rPr>
      </w:pPr>
      <w:r>
        <w:rPr>
          <w:rFonts w:ascii="Courier New" w:cs="Courier New" w:eastAsia="Courier New" w:hAnsi="Courier New"/>
          <w:sz w:val="16"/>
          <w:szCs w:val="16"/>
          <w:color w:val="auto"/>
        </w:rPr>
        <w:t>ANNEX C</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PLAN OF DISTRIBUTION</w:t>
      </w:r>
    </w:p>
    <w:p>
      <w:pPr>
        <w:spacing w:after="0" w:line="186"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Each broker-dealer that receives new securities for its own account pursuant to the Exchange Offer must acknowledge that it will deliver a prospectus in connection with any resale of such new securities. This prospectus, as it may be amended or supplemented from time to time, may be used by a broker-dealer in connection with resales of new securities received in exchange for securities where such securities were acquired as a result of market-making activities or other trading activities. The company has agreed that, starting on the expiration date and ending on the close of business one year after the expiration date, it will make this prospectus, as amended or supplemented, available to any broker-dealer for use in connection with any such resale. In addition, until [ ], 2003, all dealers effecting transactions in the new securities may be required to deliver a prospectus.</w:t>
      </w:r>
    </w:p>
    <w:p>
      <w:pPr>
        <w:spacing w:after="0" w:line="189"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The company will not receive any proceeds from any sale of new securities by brokers-dealers. New securities received by broker-dealers for their own account pursuant to the Exchange Offer may be sold from time to time in one or more transactions in the over-the-counter market, in negotiated transactions, through the writing of options on the new securities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and/or the purchasers of any such new securities. Any broker-dealer that resales new securities that were received by it for its own account pursuant to the Exchange Offer and any broker or dealer that participates in a distribution of such new securities may be deemed to be an "underwriter" within the meaning of the Act and any profit of any such resale of new securities and any commissions or concessions received by any such persons may be deemed to be underwriting compensation under the Act. The Letter of Transmittal states that by acknowledging that it will deliver and by delivering a prospectus, a broker-dealer will not be deemed to admit that it is an "underwriter" within the meaning of the Act.</w:t>
      </w:r>
    </w:p>
    <w:p>
      <w:pPr>
        <w:spacing w:after="0" w:line="194"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For a period of one year after the expiration date, the company will promptly send additional copies of this prospectus and any amendment or supplement to this prospectus to any broker-dealer that requests such documents in the Letter of Transmittal. The company has agreed to pay all expenses incident to the Exchange Offer (including the expenses of one counsel for the holder of the securities) other than commissions or concessions of any brokers or dealers and will indemnify the holders of the securities (including any broker-dealers) against certain liabilities, including liabilities under the Act.</w:t>
      </w:r>
    </w:p>
    <w:p>
      <w:pPr>
        <w:spacing w:after="0" w:line="184"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[If applicable, add information required by Regulation S-K Items 507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and/or 508.]</w:t>
      </w:r>
    </w:p>
    <w:p>
      <w:pPr>
        <w:sectPr>
          <w:pgSz w:w="11900" w:h="16838" w:orient="portrait"/>
          <w:cols w:equalWidth="0" w:num="1">
            <w:col w:w="10219"/>
          </w:cols>
          <w:pgMar w:left="240" w:top="476" w:right="1440" w:bottom="1440" w:gutter="0" w:footer="0" w:header="0"/>
        </w:sectPr>
      </w:pPr>
    </w:p>
    <w:bookmarkStart w:id="393" w:name="page394"/>
    <w:bookmarkEnd w:id="393"/>
    <w:p>
      <w:pPr>
        <w:ind w:left="3500"/>
        <w:spacing w:after="0"/>
        <w:rPr>
          <w:sz w:val="20"/>
          <w:szCs w:val="20"/>
          <w:color w:val="auto"/>
        </w:rPr>
      </w:pPr>
      <w:r>
        <w:rPr>
          <w:rFonts w:ascii="Courier New" w:cs="Courier New" w:eastAsia="Courier New" w:hAnsi="Courier New"/>
          <w:sz w:val="16"/>
          <w:szCs w:val="16"/>
          <w:color w:val="auto"/>
        </w:rPr>
        <w:t>ANNEX 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Rider A</w:t>
      </w:r>
    </w:p>
    <w:p>
      <w:pPr>
        <w:spacing w:after="0" w:line="186"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6"/>
          <w:szCs w:val="16"/>
          <w:color w:val="auto"/>
        </w:rPr>
        <w:t>PLEASE FILL IN YOUR NAME AND ADDRESS BELOW IF YOU ARE A BROKER-DEALER AND WISH TO RECEIVE 10 ADDITIONAL COPIES OF THE PROSPECTUS AND 10 COPIES OF ANY AMENDMENTS OR SUPPLEMENTS THERETO.</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1"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Rider B</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If the undersigned is not a Broker-Dealer, the undersigned represents that it acquired the New Securities in the ordinary course of its business, it is not engaged in, and does not intend to engage in, a distribution of New Securities and it has no arrangements or understandings with any person to participate in a distribution of the New Securities. If the undersigned is a Broker-Dealer that will receive New Securities for its own account in exchange for Securities, it represents that the Securities to be exchange for New Securities were acquired by it as a result of market-making activities or other trading activities and acknowledges that it will deliver a prospectus in connection with any resale of such New Securities; however, by so acknowledging and by delivering a prospectus, the undersigned will not be deemed to admit that it is an "underwriter" within the meaning of the Act.</w:t>
      </w:r>
    </w:p>
    <w:p>
      <w:pPr>
        <w:sectPr>
          <w:pgSz w:w="11900" w:h="16838" w:orient="portrait"/>
          <w:cols w:equalWidth="0" w:num="1">
            <w:col w:w="10219"/>
          </w:cols>
          <w:pgMar w:left="240" w:top="476" w:right="1440" w:bottom="1440" w:gutter="0" w:footer="0" w:header="0"/>
        </w:sectPr>
      </w:pPr>
    </w:p>
    <w:bookmarkStart w:id="394" w:name="page395"/>
    <w:bookmarkEnd w:id="394"/>
    <w:p>
      <w:pPr>
        <w:ind w:left="6343"/>
        <w:spacing w:after="0"/>
        <w:rPr>
          <w:sz w:val="20"/>
          <w:szCs w:val="20"/>
          <w:color w:val="auto"/>
        </w:rPr>
      </w:pPr>
      <w:r>
        <w:rPr>
          <w:rFonts w:ascii="Courier New" w:cs="Courier New" w:eastAsia="Courier New" w:hAnsi="Courier New"/>
          <w:sz w:val="16"/>
          <w:szCs w:val="16"/>
          <w:color w:val="auto"/>
        </w:rPr>
        <w:t>EXHIBIT 4(p)</w:t>
      </w:r>
    </w:p>
    <w:p>
      <w:pPr>
        <w:spacing w:after="0" w:line="186" w:lineRule="exact"/>
        <w:rPr>
          <w:sz w:val="20"/>
          <w:szCs w:val="20"/>
          <w:color w:val="auto"/>
        </w:rPr>
      </w:pPr>
    </w:p>
    <w:p>
      <w:pPr>
        <w:ind w:left="183" w:hanging="183"/>
        <w:spacing w:after="0"/>
        <w:tabs>
          <w:tab w:leader="none" w:pos="183" w:val="left"/>
        </w:tabs>
        <w:numPr>
          <w:ilvl w:val="0"/>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9" w:lineRule="exact"/>
        <w:rPr>
          <w:rFonts w:ascii="Courier New" w:cs="Courier New" w:eastAsia="Courier New" w:hAnsi="Courier New"/>
          <w:sz w:val="15"/>
          <w:szCs w:val="15"/>
          <w:color w:val="auto"/>
        </w:rPr>
      </w:pPr>
    </w:p>
    <w:p>
      <w:pPr>
        <w:ind w:left="170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SECOND AMENDED AND RESTATED CREDIT AGREEMENT</w:t>
      </w:r>
    </w:p>
    <w:p>
      <w:pPr>
        <w:spacing w:after="0" w:line="183"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among</w:t>
      </w:r>
    </w:p>
    <w:p>
      <w:pPr>
        <w:spacing w:after="0" w:line="183"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as Borrower</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The Subsidiary Borrowers From Time to Time Party Hereto,</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The Several Lenders From Time to Time Party Hereto</w:t>
      </w:r>
    </w:p>
    <w:p>
      <w:pPr>
        <w:spacing w:after="0" w:line="18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and</w:t>
      </w:r>
    </w:p>
    <w:p>
      <w:pPr>
        <w:spacing w:after="0" w:line="183"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JPMORGAN CHASE BANK,</w:t>
      </w:r>
    </w:p>
    <w:p>
      <w:pPr>
        <w:spacing w:after="0" w:line="1"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as Administrative Agent</w:t>
      </w:r>
    </w:p>
    <w:p>
      <w:pPr>
        <w:spacing w:after="0" w:line="183"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and</w:t>
      </w:r>
    </w:p>
    <w:p>
      <w:pPr>
        <w:spacing w:after="0" w:line="183"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CITICORP NORTH AMERICA, INC.,</w:t>
      </w:r>
    </w:p>
    <w:p>
      <w:pPr>
        <w:spacing w:after="0" w:line="183"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as Syndication Agent</w:t>
      </w:r>
    </w:p>
    <w:p>
      <w:pPr>
        <w:spacing w:after="0" w:line="18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and</w:t>
      </w:r>
    </w:p>
    <w:p>
      <w:pPr>
        <w:spacing w:after="0" w:line="183"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BANK OF AMERICA, N.A.</w:t>
      </w:r>
    </w:p>
    <w:p>
      <w:pPr>
        <w:spacing w:after="0" w:line="183"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and</w:t>
      </w:r>
    </w:p>
    <w:p>
      <w:pPr>
        <w:spacing w:after="0" w:line="183"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BANK ONE, NA,</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as Co-Documentation Agents</w:t>
      </w:r>
    </w:p>
    <w:p>
      <w:pPr>
        <w:spacing w:after="0" w:line="183"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and</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THE OTHER AGENTS</w:t>
      </w:r>
    </w:p>
    <w:p>
      <w:pPr>
        <w:spacing w:after="0" w:line="183" w:lineRule="exact"/>
        <w:rPr>
          <w:sz w:val="20"/>
          <w:szCs w:val="20"/>
          <w:color w:val="auto"/>
        </w:rPr>
      </w:pPr>
    </w:p>
    <w:p>
      <w:pPr>
        <w:ind w:left="256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Dated as of October 22, 2003</w:t>
      </w:r>
    </w:p>
    <w:p>
      <w:pPr>
        <w:spacing w:after="0" w:line="183" w:lineRule="exact"/>
        <w:rPr>
          <w:sz w:val="20"/>
          <w:szCs w:val="20"/>
          <w:color w:val="auto"/>
        </w:rPr>
      </w:pPr>
    </w:p>
    <w:p>
      <w:pPr>
        <w:ind w:left="2563"/>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J.P. MORGAN SECURITIES INC.,</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as Sole Lead Arranger and as Sole Bookrunner</w:t>
      </w:r>
    </w:p>
    <w:p>
      <w:pPr>
        <w:sectPr>
          <w:pgSz w:w="11900" w:h="16838" w:orient="portrait"/>
          <w:cols w:equalWidth="0" w:num="1">
            <w:col w:w="10222"/>
          </w:cols>
          <w:pgMar w:left="237" w:top="320" w:right="1440" w:bottom="1440" w:gutter="0" w:footer="0" w:header="0"/>
        </w:sectPr>
      </w:pPr>
    </w:p>
    <w:bookmarkStart w:id="395" w:name="page396"/>
    <w:bookmarkEnd w:id="395"/>
    <w:tbl>
      <w:tblPr>
        <w:tblLayout w:type="fixed"/>
        <w:tblInd w:w="0" w:type="dxa"/>
        <w:tblCellMar>
          <w:top w:w="0" w:type="dxa"/>
          <w:left w:w="0" w:type="dxa"/>
          <w:bottom w:w="0" w:type="dxa"/>
          <w:right w:w="0" w:type="dxa"/>
        </w:tblCellMar>
      </w:tblPr>
      <w:tr>
        <w:trPr>
          <w:trHeight w:val="181"/>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60" w:type="dxa"/>
            <w:vAlign w:val="bottom"/>
          </w:tcPr>
          <w:p>
            <w:pPr>
              <w:jc w:val="right"/>
              <w:ind w:right="5061"/>
              <w:spacing w:after="0"/>
              <w:rPr>
                <w:sz w:val="20"/>
                <w:szCs w:val="20"/>
                <w:color w:val="auto"/>
              </w:rPr>
            </w:pPr>
            <w:r>
              <w:rPr>
                <w:rFonts w:ascii="Courier New" w:cs="Courier New" w:eastAsia="Courier New" w:hAnsi="Courier New"/>
                <w:sz w:val="16"/>
                <w:szCs w:val="16"/>
                <w:color w:val="auto"/>
              </w:rPr>
              <w:t>TABLE OF CONTENTS</w:t>
            </w:r>
          </w:p>
        </w:tc>
        <w:tc>
          <w:tcPr>
            <w:tcW w:w="620" w:type="dxa"/>
            <w:vAlign w:val="bottom"/>
          </w:tcPr>
          <w:p>
            <w:pPr>
              <w:spacing w:after="0"/>
              <w:rPr>
                <w:sz w:val="15"/>
                <w:szCs w:val="15"/>
                <w:color w:val="auto"/>
              </w:rPr>
            </w:pPr>
          </w:p>
        </w:tc>
      </w:tr>
      <w:tr>
        <w:trPr>
          <w:trHeight w:val="728"/>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364"/>
        </w:trPr>
        <w:tc>
          <w:tcPr>
            <w:tcW w:w="1280" w:type="dxa"/>
            <w:vAlign w:val="bottom"/>
          </w:tcPr>
          <w:p>
            <w:pPr>
              <w:spacing w:after="0"/>
              <w:rPr>
                <w:sz w:val="20"/>
                <w:szCs w:val="20"/>
                <w:color w:val="auto"/>
              </w:rPr>
            </w:pPr>
            <w:r>
              <w:rPr>
                <w:rFonts w:ascii="Courier New" w:cs="Courier New" w:eastAsia="Courier New" w:hAnsi="Courier New"/>
                <w:sz w:val="16"/>
                <w:szCs w:val="16"/>
                <w:color w:val="auto"/>
              </w:rPr>
              <w:t>SECTION 1.</w:t>
            </w:r>
          </w:p>
        </w:tc>
        <w:tc>
          <w:tcPr>
            <w:tcW w:w="40" w:type="dxa"/>
            <w:vAlign w:val="bottom"/>
          </w:tcPr>
          <w:p>
            <w:pPr>
              <w:spacing w:after="0"/>
              <w:rPr>
                <w:sz w:val="24"/>
                <w:szCs w:val="24"/>
                <w:color w:val="auto"/>
              </w:rPr>
            </w:pP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DEFINITIONS...............................................................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1.1</w:t>
            </w:r>
          </w:p>
        </w:tc>
        <w:tc>
          <w:tcPr>
            <w:tcW w:w="40" w:type="dxa"/>
            <w:vAlign w:val="bottom"/>
          </w:tcPr>
          <w:p>
            <w:pPr>
              <w:spacing w:after="0"/>
              <w:rPr>
                <w:sz w:val="15"/>
                <w:szCs w:val="15"/>
                <w:color w:val="auto"/>
              </w:rPr>
            </w:pP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Defined Terms.........................................................................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1.2</w:t>
            </w:r>
          </w:p>
        </w:tc>
        <w:tc>
          <w:tcPr>
            <w:tcW w:w="40" w:type="dxa"/>
            <w:vAlign w:val="bottom"/>
          </w:tcPr>
          <w:p>
            <w:pPr>
              <w:spacing w:after="0"/>
              <w:rPr>
                <w:sz w:val="15"/>
                <w:szCs w:val="15"/>
                <w:color w:val="auto"/>
              </w:rPr>
            </w:pP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Other Definitional Provisions.........................................................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w:t>
            </w:r>
          </w:p>
        </w:tc>
      </w:tr>
      <w:tr>
        <w:trPr>
          <w:trHeight w:val="364"/>
        </w:trPr>
        <w:tc>
          <w:tcPr>
            <w:tcW w:w="1280" w:type="dxa"/>
            <w:vAlign w:val="bottom"/>
          </w:tcPr>
          <w:p>
            <w:pPr>
              <w:spacing w:after="0"/>
              <w:rPr>
                <w:sz w:val="20"/>
                <w:szCs w:val="20"/>
                <w:color w:val="auto"/>
              </w:rPr>
            </w:pPr>
            <w:r>
              <w:rPr>
                <w:rFonts w:ascii="Courier New" w:cs="Courier New" w:eastAsia="Courier New" w:hAnsi="Courier New"/>
                <w:sz w:val="16"/>
                <w:szCs w:val="16"/>
                <w:color w:val="auto"/>
              </w:rPr>
              <w:t>SECTION 2.</w:t>
            </w:r>
          </w:p>
        </w:tc>
        <w:tc>
          <w:tcPr>
            <w:tcW w:w="40" w:type="dxa"/>
            <w:vAlign w:val="bottom"/>
          </w:tcPr>
          <w:p>
            <w:pPr>
              <w:spacing w:after="0"/>
              <w:rPr>
                <w:sz w:val="24"/>
                <w:szCs w:val="24"/>
                <w:color w:val="auto"/>
              </w:rPr>
            </w:pP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AMOUNT AND TERMS OF LOANS.................................................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2.1</w:t>
            </w:r>
          </w:p>
        </w:tc>
        <w:tc>
          <w:tcPr>
            <w:tcW w:w="40" w:type="dxa"/>
            <w:vAlign w:val="bottom"/>
          </w:tcPr>
          <w:p>
            <w:pPr>
              <w:spacing w:after="0"/>
              <w:rPr>
                <w:sz w:val="15"/>
                <w:szCs w:val="15"/>
                <w:color w:val="auto"/>
              </w:rPr>
            </w:pP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Term Commitments......................................................................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2.2</w:t>
            </w:r>
          </w:p>
        </w:tc>
        <w:tc>
          <w:tcPr>
            <w:tcW w:w="85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9"/>
              </w:rPr>
              <w:t>Procedure for Term Loan Borrowing.....................................................</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2.3</w:t>
            </w:r>
          </w:p>
        </w:tc>
        <w:tc>
          <w:tcPr>
            <w:tcW w:w="40" w:type="dxa"/>
            <w:vAlign w:val="bottom"/>
          </w:tcPr>
          <w:p>
            <w:pPr>
              <w:spacing w:after="0"/>
              <w:rPr>
                <w:sz w:val="15"/>
                <w:szCs w:val="15"/>
                <w:color w:val="auto"/>
              </w:rPr>
            </w:pP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Repayment of Term Loans...............................................................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2.4</w:t>
            </w:r>
          </w:p>
        </w:tc>
        <w:tc>
          <w:tcPr>
            <w:tcW w:w="40" w:type="dxa"/>
            <w:vAlign w:val="bottom"/>
          </w:tcPr>
          <w:p>
            <w:pPr>
              <w:spacing w:after="0"/>
              <w:rPr>
                <w:sz w:val="15"/>
                <w:szCs w:val="15"/>
                <w:color w:val="auto"/>
              </w:rPr>
            </w:pP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Revolving Credit Commitment...........................................................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2.5</w:t>
            </w:r>
          </w:p>
        </w:tc>
        <w:tc>
          <w:tcPr>
            <w:tcW w:w="85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9"/>
              </w:rPr>
              <w:t>Procedure for Revolving Credit Borrowing..............................................</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2.6</w:t>
            </w:r>
          </w:p>
        </w:tc>
        <w:tc>
          <w:tcPr>
            <w:tcW w:w="40" w:type="dxa"/>
            <w:vAlign w:val="bottom"/>
          </w:tcPr>
          <w:p>
            <w:pPr>
              <w:spacing w:after="0"/>
              <w:rPr>
                <w:sz w:val="15"/>
                <w:szCs w:val="15"/>
                <w:color w:val="auto"/>
              </w:rPr>
            </w:pP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Swing Line Commitments................................................................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2.7</w:t>
            </w:r>
          </w:p>
        </w:tc>
        <w:tc>
          <w:tcPr>
            <w:tcW w:w="40" w:type="dxa"/>
            <w:vAlign w:val="bottom"/>
          </w:tcPr>
          <w:p>
            <w:pPr>
              <w:spacing w:after="0"/>
              <w:rPr>
                <w:sz w:val="15"/>
                <w:szCs w:val="15"/>
                <w:color w:val="auto"/>
              </w:rPr>
            </w:pP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Participation.........................................................................</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2.8</w:t>
            </w:r>
          </w:p>
        </w:tc>
        <w:tc>
          <w:tcPr>
            <w:tcW w:w="85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9"/>
              </w:rPr>
              <w:t>Repayment of Revolving Credit Loans; Evidence of Debt.................................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2.9</w:t>
            </w:r>
          </w:p>
        </w:tc>
        <w:tc>
          <w:tcPr>
            <w:tcW w:w="40" w:type="dxa"/>
            <w:vAlign w:val="bottom"/>
          </w:tcPr>
          <w:p>
            <w:pPr>
              <w:spacing w:after="0"/>
              <w:rPr>
                <w:sz w:val="15"/>
                <w:szCs w:val="15"/>
                <w:color w:val="auto"/>
              </w:rPr>
            </w:pP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Facility Fee..........................................................................</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w:t>
            </w:r>
          </w:p>
        </w:tc>
      </w:tr>
      <w:tr>
        <w:trPr>
          <w:trHeight w:val="182"/>
        </w:trPr>
        <w:tc>
          <w:tcPr>
            <w:tcW w:w="132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2.10</w:t>
            </w: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Termination or Reduction of Revolving Credit Commitments.............................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w:t>
            </w:r>
          </w:p>
        </w:tc>
      </w:tr>
      <w:tr>
        <w:trPr>
          <w:trHeight w:val="182"/>
        </w:trPr>
        <w:tc>
          <w:tcPr>
            <w:tcW w:w="132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2.11</w:t>
            </w: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Optional Prepayments.................................................................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w:t>
            </w:r>
          </w:p>
        </w:tc>
      </w:tr>
      <w:tr>
        <w:trPr>
          <w:trHeight w:val="182"/>
        </w:trPr>
        <w:tc>
          <w:tcPr>
            <w:tcW w:w="132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2.12</w:t>
            </w: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Mandatory Prepayments................................................................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w:t>
            </w:r>
          </w:p>
        </w:tc>
      </w:tr>
      <w:tr>
        <w:trPr>
          <w:trHeight w:val="182"/>
        </w:trPr>
        <w:tc>
          <w:tcPr>
            <w:tcW w:w="132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2.13</w:t>
            </w: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Cash Collateralization of Letters of Credit..........................................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w:t>
            </w:r>
          </w:p>
        </w:tc>
      </w:tr>
      <w:tr>
        <w:trPr>
          <w:trHeight w:val="182"/>
        </w:trPr>
        <w:tc>
          <w:tcPr>
            <w:tcW w:w="132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2.14</w:t>
            </w: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Conversion Options...................................................................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w:t>
            </w:r>
          </w:p>
        </w:tc>
      </w:tr>
      <w:tr>
        <w:trPr>
          <w:trHeight w:val="182"/>
        </w:trPr>
        <w:tc>
          <w:tcPr>
            <w:tcW w:w="132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2.15</w:t>
            </w: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Interest Rate and Payment Dates......................................................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w:t>
            </w:r>
          </w:p>
        </w:tc>
      </w:tr>
      <w:tr>
        <w:trPr>
          <w:trHeight w:val="182"/>
        </w:trPr>
        <w:tc>
          <w:tcPr>
            <w:tcW w:w="132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2.16</w:t>
            </w: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Computation of Interest and Fees.....................................................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w:t>
            </w:r>
          </w:p>
        </w:tc>
      </w:tr>
      <w:tr>
        <w:trPr>
          <w:trHeight w:val="182"/>
        </w:trPr>
        <w:tc>
          <w:tcPr>
            <w:tcW w:w="132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2.17</w:t>
            </w: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Inability to Determine Interest Rate.................................................</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w:t>
            </w:r>
          </w:p>
        </w:tc>
      </w:tr>
      <w:tr>
        <w:trPr>
          <w:trHeight w:val="182"/>
        </w:trPr>
        <w:tc>
          <w:tcPr>
            <w:tcW w:w="132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2.18</w:t>
            </w: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Pro Rata Treatment and Payments......................................................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w:t>
            </w:r>
          </w:p>
        </w:tc>
      </w:tr>
      <w:tr>
        <w:trPr>
          <w:trHeight w:val="182"/>
        </w:trPr>
        <w:tc>
          <w:tcPr>
            <w:tcW w:w="132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2.19</w:t>
            </w: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Illegality...........................................................................</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w:t>
            </w:r>
          </w:p>
        </w:tc>
      </w:tr>
      <w:tr>
        <w:trPr>
          <w:trHeight w:val="182"/>
        </w:trPr>
        <w:tc>
          <w:tcPr>
            <w:tcW w:w="132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2.20</w:t>
            </w: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Requirements of Law..................................................................</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w:t>
            </w:r>
          </w:p>
        </w:tc>
      </w:tr>
      <w:tr>
        <w:trPr>
          <w:trHeight w:val="182"/>
        </w:trPr>
        <w:tc>
          <w:tcPr>
            <w:tcW w:w="132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2.21</w:t>
            </w: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Indemnity............................................................................</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w:t>
            </w:r>
          </w:p>
        </w:tc>
      </w:tr>
      <w:tr>
        <w:trPr>
          <w:trHeight w:val="182"/>
        </w:trPr>
        <w:tc>
          <w:tcPr>
            <w:tcW w:w="132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2.22</w:t>
            </w: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Taxes ...............................................................................</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w:t>
            </w:r>
          </w:p>
        </w:tc>
      </w:tr>
      <w:tr>
        <w:trPr>
          <w:trHeight w:val="182"/>
        </w:trPr>
        <w:tc>
          <w:tcPr>
            <w:tcW w:w="132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2.23</w:t>
            </w: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Use of Proceeds......................................................................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w:t>
            </w:r>
          </w:p>
        </w:tc>
      </w:tr>
      <w:tr>
        <w:trPr>
          <w:trHeight w:val="182"/>
        </w:trPr>
        <w:tc>
          <w:tcPr>
            <w:tcW w:w="132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2.24</w:t>
            </w:r>
          </w:p>
        </w:tc>
        <w:tc>
          <w:tcPr>
            <w:tcW w:w="8460" w:type="dxa"/>
            <w:vAlign w:val="bottom"/>
          </w:tcPr>
          <w:p>
            <w:pPr>
              <w:jc w:val="right"/>
              <w:ind w:right="1281"/>
              <w:spacing w:after="0"/>
              <w:rPr>
                <w:sz w:val="20"/>
                <w:szCs w:val="20"/>
                <w:color w:val="auto"/>
              </w:rPr>
            </w:pPr>
            <w:r>
              <w:rPr>
                <w:rFonts w:ascii="Courier New" w:cs="Courier New" w:eastAsia="Courier New" w:hAnsi="Courier New"/>
                <w:sz w:val="16"/>
                <w:szCs w:val="16"/>
                <w:color w:val="auto"/>
              </w:rPr>
              <w:t>Controls on Prepayment if Aggregate Revolving Extensions of Credit Exceed</w:t>
            </w:r>
          </w:p>
        </w:tc>
        <w:tc>
          <w:tcPr>
            <w:tcW w:w="620" w:type="dxa"/>
            <w:vAlign w:val="bottom"/>
          </w:tcPr>
          <w:p>
            <w:pPr>
              <w:spacing w:after="0"/>
              <w:rPr>
                <w:sz w:val="15"/>
                <w:szCs w:val="15"/>
                <w:color w:val="auto"/>
              </w:rPr>
            </w:pPr>
          </w:p>
        </w:tc>
      </w:tr>
      <w:tr>
        <w:trPr>
          <w:trHeight w:val="182"/>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Aggregate Revolving Credit Commitments.............................................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w:t>
            </w:r>
          </w:p>
        </w:tc>
      </w:tr>
      <w:tr>
        <w:trPr>
          <w:trHeight w:val="182"/>
        </w:trPr>
        <w:tc>
          <w:tcPr>
            <w:tcW w:w="132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2.25</w:t>
            </w: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Lending Installations................................................................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w:t>
            </w:r>
          </w:p>
        </w:tc>
      </w:tr>
      <w:tr>
        <w:trPr>
          <w:trHeight w:val="182"/>
        </w:trPr>
        <w:tc>
          <w:tcPr>
            <w:tcW w:w="132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2.26</w:t>
            </w: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Notices to Lenders...................................................................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w:t>
            </w:r>
          </w:p>
        </w:tc>
      </w:tr>
      <w:tr>
        <w:trPr>
          <w:trHeight w:val="182"/>
        </w:trPr>
        <w:tc>
          <w:tcPr>
            <w:tcW w:w="132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2.27</w:t>
            </w: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Revolving Commitment Increases and Changes...........................................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w:t>
            </w:r>
          </w:p>
        </w:tc>
      </w:tr>
      <w:tr>
        <w:trPr>
          <w:trHeight w:val="364"/>
        </w:trPr>
        <w:tc>
          <w:tcPr>
            <w:tcW w:w="1280" w:type="dxa"/>
            <w:vAlign w:val="bottom"/>
          </w:tcPr>
          <w:p>
            <w:pPr>
              <w:spacing w:after="0"/>
              <w:rPr>
                <w:sz w:val="20"/>
                <w:szCs w:val="20"/>
                <w:color w:val="auto"/>
              </w:rPr>
            </w:pPr>
            <w:r>
              <w:rPr>
                <w:rFonts w:ascii="Courier New" w:cs="Courier New" w:eastAsia="Courier New" w:hAnsi="Courier New"/>
                <w:sz w:val="16"/>
                <w:szCs w:val="16"/>
                <w:color w:val="auto"/>
              </w:rPr>
              <w:t>SECTION 3.</w:t>
            </w:r>
          </w:p>
        </w:tc>
        <w:tc>
          <w:tcPr>
            <w:tcW w:w="40" w:type="dxa"/>
            <w:vAlign w:val="bottom"/>
          </w:tcPr>
          <w:p>
            <w:pPr>
              <w:spacing w:after="0"/>
              <w:rPr>
                <w:sz w:val="24"/>
                <w:szCs w:val="24"/>
                <w:color w:val="auto"/>
              </w:rPr>
            </w:pP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LETTER OF CREDIT FACILITIES...............................................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3.1</w:t>
            </w:r>
          </w:p>
        </w:tc>
        <w:tc>
          <w:tcPr>
            <w:tcW w:w="40" w:type="dxa"/>
            <w:vAlign w:val="bottom"/>
          </w:tcPr>
          <w:p>
            <w:pPr>
              <w:spacing w:after="0"/>
              <w:rPr>
                <w:sz w:val="15"/>
                <w:szCs w:val="15"/>
                <w:color w:val="auto"/>
              </w:rPr>
            </w:pP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L/C Commitment........................................................................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3.2</w:t>
            </w:r>
          </w:p>
        </w:tc>
        <w:tc>
          <w:tcPr>
            <w:tcW w:w="85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9"/>
              </w:rPr>
              <w:t>Procedure for Issuance of Letters of Credit...........................................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3.3</w:t>
            </w:r>
          </w:p>
        </w:tc>
        <w:tc>
          <w:tcPr>
            <w:tcW w:w="85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9"/>
              </w:rPr>
              <w:t>Fees, Commissions and Other Charges...................................................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3.4</w:t>
            </w:r>
          </w:p>
        </w:tc>
        <w:tc>
          <w:tcPr>
            <w:tcW w:w="40" w:type="dxa"/>
            <w:vAlign w:val="bottom"/>
          </w:tcPr>
          <w:p>
            <w:pPr>
              <w:spacing w:after="0"/>
              <w:rPr>
                <w:sz w:val="15"/>
                <w:szCs w:val="15"/>
                <w:color w:val="auto"/>
              </w:rPr>
            </w:pP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L/C Participation.....................................................................</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3.5</w:t>
            </w:r>
          </w:p>
        </w:tc>
        <w:tc>
          <w:tcPr>
            <w:tcW w:w="85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9"/>
              </w:rPr>
              <w:t>Reimbursement Obligation of the Borrower..............................................</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3.6</w:t>
            </w:r>
          </w:p>
        </w:tc>
        <w:tc>
          <w:tcPr>
            <w:tcW w:w="40" w:type="dxa"/>
            <w:vAlign w:val="bottom"/>
          </w:tcPr>
          <w:p>
            <w:pPr>
              <w:spacing w:after="0"/>
              <w:rPr>
                <w:sz w:val="15"/>
                <w:szCs w:val="15"/>
                <w:color w:val="auto"/>
              </w:rPr>
            </w:pP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Obligations Absolute..................................................................</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3.7</w:t>
            </w:r>
          </w:p>
        </w:tc>
        <w:tc>
          <w:tcPr>
            <w:tcW w:w="40" w:type="dxa"/>
            <w:vAlign w:val="bottom"/>
          </w:tcPr>
          <w:p>
            <w:pPr>
              <w:spacing w:after="0"/>
              <w:rPr>
                <w:sz w:val="15"/>
                <w:szCs w:val="15"/>
                <w:color w:val="auto"/>
              </w:rPr>
            </w:pPr>
          </w:p>
        </w:tc>
        <w:tc>
          <w:tcPr>
            <w:tcW w:w="846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Increased Costs.......................................................................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w:t>
            </w:r>
          </w:p>
        </w:tc>
      </w:tr>
    </w:tbl>
    <w:p>
      <w:pPr>
        <w:sectPr>
          <w:pgSz w:w="11900" w:h="16838" w:orient="portrait"/>
          <w:cols w:equalWidth="0" w:num="1">
            <w:col w:w="10400"/>
          </w:cols>
          <w:pgMar w:left="240" w:top="477" w:right="1259" w:bottom="1440" w:gutter="0" w:footer="0" w:header="0"/>
        </w:sectPr>
      </w:pPr>
    </w:p>
    <w:bookmarkStart w:id="396" w:name="page397"/>
    <w:bookmarkEnd w:id="396"/>
    <w:p>
      <w:pPr>
        <w:jc w:val="right"/>
        <w:spacing w:after="0"/>
        <w:rPr>
          <w:sz w:val="20"/>
          <w:szCs w:val="20"/>
          <w:color w:val="auto"/>
        </w:rPr>
      </w:pPr>
      <w:r>
        <w:rPr>
          <w:rFonts w:ascii="Courier New" w:cs="Courier New" w:eastAsia="Courier New" w:hAnsi="Courier New"/>
          <w:sz w:val="16"/>
          <w:szCs w:val="16"/>
          <w:color w:val="auto"/>
        </w:rPr>
        <w:t>PAGE</w:t>
      </w:r>
    </w:p>
    <w:p>
      <w:pPr>
        <w:spacing w:after="0" w:line="183" w:lineRule="exact"/>
        <w:rPr>
          <w:sz w:val="20"/>
          <w:szCs w:val="20"/>
          <w:color w:val="auto"/>
        </w:rPr>
      </w:pPr>
    </w:p>
    <w:p>
      <w:pPr>
        <w:ind w:left="840"/>
        <w:spacing w:after="0"/>
        <w:tabs>
          <w:tab w:leader="none" w:pos="1400" w:val="left"/>
          <w:tab w:leader="dot" w:pos="10100" w:val="left"/>
        </w:tabs>
        <w:rPr>
          <w:sz w:val="20"/>
          <w:szCs w:val="20"/>
          <w:color w:val="auto"/>
        </w:rPr>
      </w:pPr>
      <w:r>
        <w:rPr>
          <w:rFonts w:ascii="Courier New" w:cs="Courier New" w:eastAsia="Courier New" w:hAnsi="Courier New"/>
          <w:sz w:val="16"/>
          <w:szCs w:val="16"/>
          <w:color w:val="auto"/>
        </w:rPr>
        <w:t>3.8</w:t>
        <w:tab/>
        <w:t>Letter of Credit Payments</w:t>
      </w:r>
      <w:r>
        <w:rPr>
          <w:sz w:val="20"/>
          <w:szCs w:val="20"/>
          <w:color w:val="auto"/>
        </w:rPr>
        <w:tab/>
      </w:r>
      <w:r>
        <w:rPr>
          <w:rFonts w:ascii="Courier New" w:cs="Courier New" w:eastAsia="Courier New" w:hAnsi="Courier New"/>
          <w:sz w:val="15"/>
          <w:szCs w:val="15"/>
          <w:color w:val="auto"/>
        </w:rPr>
        <w:t>58</w:t>
      </w:r>
    </w:p>
    <w:p>
      <w:pPr>
        <w:spacing w:after="0" w:line="183" w:lineRule="exact"/>
        <w:rPr>
          <w:sz w:val="20"/>
          <w:szCs w:val="20"/>
          <w:color w:val="auto"/>
        </w:rPr>
      </w:pPr>
    </w:p>
    <w:p>
      <w:pPr>
        <w:spacing w:after="0"/>
        <w:tabs>
          <w:tab w:leader="none" w:pos="2540" w:val="left"/>
          <w:tab w:leader="dot" w:pos="10100" w:val="left"/>
        </w:tabs>
        <w:rPr>
          <w:sz w:val="20"/>
          <w:szCs w:val="20"/>
          <w:color w:val="auto"/>
        </w:rPr>
      </w:pPr>
      <w:r>
        <w:rPr>
          <w:rFonts w:ascii="Courier New" w:cs="Courier New" w:eastAsia="Courier New" w:hAnsi="Courier New"/>
          <w:sz w:val="16"/>
          <w:szCs w:val="16"/>
          <w:color w:val="auto"/>
        </w:rPr>
        <w:t>SECTION 4.</w:t>
      </w:r>
      <w:r>
        <w:rPr>
          <w:sz w:val="20"/>
          <w:szCs w:val="20"/>
          <w:color w:val="auto"/>
        </w:rPr>
        <w:tab/>
      </w:r>
      <w:r>
        <w:rPr>
          <w:rFonts w:ascii="Courier New" w:cs="Courier New" w:eastAsia="Courier New" w:hAnsi="Courier New"/>
          <w:sz w:val="16"/>
          <w:szCs w:val="16"/>
          <w:color w:val="auto"/>
        </w:rPr>
        <w:t>REPRESENTATIONS AND WARRANTIES</w:t>
      </w:r>
      <w:r>
        <w:rPr>
          <w:sz w:val="20"/>
          <w:szCs w:val="20"/>
          <w:color w:val="auto"/>
        </w:rPr>
        <w:tab/>
      </w:r>
      <w:r>
        <w:rPr>
          <w:rFonts w:ascii="Courier New" w:cs="Courier New" w:eastAsia="Courier New" w:hAnsi="Courier New"/>
          <w:sz w:val="15"/>
          <w:szCs w:val="15"/>
          <w:color w:val="auto"/>
        </w:rPr>
        <w:t>59</w:t>
      </w:r>
    </w:p>
    <w:p>
      <w:pPr>
        <w:spacing w:after="0" w:line="1" w:lineRule="exact"/>
        <w:rPr>
          <w:sz w:val="20"/>
          <w:szCs w:val="20"/>
          <w:color w:val="auto"/>
        </w:rPr>
      </w:pPr>
    </w:p>
    <w:p>
      <w:pPr>
        <w:ind w:left="840"/>
        <w:spacing w:after="0"/>
        <w:tabs>
          <w:tab w:leader="none" w:pos="1400" w:val="left"/>
          <w:tab w:leader="dot" w:pos="10100" w:val="left"/>
        </w:tabs>
        <w:rPr>
          <w:sz w:val="20"/>
          <w:szCs w:val="20"/>
          <w:color w:val="auto"/>
        </w:rPr>
      </w:pPr>
      <w:r>
        <w:rPr>
          <w:rFonts w:ascii="Courier New" w:cs="Courier New" w:eastAsia="Courier New" w:hAnsi="Courier New"/>
          <w:sz w:val="16"/>
          <w:szCs w:val="16"/>
          <w:color w:val="auto"/>
        </w:rPr>
        <w:t>4.1</w:t>
        <w:tab/>
        <w:t>Financial Condition</w:t>
      </w:r>
      <w:r>
        <w:rPr>
          <w:sz w:val="20"/>
          <w:szCs w:val="20"/>
          <w:color w:val="auto"/>
        </w:rPr>
        <w:tab/>
      </w:r>
      <w:r>
        <w:rPr>
          <w:rFonts w:ascii="Courier New" w:cs="Courier New" w:eastAsia="Courier New" w:hAnsi="Courier New"/>
          <w:sz w:val="15"/>
          <w:szCs w:val="15"/>
          <w:color w:val="auto"/>
        </w:rPr>
        <w:t>59</w:t>
      </w:r>
    </w:p>
    <w:p>
      <w:pPr>
        <w:spacing w:after="0" w:line="1" w:lineRule="exact"/>
        <w:rPr>
          <w:sz w:val="20"/>
          <w:szCs w:val="20"/>
          <w:color w:val="auto"/>
        </w:rPr>
      </w:pPr>
    </w:p>
    <w:p>
      <w:pPr>
        <w:ind w:left="840"/>
        <w:spacing w:after="0"/>
        <w:tabs>
          <w:tab w:leader="none" w:pos="1400" w:val="left"/>
          <w:tab w:leader="dot" w:pos="10100" w:val="left"/>
        </w:tabs>
        <w:rPr>
          <w:sz w:val="20"/>
          <w:szCs w:val="20"/>
          <w:color w:val="auto"/>
        </w:rPr>
      </w:pPr>
      <w:r>
        <w:rPr>
          <w:rFonts w:ascii="Courier New" w:cs="Courier New" w:eastAsia="Courier New" w:hAnsi="Courier New"/>
          <w:sz w:val="16"/>
          <w:szCs w:val="16"/>
          <w:color w:val="auto"/>
        </w:rPr>
        <w:t>4.2</w:t>
        <w:tab/>
        <w:t>Corporate Existence; Compliance with Law</w:t>
      </w:r>
      <w:r>
        <w:rPr>
          <w:sz w:val="20"/>
          <w:szCs w:val="20"/>
          <w:color w:val="auto"/>
        </w:rPr>
        <w:tab/>
      </w:r>
      <w:r>
        <w:rPr>
          <w:rFonts w:ascii="Courier New" w:cs="Courier New" w:eastAsia="Courier New" w:hAnsi="Courier New"/>
          <w:sz w:val="15"/>
          <w:szCs w:val="15"/>
          <w:color w:val="auto"/>
        </w:rPr>
        <w:t>60</w:t>
      </w:r>
    </w:p>
    <w:p>
      <w:pPr>
        <w:spacing w:after="0" w:line="1" w:lineRule="exact"/>
        <w:rPr>
          <w:sz w:val="20"/>
          <w:szCs w:val="20"/>
          <w:color w:val="auto"/>
        </w:rPr>
      </w:pPr>
    </w:p>
    <w:p>
      <w:pPr>
        <w:ind w:left="840"/>
        <w:spacing w:after="0"/>
        <w:tabs>
          <w:tab w:leader="none" w:pos="1400" w:val="left"/>
          <w:tab w:leader="dot" w:pos="10100" w:val="left"/>
        </w:tabs>
        <w:rPr>
          <w:sz w:val="20"/>
          <w:szCs w:val="20"/>
          <w:color w:val="auto"/>
        </w:rPr>
      </w:pPr>
      <w:r>
        <w:rPr>
          <w:rFonts w:ascii="Courier New" w:cs="Courier New" w:eastAsia="Courier New" w:hAnsi="Courier New"/>
          <w:sz w:val="16"/>
          <w:szCs w:val="16"/>
          <w:color w:val="auto"/>
        </w:rPr>
        <w:t>4.3</w:t>
        <w:tab/>
        <w:t>Corporate Power; Authorization; Enforceable Obligations</w:t>
      </w:r>
      <w:r>
        <w:rPr>
          <w:sz w:val="20"/>
          <w:szCs w:val="20"/>
          <w:color w:val="auto"/>
        </w:rPr>
        <w:tab/>
      </w:r>
      <w:r>
        <w:rPr>
          <w:rFonts w:ascii="Courier New" w:cs="Courier New" w:eastAsia="Courier New" w:hAnsi="Courier New"/>
          <w:sz w:val="15"/>
          <w:szCs w:val="15"/>
          <w:color w:val="auto"/>
        </w:rPr>
        <w:t>60</w:t>
      </w:r>
    </w:p>
    <w:p>
      <w:pPr>
        <w:spacing w:after="0" w:line="1" w:lineRule="exact"/>
        <w:rPr>
          <w:sz w:val="20"/>
          <w:szCs w:val="20"/>
          <w:color w:val="auto"/>
        </w:rPr>
      </w:pPr>
    </w:p>
    <w:p>
      <w:pPr>
        <w:ind w:left="840"/>
        <w:spacing w:after="0"/>
        <w:tabs>
          <w:tab w:leader="none" w:pos="1400" w:val="left"/>
          <w:tab w:leader="dot" w:pos="10100" w:val="left"/>
        </w:tabs>
        <w:rPr>
          <w:sz w:val="20"/>
          <w:szCs w:val="20"/>
          <w:color w:val="auto"/>
        </w:rPr>
      </w:pPr>
      <w:r>
        <w:rPr>
          <w:rFonts w:ascii="Courier New" w:cs="Courier New" w:eastAsia="Courier New" w:hAnsi="Courier New"/>
          <w:sz w:val="16"/>
          <w:szCs w:val="16"/>
          <w:color w:val="auto"/>
        </w:rPr>
        <w:t>4.4</w:t>
        <w:tab/>
        <w:t>No Legal Bar</w:t>
      </w:r>
      <w:r>
        <w:rPr>
          <w:sz w:val="20"/>
          <w:szCs w:val="20"/>
          <w:color w:val="auto"/>
        </w:rPr>
        <w:tab/>
      </w:r>
      <w:r>
        <w:rPr>
          <w:rFonts w:ascii="Courier New" w:cs="Courier New" w:eastAsia="Courier New" w:hAnsi="Courier New"/>
          <w:sz w:val="15"/>
          <w:szCs w:val="15"/>
          <w:color w:val="auto"/>
        </w:rPr>
        <w:t>60</w:t>
      </w:r>
    </w:p>
    <w:p>
      <w:pPr>
        <w:spacing w:after="0" w:line="1" w:lineRule="exact"/>
        <w:rPr>
          <w:sz w:val="20"/>
          <w:szCs w:val="20"/>
          <w:color w:val="auto"/>
        </w:rPr>
      </w:pPr>
    </w:p>
    <w:p>
      <w:pPr>
        <w:ind w:left="840"/>
        <w:spacing w:after="0"/>
        <w:tabs>
          <w:tab w:leader="none" w:pos="1400" w:val="left"/>
          <w:tab w:leader="dot" w:pos="10100" w:val="left"/>
        </w:tabs>
        <w:rPr>
          <w:sz w:val="20"/>
          <w:szCs w:val="20"/>
          <w:color w:val="auto"/>
        </w:rPr>
      </w:pPr>
      <w:r>
        <w:rPr>
          <w:rFonts w:ascii="Courier New" w:cs="Courier New" w:eastAsia="Courier New" w:hAnsi="Courier New"/>
          <w:sz w:val="16"/>
          <w:szCs w:val="16"/>
          <w:color w:val="auto"/>
        </w:rPr>
        <w:t>4.5</w:t>
        <w:tab/>
        <w:t>No Material Litigation</w:t>
      </w:r>
      <w:r>
        <w:rPr>
          <w:sz w:val="20"/>
          <w:szCs w:val="20"/>
          <w:color w:val="auto"/>
        </w:rPr>
        <w:tab/>
      </w:r>
      <w:r>
        <w:rPr>
          <w:rFonts w:ascii="Courier New" w:cs="Courier New" w:eastAsia="Courier New" w:hAnsi="Courier New"/>
          <w:sz w:val="15"/>
          <w:szCs w:val="15"/>
          <w:color w:val="auto"/>
        </w:rPr>
        <w:t>60</w:t>
      </w:r>
    </w:p>
    <w:p>
      <w:pPr>
        <w:spacing w:after="0" w:line="1" w:lineRule="exact"/>
        <w:rPr>
          <w:sz w:val="20"/>
          <w:szCs w:val="20"/>
          <w:color w:val="auto"/>
        </w:rPr>
      </w:pPr>
    </w:p>
    <w:p>
      <w:pPr>
        <w:ind w:left="840"/>
        <w:spacing w:after="0"/>
        <w:tabs>
          <w:tab w:leader="none" w:pos="1400" w:val="left"/>
          <w:tab w:leader="dot" w:pos="10100" w:val="left"/>
        </w:tabs>
        <w:rPr>
          <w:sz w:val="20"/>
          <w:szCs w:val="20"/>
          <w:color w:val="auto"/>
        </w:rPr>
      </w:pPr>
      <w:r>
        <w:rPr>
          <w:rFonts w:ascii="Courier New" w:cs="Courier New" w:eastAsia="Courier New" w:hAnsi="Courier New"/>
          <w:sz w:val="16"/>
          <w:szCs w:val="16"/>
          <w:color w:val="auto"/>
        </w:rPr>
        <w:t>4.6</w:t>
        <w:tab/>
        <w:t>No Burdensome Restrictions</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ind w:left="840"/>
        <w:spacing w:after="0"/>
        <w:tabs>
          <w:tab w:leader="none" w:pos="1400" w:val="left"/>
          <w:tab w:leader="dot" w:pos="10100" w:val="left"/>
        </w:tabs>
        <w:rPr>
          <w:sz w:val="20"/>
          <w:szCs w:val="20"/>
          <w:color w:val="auto"/>
        </w:rPr>
      </w:pPr>
      <w:r>
        <w:rPr>
          <w:rFonts w:ascii="Courier New" w:cs="Courier New" w:eastAsia="Courier New" w:hAnsi="Courier New"/>
          <w:sz w:val="16"/>
          <w:szCs w:val="16"/>
          <w:color w:val="auto"/>
        </w:rPr>
        <w:t>4.7</w:t>
        <w:tab/>
        <w:t>No Default</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ind w:left="840"/>
        <w:spacing w:after="0"/>
        <w:tabs>
          <w:tab w:leader="none" w:pos="1400" w:val="left"/>
          <w:tab w:leader="dot" w:pos="10100" w:val="left"/>
        </w:tabs>
        <w:rPr>
          <w:sz w:val="20"/>
          <w:szCs w:val="20"/>
          <w:color w:val="auto"/>
        </w:rPr>
      </w:pPr>
      <w:r>
        <w:rPr>
          <w:rFonts w:ascii="Courier New" w:cs="Courier New" w:eastAsia="Courier New" w:hAnsi="Courier New"/>
          <w:sz w:val="16"/>
          <w:szCs w:val="16"/>
          <w:color w:val="auto"/>
        </w:rPr>
        <w:t>4.8</w:t>
        <w:tab/>
        <w:t>Subsidiaries</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ind w:left="840"/>
        <w:spacing w:after="0"/>
        <w:tabs>
          <w:tab w:leader="none" w:pos="1400" w:val="left"/>
          <w:tab w:leader="dot" w:pos="10100" w:val="left"/>
        </w:tabs>
        <w:rPr>
          <w:sz w:val="20"/>
          <w:szCs w:val="20"/>
          <w:color w:val="auto"/>
        </w:rPr>
      </w:pPr>
      <w:r>
        <w:rPr>
          <w:rFonts w:ascii="Courier New" w:cs="Courier New" w:eastAsia="Courier New" w:hAnsi="Courier New"/>
          <w:sz w:val="16"/>
          <w:szCs w:val="16"/>
          <w:color w:val="auto"/>
        </w:rPr>
        <w:t>4.9</w:t>
        <w:tab/>
        <w:t>Disclosure</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ind w:left="840"/>
        <w:spacing w:after="0"/>
        <w:tabs>
          <w:tab w:leader="none" w:pos="1500" w:val="left"/>
          <w:tab w:leader="dot" w:pos="10100" w:val="left"/>
        </w:tabs>
        <w:rPr>
          <w:sz w:val="20"/>
          <w:szCs w:val="20"/>
          <w:color w:val="auto"/>
        </w:rPr>
      </w:pPr>
      <w:r>
        <w:rPr>
          <w:rFonts w:ascii="Courier New" w:cs="Courier New" w:eastAsia="Courier New" w:hAnsi="Courier New"/>
          <w:sz w:val="16"/>
          <w:szCs w:val="16"/>
          <w:color w:val="auto"/>
        </w:rPr>
        <w:t>4.10</w:t>
      </w:r>
      <w:r>
        <w:rPr>
          <w:sz w:val="20"/>
          <w:szCs w:val="20"/>
          <w:color w:val="auto"/>
        </w:rPr>
        <w:tab/>
      </w:r>
      <w:r>
        <w:rPr>
          <w:rFonts w:ascii="Courier New" w:cs="Courier New" w:eastAsia="Courier New" w:hAnsi="Courier New"/>
          <w:sz w:val="16"/>
          <w:szCs w:val="16"/>
          <w:color w:val="auto"/>
        </w:rPr>
        <w:t>Schedules</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ind w:left="840"/>
        <w:spacing w:after="0"/>
        <w:tabs>
          <w:tab w:leader="none" w:pos="1500" w:val="left"/>
          <w:tab w:leader="dot" w:pos="10100" w:val="left"/>
        </w:tabs>
        <w:rPr>
          <w:sz w:val="20"/>
          <w:szCs w:val="20"/>
          <w:color w:val="auto"/>
        </w:rPr>
      </w:pPr>
      <w:r>
        <w:rPr>
          <w:rFonts w:ascii="Courier New" w:cs="Courier New" w:eastAsia="Courier New" w:hAnsi="Courier New"/>
          <w:sz w:val="16"/>
          <w:szCs w:val="16"/>
          <w:color w:val="auto"/>
        </w:rPr>
        <w:t>4.11</w:t>
      </w:r>
      <w:r>
        <w:rPr>
          <w:sz w:val="20"/>
          <w:szCs w:val="20"/>
          <w:color w:val="auto"/>
        </w:rPr>
        <w:tab/>
      </w:r>
      <w:r>
        <w:rPr>
          <w:rFonts w:ascii="Courier New" w:cs="Courier New" w:eastAsia="Courier New" w:hAnsi="Courier New"/>
          <w:sz w:val="16"/>
          <w:szCs w:val="16"/>
          <w:color w:val="auto"/>
        </w:rPr>
        <w:t>Federal Regulations</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ind w:left="840"/>
        <w:spacing w:after="0"/>
        <w:tabs>
          <w:tab w:leader="none" w:pos="1500" w:val="left"/>
          <w:tab w:leader="dot" w:pos="10100" w:val="left"/>
        </w:tabs>
        <w:rPr>
          <w:sz w:val="20"/>
          <w:szCs w:val="20"/>
          <w:color w:val="auto"/>
        </w:rPr>
      </w:pPr>
      <w:r>
        <w:rPr>
          <w:rFonts w:ascii="Courier New" w:cs="Courier New" w:eastAsia="Courier New" w:hAnsi="Courier New"/>
          <w:sz w:val="16"/>
          <w:szCs w:val="16"/>
          <w:color w:val="auto"/>
        </w:rPr>
        <w:t>4.12</w:t>
      </w:r>
      <w:r>
        <w:rPr>
          <w:sz w:val="20"/>
          <w:szCs w:val="20"/>
          <w:color w:val="auto"/>
        </w:rPr>
        <w:tab/>
      </w:r>
      <w:r>
        <w:rPr>
          <w:rFonts w:ascii="Courier New" w:cs="Courier New" w:eastAsia="Courier New" w:hAnsi="Courier New"/>
          <w:sz w:val="16"/>
          <w:szCs w:val="16"/>
          <w:color w:val="auto"/>
        </w:rPr>
        <w:t>Investment Company Act; Other Regulations</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ind w:left="840"/>
        <w:spacing w:after="0"/>
        <w:tabs>
          <w:tab w:leader="none" w:pos="1500" w:val="left"/>
          <w:tab w:leader="dot" w:pos="10100" w:val="left"/>
        </w:tabs>
        <w:rPr>
          <w:sz w:val="20"/>
          <w:szCs w:val="20"/>
          <w:color w:val="auto"/>
        </w:rPr>
      </w:pPr>
      <w:r>
        <w:rPr>
          <w:rFonts w:ascii="Courier New" w:cs="Courier New" w:eastAsia="Courier New" w:hAnsi="Courier New"/>
          <w:sz w:val="16"/>
          <w:szCs w:val="16"/>
          <w:color w:val="auto"/>
        </w:rPr>
        <w:t>4.13</w:t>
      </w:r>
      <w:r>
        <w:rPr>
          <w:sz w:val="20"/>
          <w:szCs w:val="20"/>
          <w:color w:val="auto"/>
        </w:rPr>
        <w:tab/>
      </w:r>
      <w:r>
        <w:rPr>
          <w:rFonts w:ascii="Courier New" w:cs="Courier New" w:eastAsia="Courier New" w:hAnsi="Courier New"/>
          <w:sz w:val="16"/>
          <w:szCs w:val="16"/>
          <w:color w:val="auto"/>
        </w:rPr>
        <w:t>Labor Matters</w:t>
      </w:r>
      <w:r>
        <w:rPr>
          <w:sz w:val="20"/>
          <w:szCs w:val="20"/>
          <w:color w:val="auto"/>
        </w:rPr>
        <w:tab/>
      </w:r>
      <w:r>
        <w:rPr>
          <w:rFonts w:ascii="Courier New" w:cs="Courier New" w:eastAsia="Courier New" w:hAnsi="Courier New"/>
          <w:sz w:val="15"/>
          <w:szCs w:val="15"/>
          <w:color w:val="auto"/>
        </w:rPr>
        <w:t>62</w:t>
      </w:r>
    </w:p>
    <w:p>
      <w:pPr>
        <w:spacing w:after="0" w:line="1" w:lineRule="exact"/>
        <w:rPr>
          <w:sz w:val="20"/>
          <w:szCs w:val="20"/>
          <w:color w:val="auto"/>
        </w:rPr>
      </w:pPr>
    </w:p>
    <w:p>
      <w:pPr>
        <w:ind w:left="840"/>
        <w:spacing w:after="0"/>
        <w:tabs>
          <w:tab w:leader="none" w:pos="1500" w:val="left"/>
          <w:tab w:leader="dot" w:pos="10100" w:val="left"/>
        </w:tabs>
        <w:rPr>
          <w:sz w:val="20"/>
          <w:szCs w:val="20"/>
          <w:color w:val="auto"/>
        </w:rPr>
      </w:pPr>
      <w:r>
        <w:rPr>
          <w:rFonts w:ascii="Courier New" w:cs="Courier New" w:eastAsia="Courier New" w:hAnsi="Courier New"/>
          <w:sz w:val="16"/>
          <w:szCs w:val="16"/>
          <w:color w:val="auto"/>
        </w:rPr>
        <w:t>4.14</w:t>
      </w:r>
      <w:r>
        <w:rPr>
          <w:sz w:val="20"/>
          <w:szCs w:val="20"/>
          <w:color w:val="auto"/>
        </w:rPr>
        <w:tab/>
      </w:r>
      <w:r>
        <w:rPr>
          <w:rFonts w:ascii="Courier New" w:cs="Courier New" w:eastAsia="Courier New" w:hAnsi="Courier New"/>
          <w:sz w:val="16"/>
          <w:szCs w:val="16"/>
          <w:color w:val="auto"/>
        </w:rPr>
        <w:t>ERISA</w:t>
      </w:r>
      <w:r>
        <w:rPr>
          <w:sz w:val="20"/>
          <w:szCs w:val="20"/>
          <w:color w:val="auto"/>
        </w:rPr>
        <w:tab/>
      </w:r>
      <w:r>
        <w:rPr>
          <w:rFonts w:ascii="Courier New" w:cs="Courier New" w:eastAsia="Courier New" w:hAnsi="Courier New"/>
          <w:sz w:val="15"/>
          <w:szCs w:val="15"/>
          <w:color w:val="auto"/>
        </w:rPr>
        <w:t>62</w:t>
      </w:r>
    </w:p>
    <w:p>
      <w:pPr>
        <w:spacing w:after="0" w:line="1" w:lineRule="exact"/>
        <w:rPr>
          <w:sz w:val="20"/>
          <w:szCs w:val="20"/>
          <w:color w:val="auto"/>
        </w:rPr>
      </w:pPr>
    </w:p>
    <w:p>
      <w:pPr>
        <w:ind w:left="840"/>
        <w:spacing w:after="0"/>
        <w:tabs>
          <w:tab w:leader="none" w:pos="1500" w:val="left"/>
          <w:tab w:leader="dot" w:pos="10100" w:val="left"/>
        </w:tabs>
        <w:rPr>
          <w:sz w:val="20"/>
          <w:szCs w:val="20"/>
          <w:color w:val="auto"/>
        </w:rPr>
      </w:pPr>
      <w:r>
        <w:rPr>
          <w:rFonts w:ascii="Courier New" w:cs="Courier New" w:eastAsia="Courier New" w:hAnsi="Courier New"/>
          <w:sz w:val="16"/>
          <w:szCs w:val="16"/>
          <w:color w:val="auto"/>
        </w:rPr>
        <w:t>4.15</w:t>
      </w:r>
      <w:r>
        <w:rPr>
          <w:sz w:val="20"/>
          <w:szCs w:val="20"/>
          <w:color w:val="auto"/>
        </w:rPr>
        <w:tab/>
      </w:r>
      <w:r>
        <w:rPr>
          <w:rFonts w:ascii="Courier New" w:cs="Courier New" w:eastAsia="Courier New" w:hAnsi="Courier New"/>
          <w:sz w:val="16"/>
          <w:szCs w:val="16"/>
          <w:color w:val="auto"/>
        </w:rPr>
        <w:t>Title to Real Property, Etc</w:t>
      </w:r>
      <w:r>
        <w:rPr>
          <w:sz w:val="20"/>
          <w:szCs w:val="20"/>
          <w:color w:val="auto"/>
        </w:rPr>
        <w:tab/>
      </w:r>
      <w:r>
        <w:rPr>
          <w:rFonts w:ascii="Courier New" w:cs="Courier New" w:eastAsia="Courier New" w:hAnsi="Courier New"/>
          <w:sz w:val="15"/>
          <w:szCs w:val="15"/>
          <w:color w:val="auto"/>
        </w:rPr>
        <w:t>62</w:t>
      </w:r>
    </w:p>
    <w:p>
      <w:pPr>
        <w:spacing w:after="0" w:line="1" w:lineRule="exact"/>
        <w:rPr>
          <w:sz w:val="20"/>
          <w:szCs w:val="20"/>
          <w:color w:val="auto"/>
        </w:rPr>
      </w:pPr>
    </w:p>
    <w:p>
      <w:pPr>
        <w:ind w:left="840"/>
        <w:spacing w:after="0"/>
        <w:tabs>
          <w:tab w:leader="none" w:pos="1500" w:val="left"/>
          <w:tab w:leader="dot" w:pos="10100" w:val="left"/>
        </w:tabs>
        <w:rPr>
          <w:sz w:val="20"/>
          <w:szCs w:val="20"/>
          <w:color w:val="auto"/>
        </w:rPr>
      </w:pPr>
      <w:r>
        <w:rPr>
          <w:rFonts w:ascii="Courier New" w:cs="Courier New" w:eastAsia="Courier New" w:hAnsi="Courier New"/>
          <w:sz w:val="16"/>
          <w:szCs w:val="16"/>
          <w:color w:val="auto"/>
        </w:rPr>
        <w:t>4.16</w:t>
      </w:r>
      <w:r>
        <w:rPr>
          <w:sz w:val="20"/>
          <w:szCs w:val="20"/>
          <w:color w:val="auto"/>
        </w:rPr>
        <w:tab/>
      </w:r>
      <w:r>
        <w:rPr>
          <w:rFonts w:ascii="Courier New" w:cs="Courier New" w:eastAsia="Courier New" w:hAnsi="Courier New"/>
          <w:sz w:val="16"/>
          <w:szCs w:val="16"/>
          <w:color w:val="auto"/>
        </w:rPr>
        <w:t>Taxes</w:t>
      </w:r>
      <w:r>
        <w:rPr>
          <w:sz w:val="20"/>
          <w:szCs w:val="20"/>
          <w:color w:val="auto"/>
        </w:rPr>
        <w:tab/>
      </w:r>
      <w:r>
        <w:rPr>
          <w:rFonts w:ascii="Courier New" w:cs="Courier New" w:eastAsia="Courier New" w:hAnsi="Courier New"/>
          <w:sz w:val="15"/>
          <w:szCs w:val="15"/>
          <w:color w:val="auto"/>
        </w:rPr>
        <w:t>62</w:t>
      </w:r>
    </w:p>
    <w:p>
      <w:pPr>
        <w:spacing w:after="0" w:line="1" w:lineRule="exact"/>
        <w:rPr>
          <w:sz w:val="20"/>
          <w:szCs w:val="20"/>
          <w:color w:val="auto"/>
        </w:rPr>
      </w:pPr>
    </w:p>
    <w:p>
      <w:pPr>
        <w:ind w:left="840"/>
        <w:spacing w:after="0"/>
        <w:tabs>
          <w:tab w:leader="none" w:pos="1500" w:val="left"/>
          <w:tab w:leader="dot" w:pos="10100" w:val="left"/>
        </w:tabs>
        <w:rPr>
          <w:sz w:val="20"/>
          <w:szCs w:val="20"/>
          <w:color w:val="auto"/>
        </w:rPr>
      </w:pPr>
      <w:r>
        <w:rPr>
          <w:rFonts w:ascii="Courier New" w:cs="Courier New" w:eastAsia="Courier New" w:hAnsi="Courier New"/>
          <w:sz w:val="16"/>
          <w:szCs w:val="16"/>
          <w:color w:val="auto"/>
        </w:rPr>
        <w:t>4.17</w:t>
      </w:r>
      <w:r>
        <w:rPr>
          <w:sz w:val="20"/>
          <w:szCs w:val="20"/>
          <w:color w:val="auto"/>
        </w:rPr>
        <w:tab/>
      </w:r>
      <w:r>
        <w:rPr>
          <w:rFonts w:ascii="Courier New" w:cs="Courier New" w:eastAsia="Courier New" w:hAnsi="Courier New"/>
          <w:sz w:val="16"/>
          <w:szCs w:val="16"/>
          <w:color w:val="auto"/>
        </w:rPr>
        <w:t>Environmental Matters</w:t>
      </w:r>
      <w:r>
        <w:rPr>
          <w:sz w:val="20"/>
          <w:szCs w:val="20"/>
          <w:color w:val="auto"/>
        </w:rPr>
        <w:tab/>
      </w:r>
      <w:r>
        <w:rPr>
          <w:rFonts w:ascii="Courier New" w:cs="Courier New" w:eastAsia="Courier New" w:hAnsi="Courier New"/>
          <w:sz w:val="15"/>
          <w:szCs w:val="15"/>
          <w:color w:val="auto"/>
        </w:rPr>
        <w:t>63</w:t>
      </w:r>
    </w:p>
    <w:p>
      <w:pPr>
        <w:spacing w:after="0" w:line="1" w:lineRule="exact"/>
        <w:rPr>
          <w:sz w:val="20"/>
          <w:szCs w:val="20"/>
          <w:color w:val="auto"/>
        </w:rPr>
      </w:pPr>
    </w:p>
    <w:p>
      <w:pPr>
        <w:ind w:left="840"/>
        <w:spacing w:after="0"/>
        <w:tabs>
          <w:tab w:leader="none" w:pos="1500" w:val="left"/>
          <w:tab w:leader="dot" w:pos="10100" w:val="left"/>
        </w:tabs>
        <w:rPr>
          <w:sz w:val="20"/>
          <w:szCs w:val="20"/>
          <w:color w:val="auto"/>
        </w:rPr>
      </w:pPr>
      <w:r>
        <w:rPr>
          <w:rFonts w:ascii="Courier New" w:cs="Courier New" w:eastAsia="Courier New" w:hAnsi="Courier New"/>
          <w:sz w:val="16"/>
          <w:szCs w:val="16"/>
          <w:color w:val="auto"/>
        </w:rPr>
        <w:t>4.18</w:t>
      </w:r>
      <w:r>
        <w:rPr>
          <w:sz w:val="20"/>
          <w:szCs w:val="20"/>
          <w:color w:val="auto"/>
        </w:rPr>
        <w:tab/>
      </w:r>
      <w:r>
        <w:rPr>
          <w:rFonts w:ascii="Courier New" w:cs="Courier New" w:eastAsia="Courier New" w:hAnsi="Courier New"/>
          <w:sz w:val="16"/>
          <w:szCs w:val="16"/>
          <w:color w:val="auto"/>
        </w:rPr>
        <w:t>Intellectual Property</w:t>
      </w:r>
      <w:r>
        <w:rPr>
          <w:sz w:val="20"/>
          <w:szCs w:val="20"/>
          <w:color w:val="auto"/>
        </w:rPr>
        <w:tab/>
      </w:r>
      <w:r>
        <w:rPr>
          <w:rFonts w:ascii="Courier New" w:cs="Courier New" w:eastAsia="Courier New" w:hAnsi="Courier New"/>
          <w:sz w:val="15"/>
          <w:szCs w:val="15"/>
          <w:color w:val="auto"/>
        </w:rPr>
        <w:t>63</w:t>
      </w:r>
    </w:p>
    <w:p>
      <w:pPr>
        <w:spacing w:after="0" w:line="1" w:lineRule="exact"/>
        <w:rPr>
          <w:sz w:val="20"/>
          <w:szCs w:val="20"/>
          <w:color w:val="auto"/>
        </w:rPr>
      </w:pPr>
    </w:p>
    <w:p>
      <w:pPr>
        <w:ind w:left="840"/>
        <w:spacing w:after="0"/>
        <w:tabs>
          <w:tab w:leader="none" w:pos="1500" w:val="left"/>
          <w:tab w:leader="dot" w:pos="10100" w:val="left"/>
        </w:tabs>
        <w:rPr>
          <w:sz w:val="20"/>
          <w:szCs w:val="20"/>
          <w:color w:val="auto"/>
        </w:rPr>
      </w:pPr>
      <w:r>
        <w:rPr>
          <w:rFonts w:ascii="Courier New" w:cs="Courier New" w:eastAsia="Courier New" w:hAnsi="Courier New"/>
          <w:sz w:val="16"/>
          <w:szCs w:val="16"/>
          <w:color w:val="auto"/>
        </w:rPr>
        <w:t>4.19</w:t>
      </w:r>
      <w:r>
        <w:rPr>
          <w:sz w:val="20"/>
          <w:szCs w:val="20"/>
          <w:color w:val="auto"/>
        </w:rPr>
        <w:tab/>
      </w:r>
      <w:r>
        <w:rPr>
          <w:rFonts w:ascii="Courier New" w:cs="Courier New" w:eastAsia="Courier New" w:hAnsi="Courier New"/>
          <w:sz w:val="16"/>
          <w:szCs w:val="16"/>
          <w:color w:val="auto"/>
        </w:rPr>
        <w:t>Security Documents</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ind w:left="840"/>
        <w:spacing w:after="0"/>
        <w:tabs>
          <w:tab w:leader="none" w:pos="1500" w:val="left"/>
          <w:tab w:leader="dot" w:pos="10100" w:val="left"/>
        </w:tabs>
        <w:rPr>
          <w:sz w:val="20"/>
          <w:szCs w:val="20"/>
          <w:color w:val="auto"/>
        </w:rPr>
      </w:pPr>
      <w:r>
        <w:rPr>
          <w:rFonts w:ascii="Courier New" w:cs="Courier New" w:eastAsia="Courier New" w:hAnsi="Courier New"/>
          <w:sz w:val="16"/>
          <w:szCs w:val="16"/>
          <w:color w:val="auto"/>
        </w:rPr>
        <w:t>4.20</w:t>
      </w:r>
      <w:r>
        <w:rPr>
          <w:sz w:val="20"/>
          <w:szCs w:val="20"/>
          <w:color w:val="auto"/>
        </w:rPr>
        <w:tab/>
      </w:r>
      <w:r>
        <w:rPr>
          <w:rFonts w:ascii="Courier New" w:cs="Courier New" w:eastAsia="Courier New" w:hAnsi="Courier New"/>
          <w:sz w:val="16"/>
          <w:szCs w:val="16"/>
          <w:color w:val="auto"/>
        </w:rPr>
        <w:t>Regulation H</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ind w:left="840"/>
        <w:spacing w:after="0"/>
        <w:tabs>
          <w:tab w:leader="none" w:pos="1500" w:val="left"/>
          <w:tab w:leader="dot" w:pos="10100" w:val="left"/>
        </w:tabs>
        <w:rPr>
          <w:sz w:val="20"/>
          <w:szCs w:val="20"/>
          <w:color w:val="auto"/>
        </w:rPr>
      </w:pPr>
      <w:r>
        <w:rPr>
          <w:rFonts w:ascii="Courier New" w:cs="Courier New" w:eastAsia="Courier New" w:hAnsi="Courier New"/>
          <w:sz w:val="16"/>
          <w:szCs w:val="16"/>
          <w:color w:val="auto"/>
        </w:rPr>
        <w:t>4.21</w:t>
      </w:r>
      <w:r>
        <w:rPr>
          <w:sz w:val="20"/>
          <w:szCs w:val="20"/>
          <w:color w:val="auto"/>
        </w:rPr>
        <w:tab/>
      </w:r>
      <w:r>
        <w:rPr>
          <w:rFonts w:ascii="Courier New" w:cs="Courier New" w:eastAsia="Courier New" w:hAnsi="Courier New"/>
          <w:sz w:val="16"/>
          <w:szCs w:val="16"/>
          <w:color w:val="auto"/>
        </w:rPr>
        <w:t>Solvency</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ind w:left="840"/>
        <w:spacing w:after="0"/>
        <w:tabs>
          <w:tab w:leader="none" w:pos="1500" w:val="left"/>
          <w:tab w:leader="dot" w:pos="10100" w:val="left"/>
        </w:tabs>
        <w:rPr>
          <w:sz w:val="20"/>
          <w:szCs w:val="20"/>
          <w:color w:val="auto"/>
        </w:rPr>
      </w:pPr>
      <w:r>
        <w:rPr>
          <w:rFonts w:ascii="Courier New" w:cs="Courier New" w:eastAsia="Courier New" w:hAnsi="Courier New"/>
          <w:sz w:val="16"/>
          <w:szCs w:val="16"/>
          <w:color w:val="auto"/>
        </w:rPr>
        <w:t>4.22</w:t>
      </w:r>
      <w:r>
        <w:rPr>
          <w:sz w:val="20"/>
          <w:szCs w:val="20"/>
          <w:color w:val="auto"/>
        </w:rPr>
        <w:tab/>
      </w:r>
      <w:r>
        <w:rPr>
          <w:rFonts w:ascii="Courier New" w:cs="Courier New" w:eastAsia="Courier New" w:hAnsi="Courier New"/>
          <w:sz w:val="16"/>
          <w:szCs w:val="16"/>
          <w:color w:val="auto"/>
        </w:rPr>
        <w:t>Senior Indebtedness</w:t>
      </w:r>
      <w:r>
        <w:rPr>
          <w:sz w:val="20"/>
          <w:szCs w:val="20"/>
          <w:color w:val="auto"/>
        </w:rPr>
        <w:tab/>
      </w:r>
      <w:r>
        <w:rPr>
          <w:rFonts w:ascii="Courier New" w:cs="Courier New" w:eastAsia="Courier New" w:hAnsi="Courier New"/>
          <w:sz w:val="15"/>
          <w:szCs w:val="15"/>
          <w:color w:val="auto"/>
        </w:rPr>
        <w:t>65</w:t>
      </w:r>
    </w:p>
    <w:p>
      <w:pPr>
        <w:spacing w:after="0" w:line="183" w:lineRule="exact"/>
        <w:rPr>
          <w:sz w:val="20"/>
          <w:szCs w:val="20"/>
          <w:color w:val="auto"/>
        </w:rPr>
      </w:pPr>
    </w:p>
    <w:p>
      <w:pPr>
        <w:spacing w:after="0"/>
        <w:tabs>
          <w:tab w:leader="none" w:pos="2540" w:val="left"/>
          <w:tab w:leader="dot" w:pos="10100" w:val="left"/>
        </w:tabs>
        <w:rPr>
          <w:sz w:val="20"/>
          <w:szCs w:val="20"/>
          <w:color w:val="auto"/>
        </w:rPr>
      </w:pPr>
      <w:r>
        <w:rPr>
          <w:rFonts w:ascii="Courier New" w:cs="Courier New" w:eastAsia="Courier New" w:hAnsi="Courier New"/>
          <w:sz w:val="16"/>
          <w:szCs w:val="16"/>
          <w:color w:val="auto"/>
        </w:rPr>
        <w:t>SECTION 5.</w:t>
      </w:r>
      <w:r>
        <w:rPr>
          <w:sz w:val="20"/>
          <w:szCs w:val="20"/>
          <w:color w:val="auto"/>
        </w:rPr>
        <w:tab/>
      </w:r>
      <w:r>
        <w:rPr>
          <w:rFonts w:ascii="Courier New" w:cs="Courier New" w:eastAsia="Courier New" w:hAnsi="Courier New"/>
          <w:sz w:val="16"/>
          <w:szCs w:val="16"/>
          <w:color w:val="auto"/>
        </w:rPr>
        <w:t>CONDITIONS PRECEDENT</w:t>
      </w:r>
      <w:r>
        <w:rPr>
          <w:sz w:val="20"/>
          <w:szCs w:val="20"/>
          <w:color w:val="auto"/>
        </w:rPr>
        <w:tab/>
      </w:r>
      <w:r>
        <w:rPr>
          <w:rFonts w:ascii="Courier New" w:cs="Courier New" w:eastAsia="Courier New" w:hAnsi="Courier New"/>
          <w:sz w:val="15"/>
          <w:szCs w:val="15"/>
          <w:color w:val="auto"/>
        </w:rPr>
        <w:t>65</w:t>
      </w:r>
    </w:p>
    <w:p>
      <w:pPr>
        <w:spacing w:after="0" w:line="1" w:lineRule="exact"/>
        <w:rPr>
          <w:sz w:val="20"/>
          <w:szCs w:val="20"/>
          <w:color w:val="auto"/>
        </w:rPr>
      </w:pPr>
    </w:p>
    <w:p>
      <w:pPr>
        <w:ind w:left="840"/>
        <w:spacing w:after="0"/>
        <w:tabs>
          <w:tab w:leader="none" w:pos="1400" w:val="left"/>
          <w:tab w:leader="dot" w:pos="10100" w:val="left"/>
        </w:tabs>
        <w:rPr>
          <w:sz w:val="20"/>
          <w:szCs w:val="20"/>
          <w:color w:val="auto"/>
        </w:rPr>
      </w:pPr>
      <w:r>
        <w:rPr>
          <w:rFonts w:ascii="Courier New" w:cs="Courier New" w:eastAsia="Courier New" w:hAnsi="Courier New"/>
          <w:sz w:val="16"/>
          <w:szCs w:val="16"/>
          <w:color w:val="auto"/>
        </w:rPr>
        <w:t>5.1</w:t>
        <w:tab/>
        <w:t>Conditions to Effectiveness of this Agreement</w:t>
      </w:r>
      <w:r>
        <w:rPr>
          <w:sz w:val="20"/>
          <w:szCs w:val="20"/>
          <w:color w:val="auto"/>
        </w:rPr>
        <w:tab/>
      </w:r>
      <w:r>
        <w:rPr>
          <w:rFonts w:ascii="Courier New" w:cs="Courier New" w:eastAsia="Courier New" w:hAnsi="Courier New"/>
          <w:sz w:val="15"/>
          <w:szCs w:val="15"/>
          <w:color w:val="auto"/>
        </w:rPr>
        <w:t>65</w:t>
      </w:r>
    </w:p>
    <w:p>
      <w:pPr>
        <w:spacing w:after="0" w:line="1" w:lineRule="exact"/>
        <w:rPr>
          <w:sz w:val="20"/>
          <w:szCs w:val="20"/>
          <w:color w:val="auto"/>
        </w:rPr>
      </w:pPr>
    </w:p>
    <w:p>
      <w:pPr>
        <w:ind w:left="840"/>
        <w:spacing w:after="0"/>
        <w:tabs>
          <w:tab w:leader="none" w:pos="1400" w:val="left"/>
          <w:tab w:leader="dot" w:pos="10100" w:val="left"/>
        </w:tabs>
        <w:rPr>
          <w:sz w:val="20"/>
          <w:szCs w:val="20"/>
          <w:color w:val="auto"/>
        </w:rPr>
      </w:pPr>
      <w:r>
        <w:rPr>
          <w:rFonts w:ascii="Courier New" w:cs="Courier New" w:eastAsia="Courier New" w:hAnsi="Courier New"/>
          <w:sz w:val="16"/>
          <w:szCs w:val="16"/>
          <w:color w:val="auto"/>
        </w:rPr>
        <w:t>5.2</w:t>
        <w:tab/>
        <w:t>Conditions to All Extensions of Credit</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ind w:left="840"/>
        <w:spacing w:after="0"/>
        <w:tabs>
          <w:tab w:leader="none" w:pos="1400" w:val="left"/>
          <w:tab w:leader="dot" w:pos="10100" w:val="left"/>
        </w:tabs>
        <w:rPr>
          <w:sz w:val="20"/>
          <w:szCs w:val="20"/>
          <w:color w:val="auto"/>
        </w:rPr>
      </w:pPr>
      <w:r>
        <w:rPr>
          <w:rFonts w:ascii="Courier New" w:cs="Courier New" w:eastAsia="Courier New" w:hAnsi="Courier New"/>
          <w:sz w:val="16"/>
          <w:szCs w:val="16"/>
          <w:color w:val="auto"/>
        </w:rPr>
        <w:t>5.3</w:t>
        <w:tab/>
        <w:t>Additional Conditions Applicable to Foreign Subsidiary Borrowers</w:t>
      </w:r>
      <w:r>
        <w:rPr>
          <w:sz w:val="20"/>
          <w:szCs w:val="20"/>
          <w:color w:val="auto"/>
        </w:rPr>
        <w:tab/>
      </w:r>
      <w:r>
        <w:rPr>
          <w:rFonts w:ascii="Courier New" w:cs="Courier New" w:eastAsia="Courier New" w:hAnsi="Courier New"/>
          <w:sz w:val="15"/>
          <w:szCs w:val="15"/>
          <w:color w:val="auto"/>
        </w:rPr>
        <w:t>70</w:t>
      </w:r>
    </w:p>
    <w:p>
      <w:pPr>
        <w:spacing w:after="0" w:line="183" w:lineRule="exact"/>
        <w:rPr>
          <w:sz w:val="20"/>
          <w:szCs w:val="20"/>
          <w:color w:val="auto"/>
        </w:rPr>
      </w:pPr>
    </w:p>
    <w:p>
      <w:pPr>
        <w:spacing w:after="0"/>
        <w:tabs>
          <w:tab w:leader="none" w:pos="2540" w:val="left"/>
          <w:tab w:leader="dot" w:pos="10100" w:val="left"/>
        </w:tabs>
        <w:rPr>
          <w:sz w:val="20"/>
          <w:szCs w:val="20"/>
          <w:color w:val="auto"/>
        </w:rPr>
      </w:pPr>
      <w:r>
        <w:rPr>
          <w:rFonts w:ascii="Courier New" w:cs="Courier New" w:eastAsia="Courier New" w:hAnsi="Courier New"/>
          <w:sz w:val="16"/>
          <w:szCs w:val="16"/>
          <w:color w:val="auto"/>
        </w:rPr>
        <w:t>SECTION 6.</w:t>
      </w:r>
      <w:r>
        <w:rPr>
          <w:sz w:val="20"/>
          <w:szCs w:val="20"/>
          <w:color w:val="auto"/>
        </w:rPr>
        <w:tab/>
      </w:r>
      <w:r>
        <w:rPr>
          <w:rFonts w:ascii="Courier New" w:cs="Courier New" w:eastAsia="Courier New" w:hAnsi="Courier New"/>
          <w:sz w:val="16"/>
          <w:szCs w:val="16"/>
          <w:color w:val="auto"/>
        </w:rPr>
        <w:t>AFFIRMATIVE COVENANTS</w:t>
      </w:r>
      <w:r>
        <w:rPr>
          <w:sz w:val="20"/>
          <w:szCs w:val="20"/>
          <w:color w:val="auto"/>
        </w:rPr>
        <w:tab/>
      </w:r>
      <w:r>
        <w:rPr>
          <w:rFonts w:ascii="Courier New" w:cs="Courier New" w:eastAsia="Courier New" w:hAnsi="Courier New"/>
          <w:sz w:val="15"/>
          <w:szCs w:val="15"/>
          <w:color w:val="auto"/>
        </w:rPr>
        <w:t>72</w:t>
      </w:r>
    </w:p>
    <w:p>
      <w:pPr>
        <w:spacing w:after="0" w:line="1" w:lineRule="exact"/>
        <w:rPr>
          <w:sz w:val="20"/>
          <w:szCs w:val="20"/>
          <w:color w:val="auto"/>
        </w:rPr>
      </w:pPr>
    </w:p>
    <w:p>
      <w:pPr>
        <w:ind w:left="840"/>
        <w:spacing w:after="0"/>
        <w:tabs>
          <w:tab w:leader="none" w:pos="1400" w:val="left"/>
          <w:tab w:leader="dot" w:pos="10100" w:val="left"/>
        </w:tabs>
        <w:rPr>
          <w:sz w:val="20"/>
          <w:szCs w:val="20"/>
          <w:color w:val="auto"/>
        </w:rPr>
      </w:pPr>
      <w:r>
        <w:rPr>
          <w:rFonts w:ascii="Courier New" w:cs="Courier New" w:eastAsia="Courier New" w:hAnsi="Courier New"/>
          <w:sz w:val="16"/>
          <w:szCs w:val="16"/>
          <w:color w:val="auto"/>
        </w:rPr>
        <w:t>6.1</w:t>
        <w:tab/>
        <w:t>Financial Statements</w:t>
      </w:r>
      <w:r>
        <w:rPr>
          <w:sz w:val="20"/>
          <w:szCs w:val="20"/>
          <w:color w:val="auto"/>
        </w:rPr>
        <w:tab/>
      </w:r>
      <w:r>
        <w:rPr>
          <w:rFonts w:ascii="Courier New" w:cs="Courier New" w:eastAsia="Courier New" w:hAnsi="Courier New"/>
          <w:sz w:val="15"/>
          <w:szCs w:val="15"/>
          <w:color w:val="auto"/>
        </w:rPr>
        <w:t>72</w:t>
      </w:r>
    </w:p>
    <w:p>
      <w:pPr>
        <w:spacing w:after="0" w:line="1" w:lineRule="exact"/>
        <w:rPr>
          <w:sz w:val="20"/>
          <w:szCs w:val="20"/>
          <w:color w:val="auto"/>
        </w:rPr>
      </w:pPr>
    </w:p>
    <w:p>
      <w:pPr>
        <w:ind w:left="840"/>
        <w:spacing w:after="0"/>
        <w:tabs>
          <w:tab w:leader="none" w:pos="1400" w:val="left"/>
          <w:tab w:leader="dot" w:pos="10100" w:val="left"/>
        </w:tabs>
        <w:rPr>
          <w:sz w:val="20"/>
          <w:szCs w:val="20"/>
          <w:color w:val="auto"/>
        </w:rPr>
      </w:pPr>
      <w:r>
        <w:rPr>
          <w:rFonts w:ascii="Courier New" w:cs="Courier New" w:eastAsia="Courier New" w:hAnsi="Courier New"/>
          <w:sz w:val="16"/>
          <w:szCs w:val="16"/>
          <w:color w:val="auto"/>
        </w:rPr>
        <w:t>6.2</w:t>
        <w:tab/>
        <w:t>Certificates; Other Information</w:t>
      </w:r>
      <w:r>
        <w:rPr>
          <w:sz w:val="20"/>
          <w:szCs w:val="20"/>
          <w:color w:val="auto"/>
        </w:rPr>
        <w:tab/>
      </w:r>
      <w:r>
        <w:rPr>
          <w:rFonts w:ascii="Courier New" w:cs="Courier New" w:eastAsia="Courier New" w:hAnsi="Courier New"/>
          <w:sz w:val="15"/>
          <w:szCs w:val="15"/>
          <w:color w:val="auto"/>
        </w:rPr>
        <w:t>72</w:t>
      </w:r>
    </w:p>
    <w:p>
      <w:pPr>
        <w:spacing w:after="0" w:line="1" w:lineRule="exact"/>
        <w:rPr>
          <w:sz w:val="20"/>
          <w:szCs w:val="20"/>
          <w:color w:val="auto"/>
        </w:rPr>
      </w:pPr>
    </w:p>
    <w:p>
      <w:pPr>
        <w:ind w:left="840"/>
        <w:spacing w:after="0"/>
        <w:tabs>
          <w:tab w:leader="none" w:pos="1400" w:val="left"/>
          <w:tab w:leader="dot" w:pos="10100" w:val="left"/>
        </w:tabs>
        <w:rPr>
          <w:sz w:val="20"/>
          <w:szCs w:val="20"/>
          <w:color w:val="auto"/>
        </w:rPr>
      </w:pPr>
      <w:r>
        <w:rPr>
          <w:rFonts w:ascii="Courier New" w:cs="Courier New" w:eastAsia="Courier New" w:hAnsi="Courier New"/>
          <w:sz w:val="16"/>
          <w:szCs w:val="16"/>
          <w:color w:val="auto"/>
        </w:rPr>
        <w:t>6.3</w:t>
        <w:tab/>
        <w:t>Payment of Obligations</w:t>
      </w:r>
      <w:r>
        <w:rPr>
          <w:sz w:val="20"/>
          <w:szCs w:val="20"/>
          <w:color w:val="auto"/>
        </w:rPr>
        <w:tab/>
      </w:r>
      <w:r>
        <w:rPr>
          <w:rFonts w:ascii="Courier New" w:cs="Courier New" w:eastAsia="Courier New" w:hAnsi="Courier New"/>
          <w:sz w:val="15"/>
          <w:szCs w:val="15"/>
          <w:color w:val="auto"/>
        </w:rPr>
        <w:t>74</w:t>
      </w:r>
    </w:p>
    <w:p>
      <w:pPr>
        <w:spacing w:after="0" w:line="1" w:lineRule="exact"/>
        <w:rPr>
          <w:sz w:val="20"/>
          <w:szCs w:val="20"/>
          <w:color w:val="auto"/>
        </w:rPr>
      </w:pPr>
    </w:p>
    <w:p>
      <w:pPr>
        <w:ind w:left="840"/>
        <w:spacing w:after="0"/>
        <w:tabs>
          <w:tab w:leader="none" w:pos="1400" w:val="left"/>
          <w:tab w:leader="dot" w:pos="10100" w:val="left"/>
        </w:tabs>
        <w:rPr>
          <w:sz w:val="20"/>
          <w:szCs w:val="20"/>
          <w:color w:val="auto"/>
        </w:rPr>
      </w:pPr>
      <w:r>
        <w:rPr>
          <w:rFonts w:ascii="Courier New" w:cs="Courier New" w:eastAsia="Courier New" w:hAnsi="Courier New"/>
          <w:sz w:val="16"/>
          <w:szCs w:val="16"/>
          <w:color w:val="auto"/>
        </w:rPr>
        <w:t>6.4</w:t>
        <w:tab/>
        <w:t>Compliance with Laws</w:t>
      </w:r>
      <w:r>
        <w:rPr>
          <w:sz w:val="20"/>
          <w:szCs w:val="20"/>
          <w:color w:val="auto"/>
        </w:rPr>
        <w:tab/>
      </w:r>
      <w:r>
        <w:rPr>
          <w:rFonts w:ascii="Courier New" w:cs="Courier New" w:eastAsia="Courier New" w:hAnsi="Courier New"/>
          <w:sz w:val="15"/>
          <w:szCs w:val="15"/>
          <w:color w:val="auto"/>
        </w:rPr>
        <w:t>74</w:t>
      </w:r>
    </w:p>
    <w:p>
      <w:pPr>
        <w:spacing w:after="0" w:line="1" w:lineRule="exact"/>
        <w:rPr>
          <w:sz w:val="20"/>
          <w:szCs w:val="20"/>
          <w:color w:val="auto"/>
        </w:rPr>
      </w:pPr>
    </w:p>
    <w:p>
      <w:pPr>
        <w:ind w:left="840"/>
        <w:spacing w:after="0"/>
        <w:tabs>
          <w:tab w:leader="none" w:pos="1400" w:val="left"/>
          <w:tab w:leader="dot" w:pos="10100" w:val="left"/>
        </w:tabs>
        <w:rPr>
          <w:sz w:val="20"/>
          <w:szCs w:val="20"/>
          <w:color w:val="auto"/>
        </w:rPr>
      </w:pPr>
      <w:r>
        <w:rPr>
          <w:rFonts w:ascii="Courier New" w:cs="Courier New" w:eastAsia="Courier New" w:hAnsi="Courier New"/>
          <w:sz w:val="16"/>
          <w:szCs w:val="16"/>
          <w:color w:val="auto"/>
        </w:rPr>
        <w:t>6.5</w:t>
        <w:tab/>
        <w:t>Conduct of Business and Maintenance of Existence</w:t>
      </w:r>
      <w:r>
        <w:rPr>
          <w:sz w:val="20"/>
          <w:szCs w:val="20"/>
          <w:color w:val="auto"/>
        </w:rPr>
        <w:tab/>
      </w:r>
      <w:r>
        <w:rPr>
          <w:rFonts w:ascii="Courier New" w:cs="Courier New" w:eastAsia="Courier New" w:hAnsi="Courier New"/>
          <w:sz w:val="15"/>
          <w:szCs w:val="15"/>
          <w:color w:val="auto"/>
        </w:rPr>
        <w:t>74</w:t>
      </w:r>
    </w:p>
    <w:p>
      <w:pPr>
        <w:spacing w:after="0" w:line="1" w:lineRule="exact"/>
        <w:rPr>
          <w:sz w:val="20"/>
          <w:szCs w:val="20"/>
          <w:color w:val="auto"/>
        </w:rPr>
      </w:pPr>
    </w:p>
    <w:p>
      <w:pPr>
        <w:ind w:left="840"/>
        <w:spacing w:after="0"/>
        <w:tabs>
          <w:tab w:leader="none" w:pos="1400" w:val="left"/>
          <w:tab w:leader="dot" w:pos="10100" w:val="left"/>
        </w:tabs>
        <w:rPr>
          <w:sz w:val="20"/>
          <w:szCs w:val="20"/>
          <w:color w:val="auto"/>
        </w:rPr>
      </w:pPr>
      <w:r>
        <w:rPr>
          <w:rFonts w:ascii="Courier New" w:cs="Courier New" w:eastAsia="Courier New" w:hAnsi="Courier New"/>
          <w:sz w:val="16"/>
          <w:szCs w:val="16"/>
          <w:color w:val="auto"/>
        </w:rPr>
        <w:t>6.6</w:t>
        <w:tab/>
        <w:t>Maintenance of Property, Insurance</w:t>
      </w:r>
      <w:r>
        <w:rPr>
          <w:sz w:val="20"/>
          <w:szCs w:val="20"/>
          <w:color w:val="auto"/>
        </w:rPr>
        <w:tab/>
      </w:r>
      <w:r>
        <w:rPr>
          <w:rFonts w:ascii="Courier New" w:cs="Courier New" w:eastAsia="Courier New" w:hAnsi="Courier New"/>
          <w:sz w:val="15"/>
          <w:szCs w:val="15"/>
          <w:color w:val="auto"/>
        </w:rPr>
        <w:t>74</w:t>
      </w:r>
    </w:p>
    <w:p>
      <w:pPr>
        <w:spacing w:after="0" w:line="1" w:lineRule="exact"/>
        <w:rPr>
          <w:sz w:val="20"/>
          <w:szCs w:val="20"/>
          <w:color w:val="auto"/>
        </w:rPr>
      </w:pPr>
    </w:p>
    <w:p>
      <w:pPr>
        <w:ind w:left="840"/>
        <w:spacing w:after="0"/>
        <w:tabs>
          <w:tab w:leader="none" w:pos="1400" w:val="left"/>
          <w:tab w:leader="dot" w:pos="10100" w:val="left"/>
        </w:tabs>
        <w:rPr>
          <w:sz w:val="20"/>
          <w:szCs w:val="20"/>
          <w:color w:val="auto"/>
        </w:rPr>
      </w:pPr>
      <w:r>
        <w:rPr>
          <w:rFonts w:ascii="Courier New" w:cs="Courier New" w:eastAsia="Courier New" w:hAnsi="Courier New"/>
          <w:sz w:val="16"/>
          <w:szCs w:val="16"/>
          <w:color w:val="auto"/>
        </w:rPr>
        <w:t>6.7</w:t>
        <w:tab/>
        <w:t>Inspection of Property; Books and Records; Discussions</w:t>
      </w:r>
      <w:r>
        <w:rPr>
          <w:sz w:val="20"/>
          <w:szCs w:val="20"/>
          <w:color w:val="auto"/>
        </w:rPr>
        <w:tab/>
      </w:r>
      <w:r>
        <w:rPr>
          <w:rFonts w:ascii="Courier New" w:cs="Courier New" w:eastAsia="Courier New" w:hAnsi="Courier New"/>
          <w:sz w:val="15"/>
          <w:szCs w:val="15"/>
          <w:color w:val="auto"/>
        </w:rPr>
        <w:t>75</w:t>
      </w:r>
    </w:p>
    <w:p>
      <w:pPr>
        <w:spacing w:after="0" w:line="1" w:lineRule="exact"/>
        <w:rPr>
          <w:sz w:val="20"/>
          <w:szCs w:val="20"/>
          <w:color w:val="auto"/>
        </w:rPr>
      </w:pPr>
    </w:p>
    <w:p>
      <w:pPr>
        <w:ind w:left="840"/>
        <w:spacing w:after="0"/>
        <w:tabs>
          <w:tab w:leader="none" w:pos="1400" w:val="left"/>
          <w:tab w:leader="dot" w:pos="10100" w:val="left"/>
        </w:tabs>
        <w:rPr>
          <w:sz w:val="20"/>
          <w:szCs w:val="20"/>
          <w:color w:val="auto"/>
        </w:rPr>
      </w:pPr>
      <w:r>
        <w:rPr>
          <w:rFonts w:ascii="Courier New" w:cs="Courier New" w:eastAsia="Courier New" w:hAnsi="Courier New"/>
          <w:sz w:val="16"/>
          <w:szCs w:val="16"/>
          <w:color w:val="auto"/>
        </w:rPr>
        <w:t>6.8</w:t>
        <w:tab/>
        <w:t>Notices</w:t>
      </w:r>
      <w:r>
        <w:rPr>
          <w:sz w:val="20"/>
          <w:szCs w:val="20"/>
          <w:color w:val="auto"/>
        </w:rPr>
        <w:tab/>
      </w:r>
      <w:r>
        <w:rPr>
          <w:rFonts w:ascii="Courier New" w:cs="Courier New" w:eastAsia="Courier New" w:hAnsi="Courier New"/>
          <w:sz w:val="15"/>
          <w:szCs w:val="15"/>
          <w:color w:val="auto"/>
        </w:rPr>
        <w:t>75</w:t>
      </w:r>
    </w:p>
    <w:p>
      <w:pPr>
        <w:spacing w:after="0" w:line="1" w:lineRule="exact"/>
        <w:rPr>
          <w:sz w:val="20"/>
          <w:szCs w:val="20"/>
          <w:color w:val="auto"/>
        </w:rPr>
      </w:pPr>
    </w:p>
    <w:p>
      <w:pPr>
        <w:ind w:left="840"/>
        <w:spacing w:after="0"/>
        <w:tabs>
          <w:tab w:leader="none" w:pos="1400" w:val="left"/>
          <w:tab w:leader="dot" w:pos="10100" w:val="left"/>
        </w:tabs>
        <w:rPr>
          <w:sz w:val="20"/>
          <w:szCs w:val="20"/>
          <w:color w:val="auto"/>
        </w:rPr>
      </w:pPr>
      <w:r>
        <w:rPr>
          <w:rFonts w:ascii="Courier New" w:cs="Courier New" w:eastAsia="Courier New" w:hAnsi="Courier New"/>
          <w:sz w:val="16"/>
          <w:szCs w:val="16"/>
          <w:color w:val="auto"/>
        </w:rPr>
        <w:t>6.9</w:t>
        <w:tab/>
        <w:t>Interest Coverage</w:t>
      </w:r>
      <w:r>
        <w:rPr>
          <w:sz w:val="20"/>
          <w:szCs w:val="20"/>
          <w:color w:val="auto"/>
        </w:rPr>
        <w:tab/>
      </w:r>
      <w:r>
        <w:rPr>
          <w:rFonts w:ascii="Courier New" w:cs="Courier New" w:eastAsia="Courier New" w:hAnsi="Courier New"/>
          <w:sz w:val="15"/>
          <w:szCs w:val="15"/>
          <w:color w:val="auto"/>
        </w:rPr>
        <w:t>76</w:t>
      </w:r>
    </w:p>
    <w:p>
      <w:pPr>
        <w:spacing w:after="0" w:line="1" w:lineRule="exact"/>
        <w:rPr>
          <w:sz w:val="20"/>
          <w:szCs w:val="20"/>
          <w:color w:val="auto"/>
        </w:rPr>
      </w:pPr>
    </w:p>
    <w:p>
      <w:pPr>
        <w:ind w:left="840"/>
        <w:spacing w:after="0"/>
        <w:tabs>
          <w:tab w:leader="none" w:pos="1500" w:val="left"/>
          <w:tab w:leader="dot" w:pos="10100" w:val="left"/>
        </w:tabs>
        <w:rPr>
          <w:sz w:val="20"/>
          <w:szCs w:val="20"/>
          <w:color w:val="auto"/>
        </w:rPr>
      </w:pPr>
      <w:r>
        <w:rPr>
          <w:rFonts w:ascii="Courier New" w:cs="Courier New" w:eastAsia="Courier New" w:hAnsi="Courier New"/>
          <w:sz w:val="16"/>
          <w:szCs w:val="16"/>
          <w:color w:val="auto"/>
        </w:rPr>
        <w:t>6.10</w:t>
      </w:r>
      <w:r>
        <w:rPr>
          <w:sz w:val="20"/>
          <w:szCs w:val="20"/>
          <w:color w:val="auto"/>
        </w:rPr>
        <w:tab/>
      </w:r>
      <w:r>
        <w:rPr>
          <w:rFonts w:ascii="Courier New" w:cs="Courier New" w:eastAsia="Courier New" w:hAnsi="Courier New"/>
          <w:sz w:val="16"/>
          <w:szCs w:val="16"/>
          <w:color w:val="auto"/>
        </w:rPr>
        <w:t>Maintenance of Leverage Ratio</w:t>
      </w:r>
      <w:r>
        <w:rPr>
          <w:sz w:val="20"/>
          <w:szCs w:val="20"/>
          <w:color w:val="auto"/>
        </w:rPr>
        <w:tab/>
      </w:r>
      <w:r>
        <w:rPr>
          <w:rFonts w:ascii="Courier New" w:cs="Courier New" w:eastAsia="Courier New" w:hAnsi="Courier New"/>
          <w:sz w:val="15"/>
          <w:szCs w:val="15"/>
          <w:color w:val="auto"/>
        </w:rPr>
        <w:t>76</w:t>
      </w:r>
    </w:p>
    <w:p>
      <w:pPr>
        <w:spacing w:after="0" w:line="1" w:lineRule="exact"/>
        <w:rPr>
          <w:sz w:val="20"/>
          <w:szCs w:val="20"/>
          <w:color w:val="auto"/>
        </w:rPr>
      </w:pPr>
    </w:p>
    <w:p>
      <w:pPr>
        <w:ind w:left="840"/>
        <w:spacing w:after="0"/>
        <w:tabs>
          <w:tab w:leader="none" w:pos="1500" w:val="left"/>
          <w:tab w:leader="dot" w:pos="10100" w:val="left"/>
        </w:tabs>
        <w:rPr>
          <w:sz w:val="20"/>
          <w:szCs w:val="20"/>
          <w:color w:val="auto"/>
        </w:rPr>
      </w:pPr>
      <w:r>
        <w:rPr>
          <w:rFonts w:ascii="Courier New" w:cs="Courier New" w:eastAsia="Courier New" w:hAnsi="Courier New"/>
          <w:sz w:val="16"/>
          <w:szCs w:val="16"/>
          <w:color w:val="auto"/>
        </w:rPr>
        <w:t>6.11</w:t>
      </w:r>
      <w:r>
        <w:rPr>
          <w:sz w:val="20"/>
          <w:szCs w:val="20"/>
          <w:color w:val="auto"/>
        </w:rPr>
        <w:tab/>
      </w:r>
      <w:r>
        <w:rPr>
          <w:rFonts w:ascii="Courier New" w:cs="Courier New" w:eastAsia="Courier New" w:hAnsi="Courier New"/>
          <w:sz w:val="16"/>
          <w:szCs w:val="16"/>
          <w:color w:val="auto"/>
        </w:rPr>
        <w:t>Additional Collateral, etc</w:t>
      </w:r>
      <w:r>
        <w:rPr>
          <w:sz w:val="20"/>
          <w:szCs w:val="20"/>
          <w:color w:val="auto"/>
        </w:rPr>
        <w:tab/>
      </w:r>
      <w:r>
        <w:rPr>
          <w:rFonts w:ascii="Courier New" w:cs="Courier New" w:eastAsia="Courier New" w:hAnsi="Courier New"/>
          <w:sz w:val="15"/>
          <w:szCs w:val="15"/>
          <w:color w:val="auto"/>
        </w:rPr>
        <w:t>77</w:t>
      </w:r>
    </w:p>
    <w:p>
      <w:pPr>
        <w:spacing w:after="0" w:line="1" w:lineRule="exact"/>
        <w:rPr>
          <w:sz w:val="20"/>
          <w:szCs w:val="20"/>
          <w:color w:val="auto"/>
        </w:rPr>
      </w:pPr>
    </w:p>
    <w:p>
      <w:pPr>
        <w:ind w:left="840"/>
        <w:spacing w:after="0"/>
        <w:tabs>
          <w:tab w:leader="none" w:pos="1500" w:val="left"/>
          <w:tab w:leader="dot" w:pos="10100" w:val="left"/>
        </w:tabs>
        <w:rPr>
          <w:sz w:val="20"/>
          <w:szCs w:val="20"/>
          <w:color w:val="auto"/>
        </w:rPr>
      </w:pPr>
      <w:r>
        <w:rPr>
          <w:rFonts w:ascii="Courier New" w:cs="Courier New" w:eastAsia="Courier New" w:hAnsi="Courier New"/>
          <w:sz w:val="16"/>
          <w:szCs w:val="16"/>
          <w:color w:val="auto"/>
        </w:rPr>
        <w:t>6.12</w:t>
      </w:r>
      <w:r>
        <w:rPr>
          <w:sz w:val="20"/>
          <w:szCs w:val="20"/>
          <w:color w:val="auto"/>
        </w:rPr>
        <w:tab/>
      </w:r>
      <w:r>
        <w:rPr>
          <w:rFonts w:ascii="Courier New" w:cs="Courier New" w:eastAsia="Courier New" w:hAnsi="Courier New"/>
          <w:sz w:val="16"/>
          <w:szCs w:val="16"/>
          <w:color w:val="auto"/>
        </w:rPr>
        <w:t>Environmental, Health and Safety Matters</w:t>
      </w:r>
      <w:r>
        <w:rPr>
          <w:sz w:val="20"/>
          <w:szCs w:val="20"/>
          <w:color w:val="auto"/>
        </w:rPr>
        <w:tab/>
      </w:r>
      <w:r>
        <w:rPr>
          <w:rFonts w:ascii="Courier New" w:cs="Courier New" w:eastAsia="Courier New" w:hAnsi="Courier New"/>
          <w:sz w:val="15"/>
          <w:szCs w:val="15"/>
          <w:color w:val="auto"/>
        </w:rPr>
        <w:t>80</w:t>
      </w:r>
    </w:p>
    <w:p>
      <w:pPr>
        <w:spacing w:after="0" w:line="36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400"/>
          </w:cols>
          <w:pgMar w:left="240" w:top="840" w:right="1259" w:bottom="1440" w:gutter="0" w:footer="0" w:header="0"/>
        </w:sectPr>
      </w:pPr>
    </w:p>
    <w:bookmarkStart w:id="397" w:name="page398"/>
    <w:bookmarkEnd w:id="397"/>
    <w:tbl>
      <w:tblPr>
        <w:tblLayout w:type="fixed"/>
        <w:tblInd w:w="0" w:type="dxa"/>
        <w:tblCellMar>
          <w:top w:w="0" w:type="dxa"/>
          <w:left w:w="0" w:type="dxa"/>
          <w:bottom w:w="0" w:type="dxa"/>
          <w:right w:w="0" w:type="dxa"/>
        </w:tblCellMar>
      </w:tblPr>
      <w:tr>
        <w:trPr>
          <w:trHeight w:val="181"/>
        </w:trPr>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364"/>
        </w:trPr>
        <w:tc>
          <w:tcPr>
            <w:tcW w:w="1280" w:type="dxa"/>
            <w:vAlign w:val="bottom"/>
          </w:tcPr>
          <w:p>
            <w:pPr>
              <w:spacing w:after="0"/>
              <w:rPr>
                <w:sz w:val="20"/>
                <w:szCs w:val="20"/>
                <w:color w:val="auto"/>
              </w:rPr>
            </w:pPr>
            <w:r>
              <w:rPr>
                <w:rFonts w:ascii="Courier New" w:cs="Courier New" w:eastAsia="Courier New" w:hAnsi="Courier New"/>
                <w:sz w:val="16"/>
                <w:szCs w:val="16"/>
                <w:color w:val="auto"/>
              </w:rPr>
              <w:t>SECTION 7.</w:t>
            </w:r>
          </w:p>
        </w:tc>
        <w:tc>
          <w:tcPr>
            <w:tcW w:w="80" w:type="dxa"/>
            <w:vAlign w:val="bottom"/>
          </w:tcPr>
          <w:p>
            <w:pPr>
              <w:spacing w:after="0"/>
              <w:rPr>
                <w:sz w:val="24"/>
                <w:szCs w:val="24"/>
                <w:color w:val="auto"/>
              </w:rPr>
            </w:pP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NEGATIVE COVENANTS........................................................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7.1</w:t>
            </w:r>
          </w:p>
        </w:tc>
        <w:tc>
          <w:tcPr>
            <w:tcW w:w="80" w:type="dxa"/>
            <w:vAlign w:val="bottom"/>
          </w:tcPr>
          <w:p>
            <w:pPr>
              <w:spacing w:after="0"/>
              <w:rPr>
                <w:sz w:val="15"/>
                <w:szCs w:val="15"/>
                <w:color w:val="auto"/>
              </w:rPr>
            </w:pP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Limitation on Liens...................................................................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7.2</w:t>
            </w:r>
          </w:p>
        </w:tc>
        <w:tc>
          <w:tcPr>
            <w:tcW w:w="80" w:type="dxa"/>
            <w:vAlign w:val="bottom"/>
          </w:tcPr>
          <w:p>
            <w:pPr>
              <w:spacing w:after="0"/>
              <w:rPr>
                <w:sz w:val="15"/>
                <w:szCs w:val="15"/>
                <w:color w:val="auto"/>
              </w:rPr>
            </w:pP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Limitation on Contingent Obligations..................................................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7.3</w:t>
            </w:r>
          </w:p>
        </w:tc>
        <w:tc>
          <w:tcPr>
            <w:tcW w:w="80" w:type="dxa"/>
            <w:vAlign w:val="bottom"/>
          </w:tcPr>
          <w:p>
            <w:pPr>
              <w:spacing w:after="0"/>
              <w:rPr>
                <w:sz w:val="15"/>
                <w:szCs w:val="15"/>
                <w:color w:val="auto"/>
              </w:rPr>
            </w:pP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Limitation on Fundamental Changes.....................................................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7.4</w:t>
            </w:r>
          </w:p>
        </w:tc>
        <w:tc>
          <w:tcPr>
            <w:tcW w:w="80" w:type="dxa"/>
            <w:vAlign w:val="bottom"/>
          </w:tcPr>
          <w:p>
            <w:pPr>
              <w:spacing w:after="0"/>
              <w:rPr>
                <w:sz w:val="15"/>
                <w:szCs w:val="15"/>
                <w:color w:val="auto"/>
              </w:rPr>
            </w:pP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Limitation on Capital Expenditures....................................................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83</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7.5</w:t>
            </w:r>
          </w:p>
        </w:tc>
        <w:tc>
          <w:tcPr>
            <w:tcW w:w="85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9"/>
              </w:rPr>
              <w:t>Limitation on Acquisitions, Investments, Loans and Advances...........................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7.6</w:t>
            </w:r>
          </w:p>
        </w:tc>
        <w:tc>
          <w:tcPr>
            <w:tcW w:w="80" w:type="dxa"/>
            <w:vAlign w:val="bottom"/>
          </w:tcPr>
          <w:p>
            <w:pPr>
              <w:spacing w:after="0"/>
              <w:rPr>
                <w:sz w:val="15"/>
                <w:szCs w:val="15"/>
                <w:color w:val="auto"/>
              </w:rPr>
            </w:pP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Limitation on Indebtedness............................................................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7.7</w:t>
            </w:r>
          </w:p>
        </w:tc>
        <w:tc>
          <w:tcPr>
            <w:tcW w:w="85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9"/>
              </w:rPr>
              <w:t>Limitation on Restrictions on Subsidiary Distributions................................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86</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7.8</w:t>
            </w:r>
          </w:p>
        </w:tc>
        <w:tc>
          <w:tcPr>
            <w:tcW w:w="85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9"/>
              </w:rPr>
              <w:t>Transactions with Affiliates and Officers.............................................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7.9</w:t>
            </w:r>
          </w:p>
        </w:tc>
        <w:tc>
          <w:tcPr>
            <w:tcW w:w="85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9"/>
              </w:rPr>
              <w:t>Limitation on Sale of Assets..........................................................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w:t>
            </w:r>
          </w:p>
        </w:tc>
      </w:tr>
      <w:tr>
        <w:trPr>
          <w:trHeight w:val="182"/>
        </w:trPr>
        <w:tc>
          <w:tcPr>
            <w:tcW w:w="136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7.10</w:t>
            </w: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Sale and Leaseback...................................................................</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w:t>
            </w:r>
          </w:p>
        </w:tc>
      </w:tr>
      <w:tr>
        <w:trPr>
          <w:trHeight w:val="182"/>
        </w:trPr>
        <w:tc>
          <w:tcPr>
            <w:tcW w:w="136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7.11</w:t>
            </w: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Fiscal Year..........................................................................</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w:t>
            </w:r>
          </w:p>
        </w:tc>
      </w:tr>
      <w:tr>
        <w:trPr>
          <w:trHeight w:val="182"/>
        </w:trPr>
        <w:tc>
          <w:tcPr>
            <w:tcW w:w="136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7.12</w:t>
            </w: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Modifications of Certain Debt Instruments............................................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w:t>
            </w:r>
          </w:p>
        </w:tc>
      </w:tr>
      <w:tr>
        <w:trPr>
          <w:trHeight w:val="182"/>
        </w:trPr>
        <w:tc>
          <w:tcPr>
            <w:tcW w:w="136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7.13</w:t>
            </w: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Negative Pledge Clauses..............................................................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w:t>
            </w:r>
          </w:p>
        </w:tc>
      </w:tr>
      <w:tr>
        <w:trPr>
          <w:trHeight w:val="182"/>
        </w:trPr>
        <w:tc>
          <w:tcPr>
            <w:tcW w:w="136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7.14</w:t>
            </w: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Lines of Business....................................................................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w:t>
            </w:r>
          </w:p>
        </w:tc>
      </w:tr>
      <w:tr>
        <w:trPr>
          <w:trHeight w:val="182"/>
        </w:trPr>
        <w:tc>
          <w:tcPr>
            <w:tcW w:w="136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7.15</w:t>
            </w: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Restricted Payments..................................................................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89</w:t>
            </w:r>
          </w:p>
        </w:tc>
      </w:tr>
      <w:tr>
        <w:trPr>
          <w:trHeight w:val="364"/>
        </w:trPr>
        <w:tc>
          <w:tcPr>
            <w:tcW w:w="1280" w:type="dxa"/>
            <w:vAlign w:val="bottom"/>
          </w:tcPr>
          <w:p>
            <w:pPr>
              <w:spacing w:after="0"/>
              <w:rPr>
                <w:sz w:val="20"/>
                <w:szCs w:val="20"/>
                <w:color w:val="auto"/>
              </w:rPr>
            </w:pPr>
            <w:r>
              <w:rPr>
                <w:rFonts w:ascii="Courier New" w:cs="Courier New" w:eastAsia="Courier New" w:hAnsi="Courier New"/>
                <w:sz w:val="16"/>
                <w:szCs w:val="16"/>
                <w:color w:val="auto"/>
              </w:rPr>
              <w:t>SECTION 8.</w:t>
            </w:r>
          </w:p>
        </w:tc>
        <w:tc>
          <w:tcPr>
            <w:tcW w:w="80" w:type="dxa"/>
            <w:vAlign w:val="bottom"/>
          </w:tcPr>
          <w:p>
            <w:pPr>
              <w:spacing w:after="0"/>
              <w:rPr>
                <w:sz w:val="24"/>
                <w:szCs w:val="24"/>
                <w:color w:val="auto"/>
              </w:rPr>
            </w:pP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EVENTS OF DEFAULT.........................................................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89</w:t>
            </w:r>
          </w:p>
        </w:tc>
      </w:tr>
      <w:tr>
        <w:trPr>
          <w:trHeight w:val="364"/>
        </w:trPr>
        <w:tc>
          <w:tcPr>
            <w:tcW w:w="1280" w:type="dxa"/>
            <w:vAlign w:val="bottom"/>
          </w:tcPr>
          <w:p>
            <w:pPr>
              <w:spacing w:after="0"/>
              <w:rPr>
                <w:sz w:val="20"/>
                <w:szCs w:val="20"/>
                <w:color w:val="auto"/>
              </w:rPr>
            </w:pPr>
            <w:r>
              <w:rPr>
                <w:rFonts w:ascii="Courier New" w:cs="Courier New" w:eastAsia="Courier New" w:hAnsi="Courier New"/>
                <w:sz w:val="16"/>
                <w:szCs w:val="16"/>
                <w:color w:val="auto"/>
              </w:rPr>
              <w:t>SECTION 9.</w:t>
            </w:r>
          </w:p>
        </w:tc>
        <w:tc>
          <w:tcPr>
            <w:tcW w:w="80" w:type="dxa"/>
            <w:vAlign w:val="bottom"/>
          </w:tcPr>
          <w:p>
            <w:pPr>
              <w:spacing w:after="0"/>
              <w:rPr>
                <w:sz w:val="24"/>
                <w:szCs w:val="24"/>
                <w:color w:val="auto"/>
              </w:rPr>
            </w:pP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THE ADMINISTRATIVE AGENT..................................................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9.1</w:t>
            </w:r>
          </w:p>
        </w:tc>
        <w:tc>
          <w:tcPr>
            <w:tcW w:w="80" w:type="dxa"/>
            <w:vAlign w:val="bottom"/>
          </w:tcPr>
          <w:p>
            <w:pPr>
              <w:spacing w:after="0"/>
              <w:rPr>
                <w:sz w:val="15"/>
                <w:szCs w:val="15"/>
                <w:color w:val="auto"/>
              </w:rPr>
            </w:pP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Appointment...........................................................................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9.2</w:t>
            </w:r>
          </w:p>
        </w:tc>
        <w:tc>
          <w:tcPr>
            <w:tcW w:w="80" w:type="dxa"/>
            <w:vAlign w:val="bottom"/>
          </w:tcPr>
          <w:p>
            <w:pPr>
              <w:spacing w:after="0"/>
              <w:rPr>
                <w:sz w:val="15"/>
                <w:szCs w:val="15"/>
                <w:color w:val="auto"/>
              </w:rPr>
            </w:pP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Delegation of Duties..................................................................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9.3</w:t>
            </w:r>
          </w:p>
        </w:tc>
        <w:tc>
          <w:tcPr>
            <w:tcW w:w="80" w:type="dxa"/>
            <w:vAlign w:val="bottom"/>
          </w:tcPr>
          <w:p>
            <w:pPr>
              <w:spacing w:after="0"/>
              <w:rPr>
                <w:sz w:val="15"/>
                <w:szCs w:val="15"/>
                <w:color w:val="auto"/>
              </w:rPr>
            </w:pP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Exculpatory Provisions................................................................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9.4</w:t>
            </w:r>
          </w:p>
        </w:tc>
        <w:tc>
          <w:tcPr>
            <w:tcW w:w="80" w:type="dxa"/>
            <w:vAlign w:val="bottom"/>
          </w:tcPr>
          <w:p>
            <w:pPr>
              <w:spacing w:after="0"/>
              <w:rPr>
                <w:sz w:val="15"/>
                <w:szCs w:val="15"/>
                <w:color w:val="auto"/>
              </w:rPr>
            </w:pP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Reliance by Administrative Agent......................................................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9.5</w:t>
            </w:r>
          </w:p>
        </w:tc>
        <w:tc>
          <w:tcPr>
            <w:tcW w:w="80" w:type="dxa"/>
            <w:vAlign w:val="bottom"/>
          </w:tcPr>
          <w:p>
            <w:pPr>
              <w:spacing w:after="0"/>
              <w:rPr>
                <w:sz w:val="15"/>
                <w:szCs w:val="15"/>
                <w:color w:val="auto"/>
              </w:rPr>
            </w:pP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Notice of Default.....................................................................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9.6</w:t>
            </w:r>
          </w:p>
        </w:tc>
        <w:tc>
          <w:tcPr>
            <w:tcW w:w="85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9"/>
              </w:rPr>
              <w:t>Non-Reliance on Administrative Agent, Other Lenders and JPMSI.........................</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9.7</w:t>
            </w:r>
          </w:p>
        </w:tc>
        <w:tc>
          <w:tcPr>
            <w:tcW w:w="80" w:type="dxa"/>
            <w:vAlign w:val="bottom"/>
          </w:tcPr>
          <w:p>
            <w:pPr>
              <w:spacing w:after="0"/>
              <w:rPr>
                <w:sz w:val="15"/>
                <w:szCs w:val="15"/>
                <w:color w:val="auto"/>
              </w:rPr>
            </w:pP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Indemnification.......................................................................</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9.8</w:t>
            </w:r>
          </w:p>
        </w:tc>
        <w:tc>
          <w:tcPr>
            <w:tcW w:w="85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9"/>
              </w:rPr>
              <w:t>Administrative Agent in Its Individual Capacity.......................................</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w:t>
            </w:r>
          </w:p>
        </w:tc>
      </w:tr>
      <w:tr>
        <w:trPr>
          <w:trHeight w:val="182"/>
        </w:trPr>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9.9</w:t>
            </w:r>
          </w:p>
        </w:tc>
        <w:tc>
          <w:tcPr>
            <w:tcW w:w="80" w:type="dxa"/>
            <w:vAlign w:val="bottom"/>
          </w:tcPr>
          <w:p>
            <w:pPr>
              <w:spacing w:after="0"/>
              <w:rPr>
                <w:sz w:val="15"/>
                <w:szCs w:val="15"/>
                <w:color w:val="auto"/>
              </w:rPr>
            </w:pP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Successor Administrative Agent........................................................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w:t>
            </w:r>
          </w:p>
        </w:tc>
      </w:tr>
      <w:tr>
        <w:trPr>
          <w:trHeight w:val="182"/>
        </w:trPr>
        <w:tc>
          <w:tcPr>
            <w:tcW w:w="136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9.10</w:t>
            </w: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The Syndication Agent and the Co-Documentation Agents................................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w:t>
            </w:r>
          </w:p>
        </w:tc>
      </w:tr>
      <w:tr>
        <w:trPr>
          <w:trHeight w:val="364"/>
        </w:trPr>
        <w:tc>
          <w:tcPr>
            <w:tcW w:w="1280" w:type="dxa"/>
            <w:vAlign w:val="bottom"/>
          </w:tcPr>
          <w:p>
            <w:pPr>
              <w:spacing w:after="0"/>
              <w:rPr>
                <w:sz w:val="20"/>
                <w:szCs w:val="20"/>
                <w:color w:val="auto"/>
              </w:rPr>
            </w:pPr>
            <w:r>
              <w:rPr>
                <w:rFonts w:ascii="Courier New" w:cs="Courier New" w:eastAsia="Courier New" w:hAnsi="Courier New"/>
                <w:sz w:val="16"/>
                <w:szCs w:val="16"/>
                <w:color w:val="auto"/>
              </w:rPr>
              <w:t>SECTION 10.</w:t>
            </w:r>
          </w:p>
        </w:tc>
        <w:tc>
          <w:tcPr>
            <w:tcW w:w="80" w:type="dxa"/>
            <w:vAlign w:val="bottom"/>
          </w:tcPr>
          <w:p>
            <w:pPr>
              <w:spacing w:after="0"/>
              <w:rPr>
                <w:sz w:val="24"/>
                <w:szCs w:val="24"/>
                <w:color w:val="auto"/>
              </w:rPr>
            </w:pP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MISCELLANEOUS.............................................................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97</w:t>
            </w:r>
          </w:p>
        </w:tc>
      </w:tr>
      <w:tr>
        <w:trPr>
          <w:trHeight w:val="182"/>
        </w:trPr>
        <w:tc>
          <w:tcPr>
            <w:tcW w:w="136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10.1</w:t>
            </w: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Amendments and Waivers...............................................................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97</w:t>
            </w:r>
          </w:p>
        </w:tc>
      </w:tr>
      <w:tr>
        <w:trPr>
          <w:trHeight w:val="182"/>
        </w:trPr>
        <w:tc>
          <w:tcPr>
            <w:tcW w:w="136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10.2</w:t>
            </w: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Notices..............................................................................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w:t>
            </w:r>
          </w:p>
        </w:tc>
      </w:tr>
      <w:tr>
        <w:trPr>
          <w:trHeight w:val="182"/>
        </w:trPr>
        <w:tc>
          <w:tcPr>
            <w:tcW w:w="136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10.3</w:t>
            </w: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No Waiver; Cumulative Remedies.......................................................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w:t>
            </w:r>
          </w:p>
        </w:tc>
      </w:tr>
      <w:tr>
        <w:trPr>
          <w:trHeight w:val="182"/>
        </w:trPr>
        <w:tc>
          <w:tcPr>
            <w:tcW w:w="136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10.4</w:t>
            </w: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Survival of Representations, Warranties and Indemnities..............................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w:t>
            </w:r>
          </w:p>
        </w:tc>
      </w:tr>
      <w:tr>
        <w:trPr>
          <w:trHeight w:val="182"/>
        </w:trPr>
        <w:tc>
          <w:tcPr>
            <w:tcW w:w="136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10.5</w:t>
            </w: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Payment of Expenses and Taxes........................................................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w:t>
            </w:r>
          </w:p>
        </w:tc>
      </w:tr>
      <w:tr>
        <w:trPr>
          <w:trHeight w:val="182"/>
        </w:trPr>
        <w:tc>
          <w:tcPr>
            <w:tcW w:w="136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10.6</w:t>
            </w: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Successors and Assigns; Participations and Assignments...............................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101</w:t>
            </w:r>
          </w:p>
        </w:tc>
      </w:tr>
      <w:tr>
        <w:trPr>
          <w:trHeight w:val="182"/>
        </w:trPr>
        <w:tc>
          <w:tcPr>
            <w:tcW w:w="136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10.7</w:t>
            </w: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Adjustments; Set-off.................................................................</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104</w:t>
            </w:r>
          </w:p>
        </w:tc>
      </w:tr>
      <w:tr>
        <w:trPr>
          <w:trHeight w:val="182"/>
        </w:trPr>
        <w:tc>
          <w:tcPr>
            <w:tcW w:w="136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10.8</w:t>
            </w: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Enforceability; Usury................................................................</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105</w:t>
            </w:r>
          </w:p>
        </w:tc>
      </w:tr>
      <w:tr>
        <w:trPr>
          <w:trHeight w:val="182"/>
        </w:trPr>
        <w:tc>
          <w:tcPr>
            <w:tcW w:w="136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10.9</w:t>
            </w: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Judgment.............................................................................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106</w:t>
            </w:r>
          </w:p>
        </w:tc>
      </w:tr>
      <w:tr>
        <w:trPr>
          <w:trHeight w:val="182"/>
        </w:trPr>
        <w:tc>
          <w:tcPr>
            <w:tcW w:w="136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10.10</w:t>
            </w: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Counterparts........................................................................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106</w:t>
            </w:r>
          </w:p>
        </w:tc>
      </w:tr>
      <w:tr>
        <w:trPr>
          <w:trHeight w:val="182"/>
        </w:trPr>
        <w:tc>
          <w:tcPr>
            <w:tcW w:w="9780" w:type="dxa"/>
            <w:vAlign w:val="bottom"/>
            <w:gridSpan w:val="3"/>
          </w:tcPr>
          <w:p>
            <w:pPr>
              <w:jc w:val="right"/>
              <w:ind w:right="161"/>
              <w:spacing w:after="0"/>
              <w:rPr>
                <w:sz w:val="20"/>
                <w:szCs w:val="20"/>
                <w:color w:val="auto"/>
              </w:rPr>
            </w:pPr>
            <w:r>
              <w:rPr>
                <w:rFonts w:ascii="Courier New" w:cs="Courier New" w:eastAsia="Courier New" w:hAnsi="Courier New"/>
                <w:sz w:val="16"/>
                <w:szCs w:val="16"/>
                <w:color w:val="auto"/>
              </w:rPr>
              <w:t>10.11   Governing Law; No Third Party Rights................................................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106</w:t>
            </w:r>
          </w:p>
        </w:tc>
      </w:tr>
      <w:tr>
        <w:trPr>
          <w:trHeight w:val="182"/>
        </w:trPr>
        <w:tc>
          <w:tcPr>
            <w:tcW w:w="136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10.12</w:t>
            </w: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Headings............................................................................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107</w:t>
            </w:r>
          </w:p>
        </w:tc>
      </w:tr>
      <w:tr>
        <w:trPr>
          <w:trHeight w:val="182"/>
        </w:trPr>
        <w:tc>
          <w:tcPr>
            <w:tcW w:w="136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10.13</w:t>
            </w:r>
          </w:p>
        </w:tc>
        <w:tc>
          <w:tcPr>
            <w:tcW w:w="8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Submission To Jurisdiction; Waivers.................................................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107</w:t>
            </w:r>
          </w:p>
        </w:tc>
      </w:tr>
    </w:tbl>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400"/>
          </w:cols>
          <w:pgMar w:left="240" w:top="840" w:right="1259" w:bottom="1440" w:gutter="0" w:footer="0" w:header="0"/>
        </w:sectPr>
      </w:pPr>
    </w:p>
    <w:bookmarkStart w:id="398" w:name="page399"/>
    <w:bookmarkEnd w:id="398"/>
    <w:p>
      <w:pPr>
        <w:jc w:val="right"/>
        <w:spacing w:after="0"/>
        <w:rPr>
          <w:sz w:val="20"/>
          <w:szCs w:val="20"/>
          <w:color w:val="auto"/>
        </w:rPr>
      </w:pPr>
      <w:r>
        <w:rPr>
          <w:rFonts w:ascii="Courier New" w:cs="Courier New" w:eastAsia="Courier New" w:hAnsi="Courier New"/>
          <w:sz w:val="16"/>
          <w:szCs w:val="16"/>
          <w:color w:val="auto"/>
        </w:rPr>
        <w:t>PAGE</w:t>
      </w:r>
    </w:p>
    <w:p>
      <w:pPr>
        <w:spacing w:after="0" w:line="183" w:lineRule="exact"/>
        <w:rPr>
          <w:sz w:val="20"/>
          <w:szCs w:val="20"/>
          <w:color w:val="auto"/>
        </w:rPr>
      </w:pPr>
    </w:p>
    <w:p>
      <w:pPr>
        <w:spacing w:after="0"/>
        <w:tabs>
          <w:tab w:leader="none" w:pos="740" w:val="left"/>
          <w:tab w:leader="dot" w:pos="10300" w:val="left"/>
        </w:tabs>
        <w:rPr>
          <w:sz w:val="20"/>
          <w:szCs w:val="20"/>
          <w:color w:val="auto"/>
        </w:rPr>
      </w:pPr>
      <w:r>
        <w:rPr>
          <w:rFonts w:ascii="Courier New" w:cs="Courier New" w:eastAsia="Courier New" w:hAnsi="Courier New"/>
          <w:sz w:val="16"/>
          <w:szCs w:val="16"/>
          <w:color w:val="auto"/>
        </w:rPr>
        <w:t>10.14</w:t>
        <w:tab/>
        <w:t>Acknowledgments</w:t>
      </w:r>
      <w:r>
        <w:rPr>
          <w:sz w:val="20"/>
          <w:szCs w:val="20"/>
          <w:color w:val="auto"/>
        </w:rPr>
        <w:tab/>
      </w:r>
      <w:r>
        <w:rPr>
          <w:rFonts w:ascii="Courier New" w:cs="Courier New" w:eastAsia="Courier New" w:hAnsi="Courier New"/>
          <w:sz w:val="15"/>
          <w:szCs w:val="15"/>
          <w:color w:val="auto"/>
        </w:rPr>
        <w:t>108</w:t>
      </w:r>
    </w:p>
    <w:p>
      <w:pPr>
        <w:spacing w:after="0" w:line="1" w:lineRule="exact"/>
        <w:rPr>
          <w:sz w:val="20"/>
          <w:szCs w:val="20"/>
          <w:color w:val="auto"/>
        </w:rPr>
      </w:pPr>
    </w:p>
    <w:p>
      <w:pPr>
        <w:spacing w:after="0"/>
        <w:tabs>
          <w:tab w:leader="none" w:pos="740" w:val="left"/>
          <w:tab w:leader="dot" w:pos="10300" w:val="left"/>
        </w:tabs>
        <w:rPr>
          <w:sz w:val="20"/>
          <w:szCs w:val="20"/>
          <w:color w:val="auto"/>
        </w:rPr>
      </w:pPr>
      <w:r>
        <w:rPr>
          <w:rFonts w:ascii="Courier New" w:cs="Courier New" w:eastAsia="Courier New" w:hAnsi="Courier New"/>
          <w:sz w:val="16"/>
          <w:szCs w:val="16"/>
          <w:color w:val="auto"/>
        </w:rPr>
        <w:t>10.15</w:t>
        <w:tab/>
        <w:t>WAIVERS OF JURY TRIAL</w:t>
      </w:r>
      <w:r>
        <w:rPr>
          <w:sz w:val="20"/>
          <w:szCs w:val="20"/>
          <w:color w:val="auto"/>
        </w:rPr>
        <w:tab/>
      </w:r>
      <w:r>
        <w:rPr>
          <w:rFonts w:ascii="Courier New" w:cs="Courier New" w:eastAsia="Courier New" w:hAnsi="Courier New"/>
          <w:sz w:val="15"/>
          <w:szCs w:val="15"/>
          <w:color w:val="auto"/>
        </w:rPr>
        <w:t>108</w:t>
      </w:r>
    </w:p>
    <w:p>
      <w:pPr>
        <w:spacing w:after="0" w:line="1" w:lineRule="exact"/>
        <w:rPr>
          <w:sz w:val="20"/>
          <w:szCs w:val="20"/>
          <w:color w:val="auto"/>
        </w:rPr>
      </w:pPr>
    </w:p>
    <w:p>
      <w:pPr>
        <w:spacing w:after="0"/>
        <w:tabs>
          <w:tab w:leader="none" w:pos="740" w:val="left"/>
          <w:tab w:leader="dot" w:pos="10300" w:val="left"/>
        </w:tabs>
        <w:rPr>
          <w:sz w:val="20"/>
          <w:szCs w:val="20"/>
          <w:color w:val="auto"/>
        </w:rPr>
      </w:pPr>
      <w:r>
        <w:rPr>
          <w:rFonts w:ascii="Courier New" w:cs="Courier New" w:eastAsia="Courier New" w:hAnsi="Courier New"/>
          <w:sz w:val="16"/>
          <w:szCs w:val="16"/>
          <w:color w:val="auto"/>
        </w:rPr>
        <w:t>10.16</w:t>
        <w:tab/>
        <w:t>Severability</w:t>
      </w:r>
      <w:r>
        <w:rPr>
          <w:sz w:val="20"/>
          <w:szCs w:val="20"/>
          <w:color w:val="auto"/>
        </w:rPr>
        <w:tab/>
      </w:r>
      <w:r>
        <w:rPr>
          <w:rFonts w:ascii="Courier New" w:cs="Courier New" w:eastAsia="Courier New" w:hAnsi="Courier New"/>
          <w:sz w:val="15"/>
          <w:szCs w:val="15"/>
          <w:color w:val="auto"/>
        </w:rPr>
        <w:t>109</w:t>
      </w:r>
    </w:p>
    <w:p>
      <w:pPr>
        <w:spacing w:after="0" w:line="364"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680"/>
          </w:cols>
          <w:pgMar w:left="1080" w:top="841" w:right="139" w:bottom="1440" w:gutter="0" w:footer="0" w:header="0"/>
        </w:sectPr>
      </w:pPr>
    </w:p>
    <w:bookmarkStart w:id="399" w:name="page400"/>
    <w:bookmarkEnd w:id="399"/>
    <w:tbl>
      <w:tblPr>
        <w:tblLayout w:type="fixed"/>
        <w:tblInd w:w="0" w:type="dxa"/>
        <w:tblCellMar>
          <w:top w:w="0" w:type="dxa"/>
          <w:left w:w="0" w:type="dxa"/>
          <w:bottom w:w="0" w:type="dxa"/>
          <w:right w:w="0" w:type="dxa"/>
        </w:tblCellMar>
      </w:tblPr>
      <w:tr>
        <w:trPr>
          <w:trHeight w:val="181"/>
        </w:trPr>
        <w:tc>
          <w:tcPr>
            <w:tcW w:w="2180" w:type="dxa"/>
            <w:vAlign w:val="bottom"/>
          </w:tcPr>
          <w:p>
            <w:pPr>
              <w:spacing w:after="0"/>
              <w:rPr>
                <w:sz w:val="20"/>
                <w:szCs w:val="20"/>
                <w:color w:val="auto"/>
              </w:rPr>
            </w:pPr>
            <w:r>
              <w:rPr>
                <w:rFonts w:ascii="Courier New" w:cs="Courier New" w:eastAsia="Courier New" w:hAnsi="Courier New"/>
                <w:sz w:val="16"/>
                <w:szCs w:val="16"/>
                <w:color w:val="auto"/>
              </w:rPr>
              <w:t>ANNEXES</w:t>
            </w:r>
          </w:p>
        </w:tc>
        <w:tc>
          <w:tcPr>
            <w:tcW w:w="1260" w:type="dxa"/>
            <w:vAlign w:val="bottom"/>
          </w:tcPr>
          <w:p>
            <w:pPr>
              <w:spacing w:after="0"/>
              <w:rPr>
                <w:sz w:val="15"/>
                <w:szCs w:val="15"/>
                <w:color w:val="auto"/>
              </w:rPr>
            </w:pPr>
          </w:p>
        </w:tc>
        <w:tc>
          <w:tcPr>
            <w:tcW w:w="7060" w:type="dxa"/>
            <w:vAlign w:val="bottom"/>
          </w:tcPr>
          <w:p>
            <w:pPr>
              <w:spacing w:after="0"/>
              <w:rPr>
                <w:sz w:val="15"/>
                <w:szCs w:val="15"/>
                <w:color w:val="auto"/>
              </w:rPr>
            </w:pPr>
          </w:p>
        </w:tc>
      </w:tr>
      <w:tr>
        <w:trPr>
          <w:trHeight w:val="364"/>
        </w:trPr>
        <w:tc>
          <w:tcPr>
            <w:tcW w:w="2180" w:type="dxa"/>
            <w:vAlign w:val="bottom"/>
          </w:tcPr>
          <w:p>
            <w:pPr>
              <w:spacing w:after="0"/>
              <w:rPr>
                <w:sz w:val="20"/>
                <w:szCs w:val="20"/>
                <w:color w:val="auto"/>
              </w:rPr>
            </w:pPr>
            <w:r>
              <w:rPr>
                <w:rFonts w:ascii="Courier New" w:cs="Courier New" w:eastAsia="Courier New" w:hAnsi="Courier New"/>
                <w:sz w:val="16"/>
                <w:szCs w:val="16"/>
                <w:color w:val="auto"/>
              </w:rPr>
              <w:t>Annex A</w:t>
            </w:r>
          </w:p>
        </w:tc>
        <w:tc>
          <w:tcPr>
            <w:tcW w:w="1260" w:type="dxa"/>
            <w:vAlign w:val="bottom"/>
          </w:tcPr>
          <w:p>
            <w:pPr>
              <w:ind w:left="560"/>
              <w:spacing w:after="0"/>
              <w:rPr>
                <w:sz w:val="20"/>
                <w:szCs w:val="20"/>
                <w:color w:val="auto"/>
              </w:rPr>
            </w:pPr>
            <w:r>
              <w:rPr>
                <w:rFonts w:ascii="Courier New" w:cs="Courier New" w:eastAsia="Courier New" w:hAnsi="Courier New"/>
                <w:sz w:val="16"/>
                <w:szCs w:val="16"/>
                <w:color w:val="auto"/>
              </w:rPr>
              <w:t>Pricing</w:t>
            </w:r>
          </w:p>
        </w:tc>
        <w:tc>
          <w:tcPr>
            <w:tcW w:w="7060" w:type="dxa"/>
            <w:vAlign w:val="bottom"/>
          </w:tcPr>
          <w:p>
            <w:pPr>
              <w:ind w:left="60"/>
              <w:spacing w:after="0"/>
              <w:rPr>
                <w:sz w:val="20"/>
                <w:szCs w:val="20"/>
                <w:color w:val="auto"/>
              </w:rPr>
            </w:pPr>
            <w:r>
              <w:rPr>
                <w:rFonts w:ascii="Courier New" w:cs="Courier New" w:eastAsia="Courier New" w:hAnsi="Courier New"/>
                <w:sz w:val="16"/>
                <w:szCs w:val="16"/>
                <w:color w:val="auto"/>
              </w:rPr>
              <w:t>Grid</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Annex B</w:t>
            </w:r>
          </w:p>
        </w:tc>
        <w:tc>
          <w:tcPr>
            <w:tcW w:w="83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Sterling Borrower Provisions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Annex C</w:t>
            </w:r>
          </w:p>
        </w:tc>
        <w:tc>
          <w:tcPr>
            <w:tcW w:w="83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Australia Borrower Provisions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Annex D</w:t>
            </w:r>
          </w:p>
        </w:tc>
        <w:tc>
          <w:tcPr>
            <w:tcW w:w="83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Canadian Borrower Provisions</w:t>
            </w:r>
          </w:p>
        </w:tc>
      </w:tr>
      <w:tr>
        <w:trPr>
          <w:trHeight w:val="364"/>
        </w:trPr>
        <w:tc>
          <w:tcPr>
            <w:tcW w:w="2180" w:type="dxa"/>
            <w:vAlign w:val="bottom"/>
          </w:tcPr>
          <w:p>
            <w:pPr>
              <w:spacing w:after="0"/>
              <w:rPr>
                <w:sz w:val="20"/>
                <w:szCs w:val="20"/>
                <w:color w:val="auto"/>
              </w:rPr>
            </w:pPr>
            <w:r>
              <w:rPr>
                <w:rFonts w:ascii="Courier New" w:cs="Courier New" w:eastAsia="Courier New" w:hAnsi="Courier New"/>
                <w:sz w:val="16"/>
                <w:szCs w:val="16"/>
                <w:color w:val="auto"/>
              </w:rPr>
              <w:t>SCHEDULES</w:t>
            </w:r>
          </w:p>
        </w:tc>
        <w:tc>
          <w:tcPr>
            <w:tcW w:w="1260" w:type="dxa"/>
            <w:vAlign w:val="bottom"/>
          </w:tcPr>
          <w:p>
            <w:pPr>
              <w:spacing w:after="0"/>
              <w:rPr>
                <w:sz w:val="24"/>
                <w:szCs w:val="24"/>
                <w:color w:val="auto"/>
              </w:rPr>
            </w:pPr>
          </w:p>
        </w:tc>
        <w:tc>
          <w:tcPr>
            <w:tcW w:w="7060" w:type="dxa"/>
            <w:vAlign w:val="bottom"/>
          </w:tcPr>
          <w:p>
            <w:pPr>
              <w:spacing w:after="0"/>
              <w:rPr>
                <w:sz w:val="24"/>
                <w:szCs w:val="24"/>
                <w:color w:val="auto"/>
              </w:rPr>
            </w:pPr>
          </w:p>
        </w:tc>
      </w:tr>
      <w:tr>
        <w:trPr>
          <w:trHeight w:val="364"/>
        </w:trPr>
        <w:tc>
          <w:tcPr>
            <w:tcW w:w="2180" w:type="dxa"/>
            <w:vAlign w:val="bottom"/>
          </w:tcPr>
          <w:p>
            <w:pPr>
              <w:spacing w:after="0"/>
              <w:rPr>
                <w:sz w:val="20"/>
                <w:szCs w:val="20"/>
                <w:color w:val="auto"/>
              </w:rPr>
            </w:pPr>
            <w:r>
              <w:rPr>
                <w:rFonts w:ascii="Courier New" w:cs="Courier New" w:eastAsia="Courier New" w:hAnsi="Courier New"/>
                <w:sz w:val="16"/>
                <w:szCs w:val="16"/>
                <w:color w:val="auto"/>
              </w:rPr>
              <w:t>Schedule 1</w:t>
            </w:r>
          </w:p>
        </w:tc>
        <w:tc>
          <w:tcPr>
            <w:tcW w:w="83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Lenders; Revolving Credit Commitments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Schedule 1A</w:t>
            </w:r>
          </w:p>
        </w:tc>
        <w:tc>
          <w:tcPr>
            <w:tcW w:w="1260" w:type="dxa"/>
            <w:vAlign w:val="bottom"/>
          </w:tcPr>
          <w:p>
            <w:pPr>
              <w:ind w:left="560"/>
              <w:spacing w:after="0"/>
              <w:rPr>
                <w:sz w:val="20"/>
                <w:szCs w:val="20"/>
                <w:color w:val="auto"/>
              </w:rPr>
            </w:pPr>
            <w:r>
              <w:rPr>
                <w:rFonts w:ascii="Courier New" w:cs="Courier New" w:eastAsia="Courier New" w:hAnsi="Courier New"/>
                <w:sz w:val="16"/>
                <w:szCs w:val="16"/>
                <w:color w:val="auto"/>
              </w:rPr>
              <w:t>Agents</w:t>
            </w:r>
          </w:p>
        </w:tc>
        <w:tc>
          <w:tcPr>
            <w:tcW w:w="7060" w:type="dxa"/>
            <w:vAlign w:val="bottom"/>
          </w:tcPr>
          <w:p>
            <w:pPr>
              <w:spacing w:after="0"/>
              <w:rPr>
                <w:sz w:val="15"/>
                <w:szCs w:val="15"/>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Schedule 1.1B</w:t>
            </w:r>
          </w:p>
        </w:tc>
        <w:tc>
          <w:tcPr>
            <w:tcW w:w="83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Mortgaged Properties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Schedule 1.2</w:t>
            </w:r>
          </w:p>
        </w:tc>
        <w:tc>
          <w:tcPr>
            <w:tcW w:w="83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Non-Guarantor Domestic Subsidiaries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Schedule 4.1</w:t>
            </w:r>
          </w:p>
        </w:tc>
        <w:tc>
          <w:tcPr>
            <w:tcW w:w="1260" w:type="dxa"/>
            <w:vAlign w:val="bottom"/>
          </w:tcPr>
          <w:p>
            <w:pPr>
              <w:ind w:left="560"/>
              <w:spacing w:after="0"/>
              <w:rPr>
                <w:sz w:val="20"/>
                <w:szCs w:val="20"/>
                <w:color w:val="auto"/>
              </w:rPr>
            </w:pPr>
            <w:r>
              <w:rPr>
                <w:rFonts w:ascii="Courier New" w:cs="Courier New" w:eastAsia="Courier New" w:hAnsi="Courier New"/>
                <w:sz w:val="16"/>
                <w:szCs w:val="16"/>
                <w:color w:val="auto"/>
              </w:rPr>
              <w:t>Certain</w:t>
            </w:r>
          </w:p>
        </w:tc>
        <w:tc>
          <w:tcPr>
            <w:tcW w:w="7060" w:type="dxa"/>
            <w:vAlign w:val="bottom"/>
          </w:tcPr>
          <w:p>
            <w:pPr>
              <w:ind w:left="60"/>
              <w:spacing w:after="0"/>
              <w:rPr>
                <w:sz w:val="20"/>
                <w:szCs w:val="20"/>
                <w:color w:val="auto"/>
              </w:rPr>
            </w:pPr>
            <w:r>
              <w:rPr>
                <w:rFonts w:ascii="Courier New" w:cs="Courier New" w:eastAsia="Courier New" w:hAnsi="Courier New"/>
                <w:sz w:val="16"/>
                <w:szCs w:val="16"/>
                <w:color w:val="auto"/>
              </w:rPr>
              <w:t>Financial Information</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Schedule 4.5</w:t>
            </w:r>
          </w:p>
        </w:tc>
        <w:tc>
          <w:tcPr>
            <w:tcW w:w="83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Litigation</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Schedule 4.8</w:t>
            </w:r>
          </w:p>
        </w:tc>
        <w:tc>
          <w:tcPr>
            <w:tcW w:w="83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Subsidiaries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Schedule 4.11</w:t>
            </w:r>
          </w:p>
        </w:tc>
        <w:tc>
          <w:tcPr>
            <w:tcW w:w="1260" w:type="dxa"/>
            <w:vAlign w:val="bottom"/>
          </w:tcPr>
          <w:p>
            <w:pPr>
              <w:ind w:left="560"/>
              <w:spacing w:after="0"/>
              <w:rPr>
                <w:sz w:val="20"/>
                <w:szCs w:val="20"/>
                <w:color w:val="auto"/>
              </w:rPr>
            </w:pPr>
            <w:r>
              <w:rPr>
                <w:rFonts w:ascii="Courier New" w:cs="Courier New" w:eastAsia="Courier New" w:hAnsi="Courier New"/>
                <w:sz w:val="16"/>
                <w:szCs w:val="16"/>
                <w:color w:val="auto"/>
              </w:rPr>
              <w:t>Certain</w:t>
            </w:r>
          </w:p>
        </w:tc>
        <w:tc>
          <w:tcPr>
            <w:tcW w:w="7060" w:type="dxa"/>
            <w:vAlign w:val="bottom"/>
          </w:tcPr>
          <w:p>
            <w:pPr>
              <w:ind w:left="60"/>
              <w:spacing w:after="0"/>
              <w:rPr>
                <w:sz w:val="20"/>
                <w:szCs w:val="20"/>
                <w:color w:val="auto"/>
              </w:rPr>
            </w:pPr>
            <w:r>
              <w:rPr>
                <w:rFonts w:ascii="Courier New" w:cs="Courier New" w:eastAsia="Courier New" w:hAnsi="Courier New"/>
                <w:sz w:val="16"/>
                <w:szCs w:val="16"/>
                <w:color w:val="auto"/>
              </w:rPr>
              <w:t>Transactions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Schedule 4.19(a)</w:t>
            </w:r>
          </w:p>
        </w:tc>
        <w:tc>
          <w:tcPr>
            <w:tcW w:w="1260" w:type="dxa"/>
            <w:vAlign w:val="bottom"/>
          </w:tcPr>
          <w:p>
            <w:pPr>
              <w:ind w:left="560"/>
              <w:spacing w:after="0"/>
              <w:rPr>
                <w:sz w:val="20"/>
                <w:szCs w:val="20"/>
                <w:color w:val="auto"/>
              </w:rPr>
            </w:pPr>
            <w:r>
              <w:rPr>
                <w:rFonts w:ascii="Courier New" w:cs="Courier New" w:eastAsia="Courier New" w:hAnsi="Courier New"/>
                <w:sz w:val="16"/>
                <w:szCs w:val="16"/>
                <w:color w:val="auto"/>
              </w:rPr>
              <w:t>Certain</w:t>
            </w:r>
          </w:p>
        </w:tc>
        <w:tc>
          <w:tcPr>
            <w:tcW w:w="7060" w:type="dxa"/>
            <w:vAlign w:val="bottom"/>
          </w:tcPr>
          <w:p>
            <w:pPr>
              <w:ind w:left="60"/>
              <w:spacing w:after="0"/>
              <w:rPr>
                <w:sz w:val="20"/>
                <w:szCs w:val="20"/>
                <w:color w:val="auto"/>
              </w:rPr>
            </w:pPr>
            <w:r>
              <w:rPr>
                <w:rFonts w:ascii="Courier New" w:cs="Courier New" w:eastAsia="Courier New" w:hAnsi="Courier New"/>
                <w:sz w:val="16"/>
                <w:szCs w:val="16"/>
                <w:color w:val="auto"/>
              </w:rPr>
              <w:t>Filings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Schedule 4.19(b)</w:t>
            </w:r>
          </w:p>
        </w:tc>
        <w:tc>
          <w:tcPr>
            <w:tcW w:w="83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Mortgage Filings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Schedule 5.1(b)</w:t>
            </w:r>
          </w:p>
        </w:tc>
        <w:tc>
          <w:tcPr>
            <w:tcW w:w="1260" w:type="dxa"/>
            <w:vAlign w:val="bottom"/>
          </w:tcPr>
          <w:p>
            <w:pPr>
              <w:ind w:left="560"/>
              <w:spacing w:after="0"/>
              <w:rPr>
                <w:sz w:val="20"/>
                <w:szCs w:val="20"/>
                <w:color w:val="auto"/>
              </w:rPr>
            </w:pPr>
            <w:r>
              <w:rPr>
                <w:rFonts w:ascii="Courier New" w:cs="Courier New" w:eastAsia="Courier New" w:hAnsi="Courier New"/>
                <w:sz w:val="16"/>
                <w:szCs w:val="16"/>
                <w:color w:val="auto"/>
              </w:rPr>
              <w:t>Foreign</w:t>
            </w:r>
          </w:p>
        </w:tc>
        <w:tc>
          <w:tcPr>
            <w:tcW w:w="7060" w:type="dxa"/>
            <w:vAlign w:val="bottom"/>
          </w:tcPr>
          <w:p>
            <w:pPr>
              <w:ind w:left="60"/>
              <w:spacing w:after="0"/>
              <w:rPr>
                <w:sz w:val="20"/>
                <w:szCs w:val="20"/>
                <w:color w:val="auto"/>
              </w:rPr>
            </w:pPr>
            <w:r>
              <w:rPr>
                <w:rFonts w:ascii="Courier New" w:cs="Courier New" w:eastAsia="Courier New" w:hAnsi="Courier New"/>
                <w:sz w:val="16"/>
                <w:szCs w:val="16"/>
                <w:color w:val="auto"/>
              </w:rPr>
              <w:t>Subsidiary Pledges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Schedule 5.1(g)</w:t>
            </w:r>
          </w:p>
        </w:tc>
        <w:tc>
          <w:tcPr>
            <w:tcW w:w="83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Proceedings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Schedule 5.1(o)</w:t>
            </w:r>
          </w:p>
        </w:tc>
        <w:tc>
          <w:tcPr>
            <w:tcW w:w="83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Title Insurance</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Schedule 5.3(iii)</w:t>
            </w:r>
          </w:p>
        </w:tc>
        <w:tc>
          <w:tcPr>
            <w:tcW w:w="1260" w:type="dxa"/>
            <w:vAlign w:val="bottom"/>
          </w:tcPr>
          <w:p>
            <w:pPr>
              <w:ind w:left="560"/>
              <w:spacing w:after="0"/>
              <w:rPr>
                <w:sz w:val="20"/>
                <w:szCs w:val="20"/>
                <w:color w:val="auto"/>
              </w:rPr>
            </w:pPr>
            <w:r>
              <w:rPr>
                <w:rFonts w:ascii="Courier New" w:cs="Courier New" w:eastAsia="Courier New" w:hAnsi="Courier New"/>
                <w:sz w:val="16"/>
                <w:szCs w:val="16"/>
                <w:color w:val="auto"/>
              </w:rPr>
              <w:t>Certain</w:t>
            </w:r>
          </w:p>
        </w:tc>
        <w:tc>
          <w:tcPr>
            <w:tcW w:w="7060" w:type="dxa"/>
            <w:vAlign w:val="bottom"/>
          </w:tcPr>
          <w:p>
            <w:pPr>
              <w:ind w:left="60"/>
              <w:spacing w:after="0"/>
              <w:rPr>
                <w:sz w:val="20"/>
                <w:szCs w:val="20"/>
                <w:color w:val="auto"/>
              </w:rPr>
            </w:pPr>
            <w:r>
              <w:rPr>
                <w:rFonts w:ascii="Courier New" w:cs="Courier New" w:eastAsia="Courier New" w:hAnsi="Courier New"/>
                <w:sz w:val="16"/>
                <w:szCs w:val="16"/>
                <w:color w:val="auto"/>
              </w:rPr>
              <w:t>Filings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Schedule 7.1(i)</w:t>
            </w:r>
          </w:p>
        </w:tc>
        <w:tc>
          <w:tcPr>
            <w:tcW w:w="83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Existing Liens and Encumbrances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Schedule 7.10</w:t>
            </w:r>
          </w:p>
        </w:tc>
        <w:tc>
          <w:tcPr>
            <w:tcW w:w="83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Sale and Leaseback</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Schedule 7.2(iii)</w:t>
            </w:r>
          </w:p>
        </w:tc>
        <w:tc>
          <w:tcPr>
            <w:tcW w:w="83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Existing Guarantees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Schedule 7.3</w:t>
            </w:r>
          </w:p>
        </w:tc>
        <w:tc>
          <w:tcPr>
            <w:tcW w:w="83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Subsidiary Mergers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Schedule 7.6(c)</w:t>
            </w:r>
          </w:p>
        </w:tc>
        <w:tc>
          <w:tcPr>
            <w:tcW w:w="83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Existing Indebtedness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Schedule 10.2</w:t>
            </w:r>
          </w:p>
        </w:tc>
        <w:tc>
          <w:tcPr>
            <w:tcW w:w="1260" w:type="dxa"/>
            <w:vAlign w:val="bottom"/>
          </w:tcPr>
          <w:p>
            <w:pPr>
              <w:ind w:left="560"/>
              <w:spacing w:after="0"/>
              <w:rPr>
                <w:sz w:val="20"/>
                <w:szCs w:val="20"/>
                <w:color w:val="auto"/>
              </w:rPr>
            </w:pPr>
            <w:r>
              <w:rPr>
                <w:rFonts w:ascii="Courier New" w:cs="Courier New" w:eastAsia="Courier New" w:hAnsi="Courier New"/>
                <w:sz w:val="16"/>
                <w:szCs w:val="16"/>
                <w:color w:val="auto"/>
              </w:rPr>
              <w:t>Notices</w:t>
            </w:r>
          </w:p>
        </w:tc>
        <w:tc>
          <w:tcPr>
            <w:tcW w:w="7060" w:type="dxa"/>
            <w:vAlign w:val="bottom"/>
          </w:tcPr>
          <w:p>
            <w:pPr>
              <w:spacing w:after="0"/>
              <w:rPr>
                <w:sz w:val="15"/>
                <w:szCs w:val="15"/>
                <w:color w:val="auto"/>
              </w:rPr>
            </w:pPr>
          </w:p>
        </w:tc>
      </w:tr>
      <w:tr>
        <w:trPr>
          <w:trHeight w:val="364"/>
        </w:trPr>
        <w:tc>
          <w:tcPr>
            <w:tcW w:w="2180" w:type="dxa"/>
            <w:vAlign w:val="bottom"/>
          </w:tcPr>
          <w:p>
            <w:pPr>
              <w:spacing w:after="0"/>
              <w:rPr>
                <w:sz w:val="20"/>
                <w:szCs w:val="20"/>
                <w:color w:val="auto"/>
              </w:rPr>
            </w:pPr>
            <w:r>
              <w:rPr>
                <w:rFonts w:ascii="Courier New" w:cs="Courier New" w:eastAsia="Courier New" w:hAnsi="Courier New"/>
                <w:sz w:val="16"/>
                <w:szCs w:val="16"/>
                <w:color w:val="auto"/>
              </w:rPr>
              <w:t>EXHIBITS</w:t>
            </w:r>
          </w:p>
        </w:tc>
        <w:tc>
          <w:tcPr>
            <w:tcW w:w="1260" w:type="dxa"/>
            <w:vAlign w:val="bottom"/>
          </w:tcPr>
          <w:p>
            <w:pPr>
              <w:spacing w:after="0"/>
              <w:rPr>
                <w:sz w:val="24"/>
                <w:szCs w:val="24"/>
                <w:color w:val="auto"/>
              </w:rPr>
            </w:pPr>
          </w:p>
        </w:tc>
        <w:tc>
          <w:tcPr>
            <w:tcW w:w="7060" w:type="dxa"/>
            <w:vAlign w:val="bottom"/>
          </w:tcPr>
          <w:p>
            <w:pPr>
              <w:spacing w:after="0"/>
              <w:rPr>
                <w:sz w:val="24"/>
                <w:szCs w:val="24"/>
                <w:color w:val="auto"/>
              </w:rPr>
            </w:pPr>
          </w:p>
        </w:tc>
      </w:tr>
      <w:tr>
        <w:trPr>
          <w:trHeight w:val="364"/>
        </w:trPr>
        <w:tc>
          <w:tcPr>
            <w:tcW w:w="2180" w:type="dxa"/>
            <w:vAlign w:val="bottom"/>
          </w:tcPr>
          <w:p>
            <w:pPr>
              <w:spacing w:after="0"/>
              <w:rPr>
                <w:sz w:val="20"/>
                <w:szCs w:val="20"/>
                <w:color w:val="auto"/>
              </w:rPr>
            </w:pPr>
            <w:r>
              <w:rPr>
                <w:rFonts w:ascii="Courier New" w:cs="Courier New" w:eastAsia="Courier New" w:hAnsi="Courier New"/>
                <w:sz w:val="16"/>
                <w:szCs w:val="16"/>
                <w:color w:val="auto"/>
              </w:rPr>
              <w:t>Exhibit A</w:t>
            </w:r>
          </w:p>
        </w:tc>
        <w:tc>
          <w:tcPr>
            <w:tcW w:w="1260" w:type="dxa"/>
            <w:vAlign w:val="bottom"/>
          </w:tcPr>
          <w:p>
            <w:pPr>
              <w:ind w:left="560"/>
              <w:spacing w:after="0"/>
              <w:rPr>
                <w:sz w:val="20"/>
                <w:szCs w:val="20"/>
                <w:color w:val="auto"/>
              </w:rPr>
            </w:pPr>
            <w:r>
              <w:rPr>
                <w:rFonts w:ascii="Courier New" w:cs="Courier New" w:eastAsia="Courier New" w:hAnsi="Courier New"/>
                <w:sz w:val="16"/>
                <w:szCs w:val="16"/>
                <w:color w:val="auto"/>
              </w:rPr>
              <w:t>Form of</w:t>
            </w:r>
          </w:p>
        </w:tc>
        <w:tc>
          <w:tcPr>
            <w:tcW w:w="7060" w:type="dxa"/>
            <w:vAlign w:val="bottom"/>
          </w:tcPr>
          <w:p>
            <w:pPr>
              <w:ind w:left="60"/>
              <w:spacing w:after="0"/>
              <w:rPr>
                <w:sz w:val="20"/>
                <w:szCs w:val="20"/>
                <w:color w:val="auto"/>
              </w:rPr>
            </w:pPr>
            <w:r>
              <w:rPr>
                <w:rFonts w:ascii="Courier New" w:cs="Courier New" w:eastAsia="Courier New" w:hAnsi="Courier New"/>
                <w:sz w:val="16"/>
                <w:szCs w:val="16"/>
                <w:color w:val="auto"/>
              </w:rPr>
              <w:t>Assignment and Acceptance</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Exhibit B</w:t>
            </w:r>
          </w:p>
        </w:tc>
        <w:tc>
          <w:tcPr>
            <w:tcW w:w="1260" w:type="dxa"/>
            <w:vAlign w:val="bottom"/>
          </w:tcPr>
          <w:p>
            <w:pPr>
              <w:ind w:left="560"/>
              <w:spacing w:after="0"/>
              <w:rPr>
                <w:sz w:val="20"/>
                <w:szCs w:val="20"/>
                <w:color w:val="auto"/>
              </w:rPr>
            </w:pPr>
            <w:r>
              <w:rPr>
                <w:rFonts w:ascii="Courier New" w:cs="Courier New" w:eastAsia="Courier New" w:hAnsi="Courier New"/>
                <w:sz w:val="16"/>
                <w:szCs w:val="16"/>
                <w:color w:val="auto"/>
              </w:rPr>
              <w:t>Form of</w:t>
            </w:r>
          </w:p>
        </w:tc>
        <w:tc>
          <w:tcPr>
            <w:tcW w:w="7060" w:type="dxa"/>
            <w:vAlign w:val="bottom"/>
          </w:tcPr>
          <w:p>
            <w:pPr>
              <w:ind w:left="60"/>
              <w:spacing w:after="0"/>
              <w:rPr>
                <w:sz w:val="20"/>
                <w:szCs w:val="20"/>
                <w:color w:val="auto"/>
              </w:rPr>
            </w:pPr>
            <w:r>
              <w:rPr>
                <w:rFonts w:ascii="Courier New" w:cs="Courier New" w:eastAsia="Courier New" w:hAnsi="Courier New"/>
                <w:sz w:val="16"/>
                <w:szCs w:val="16"/>
                <w:color w:val="auto"/>
              </w:rPr>
              <w:t>Mortgage</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Exhibit C</w:t>
            </w:r>
          </w:p>
        </w:tc>
        <w:tc>
          <w:tcPr>
            <w:tcW w:w="1260" w:type="dxa"/>
            <w:vAlign w:val="bottom"/>
          </w:tcPr>
          <w:p>
            <w:pPr>
              <w:ind w:left="560"/>
              <w:spacing w:after="0"/>
              <w:rPr>
                <w:sz w:val="20"/>
                <w:szCs w:val="20"/>
                <w:color w:val="auto"/>
              </w:rPr>
            </w:pPr>
            <w:r>
              <w:rPr>
                <w:rFonts w:ascii="Courier New" w:cs="Courier New" w:eastAsia="Courier New" w:hAnsi="Courier New"/>
                <w:sz w:val="16"/>
                <w:szCs w:val="16"/>
                <w:color w:val="auto"/>
              </w:rPr>
              <w:t>Form of</w:t>
            </w:r>
          </w:p>
        </w:tc>
        <w:tc>
          <w:tcPr>
            <w:tcW w:w="7060" w:type="dxa"/>
            <w:vAlign w:val="bottom"/>
          </w:tcPr>
          <w:p>
            <w:pPr>
              <w:ind w:left="60"/>
              <w:spacing w:after="0"/>
              <w:rPr>
                <w:sz w:val="20"/>
                <w:szCs w:val="20"/>
                <w:color w:val="auto"/>
              </w:rPr>
            </w:pPr>
            <w:r>
              <w:rPr>
                <w:rFonts w:ascii="Courier New" w:cs="Courier New" w:eastAsia="Courier New" w:hAnsi="Courier New"/>
                <w:sz w:val="16"/>
                <w:szCs w:val="16"/>
                <w:color w:val="auto"/>
              </w:rPr>
              <w:t>Swing Line Loan Participation Certificate</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Exhibit D</w:t>
            </w:r>
          </w:p>
        </w:tc>
        <w:tc>
          <w:tcPr>
            <w:tcW w:w="1260" w:type="dxa"/>
            <w:vAlign w:val="bottom"/>
          </w:tcPr>
          <w:p>
            <w:pPr>
              <w:ind w:left="560"/>
              <w:spacing w:after="0"/>
              <w:rPr>
                <w:sz w:val="20"/>
                <w:szCs w:val="20"/>
                <w:color w:val="auto"/>
              </w:rPr>
            </w:pPr>
            <w:r>
              <w:rPr>
                <w:rFonts w:ascii="Courier New" w:cs="Courier New" w:eastAsia="Courier New" w:hAnsi="Courier New"/>
                <w:sz w:val="16"/>
                <w:szCs w:val="16"/>
                <w:color w:val="auto"/>
              </w:rPr>
              <w:t>Form of</w:t>
            </w:r>
          </w:p>
        </w:tc>
        <w:tc>
          <w:tcPr>
            <w:tcW w:w="7060" w:type="dxa"/>
            <w:vAlign w:val="bottom"/>
          </w:tcPr>
          <w:p>
            <w:pPr>
              <w:ind w:left="60"/>
              <w:spacing w:after="0"/>
              <w:rPr>
                <w:sz w:val="20"/>
                <w:szCs w:val="20"/>
                <w:color w:val="auto"/>
              </w:rPr>
            </w:pPr>
            <w:r>
              <w:rPr>
                <w:rFonts w:ascii="Courier New" w:cs="Courier New" w:eastAsia="Courier New" w:hAnsi="Courier New"/>
                <w:sz w:val="16"/>
                <w:szCs w:val="16"/>
                <w:color w:val="auto"/>
              </w:rPr>
              <w:t>U.S. Tax Compliance Certificate</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Exhibit E</w:t>
            </w:r>
          </w:p>
        </w:tc>
        <w:tc>
          <w:tcPr>
            <w:tcW w:w="1260" w:type="dxa"/>
            <w:vAlign w:val="bottom"/>
          </w:tcPr>
          <w:p>
            <w:pPr>
              <w:ind w:left="560"/>
              <w:spacing w:after="0"/>
              <w:rPr>
                <w:sz w:val="20"/>
                <w:szCs w:val="20"/>
                <w:color w:val="auto"/>
              </w:rPr>
            </w:pPr>
            <w:r>
              <w:rPr>
                <w:rFonts w:ascii="Courier New" w:cs="Courier New" w:eastAsia="Courier New" w:hAnsi="Courier New"/>
                <w:sz w:val="16"/>
                <w:szCs w:val="16"/>
                <w:color w:val="auto"/>
              </w:rPr>
              <w:t>Form of</w:t>
            </w:r>
          </w:p>
        </w:tc>
        <w:tc>
          <w:tcPr>
            <w:tcW w:w="7060" w:type="dxa"/>
            <w:vAlign w:val="bottom"/>
          </w:tcPr>
          <w:p>
            <w:pPr>
              <w:ind w:left="60"/>
              <w:spacing w:after="0"/>
              <w:rPr>
                <w:sz w:val="20"/>
                <w:szCs w:val="20"/>
                <w:color w:val="auto"/>
              </w:rPr>
            </w:pPr>
            <w:r>
              <w:rPr>
                <w:rFonts w:ascii="Courier New" w:cs="Courier New" w:eastAsia="Courier New" w:hAnsi="Courier New"/>
                <w:sz w:val="16"/>
                <w:szCs w:val="16"/>
                <w:color w:val="auto"/>
              </w:rPr>
              <w:t>Commitment Increase Supplement</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Exhibit F</w:t>
            </w:r>
          </w:p>
        </w:tc>
        <w:tc>
          <w:tcPr>
            <w:tcW w:w="1260" w:type="dxa"/>
            <w:vAlign w:val="bottom"/>
          </w:tcPr>
          <w:p>
            <w:pPr>
              <w:ind w:left="560"/>
              <w:spacing w:after="0"/>
              <w:rPr>
                <w:sz w:val="20"/>
                <w:szCs w:val="20"/>
                <w:color w:val="auto"/>
              </w:rPr>
            </w:pPr>
            <w:r>
              <w:rPr>
                <w:rFonts w:ascii="Courier New" w:cs="Courier New" w:eastAsia="Courier New" w:hAnsi="Courier New"/>
                <w:sz w:val="16"/>
                <w:szCs w:val="16"/>
                <w:color w:val="auto"/>
              </w:rPr>
              <w:t>Form of</w:t>
            </w:r>
          </w:p>
        </w:tc>
        <w:tc>
          <w:tcPr>
            <w:tcW w:w="7060" w:type="dxa"/>
            <w:vAlign w:val="bottom"/>
          </w:tcPr>
          <w:p>
            <w:pPr>
              <w:ind w:left="60"/>
              <w:spacing w:after="0"/>
              <w:rPr>
                <w:sz w:val="20"/>
                <w:szCs w:val="20"/>
                <w:color w:val="auto"/>
              </w:rPr>
            </w:pPr>
            <w:r>
              <w:rPr>
                <w:rFonts w:ascii="Courier New" w:cs="Courier New" w:eastAsia="Courier New" w:hAnsi="Courier New"/>
                <w:sz w:val="16"/>
                <w:szCs w:val="16"/>
                <w:color w:val="auto"/>
              </w:rPr>
              <w:t>New Lender Supplement</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Exhibit G</w:t>
            </w:r>
          </w:p>
        </w:tc>
        <w:tc>
          <w:tcPr>
            <w:tcW w:w="1260" w:type="dxa"/>
            <w:vAlign w:val="bottom"/>
          </w:tcPr>
          <w:p>
            <w:pPr>
              <w:ind w:left="560"/>
              <w:spacing w:after="0"/>
              <w:rPr>
                <w:sz w:val="20"/>
                <w:szCs w:val="20"/>
                <w:color w:val="auto"/>
              </w:rPr>
            </w:pPr>
            <w:r>
              <w:rPr>
                <w:rFonts w:ascii="Courier New" w:cs="Courier New" w:eastAsia="Courier New" w:hAnsi="Courier New"/>
                <w:sz w:val="16"/>
                <w:szCs w:val="16"/>
                <w:color w:val="auto"/>
              </w:rPr>
              <w:t>Form of</w:t>
            </w:r>
          </w:p>
        </w:tc>
        <w:tc>
          <w:tcPr>
            <w:tcW w:w="7060" w:type="dxa"/>
            <w:vAlign w:val="bottom"/>
          </w:tcPr>
          <w:p>
            <w:pPr>
              <w:ind w:left="60"/>
              <w:spacing w:after="0"/>
              <w:rPr>
                <w:sz w:val="20"/>
                <w:szCs w:val="20"/>
                <w:color w:val="auto"/>
              </w:rPr>
            </w:pPr>
            <w:r>
              <w:rPr>
                <w:rFonts w:ascii="Courier New" w:cs="Courier New" w:eastAsia="Courier New" w:hAnsi="Courier New"/>
                <w:sz w:val="16"/>
                <w:szCs w:val="16"/>
                <w:color w:val="auto"/>
                <w:w w:val="98"/>
              </w:rPr>
              <w:t>Acknowledgment and Confirmation of Guarantee and Collateral Agreements and</w:t>
            </w:r>
          </w:p>
        </w:tc>
      </w:tr>
      <w:tr>
        <w:trPr>
          <w:trHeight w:val="182"/>
        </w:trPr>
        <w:tc>
          <w:tcPr>
            <w:tcW w:w="2180" w:type="dxa"/>
            <w:vAlign w:val="bottom"/>
          </w:tcPr>
          <w:p>
            <w:pPr>
              <w:spacing w:after="0"/>
              <w:rPr>
                <w:sz w:val="15"/>
                <w:szCs w:val="15"/>
                <w:color w:val="auto"/>
              </w:rPr>
            </w:pPr>
          </w:p>
        </w:tc>
        <w:tc>
          <w:tcPr>
            <w:tcW w:w="83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Mortgages</w:t>
            </w:r>
          </w:p>
        </w:tc>
      </w:tr>
      <w:tr>
        <w:trPr>
          <w:trHeight w:val="364"/>
        </w:trPr>
        <w:tc>
          <w:tcPr>
            <w:tcW w:w="2180" w:type="dxa"/>
            <w:vAlign w:val="bottom"/>
          </w:tcPr>
          <w:p>
            <w:pPr>
              <w:spacing w:after="0"/>
              <w:rPr>
                <w:sz w:val="20"/>
                <w:szCs w:val="20"/>
                <w:color w:val="auto"/>
              </w:rPr>
            </w:pPr>
            <w:r>
              <w:rPr>
                <w:rFonts w:ascii="Courier New" w:cs="Courier New" w:eastAsia="Courier New" w:hAnsi="Courier New"/>
                <w:sz w:val="16"/>
                <w:szCs w:val="16"/>
                <w:color w:val="auto"/>
              </w:rPr>
              <w:t>Exhibit H</w:t>
            </w:r>
          </w:p>
        </w:tc>
        <w:tc>
          <w:tcPr>
            <w:tcW w:w="1260" w:type="dxa"/>
            <w:vAlign w:val="bottom"/>
          </w:tcPr>
          <w:p>
            <w:pPr>
              <w:ind w:left="560"/>
              <w:spacing w:after="0"/>
              <w:rPr>
                <w:sz w:val="20"/>
                <w:szCs w:val="20"/>
                <w:color w:val="auto"/>
              </w:rPr>
            </w:pPr>
            <w:r>
              <w:rPr>
                <w:rFonts w:ascii="Courier New" w:cs="Courier New" w:eastAsia="Courier New" w:hAnsi="Courier New"/>
                <w:sz w:val="16"/>
                <w:szCs w:val="16"/>
                <w:color w:val="auto"/>
              </w:rPr>
              <w:t>Form of</w:t>
            </w:r>
          </w:p>
        </w:tc>
        <w:tc>
          <w:tcPr>
            <w:tcW w:w="7060" w:type="dxa"/>
            <w:vAlign w:val="bottom"/>
          </w:tcPr>
          <w:p>
            <w:pPr>
              <w:ind w:left="60"/>
              <w:spacing w:after="0"/>
              <w:rPr>
                <w:sz w:val="20"/>
                <w:szCs w:val="20"/>
                <w:color w:val="auto"/>
              </w:rPr>
            </w:pPr>
            <w:r>
              <w:rPr>
                <w:rFonts w:ascii="Courier New" w:cs="Courier New" w:eastAsia="Courier New" w:hAnsi="Courier New"/>
                <w:sz w:val="16"/>
                <w:szCs w:val="16"/>
                <w:color w:val="auto"/>
              </w:rPr>
              <w:t>Opinion of Vorys, Sater, Seymour and Pease LLP</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Exhibit I</w:t>
            </w:r>
          </w:p>
        </w:tc>
        <w:tc>
          <w:tcPr>
            <w:tcW w:w="1260" w:type="dxa"/>
            <w:vAlign w:val="bottom"/>
          </w:tcPr>
          <w:p>
            <w:pPr>
              <w:ind w:left="560"/>
              <w:spacing w:after="0"/>
              <w:rPr>
                <w:sz w:val="20"/>
                <w:szCs w:val="20"/>
                <w:color w:val="auto"/>
              </w:rPr>
            </w:pPr>
            <w:r>
              <w:rPr>
                <w:rFonts w:ascii="Courier New" w:cs="Courier New" w:eastAsia="Courier New" w:hAnsi="Courier New"/>
                <w:sz w:val="16"/>
                <w:szCs w:val="16"/>
                <w:color w:val="auto"/>
              </w:rPr>
              <w:t>Form of</w:t>
            </w:r>
          </w:p>
        </w:tc>
        <w:tc>
          <w:tcPr>
            <w:tcW w:w="7060" w:type="dxa"/>
            <w:vAlign w:val="bottom"/>
          </w:tcPr>
          <w:p>
            <w:pPr>
              <w:ind w:left="60"/>
              <w:spacing w:after="0"/>
              <w:rPr>
                <w:sz w:val="20"/>
                <w:szCs w:val="20"/>
                <w:color w:val="auto"/>
              </w:rPr>
            </w:pPr>
            <w:r>
              <w:rPr>
                <w:rFonts w:ascii="Courier New" w:cs="Courier New" w:eastAsia="Courier New" w:hAnsi="Courier New"/>
                <w:sz w:val="16"/>
                <w:szCs w:val="16"/>
                <w:color w:val="auto"/>
              </w:rPr>
              <w:t>Opinion of Counsel to Foreign Subsidiary Borrowers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Exhibit J</w:t>
            </w:r>
          </w:p>
        </w:tc>
        <w:tc>
          <w:tcPr>
            <w:tcW w:w="1260" w:type="dxa"/>
            <w:vAlign w:val="bottom"/>
          </w:tcPr>
          <w:p>
            <w:pPr>
              <w:ind w:left="560"/>
              <w:spacing w:after="0"/>
              <w:rPr>
                <w:sz w:val="20"/>
                <w:szCs w:val="20"/>
                <w:color w:val="auto"/>
              </w:rPr>
            </w:pPr>
            <w:r>
              <w:rPr>
                <w:rFonts w:ascii="Courier New" w:cs="Courier New" w:eastAsia="Courier New" w:hAnsi="Courier New"/>
                <w:sz w:val="16"/>
                <w:szCs w:val="16"/>
                <w:color w:val="auto"/>
              </w:rPr>
              <w:t>Form of</w:t>
            </w:r>
          </w:p>
        </w:tc>
        <w:tc>
          <w:tcPr>
            <w:tcW w:w="7060" w:type="dxa"/>
            <w:vAlign w:val="bottom"/>
          </w:tcPr>
          <w:p>
            <w:pPr>
              <w:ind w:left="60"/>
              <w:spacing w:after="0"/>
              <w:rPr>
                <w:sz w:val="20"/>
                <w:szCs w:val="20"/>
                <w:color w:val="auto"/>
              </w:rPr>
            </w:pPr>
            <w:r>
              <w:rPr>
                <w:rFonts w:ascii="Courier New" w:cs="Courier New" w:eastAsia="Courier New" w:hAnsi="Courier New"/>
                <w:sz w:val="16"/>
                <w:szCs w:val="16"/>
                <w:color w:val="auto"/>
              </w:rPr>
              <w:t>Borrowing Certificate</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Exhibit K</w:t>
            </w:r>
          </w:p>
        </w:tc>
        <w:tc>
          <w:tcPr>
            <w:tcW w:w="1260" w:type="dxa"/>
            <w:vAlign w:val="bottom"/>
          </w:tcPr>
          <w:p>
            <w:pPr>
              <w:ind w:left="560"/>
              <w:spacing w:after="0"/>
              <w:rPr>
                <w:sz w:val="20"/>
                <w:szCs w:val="20"/>
                <w:color w:val="auto"/>
              </w:rPr>
            </w:pPr>
            <w:r>
              <w:rPr>
                <w:rFonts w:ascii="Courier New" w:cs="Courier New" w:eastAsia="Courier New" w:hAnsi="Courier New"/>
                <w:sz w:val="16"/>
                <w:szCs w:val="16"/>
                <w:color w:val="auto"/>
              </w:rPr>
              <w:t>Form of</w:t>
            </w:r>
          </w:p>
        </w:tc>
        <w:tc>
          <w:tcPr>
            <w:tcW w:w="7060" w:type="dxa"/>
            <w:vAlign w:val="bottom"/>
          </w:tcPr>
          <w:p>
            <w:pPr>
              <w:ind w:left="60"/>
              <w:spacing w:after="0"/>
              <w:rPr>
                <w:sz w:val="20"/>
                <w:szCs w:val="20"/>
                <w:color w:val="auto"/>
              </w:rPr>
            </w:pPr>
            <w:r>
              <w:rPr>
                <w:rFonts w:ascii="Courier New" w:cs="Courier New" w:eastAsia="Courier New" w:hAnsi="Courier New"/>
                <w:sz w:val="16"/>
                <w:szCs w:val="16"/>
                <w:color w:val="auto"/>
              </w:rPr>
              <w:t>New Domestic Subsidiary Certificate</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Exhibit L</w:t>
            </w:r>
          </w:p>
        </w:tc>
        <w:tc>
          <w:tcPr>
            <w:tcW w:w="1260" w:type="dxa"/>
            <w:vAlign w:val="bottom"/>
          </w:tcPr>
          <w:p>
            <w:pPr>
              <w:ind w:left="560"/>
              <w:spacing w:after="0"/>
              <w:rPr>
                <w:sz w:val="20"/>
                <w:szCs w:val="20"/>
                <w:color w:val="auto"/>
              </w:rPr>
            </w:pPr>
            <w:r>
              <w:rPr>
                <w:rFonts w:ascii="Courier New" w:cs="Courier New" w:eastAsia="Courier New" w:hAnsi="Courier New"/>
                <w:sz w:val="16"/>
                <w:szCs w:val="16"/>
                <w:color w:val="auto"/>
              </w:rPr>
              <w:t>Form of</w:t>
            </w:r>
          </w:p>
        </w:tc>
        <w:tc>
          <w:tcPr>
            <w:tcW w:w="7060" w:type="dxa"/>
            <w:vAlign w:val="bottom"/>
          </w:tcPr>
          <w:p>
            <w:pPr>
              <w:ind w:left="60"/>
              <w:spacing w:after="0"/>
              <w:rPr>
                <w:sz w:val="20"/>
                <w:szCs w:val="20"/>
                <w:color w:val="auto"/>
              </w:rPr>
            </w:pPr>
            <w:r>
              <w:rPr>
                <w:rFonts w:ascii="Courier New" w:cs="Courier New" w:eastAsia="Courier New" w:hAnsi="Courier New"/>
                <w:sz w:val="16"/>
                <w:szCs w:val="16"/>
                <w:color w:val="auto"/>
              </w:rPr>
              <w:t>Joinder Agreement</w:t>
            </w:r>
          </w:p>
        </w:tc>
      </w:tr>
    </w:tbl>
    <w:p>
      <w:pPr>
        <w:spacing w:after="0" w:line="36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-v-</w:t>
      </w:r>
    </w:p>
    <w:p>
      <w:pPr>
        <w:sectPr>
          <w:pgSz w:w="11900" w:h="16838" w:orient="portrait"/>
          <w:cols w:equalWidth="0" w:num="1">
            <w:col w:w="10500"/>
          </w:cols>
          <w:pgMar w:left="240" w:top="841" w:right="1159" w:bottom="1440" w:gutter="0" w:footer="0" w:header="0"/>
        </w:sectPr>
      </w:pPr>
    </w:p>
    <w:bookmarkStart w:id="400" w:name="page401"/>
    <w:bookmarkEnd w:id="400"/>
    <w:p>
      <w:pPr>
        <w:ind w:right="2659" w:firstLine="851"/>
        <w:spacing w:after="0"/>
        <w:rPr>
          <w:sz w:val="20"/>
          <w:szCs w:val="20"/>
          <w:color w:val="auto"/>
        </w:rPr>
      </w:pPr>
      <w:r>
        <w:rPr>
          <w:rFonts w:ascii="Courier New" w:cs="Courier New" w:eastAsia="Courier New" w:hAnsi="Courier New"/>
          <w:sz w:val="16"/>
          <w:szCs w:val="16"/>
          <w:color w:val="auto"/>
        </w:rPr>
        <w:t>SECOND AMENDED AND RESTATED CREDIT AGREEMENT, dated as of October 22, 2003, by and among THE SCOTTS COMPANY, an Ohio corporation (the "Borrower" or "Scotts"), Hyponex Corporation, Miracle Garden Care Limited, OM Scott International Investments Ltd., Scotts Australia Pty. Ltd., Scotts Canada, Ltd., Scotts Holdings Limited, Scotts Manufacturing Company, Scotts-Sierra Horticultural Products Company, Scotts-Sierra Investments, Inc., Scotts Temecula Operations, LLC, Scotts Treasury EEIG, The Scotts Company (UK) Ltd. and the other subsidiaries of the Borrower who are also borrowers from time to time hereunder (the "Subsidiary Borrowers"), the several banks and other financial institutions from time to time parties to this Agreement (the "Lenders"), CITICORP NORTH AMERICA, INC., as Syndication Agent, BANK OF AMERICA, N.A. and BANK ONE, NA, as Co-Documentation Agents, JPMORGAN CHASE BANK, a New York banking corporation (together with its banking affiliates, "JPMCB"), as agent for the Lenders hereunder (in such capacity, the "Administrative Agent") and the other Agents (as defined herein).</w:t>
      </w:r>
    </w:p>
    <w:p>
      <w:pPr>
        <w:spacing w:after="0" w:line="18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 I T N E S S E T H :</w:t>
      </w:r>
    </w:p>
    <w:p>
      <w:pPr>
        <w:spacing w:after="0" w:line="186" w:lineRule="exact"/>
        <w:rPr>
          <w:sz w:val="20"/>
          <w:szCs w:val="20"/>
          <w:color w:val="auto"/>
        </w:rPr>
      </w:pPr>
    </w:p>
    <w:p>
      <w:pPr>
        <w:ind w:right="2759" w:firstLine="851"/>
        <w:spacing w:after="0" w:line="258" w:lineRule="auto"/>
        <w:rPr>
          <w:sz w:val="20"/>
          <w:szCs w:val="20"/>
          <w:color w:val="auto"/>
        </w:rPr>
      </w:pPr>
      <w:r>
        <w:rPr>
          <w:rFonts w:ascii="Courier New" w:cs="Courier New" w:eastAsia="Courier New" w:hAnsi="Courier New"/>
          <w:sz w:val="15"/>
          <w:szCs w:val="15"/>
          <w:color w:val="auto"/>
        </w:rPr>
        <w:t>WHEREAS, the Borrower desires to amend and restate the Amended and Restated Credit Agreement dated as of December 5, 2000 (as heretofore amended, supplemented or otherwise modified, the "Existing Credit Agreement"), among the Borrower, the Subsidiary Borrowers, the several banks and other financial institutions parties thereto and JPMCB, as administrative agent, in accordance with the terms and conditions set forth in this Agreement; and</w:t>
      </w:r>
    </w:p>
    <w:p>
      <w:pPr>
        <w:spacing w:after="0" w:line="177" w:lineRule="exact"/>
        <w:rPr>
          <w:sz w:val="20"/>
          <w:szCs w:val="20"/>
          <w:color w:val="auto"/>
        </w:rPr>
      </w:pPr>
    </w:p>
    <w:p>
      <w:pPr>
        <w:ind w:right="2759" w:firstLine="851"/>
        <w:spacing w:after="0" w:line="238" w:lineRule="auto"/>
        <w:rPr>
          <w:sz w:val="20"/>
          <w:szCs w:val="20"/>
          <w:color w:val="auto"/>
        </w:rPr>
      </w:pPr>
      <w:r>
        <w:rPr>
          <w:rFonts w:ascii="Courier New" w:cs="Courier New" w:eastAsia="Courier New" w:hAnsi="Courier New"/>
          <w:sz w:val="16"/>
          <w:szCs w:val="16"/>
          <w:color w:val="auto"/>
        </w:rPr>
        <w:t>WHEREAS, the Lenders and the Administrative Agent consent to the proposed amendments and restatements on and subject to the terms and conditions set forth herein.</w:t>
      </w:r>
    </w:p>
    <w:p>
      <w:pPr>
        <w:spacing w:after="0" w:line="188" w:lineRule="exact"/>
        <w:rPr>
          <w:sz w:val="20"/>
          <w:szCs w:val="20"/>
          <w:color w:val="auto"/>
        </w:rPr>
      </w:pPr>
    </w:p>
    <w:p>
      <w:pPr>
        <w:ind w:right="3419" w:firstLine="851"/>
        <w:spacing w:after="0" w:line="267" w:lineRule="auto"/>
        <w:rPr>
          <w:sz w:val="20"/>
          <w:szCs w:val="20"/>
          <w:color w:val="auto"/>
        </w:rPr>
      </w:pPr>
      <w:r>
        <w:rPr>
          <w:rFonts w:ascii="Courier New" w:cs="Courier New" w:eastAsia="Courier New" w:hAnsi="Courier New"/>
          <w:sz w:val="15"/>
          <w:szCs w:val="15"/>
          <w:color w:val="auto"/>
        </w:rPr>
        <w:t>NOW, THEREFORE, in consideration of the premises and the mutual agreements herein contained, the parties hereto agree as follows:</w:t>
      </w:r>
    </w:p>
    <w:p>
      <w:pPr>
        <w:spacing w:after="0" w:line="16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1. DEFINITIONS</w:t>
      </w:r>
    </w:p>
    <w:p>
      <w:pPr>
        <w:spacing w:after="0" w:line="186" w:lineRule="exact"/>
        <w:rPr>
          <w:sz w:val="20"/>
          <w:szCs w:val="20"/>
          <w:color w:val="auto"/>
        </w:rPr>
      </w:pPr>
    </w:p>
    <w:p>
      <w:pPr>
        <w:ind w:right="2759" w:firstLine="851"/>
        <w:spacing w:after="0" w:line="237" w:lineRule="auto"/>
        <w:rPr>
          <w:sz w:val="20"/>
          <w:szCs w:val="20"/>
          <w:color w:val="auto"/>
        </w:rPr>
      </w:pPr>
      <w:r>
        <w:rPr>
          <w:rFonts w:ascii="Courier New" w:cs="Courier New" w:eastAsia="Courier New" w:hAnsi="Courier New"/>
          <w:sz w:val="16"/>
          <w:szCs w:val="16"/>
          <w:color w:val="auto"/>
        </w:rPr>
        <w:t>1.1 Defined Terms. As used in this Agreement, the following terms have the following meanings:</w:t>
      </w:r>
    </w:p>
    <w:p>
      <w:pPr>
        <w:spacing w:after="0" w:line="188" w:lineRule="exact"/>
        <w:rPr>
          <w:sz w:val="20"/>
          <w:szCs w:val="20"/>
          <w:color w:val="auto"/>
        </w:rPr>
      </w:pPr>
    </w:p>
    <w:p>
      <w:pPr>
        <w:ind w:left="840" w:right="2659" w:firstLine="851"/>
        <w:spacing w:after="0" w:line="256" w:lineRule="auto"/>
        <w:rPr>
          <w:sz w:val="20"/>
          <w:szCs w:val="20"/>
          <w:color w:val="auto"/>
        </w:rPr>
      </w:pPr>
      <w:r>
        <w:rPr>
          <w:rFonts w:ascii="Courier New" w:cs="Courier New" w:eastAsia="Courier New" w:hAnsi="Courier New"/>
          <w:sz w:val="15"/>
          <w:szCs w:val="15"/>
          <w:color w:val="auto"/>
        </w:rPr>
        <w:t>"ABR" shall mean for any day, a rate per annum (rounded upwards, if necessary, to the next 1/16 of 1%) equal to the greatest of</w:t>
      </w:r>
    </w:p>
    <w:p>
      <w:pPr>
        <w:spacing w:after="0" w:line="1" w:lineRule="exact"/>
        <w:rPr>
          <w:sz w:val="20"/>
          <w:szCs w:val="20"/>
          <w:color w:val="auto"/>
        </w:rPr>
      </w:pPr>
    </w:p>
    <w:p>
      <w:pPr>
        <w:ind w:left="840" w:right="2659" w:firstLine="8"/>
        <w:spacing w:after="0" w:line="256" w:lineRule="auto"/>
        <w:tabs>
          <w:tab w:leader="none" w:pos="1218"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Prime Rate in effect on such day (b) the Base CD Rate in effect on such day plus 1% and (c) the Federal Funds Effective Rate in effect on such day plus 1/2 of 1%. For purposes hereof: "Prime Rate" shall mean the rate of interest per annum publicly announced from time to time by the Administrative Agent as its prime rate in effect at its principal office in New York City (the Prime Rate not being intended to be the lowest rate of interest charged by JPMCB in connection with extensions of credit to debtors); "Base CD Rate" shall mean the sum of</w:t>
      </w:r>
    </w:p>
    <w:p>
      <w:pPr>
        <w:spacing w:after="0" w:line="1" w:lineRule="exact"/>
        <w:rPr>
          <w:rFonts w:ascii="Courier New" w:cs="Courier New" w:eastAsia="Courier New" w:hAnsi="Courier New"/>
          <w:sz w:val="15"/>
          <w:szCs w:val="15"/>
          <w:color w:val="auto"/>
        </w:rPr>
      </w:pPr>
    </w:p>
    <w:p>
      <w:pPr>
        <w:ind w:left="1220" w:hanging="372"/>
        <w:spacing w:after="0"/>
        <w:tabs>
          <w:tab w:leader="none" w:pos="1220" w:val="left"/>
        </w:tabs>
        <w:numPr>
          <w:ilvl w:val="0"/>
          <w:numId w:val="4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product of (i) the Three-Month Secondary CD Rate and (ii) a</w:t>
      </w:r>
    </w:p>
    <w:p>
      <w:pPr>
        <w:spacing w:after="0" w:line="4" w:lineRule="exact"/>
        <w:rPr>
          <w:rFonts w:ascii="Courier New" w:cs="Courier New" w:eastAsia="Courier New" w:hAnsi="Courier New"/>
          <w:sz w:val="16"/>
          <w:szCs w:val="16"/>
          <w:color w:val="auto"/>
        </w:rPr>
      </w:pPr>
    </w:p>
    <w:p>
      <w:pPr>
        <w:ind w:left="840"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fraction, the numerator of which is one and the denominator of which is one minus the C/D Reserve Percentage and (b) the C/D Assessment Rate; "Three-Month Secondary CD Rate" shall</w:t>
      </w:r>
    </w:p>
    <w:p>
      <w:pPr>
        <w:sectPr>
          <w:pgSz w:w="11900" w:h="16838" w:orient="portrait"/>
          <w:cols w:equalWidth="0" w:num="1">
            <w:col w:w="10219"/>
          </w:cols>
          <w:pgMar w:left="240" w:top="481" w:right="1440" w:bottom="1440" w:gutter="0" w:footer="0" w:header="0"/>
        </w:sectPr>
      </w:pPr>
    </w:p>
    <w:bookmarkStart w:id="401" w:name="page402"/>
    <w:bookmarkEnd w:id="401"/>
    <w:p>
      <w:pPr>
        <w:jc w:val="right"/>
        <w:ind w:right="2659"/>
        <w:spacing w:after="0"/>
        <w:rPr>
          <w:sz w:val="20"/>
          <w:szCs w:val="20"/>
          <w:color w:val="auto"/>
        </w:rPr>
      </w:pPr>
      <w:r>
        <w:rPr>
          <w:rFonts w:ascii="Courier New" w:cs="Courier New" w:eastAsia="Courier New" w:hAnsi="Courier New"/>
          <w:sz w:val="16"/>
          <w:szCs w:val="16"/>
          <w:color w:val="auto"/>
        </w:rPr>
        <w:t>2</w:t>
      </w:r>
    </w:p>
    <w:p>
      <w:pPr>
        <w:spacing w:after="0" w:line="18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mean, for any day, the secondary market rate for three-month certificates of deposit reported as being in effect on such day (or, if such day shall not be a Business Day, the next preceding Business Day) by the Board of Governors of the Federal Reserve System (the "Board") through the public information telephone line of the Federal Reserve Bank of New York (which rate will, under the current practices of the Board, be published in Federal Reserve Statistical Release H.15(519) during the week following such day), or, if such rate shall not be so reported on such day or such next preceding Business Day, the average of the secondary market quotations for three-month certificates of deposit of major money center banks in New York City received at approximately 10:00 A.M., New York City time, on such day (or, if such day shall not be a Business Day, on the next preceding Business Day) by the Administrative Agent from three New York City negotiable certificate of deposit dealers of recognized standing selected by it; and "Federal Funds Effective Rate" shall mean,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Administrative Agent from three federal funds brokers of recognized standing selected by it. Any change in the ABR due to a change in the Prime Rate, the Three-Month Secondary CD Rate or the Federal Funds Effective Rate shall be effective as of the opening of business on the effective day of such change in the Prime Rate, the Three-Month Secondary CD Rate or the Federal Funds Effective Rate, respectively.</w:t>
      </w:r>
    </w:p>
    <w:p>
      <w:pPr>
        <w:spacing w:after="0" w:line="362" w:lineRule="exact"/>
        <w:rPr>
          <w:sz w:val="20"/>
          <w:szCs w:val="20"/>
          <w:color w:val="auto"/>
        </w:rPr>
      </w:pPr>
    </w:p>
    <w:p>
      <w:pPr>
        <w:ind w:right="2659" w:firstLine="851"/>
        <w:spacing w:after="0" w:line="267" w:lineRule="auto"/>
        <w:rPr>
          <w:sz w:val="20"/>
          <w:szCs w:val="20"/>
          <w:color w:val="auto"/>
        </w:rPr>
      </w:pPr>
      <w:r>
        <w:rPr>
          <w:rFonts w:ascii="Courier New" w:cs="Courier New" w:eastAsia="Courier New" w:hAnsi="Courier New"/>
          <w:sz w:val="15"/>
          <w:szCs w:val="15"/>
          <w:color w:val="auto"/>
        </w:rPr>
        <w:t>"ABR Loans" shall mean the Loans at such time as they are made and/or being maintained at a rate of interest based upon the ABR.</w:t>
      </w:r>
    </w:p>
    <w:p>
      <w:pPr>
        <w:spacing w:after="0" w:line="168"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"Acknowledgment and Confirmation of Guarantee and Collateral Agreements" shall mean the Acknowledgment and Confirmation of Guarantee and Collateral Agreements substantially in the form of Exhibit G hereto.</w:t>
      </w:r>
    </w:p>
    <w:p>
      <w:pPr>
        <w:spacing w:after="0" w:line="187" w:lineRule="exact"/>
        <w:rPr>
          <w:sz w:val="20"/>
          <w:szCs w:val="20"/>
          <w:color w:val="auto"/>
        </w:rPr>
      </w:pPr>
    </w:p>
    <w:p>
      <w:pPr>
        <w:ind w:right="3119" w:firstLine="851"/>
        <w:spacing w:after="0" w:line="237" w:lineRule="auto"/>
        <w:rPr>
          <w:sz w:val="20"/>
          <w:szCs w:val="20"/>
          <w:color w:val="auto"/>
        </w:rPr>
      </w:pPr>
      <w:r>
        <w:rPr>
          <w:rFonts w:ascii="Courier New" w:cs="Courier New" w:eastAsia="Courier New" w:hAnsi="Courier New"/>
          <w:sz w:val="16"/>
          <w:szCs w:val="16"/>
          <w:color w:val="auto"/>
        </w:rPr>
        <w:t>"Adjustment Date" shall have the meaning set forth in the Pricing Grid.</w:t>
      </w:r>
    </w:p>
    <w:p>
      <w:pPr>
        <w:spacing w:after="0" w:line="188" w:lineRule="exact"/>
        <w:rPr>
          <w:sz w:val="20"/>
          <w:szCs w:val="20"/>
          <w:color w:val="auto"/>
        </w:rPr>
      </w:pPr>
    </w:p>
    <w:p>
      <w:pPr>
        <w:ind w:right="2659" w:firstLine="851"/>
        <w:spacing w:after="0" w:line="258" w:lineRule="auto"/>
        <w:rPr>
          <w:sz w:val="20"/>
          <w:szCs w:val="20"/>
          <w:color w:val="auto"/>
        </w:rPr>
      </w:pPr>
      <w:r>
        <w:rPr>
          <w:rFonts w:ascii="Courier New" w:cs="Courier New" w:eastAsia="Courier New" w:hAnsi="Courier New"/>
          <w:sz w:val="15"/>
          <w:szCs w:val="15"/>
          <w:color w:val="auto"/>
        </w:rPr>
        <w:t>"Affiliate" shall mean (a) any Person (other than a Subsidiary of the Borrower) which, directly or indirectly, controls, is controlled by or is under common control with, the Borrower or (b) any Person who is a director or executive officer of the Borrower, any Subsidiary of the Borrower or any Person described in clause (a) of this definition. For purposes of this definition, "control" of a Person means the power, direct or indirect, to vote 20% or more of the Capital Stock having voting power for the election of directors of such Person or otherwise to direct or cause the direction of the management and policies of such Person, whether by contract or otherwise.</w:t>
      </w:r>
    </w:p>
    <w:p>
      <w:pPr>
        <w:spacing w:after="0" w:line="174" w:lineRule="exact"/>
        <w:rPr>
          <w:sz w:val="20"/>
          <w:szCs w:val="20"/>
          <w:color w:val="auto"/>
        </w:rPr>
      </w:pPr>
    </w:p>
    <w:p>
      <w:pPr>
        <w:ind w:right="2659" w:firstLine="851"/>
        <w:spacing w:after="0" w:line="238" w:lineRule="auto"/>
        <w:rPr>
          <w:sz w:val="20"/>
          <w:szCs w:val="20"/>
          <w:color w:val="auto"/>
        </w:rPr>
      </w:pPr>
      <w:r>
        <w:rPr>
          <w:rFonts w:ascii="Courier New" w:cs="Courier New" w:eastAsia="Courier New" w:hAnsi="Courier New"/>
          <w:sz w:val="16"/>
          <w:szCs w:val="16"/>
          <w:color w:val="auto"/>
        </w:rPr>
        <w:t>"Agents" shall mean the financial institutions with the titles indicated next to each such financial institution's name listed in Schedule 1A.</w:t>
      </w:r>
    </w:p>
    <w:p>
      <w:pPr>
        <w:spacing w:after="0" w:line="188"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"Aggregate Exposure" shall mean, with respect to any Lender at any time, an amount equal to (a) until the Closing Date, the aggregate amount of such Lender's Commitments at such time and (b) thereafter, the sum of (i) the aggregate then unpaid</w:t>
      </w:r>
    </w:p>
    <w:p>
      <w:pPr>
        <w:sectPr>
          <w:pgSz w:w="11900" w:h="16838" w:orient="portrait"/>
          <w:cols w:equalWidth="0" w:num="1">
            <w:col w:w="9379"/>
          </w:cols>
          <w:pgMar w:left="1080" w:top="476" w:right="1440" w:bottom="1440" w:gutter="0" w:footer="0" w:header="0"/>
        </w:sectPr>
      </w:pPr>
    </w:p>
    <w:bookmarkStart w:id="402" w:name="page403"/>
    <w:bookmarkEnd w:id="402"/>
    <w:p>
      <w:pPr>
        <w:jc w:val="right"/>
        <w:ind w:right="2659"/>
        <w:spacing w:after="0"/>
        <w:rPr>
          <w:sz w:val="20"/>
          <w:szCs w:val="20"/>
          <w:color w:val="auto"/>
        </w:rPr>
      </w:pPr>
      <w:r>
        <w:rPr>
          <w:rFonts w:ascii="Courier New" w:cs="Courier New" w:eastAsia="Courier New" w:hAnsi="Courier New"/>
          <w:sz w:val="16"/>
          <w:szCs w:val="16"/>
          <w:color w:val="auto"/>
        </w:rPr>
        <w:t>3</w:t>
      </w:r>
    </w:p>
    <w:p>
      <w:pPr>
        <w:spacing w:after="0" w:line="186"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principal amount of such Lender's Term Loans and (ii) the amount of such Lender's Revolving Credit Commitment then in effect or, if the Revolving Credit Commitments have been terminated, the amount of such Lender's Revolving Extensions of Credit then outstanding.</w:t>
      </w:r>
    </w:p>
    <w:p>
      <w:pPr>
        <w:spacing w:after="0" w:line="187" w:lineRule="exact"/>
        <w:rPr>
          <w:sz w:val="20"/>
          <w:szCs w:val="20"/>
          <w:color w:val="auto"/>
        </w:rPr>
      </w:pPr>
    </w:p>
    <w:p>
      <w:pPr>
        <w:ind w:right="2839" w:firstLine="851"/>
        <w:spacing w:after="0" w:line="239" w:lineRule="auto"/>
        <w:rPr>
          <w:sz w:val="20"/>
          <w:szCs w:val="20"/>
          <w:color w:val="auto"/>
        </w:rPr>
      </w:pPr>
      <w:r>
        <w:rPr>
          <w:rFonts w:ascii="Courier New" w:cs="Courier New" w:eastAsia="Courier New" w:hAnsi="Courier New"/>
          <w:sz w:val="16"/>
          <w:szCs w:val="16"/>
          <w:color w:val="auto"/>
        </w:rPr>
        <w:t>"Aggregate Exposure Percentage" shall mean, with respect to any Lender at any time, the ratio (expressed as a percentage) of such Lender's Aggregate Exposure at such time to the Aggregate Exposure of all Lenders at such time.</w:t>
      </w:r>
    </w:p>
    <w:p>
      <w:pPr>
        <w:spacing w:after="0" w:line="187" w:lineRule="exact"/>
        <w:rPr>
          <w:sz w:val="20"/>
          <w:szCs w:val="20"/>
          <w:color w:val="auto"/>
        </w:rPr>
      </w:pPr>
    </w:p>
    <w:p>
      <w:pPr>
        <w:ind w:right="2839" w:firstLine="851"/>
        <w:spacing w:after="0" w:line="239" w:lineRule="auto"/>
        <w:rPr>
          <w:sz w:val="20"/>
          <w:szCs w:val="20"/>
          <w:color w:val="auto"/>
        </w:rPr>
      </w:pPr>
      <w:r>
        <w:rPr>
          <w:rFonts w:ascii="Courier New" w:cs="Courier New" w:eastAsia="Courier New" w:hAnsi="Courier New"/>
          <w:sz w:val="16"/>
          <w:szCs w:val="16"/>
          <w:color w:val="auto"/>
        </w:rPr>
        <w:t>"Aggregate Australian Revolving Extensions of Credit" shall mean an amount equal to the sum of (a) the aggregate principal amount of all Australian Dollar Loans (including, without limitation, Australian Dollar Swing Line Loans borrowed under Australian Commitments) then outstanding and (b) the aggregate amount of all Australian L/C Obligations then outstanding.</w:t>
      </w:r>
    </w:p>
    <w:p>
      <w:pPr>
        <w:spacing w:after="0" w:line="190"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"Aggregate Canadian Revolving Extensions of Credit" shall mean an amount equal to the sum of (a) the aggregate principal amount of all Canadian Dollar Loans (including, without limitation, Canadian Dollar Swing Line Loans borrowed under Canadian Commitments) then outstanding and (b) the aggregate amount of all Canadian L/C Obligations then outstanding.</w:t>
      </w:r>
    </w:p>
    <w:p>
      <w:pPr>
        <w:spacing w:after="0" w:line="190"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"Aggregate Facility A Revolving Extensions of Credit" shall mean an amount equal to the sum of (a) the aggregate principal amount of all Facility A Loans (including, without limitation, Swing Line Loans borrowed under Facility A Commitments) then outstanding and (b) the aggregate amount of all L/C Obligations then outstanding in respect of Letters of Credit issued under the Facility A Commitments.</w:t>
      </w:r>
    </w:p>
    <w:p>
      <w:pPr>
        <w:spacing w:after="0" w:line="190"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"Aggregate Facility B Revolving Extensions of Credit" shall mean an amount equal to the sum of (a) the aggregate principal amount of all Facility B Loans (including, without limitation, Swing Line Loans borrowed under Facility B Commitments) then outstanding and (b) the aggregate amount of all L/C Obligations then outstanding in respect of Letters of Credit issued under the Facility B Commitments.</w:t>
      </w:r>
    </w:p>
    <w:p>
      <w:pPr>
        <w:spacing w:after="0" w:line="190"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"Aggregate Facility C Revolving Extensions of Credit" shall mean an amount equal to the sum of (a) the aggregate principal amount of all Facility C Loans (including, without limitation, Swing Line Loans borrowed under Facility C Commitments) then outstanding and (b) the aggregate amount of all L/C Obligations then outstanding in respect of Letters of Credit issued under the Facility C Commitments.</w:t>
      </w:r>
    </w:p>
    <w:p>
      <w:pPr>
        <w:spacing w:after="0" w:line="190"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"Aggregate Facility D Revolving Extensions of Credit" shall mean an amount equal to the sum of (a) the aggregate principal amount of all Facility D Loans (including, without limitation, Swing Line Loans borrowed under Facility D Commitments) then outstanding and (b) the aggregate amount of all L/C Obligations then outstanding in respect of Letters of Credit issued under the Facility D Commitments.</w:t>
      </w:r>
    </w:p>
    <w:p>
      <w:pPr>
        <w:spacing w:after="0" w:line="190"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"Aggregate Sterling Revolving Extensions of Credit" shall mean an amount equal to the sum of (a) the aggregate principal amount of all Sterling Loans (including, without limitation, Sterling Swing Line Loans borrowed under Sterling Commitments) then</w:t>
      </w:r>
    </w:p>
    <w:p>
      <w:pPr>
        <w:sectPr>
          <w:pgSz w:w="11900" w:h="16838" w:orient="portrait"/>
          <w:cols w:equalWidth="0" w:num="1">
            <w:col w:w="9379"/>
          </w:cols>
          <w:pgMar w:left="1080" w:top="477" w:right="1440" w:bottom="1440" w:gutter="0" w:footer="0" w:header="0"/>
        </w:sectPr>
      </w:pPr>
    </w:p>
    <w:bookmarkStart w:id="403" w:name="page404"/>
    <w:bookmarkEnd w:id="403"/>
    <w:p>
      <w:pPr>
        <w:jc w:val="right"/>
        <w:ind w:right="2659"/>
        <w:spacing w:after="0"/>
        <w:rPr>
          <w:sz w:val="20"/>
          <w:szCs w:val="20"/>
          <w:color w:val="auto"/>
        </w:rPr>
      </w:pPr>
      <w:r>
        <w:rPr>
          <w:rFonts w:ascii="Courier New" w:cs="Courier New" w:eastAsia="Courier New" w:hAnsi="Courier New"/>
          <w:sz w:val="16"/>
          <w:szCs w:val="16"/>
          <w:color w:val="auto"/>
        </w:rPr>
        <w:t>4</w:t>
      </w:r>
    </w:p>
    <w:p>
      <w:pPr>
        <w:spacing w:after="0" w:line="186"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6"/>
          <w:szCs w:val="16"/>
          <w:color w:val="auto"/>
        </w:rPr>
        <w:t>outstanding and (b) the aggregate amount of all Sterling L/C Obligations then outstanding.</w:t>
      </w:r>
    </w:p>
    <w:p>
      <w:pPr>
        <w:spacing w:after="0" w:line="188"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"Aggregate Revolving Extensions of Credit" shall mean, without duplication, the Aggregate Facility A Revolving Extensions of Credit, the Aggregate Facility B Revolving Extensions of Credit, the Aggregate Facility C Revolving Extensions of Credit, the Aggregate Facility D Revolving Extensions of Credit, the Aggregate Sterling Revolving Extensions of Credit, the Aggregate Australian Dollar Revolving Extensions of Credit and the Aggregate Canadian Dollar Revolving Extensions of Credit.</w:t>
      </w:r>
    </w:p>
    <w:p>
      <w:pPr>
        <w:spacing w:after="0" w:line="187" w:lineRule="exact"/>
        <w:rPr>
          <w:sz w:val="20"/>
          <w:szCs w:val="20"/>
          <w:color w:val="auto"/>
        </w:rPr>
      </w:pPr>
    </w:p>
    <w:p>
      <w:pPr>
        <w:jc w:val="both"/>
        <w:ind w:right="2659" w:firstLine="851"/>
        <w:spacing w:after="0" w:line="238" w:lineRule="auto"/>
        <w:rPr>
          <w:sz w:val="20"/>
          <w:szCs w:val="20"/>
          <w:color w:val="auto"/>
        </w:rPr>
      </w:pPr>
      <w:r>
        <w:rPr>
          <w:rFonts w:ascii="Courier New" w:cs="Courier New" w:eastAsia="Courier New" w:hAnsi="Courier New"/>
          <w:sz w:val="16"/>
          <w:szCs w:val="16"/>
          <w:color w:val="auto"/>
        </w:rPr>
        <w:t>"Agreement" shall mean this Second Amended and Restated Credit Agreement, as amended, supplemented or otherwise modified from time to time.</w:t>
      </w:r>
    </w:p>
    <w:p>
      <w:pPr>
        <w:spacing w:after="0" w:line="188"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"Applicable Margin" shall mean for each Type of Loan, the rate per annum set forth under the relevant column heading in the Pricing Grid; provided however, that (i) the Applicable Margin for Revolving Credit Loans shall be deemed to be based upon a Leverage Ratio of greater than or equal to 2.75 to 1.00 until the financial statements of the Borrower and its Subsidiaries for the fiscal quarter ending December 31, 2003 have been furnished to the Administrative Agent and the Lenders pursuant to subsection 6.1(b) and (ii) the Applicable Margin for Term Loans shall be deemed to be based upon a Leverage Ratio of greater than 2.0 to 1.0 until the financial statements of the Borrower and its Subsidiaries for the fiscal quarter ending September 30, 2004 have been furnished to the Administrative Agent and the Lenders pursuant to subsection 6.1(a).</w:t>
      </w:r>
    </w:p>
    <w:p>
      <w:pPr>
        <w:spacing w:after="0" w:line="190" w:lineRule="exact"/>
        <w:rPr>
          <w:sz w:val="20"/>
          <w:szCs w:val="20"/>
          <w:color w:val="auto"/>
        </w:rPr>
      </w:pPr>
    </w:p>
    <w:p>
      <w:pPr>
        <w:jc w:val="both"/>
        <w:ind w:right="2839" w:firstLine="851"/>
        <w:spacing w:after="0" w:line="238" w:lineRule="auto"/>
        <w:rPr>
          <w:sz w:val="20"/>
          <w:szCs w:val="20"/>
          <w:color w:val="auto"/>
        </w:rPr>
      </w:pPr>
      <w:r>
        <w:rPr>
          <w:rFonts w:ascii="Courier New" w:cs="Courier New" w:eastAsia="Courier New" w:hAnsi="Courier New"/>
          <w:sz w:val="16"/>
          <w:szCs w:val="16"/>
          <w:color w:val="auto"/>
        </w:rPr>
        <w:t>"Application" shall mean an application, in such form as the Issuing Lender may specify from time to time, requesting such Issuing Lender to open a Letter of Credit.</w:t>
      </w:r>
    </w:p>
    <w:p>
      <w:pPr>
        <w:spacing w:after="0" w:line="188" w:lineRule="exact"/>
        <w:rPr>
          <w:sz w:val="20"/>
          <w:szCs w:val="20"/>
          <w:color w:val="auto"/>
        </w:rPr>
      </w:pPr>
    </w:p>
    <w:p>
      <w:pPr>
        <w:ind w:right="2759" w:firstLine="851"/>
        <w:spacing w:after="0" w:line="258" w:lineRule="auto"/>
        <w:rPr>
          <w:sz w:val="20"/>
          <w:szCs w:val="20"/>
          <w:color w:val="auto"/>
        </w:rPr>
      </w:pPr>
      <w:r>
        <w:rPr>
          <w:rFonts w:ascii="Courier New" w:cs="Courier New" w:eastAsia="Courier New" w:hAnsi="Courier New"/>
          <w:sz w:val="15"/>
          <w:szCs w:val="15"/>
          <w:color w:val="auto"/>
        </w:rPr>
        <w:t>"Asset Sale" shall mean any Disposition of property or series of related Dispositions of property that yields gross proceeds to the Borrower or any of its Subsidiaries (valued at the initial principal amount thereof in the case of non-cash proceeds consisting of notes or other debt securities and valued at fair market value in the case of other non-cash proceeds) in excess of $5,000,000.</w:t>
      </w:r>
    </w:p>
    <w:p>
      <w:pPr>
        <w:spacing w:after="0" w:line="177" w:lineRule="exact"/>
        <w:rPr>
          <w:sz w:val="20"/>
          <w:szCs w:val="20"/>
          <w:color w:val="auto"/>
        </w:rPr>
      </w:pPr>
    </w:p>
    <w:p>
      <w:pPr>
        <w:ind w:right="3219" w:firstLine="851"/>
        <w:spacing w:after="0" w:line="237" w:lineRule="auto"/>
        <w:rPr>
          <w:sz w:val="20"/>
          <w:szCs w:val="20"/>
          <w:color w:val="auto"/>
        </w:rPr>
      </w:pPr>
      <w:r>
        <w:rPr>
          <w:rFonts w:ascii="Courier New" w:cs="Courier New" w:eastAsia="Courier New" w:hAnsi="Courier New"/>
          <w:sz w:val="16"/>
          <w:szCs w:val="16"/>
          <w:color w:val="auto"/>
        </w:rPr>
        <w:t>"Assignment and Acceptance" shall mean an Assignment and Acceptance, substantially in the form of Exhibit A hereto.</w:t>
      </w:r>
    </w:p>
    <w:p>
      <w:pPr>
        <w:spacing w:after="0" w:line="188" w:lineRule="exact"/>
        <w:rPr>
          <w:sz w:val="20"/>
          <w:szCs w:val="20"/>
          <w:color w:val="auto"/>
        </w:rPr>
      </w:pPr>
    </w:p>
    <w:p>
      <w:pPr>
        <w:ind w:right="2939" w:firstLine="851"/>
        <w:spacing w:after="0" w:line="237" w:lineRule="auto"/>
        <w:rPr>
          <w:sz w:val="20"/>
          <w:szCs w:val="20"/>
          <w:color w:val="auto"/>
        </w:rPr>
      </w:pPr>
      <w:r>
        <w:rPr>
          <w:rFonts w:ascii="Courier New" w:cs="Courier New" w:eastAsia="Courier New" w:hAnsi="Courier New"/>
          <w:sz w:val="16"/>
          <w:szCs w:val="16"/>
          <w:color w:val="auto"/>
        </w:rPr>
        <w:t>"Australian Commitments" shall have the meaning assigned to such term in Annex C hereto.</w:t>
      </w:r>
    </w:p>
    <w:p>
      <w:pPr>
        <w:spacing w:after="0" w:line="188" w:lineRule="exact"/>
        <w:rPr>
          <w:sz w:val="20"/>
          <w:szCs w:val="20"/>
          <w:color w:val="auto"/>
        </w:rPr>
      </w:pPr>
    </w:p>
    <w:p>
      <w:pPr>
        <w:ind w:right="3039" w:firstLine="851"/>
        <w:spacing w:after="0" w:line="237" w:lineRule="auto"/>
        <w:rPr>
          <w:sz w:val="20"/>
          <w:szCs w:val="20"/>
          <w:color w:val="auto"/>
        </w:rPr>
      </w:pPr>
      <w:r>
        <w:rPr>
          <w:rFonts w:ascii="Courier New" w:cs="Courier New" w:eastAsia="Courier New" w:hAnsi="Courier New"/>
          <w:sz w:val="16"/>
          <w:szCs w:val="16"/>
          <w:color w:val="auto"/>
        </w:rPr>
        <w:t>"Australian Dollars" shall mean the lawful currency of the Commonwealth of Australia.</w:t>
      </w:r>
    </w:p>
    <w:p>
      <w:pPr>
        <w:spacing w:after="0" w:line="188"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"Australian Dollar Lender" shall mean each Lender that has an Australian Commitment or that holds Australian Dollar Loans; collectively, the "Australian Dollar Lenders". Each Australian Dollar Lender on the date hereof represents that it is an Eligible Australian Bank.</w:t>
      </w:r>
    </w:p>
    <w:p>
      <w:pPr>
        <w:sectPr>
          <w:pgSz w:w="11900" w:h="16838" w:orient="portrait"/>
          <w:cols w:equalWidth="0" w:num="1">
            <w:col w:w="9379"/>
          </w:cols>
          <w:pgMar w:left="1080" w:top="477" w:right="1440" w:bottom="1440" w:gutter="0" w:footer="0" w:header="0"/>
        </w:sectPr>
      </w:pPr>
    </w:p>
    <w:bookmarkStart w:id="404" w:name="page405"/>
    <w:bookmarkEnd w:id="404"/>
    <w:p>
      <w:pPr>
        <w:ind w:left="6620"/>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ind w:right="2659" w:firstLine="851"/>
        <w:spacing w:after="0" w:line="238" w:lineRule="auto"/>
        <w:rPr>
          <w:sz w:val="20"/>
          <w:szCs w:val="20"/>
          <w:color w:val="auto"/>
        </w:rPr>
      </w:pPr>
      <w:r>
        <w:rPr>
          <w:rFonts w:ascii="Courier New" w:cs="Courier New" w:eastAsia="Courier New" w:hAnsi="Courier New"/>
          <w:sz w:val="16"/>
          <w:szCs w:val="16"/>
          <w:color w:val="auto"/>
        </w:rPr>
        <w:t>"Australian Dollar Loan" shall mean any Australian Dollar Loan made pursuant to Annex C hereto; collectively, the "Australian Dollar Loans".</w:t>
      </w:r>
    </w:p>
    <w:p>
      <w:pPr>
        <w:spacing w:after="0" w:line="188" w:lineRule="exact"/>
        <w:rPr>
          <w:sz w:val="20"/>
          <w:szCs w:val="20"/>
          <w:color w:val="auto"/>
        </w:rPr>
      </w:pPr>
    </w:p>
    <w:p>
      <w:pPr>
        <w:ind w:right="2759" w:firstLine="851"/>
        <w:spacing w:after="0" w:line="237" w:lineRule="auto"/>
        <w:rPr>
          <w:sz w:val="20"/>
          <w:szCs w:val="20"/>
          <w:color w:val="auto"/>
        </w:rPr>
      </w:pPr>
      <w:r>
        <w:rPr>
          <w:rFonts w:ascii="Courier New" w:cs="Courier New" w:eastAsia="Courier New" w:hAnsi="Courier New"/>
          <w:sz w:val="16"/>
          <w:szCs w:val="16"/>
          <w:color w:val="auto"/>
        </w:rPr>
        <w:t>"Australian Dollar Swing Line Lenders" shall have the meaning assigned to such term in Annex C hereto.</w:t>
      </w:r>
    </w:p>
    <w:p>
      <w:pPr>
        <w:spacing w:after="0" w:line="188" w:lineRule="exact"/>
        <w:rPr>
          <w:sz w:val="20"/>
          <w:szCs w:val="20"/>
          <w:color w:val="auto"/>
        </w:rPr>
      </w:pPr>
    </w:p>
    <w:p>
      <w:pPr>
        <w:ind w:right="2939" w:firstLine="851"/>
        <w:spacing w:after="0" w:line="237" w:lineRule="auto"/>
        <w:rPr>
          <w:sz w:val="20"/>
          <w:szCs w:val="20"/>
          <w:color w:val="auto"/>
        </w:rPr>
      </w:pPr>
      <w:r>
        <w:rPr>
          <w:rFonts w:ascii="Courier New" w:cs="Courier New" w:eastAsia="Courier New" w:hAnsi="Courier New"/>
          <w:sz w:val="16"/>
          <w:szCs w:val="16"/>
          <w:color w:val="auto"/>
        </w:rPr>
        <w:t>"Australian Dollar Swing Line Loans" shall have the meaning assigned to such term in Annex C hereto.</w:t>
      </w:r>
    </w:p>
    <w:p>
      <w:pPr>
        <w:spacing w:after="0" w:line="188" w:lineRule="exact"/>
        <w:rPr>
          <w:sz w:val="20"/>
          <w:szCs w:val="20"/>
          <w:color w:val="auto"/>
        </w:rPr>
      </w:pPr>
    </w:p>
    <w:p>
      <w:pPr>
        <w:ind w:right="2839" w:firstLine="851"/>
        <w:spacing w:after="0" w:line="237" w:lineRule="auto"/>
        <w:rPr>
          <w:sz w:val="20"/>
          <w:szCs w:val="20"/>
          <w:color w:val="auto"/>
        </w:rPr>
      </w:pPr>
      <w:r>
        <w:rPr>
          <w:rFonts w:ascii="Courier New" w:cs="Courier New" w:eastAsia="Courier New" w:hAnsi="Courier New"/>
          <w:sz w:val="16"/>
          <w:szCs w:val="16"/>
          <w:color w:val="auto"/>
        </w:rPr>
        <w:t>"Australian L/C Obligations" shall have the meaning assigned to such term in Annex C hereto.</w:t>
      </w:r>
    </w:p>
    <w:p>
      <w:pPr>
        <w:spacing w:after="0" w:line="188" w:lineRule="exact"/>
        <w:rPr>
          <w:sz w:val="20"/>
          <w:szCs w:val="20"/>
          <w:color w:val="auto"/>
        </w:rPr>
      </w:pPr>
    </w:p>
    <w:p>
      <w:pPr>
        <w:ind w:right="2839" w:firstLine="851"/>
        <w:spacing w:after="0" w:line="239" w:lineRule="auto"/>
        <w:rPr>
          <w:sz w:val="20"/>
          <w:szCs w:val="20"/>
          <w:color w:val="auto"/>
        </w:rPr>
      </w:pPr>
      <w:r>
        <w:rPr>
          <w:rFonts w:ascii="Courier New" w:cs="Courier New" w:eastAsia="Courier New" w:hAnsi="Courier New"/>
          <w:sz w:val="16"/>
          <w:szCs w:val="16"/>
          <w:color w:val="auto"/>
        </w:rPr>
        <w:t>"Australian Subsidiary Borrower" shall mean Scotts Australia Pty Ltd. or any other Foreign Subsidiary Borrower organized under the laws of the Commonwealth of Australia and designated as such by the Borrower in a notice to the Administrative Agent, which shall notify each Australian Lender thereof.</w:t>
      </w:r>
    </w:p>
    <w:p>
      <w:pPr>
        <w:spacing w:after="0" w:line="189"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"Available Australian Commitment" shall mean, as to any Lender at any time, the amount equal to the excess, if any, of (a) such Lender's Australian Commitment over (b) the sum of such Lender's (i) ratable portion of the Aggregate Facility C Revolving Extensions of Credit and (ii) ratable portion of the Aggregate Australian Revolving Extensions of Credit. The Available Australian Commitment may be calculated as being negative at any time.</w:t>
      </w:r>
    </w:p>
    <w:p>
      <w:pPr>
        <w:spacing w:after="0" w:line="192" w:lineRule="exact"/>
        <w:rPr>
          <w:sz w:val="20"/>
          <w:szCs w:val="20"/>
          <w:color w:val="auto"/>
        </w:rPr>
      </w:pPr>
    </w:p>
    <w:p>
      <w:pPr>
        <w:ind w:right="2839" w:firstLine="851"/>
        <w:spacing w:after="0" w:line="239" w:lineRule="auto"/>
        <w:rPr>
          <w:sz w:val="20"/>
          <w:szCs w:val="20"/>
          <w:color w:val="auto"/>
        </w:rPr>
      </w:pPr>
      <w:r>
        <w:rPr>
          <w:rFonts w:ascii="Courier New" w:cs="Courier New" w:eastAsia="Courier New" w:hAnsi="Courier New"/>
          <w:sz w:val="16"/>
          <w:szCs w:val="16"/>
          <w:color w:val="auto"/>
        </w:rPr>
        <w:t>"Available Canadian Commitment" shall mean, as to any Lender at any time, the amount equal to the excess, if any, of (a) such Lender's Canadian Commitment over (b) the sum of such Lender's (i) ratable portion of the Aggregate Facility D Revolving Extensions of Credit and (ii) ratable portion of the Aggregate Canadian Revolving Extensions of Credit. The Available Canadian Commitment may be calculated as being negative at any time.</w:t>
      </w:r>
    </w:p>
    <w:p>
      <w:pPr>
        <w:spacing w:after="0" w:line="192"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"Available Facility A Commitment" shall mean, as to any Lender at any time, the amount equal to the excess, if any, of (a) such Lender's Facility A Commitment over (b) such Lender's ratable portion of the Aggregate Facility A Revolving Extensions of Credit. The Available Facility A Commitment may be calculated as being negative at any time.</w:t>
      </w:r>
    </w:p>
    <w:p>
      <w:pPr>
        <w:spacing w:after="0" w:line="190"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"Available Facility B Commitment" shall mean, as to any Lender at any time, the amount equal to the excess, if any, of (a) such Lender's Facility B Commitment over (b) the sum of such Lender's (i) ratable portion of the Aggregate Facility B Revolving Extensions of Credit and (ii) ratable portion of the Aggregate Sterling Revolving Extensions of Credit. The Available Facility B Commitment may be calculated as being negative at any time.</w:t>
      </w:r>
    </w:p>
    <w:p>
      <w:pPr>
        <w:spacing w:after="0" w:line="192" w:lineRule="exact"/>
        <w:rPr>
          <w:sz w:val="20"/>
          <w:szCs w:val="20"/>
          <w:color w:val="auto"/>
        </w:rPr>
      </w:pPr>
    </w:p>
    <w:p>
      <w:pPr>
        <w:ind w:right="2659" w:firstLine="851"/>
        <w:spacing w:after="0" w:line="259" w:lineRule="auto"/>
        <w:rPr>
          <w:sz w:val="20"/>
          <w:szCs w:val="20"/>
          <w:color w:val="auto"/>
        </w:rPr>
      </w:pPr>
      <w:r>
        <w:rPr>
          <w:rFonts w:ascii="Courier New" w:cs="Courier New" w:eastAsia="Courier New" w:hAnsi="Courier New"/>
          <w:sz w:val="15"/>
          <w:szCs w:val="15"/>
          <w:color w:val="auto"/>
        </w:rPr>
        <w:t>"Available Facility C Commitment" shall mean, as to any Lender at any time, the amount equal to the excess, if any, of (a) such Lender's Facility C Commitment over (b) the sum of such Lender's (i) ratable portion of the Aggregate Facility C Revolving Extensions of Credit and (ii) ratable portion of the Aggregate Australian Revolving</w:t>
      </w:r>
    </w:p>
    <w:p>
      <w:pPr>
        <w:sectPr>
          <w:pgSz w:w="11900" w:h="16838" w:orient="portrait"/>
          <w:cols w:equalWidth="0" w:num="1">
            <w:col w:w="9379"/>
          </w:cols>
          <w:pgMar w:left="1080" w:top="476" w:right="1440" w:bottom="1440" w:gutter="0" w:footer="0" w:header="0"/>
        </w:sectPr>
      </w:pPr>
    </w:p>
    <w:bookmarkStart w:id="405" w:name="page406"/>
    <w:bookmarkEnd w:id="405"/>
    <w:p>
      <w:pPr>
        <w:jc w:val="right"/>
        <w:ind w:right="2659"/>
        <w:spacing w:after="0"/>
        <w:rPr>
          <w:sz w:val="20"/>
          <w:szCs w:val="20"/>
          <w:color w:val="auto"/>
        </w:rPr>
      </w:pPr>
      <w:r>
        <w:rPr>
          <w:rFonts w:ascii="Courier New" w:cs="Courier New" w:eastAsia="Courier New" w:hAnsi="Courier New"/>
          <w:sz w:val="16"/>
          <w:szCs w:val="16"/>
          <w:color w:val="auto"/>
        </w:rPr>
        <w:t>6</w:t>
      </w:r>
    </w:p>
    <w:p>
      <w:pPr>
        <w:spacing w:after="0" w:line="186"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6"/>
          <w:szCs w:val="16"/>
          <w:color w:val="auto"/>
        </w:rPr>
        <w:t>Extensions of Credit. The Available Facility C Commitment may be calculated as being negative at any time.</w:t>
      </w:r>
    </w:p>
    <w:p>
      <w:pPr>
        <w:spacing w:after="0" w:line="188"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"Available Facility D Commitment" shall mean, as to any Lender at any time, the amount equal to the excess, if any, of (a) such Lender's Facility D Commitment over (b) the sum of such Lender's (i) ratable portion of the Aggregate Facility D Revolving Extensions of Credit and (ii) ratable portion of the Aggregate Canadian Revolving Extensions of Credit. The Available Facility D Commitment may be calculated as being negative at any time.</w:t>
      </w:r>
    </w:p>
    <w:p>
      <w:pPr>
        <w:spacing w:after="0" w:line="192" w:lineRule="exact"/>
        <w:rPr>
          <w:sz w:val="20"/>
          <w:szCs w:val="20"/>
          <w:color w:val="auto"/>
        </w:rPr>
      </w:pPr>
    </w:p>
    <w:p>
      <w:pPr>
        <w:ind w:right="2839" w:firstLine="851"/>
        <w:spacing w:after="0" w:line="239" w:lineRule="auto"/>
        <w:rPr>
          <w:sz w:val="20"/>
          <w:szCs w:val="20"/>
          <w:color w:val="auto"/>
        </w:rPr>
      </w:pPr>
      <w:r>
        <w:rPr>
          <w:rFonts w:ascii="Courier New" w:cs="Courier New" w:eastAsia="Courier New" w:hAnsi="Courier New"/>
          <w:sz w:val="16"/>
          <w:szCs w:val="16"/>
          <w:color w:val="auto"/>
        </w:rPr>
        <w:t>"Available Sterling Commitment" shall mean, as to any Lender at any time, the amount equal to the excess, if any, of (a) such Lender's Sterling Commitment over (b) the sum of such Lender's (i) ratable portion of the Aggregate Facility B Revolving Extensions of Credit and (ii) ratable portion of the Aggregate Sterling Revolving Extensions of Credit. The Available Sterling Commitment may be calculated as being negative at any time.</w:t>
      </w:r>
    </w:p>
    <w:p>
      <w:pPr>
        <w:spacing w:after="0" w:line="192" w:lineRule="exact"/>
        <w:rPr>
          <w:sz w:val="20"/>
          <w:szCs w:val="20"/>
          <w:color w:val="auto"/>
        </w:rPr>
      </w:pPr>
    </w:p>
    <w:p>
      <w:pPr>
        <w:ind w:right="2659" w:firstLine="851"/>
        <w:spacing w:after="0" w:line="238" w:lineRule="auto"/>
        <w:rPr>
          <w:sz w:val="20"/>
          <w:szCs w:val="20"/>
          <w:color w:val="auto"/>
        </w:rPr>
      </w:pPr>
      <w:r>
        <w:rPr>
          <w:rFonts w:ascii="Courier New" w:cs="Courier New" w:eastAsia="Courier New" w:hAnsi="Courier New"/>
          <w:sz w:val="16"/>
          <w:szCs w:val="16"/>
          <w:color w:val="auto"/>
        </w:rPr>
        <w:t>"Average Senior Indebtedness" shall mean the average of the Senior Indebtedness of the Borrower at the end of each of the four most recent consecutive fiscal quarters.</w:t>
      </w:r>
    </w:p>
    <w:p>
      <w:pPr>
        <w:spacing w:after="0" w:line="188" w:lineRule="exact"/>
        <w:rPr>
          <w:sz w:val="20"/>
          <w:szCs w:val="20"/>
          <w:color w:val="auto"/>
        </w:rPr>
      </w:pPr>
    </w:p>
    <w:p>
      <w:pPr>
        <w:ind w:right="2759" w:firstLine="851"/>
        <w:spacing w:after="0" w:line="238" w:lineRule="auto"/>
        <w:rPr>
          <w:sz w:val="20"/>
          <w:szCs w:val="20"/>
          <w:color w:val="auto"/>
        </w:rPr>
      </w:pPr>
      <w:r>
        <w:rPr>
          <w:rFonts w:ascii="Courier New" w:cs="Courier New" w:eastAsia="Courier New" w:hAnsi="Courier New"/>
          <w:sz w:val="16"/>
          <w:szCs w:val="16"/>
          <w:color w:val="auto"/>
        </w:rPr>
        <w:t>"Average Total Indebtedness" shall mean the average of the Total Indebtedness of the Borrower at the end of each of the four most recent consecutive fiscal quarters.</w:t>
      </w:r>
    </w:p>
    <w:p>
      <w:pPr>
        <w:spacing w:after="0" w:line="188" w:lineRule="exact"/>
        <w:rPr>
          <w:sz w:val="20"/>
          <w:szCs w:val="20"/>
          <w:color w:val="auto"/>
        </w:rPr>
      </w:pPr>
    </w:p>
    <w:p>
      <w:pPr>
        <w:ind w:right="2839" w:firstLine="851"/>
        <w:spacing w:after="0" w:line="239" w:lineRule="auto"/>
        <w:rPr>
          <w:sz w:val="20"/>
          <w:szCs w:val="20"/>
          <w:color w:val="auto"/>
        </w:rPr>
      </w:pPr>
      <w:r>
        <w:rPr>
          <w:rFonts w:ascii="Courier New" w:cs="Courier New" w:eastAsia="Courier New" w:hAnsi="Courier New"/>
          <w:sz w:val="16"/>
          <w:szCs w:val="16"/>
          <w:color w:val="auto"/>
        </w:rPr>
        <w:t>"Borrowing Date" shall mean, as to any Lender, any Business Day specified in a notice transmitted pursuant to subsection 2.2, 2.5 or 2.6 as a date on which such Lender has been requested by the Borrower or any Subsidiary Borrower to make Loans hereunder.</w:t>
      </w:r>
    </w:p>
    <w:p>
      <w:pPr>
        <w:spacing w:after="0" w:line="187"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"Business Day" shall mean a day other than a Saturday, Sunday or other day on which commercial banks in New York City are authorized or required by law to close; provided, however, that when used to describe the date of any borrowing of, or any payment or interest rate determination in respect of a LIBOR Loan, the term "Business Day" shall also exclude any day on which (i) commercial banks are not open for dealings in deposits in the relevant currency in the London Interbank Market and in the financial center for such currency and (ii) in the case of Loans denominated in euros, the Trans-European Automated Real-time Gross Settlement Express Transfer payment system is not open for settlement of payments in euros.</w:t>
      </w:r>
    </w:p>
    <w:p>
      <w:pPr>
        <w:spacing w:after="0" w:line="189" w:lineRule="exact"/>
        <w:rPr>
          <w:sz w:val="20"/>
          <w:szCs w:val="20"/>
          <w:color w:val="auto"/>
        </w:rPr>
      </w:pPr>
    </w:p>
    <w:p>
      <w:pPr>
        <w:ind w:right="2659" w:firstLine="851"/>
        <w:spacing w:after="0" w:line="237" w:lineRule="auto"/>
        <w:rPr>
          <w:sz w:val="20"/>
          <w:szCs w:val="20"/>
          <w:color w:val="auto"/>
        </w:rPr>
      </w:pPr>
      <w:r>
        <w:rPr>
          <w:rFonts w:ascii="Courier New" w:cs="Courier New" w:eastAsia="Courier New" w:hAnsi="Courier New"/>
          <w:sz w:val="16"/>
          <w:szCs w:val="16"/>
          <w:color w:val="auto"/>
        </w:rPr>
        <w:t>"Canadian Commitments" shall have the meaning assigned to such term in Annex D hereto.</w:t>
      </w:r>
    </w:p>
    <w:p>
      <w:pPr>
        <w:spacing w:after="0" w:line="18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"Canadian Dollars" shall mean the lawful currency of Canada.</w:t>
      </w:r>
    </w:p>
    <w:p>
      <w:pPr>
        <w:spacing w:after="0" w:line="186" w:lineRule="exact"/>
        <w:rPr>
          <w:sz w:val="20"/>
          <w:szCs w:val="20"/>
          <w:color w:val="auto"/>
        </w:rPr>
      </w:pPr>
    </w:p>
    <w:p>
      <w:pPr>
        <w:ind w:right="2759" w:firstLine="851"/>
        <w:spacing w:after="0" w:line="260" w:lineRule="auto"/>
        <w:rPr>
          <w:sz w:val="20"/>
          <w:szCs w:val="20"/>
          <w:color w:val="auto"/>
        </w:rPr>
      </w:pPr>
      <w:r>
        <w:rPr>
          <w:rFonts w:ascii="Courier New" w:cs="Courier New" w:eastAsia="Courier New" w:hAnsi="Courier New"/>
          <w:sz w:val="15"/>
          <w:szCs w:val="15"/>
          <w:color w:val="auto"/>
        </w:rPr>
        <w:t>"Canadian Dollar Lender" shall mean each Lender that has a Canadian Commitment or that holds Canadian Dollar Loans; collectively, the "Canadian Dollar Lenders". Each Canadian Dollar Lender on the date hereof represents that it is an Eligible Canadian Bank.</w:t>
      </w:r>
    </w:p>
    <w:p>
      <w:pPr>
        <w:sectPr>
          <w:pgSz w:w="11900" w:h="16838" w:orient="portrait"/>
          <w:cols w:equalWidth="0" w:num="1">
            <w:col w:w="9379"/>
          </w:cols>
          <w:pgMar w:left="1080" w:top="477" w:right="1440" w:bottom="1440" w:gutter="0" w:footer="0" w:header="0"/>
        </w:sectPr>
      </w:pPr>
    </w:p>
    <w:bookmarkStart w:id="406" w:name="page407"/>
    <w:bookmarkEnd w:id="406"/>
    <w:p>
      <w:pPr>
        <w:jc w:val="right"/>
        <w:ind w:right="2659"/>
        <w:spacing w:after="0"/>
        <w:rPr>
          <w:sz w:val="20"/>
          <w:szCs w:val="20"/>
          <w:color w:val="auto"/>
        </w:rPr>
      </w:pPr>
      <w:r>
        <w:rPr>
          <w:rFonts w:ascii="Courier New" w:cs="Courier New" w:eastAsia="Courier New" w:hAnsi="Courier New"/>
          <w:sz w:val="16"/>
          <w:szCs w:val="16"/>
          <w:color w:val="auto"/>
        </w:rPr>
        <w:t>7</w:t>
      </w:r>
    </w:p>
    <w:p>
      <w:pPr>
        <w:spacing w:after="0" w:line="186" w:lineRule="exact"/>
        <w:rPr>
          <w:sz w:val="20"/>
          <w:szCs w:val="20"/>
          <w:color w:val="auto"/>
        </w:rPr>
      </w:pPr>
    </w:p>
    <w:p>
      <w:pPr>
        <w:jc w:val="both"/>
        <w:ind w:right="3039" w:firstLine="851"/>
        <w:spacing w:after="0" w:line="238" w:lineRule="auto"/>
        <w:rPr>
          <w:sz w:val="20"/>
          <w:szCs w:val="20"/>
          <w:color w:val="auto"/>
        </w:rPr>
      </w:pPr>
      <w:r>
        <w:rPr>
          <w:rFonts w:ascii="Courier New" w:cs="Courier New" w:eastAsia="Courier New" w:hAnsi="Courier New"/>
          <w:sz w:val="16"/>
          <w:szCs w:val="16"/>
          <w:color w:val="auto"/>
        </w:rPr>
        <w:t>"Canadian Dollar Loan" shall mean any Canadian Dollar Loan made pursuant to Annex D hereto; collectively, the "Canadian Dollar Loans".</w:t>
      </w:r>
    </w:p>
    <w:p>
      <w:pPr>
        <w:spacing w:after="0" w:line="188" w:lineRule="exact"/>
        <w:rPr>
          <w:sz w:val="20"/>
          <w:szCs w:val="20"/>
          <w:color w:val="auto"/>
        </w:rPr>
      </w:pPr>
    </w:p>
    <w:p>
      <w:pPr>
        <w:ind w:right="2939" w:firstLine="851"/>
        <w:spacing w:after="0" w:line="237" w:lineRule="auto"/>
        <w:rPr>
          <w:sz w:val="20"/>
          <w:szCs w:val="20"/>
          <w:color w:val="auto"/>
        </w:rPr>
      </w:pPr>
      <w:r>
        <w:rPr>
          <w:rFonts w:ascii="Courier New" w:cs="Courier New" w:eastAsia="Courier New" w:hAnsi="Courier New"/>
          <w:sz w:val="16"/>
          <w:szCs w:val="16"/>
          <w:color w:val="auto"/>
        </w:rPr>
        <w:t>"Canadian Dollar Swing Line Lenders" shall have the meaning assigned to such term in Annex D hereto.</w:t>
      </w:r>
    </w:p>
    <w:p>
      <w:pPr>
        <w:spacing w:after="0" w:line="188" w:lineRule="exact"/>
        <w:rPr>
          <w:sz w:val="20"/>
          <w:szCs w:val="20"/>
          <w:color w:val="auto"/>
        </w:rPr>
      </w:pPr>
    </w:p>
    <w:p>
      <w:pPr>
        <w:ind w:right="3119" w:firstLine="851"/>
        <w:spacing w:after="0" w:line="237" w:lineRule="auto"/>
        <w:rPr>
          <w:sz w:val="20"/>
          <w:szCs w:val="20"/>
          <w:color w:val="auto"/>
        </w:rPr>
      </w:pPr>
      <w:r>
        <w:rPr>
          <w:rFonts w:ascii="Courier New" w:cs="Courier New" w:eastAsia="Courier New" w:hAnsi="Courier New"/>
          <w:sz w:val="16"/>
          <w:szCs w:val="16"/>
          <w:color w:val="auto"/>
        </w:rPr>
        <w:t>"Canadian Dollar Swing Line Loans" shall have the meaning assigned to such term in Annex D hereto.</w:t>
      </w:r>
    </w:p>
    <w:p>
      <w:pPr>
        <w:spacing w:after="0" w:line="188" w:lineRule="exact"/>
        <w:rPr>
          <w:sz w:val="20"/>
          <w:szCs w:val="20"/>
          <w:color w:val="auto"/>
        </w:rPr>
      </w:pPr>
    </w:p>
    <w:p>
      <w:pPr>
        <w:ind w:right="2759" w:firstLine="851"/>
        <w:spacing w:after="0" w:line="237" w:lineRule="auto"/>
        <w:rPr>
          <w:sz w:val="20"/>
          <w:szCs w:val="20"/>
          <w:color w:val="auto"/>
        </w:rPr>
      </w:pPr>
      <w:r>
        <w:rPr>
          <w:rFonts w:ascii="Courier New" w:cs="Courier New" w:eastAsia="Courier New" w:hAnsi="Courier New"/>
          <w:sz w:val="16"/>
          <w:szCs w:val="16"/>
          <w:color w:val="auto"/>
        </w:rPr>
        <w:t>"Canadian L/C Obligations" shall have the meaning assigned to such term in Annex D hereto.</w:t>
      </w:r>
    </w:p>
    <w:p>
      <w:pPr>
        <w:spacing w:after="0" w:line="188" w:lineRule="exact"/>
        <w:rPr>
          <w:sz w:val="20"/>
          <w:szCs w:val="20"/>
          <w:color w:val="auto"/>
        </w:rPr>
      </w:pPr>
    </w:p>
    <w:p>
      <w:pPr>
        <w:ind w:right="2759" w:firstLine="851"/>
        <w:spacing w:after="0" w:line="260" w:lineRule="auto"/>
        <w:rPr>
          <w:sz w:val="20"/>
          <w:szCs w:val="20"/>
          <w:color w:val="auto"/>
        </w:rPr>
      </w:pPr>
      <w:r>
        <w:rPr>
          <w:rFonts w:ascii="Courier New" w:cs="Courier New" w:eastAsia="Courier New" w:hAnsi="Courier New"/>
          <w:sz w:val="15"/>
          <w:szCs w:val="15"/>
          <w:color w:val="auto"/>
        </w:rPr>
        <w:t>"Canadian Subsidiary Borrower" shall mean Scotts Canada Ltd. or any other Foreign Subsidiary Borrower organized under the laws of Canada and designated as such by the Borrower in a notice to the Administrative Agent, which shall notify each Canadian Lender thereof.</w:t>
      </w:r>
    </w:p>
    <w:p>
      <w:pPr>
        <w:spacing w:after="0" w:line="173" w:lineRule="exact"/>
        <w:rPr>
          <w:sz w:val="20"/>
          <w:szCs w:val="20"/>
          <w:color w:val="auto"/>
        </w:rPr>
      </w:pPr>
    </w:p>
    <w:p>
      <w:pPr>
        <w:ind w:right="2659" w:firstLine="851"/>
        <w:spacing w:after="0" w:line="258" w:lineRule="auto"/>
        <w:rPr>
          <w:sz w:val="20"/>
          <w:szCs w:val="20"/>
          <w:color w:val="auto"/>
        </w:rPr>
      </w:pPr>
      <w:r>
        <w:rPr>
          <w:rFonts w:ascii="Courier New" w:cs="Courier New" w:eastAsia="Courier New" w:hAnsi="Courier New"/>
          <w:sz w:val="15"/>
          <w:szCs w:val="15"/>
          <w:color w:val="auto"/>
        </w:rPr>
        <w:t>"Capital Expenditures" shall mean for any period, with respect to any Person, the aggregate of all expenditures by such Person and its Subsidiaries for the acquisition or leasing (pursuant to a capital lease) of fixed or capital assets or additions to equipment (including replacements, capitalized repairs and improvements during such period) that should be capitalized under GAAP on a consolidated balance sheet of such Person and its Subsidiaries.</w:t>
      </w:r>
    </w:p>
    <w:p>
      <w:pPr>
        <w:spacing w:after="0" w:line="176"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"Capital Stock" shall mean any and all shares, interests, participations or other equivalents (however designated) of capital stock of a corporation, any and all equivalent ownership interests in a Person (other than a corporation) and any and all warrants or options to purchase any of the foregoing.</w:t>
      </w:r>
    </w:p>
    <w:p>
      <w:pPr>
        <w:spacing w:after="0" w:line="189"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"Cash Equivalents" shall mean (a) securities with maturities of one year or less from the date of acquisition issued or fully guaranteed or insured by the United States Government or any agency thereof (b) certificates of deposit, eurodollar time deposits, overnight bank deposits, and bankers acceptances, each with maturities of one year or less from the date of the acquisition thereof, of any Lender or any other commercial bank having capital and surplus in excess of $300,000,000, and (c) commercial paper of the Lenders or any of their affiliates or of a domestic issuer rated at least A-1 by S &amp; P or P-1 by Moody's.</w:t>
      </w:r>
    </w:p>
    <w:p>
      <w:pPr>
        <w:spacing w:after="0" w:line="188"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"C/D Assessment Rate" shall mean, for any day as applied to any ABR Loan, the annual assessment rate in effect on such day which is payable by a member of the Bank Insurance Fund maintained by the Federal Deposit Insurance Corporation (the "FDIC") classified as well-capitalized and within supervisory subgroup "B" (or a comparable successor assessment risk classification) within the meaning of 12 C.F.R. Section 327.3(d) (or any successor provision) to the FDIC (or any successor) for the FDIC's (or such successor's) insuring time deposits at offices of such institution in the United States.</w:t>
      </w:r>
    </w:p>
    <w:p>
      <w:pPr>
        <w:spacing w:after="0" w:line="188" w:lineRule="exact"/>
        <w:rPr>
          <w:sz w:val="20"/>
          <w:szCs w:val="20"/>
          <w:color w:val="auto"/>
        </w:rPr>
      </w:pPr>
    </w:p>
    <w:p>
      <w:pPr>
        <w:ind w:right="2659" w:firstLine="851"/>
        <w:spacing w:after="0" w:line="238" w:lineRule="auto"/>
        <w:rPr>
          <w:sz w:val="20"/>
          <w:szCs w:val="20"/>
          <w:color w:val="auto"/>
        </w:rPr>
      </w:pPr>
      <w:r>
        <w:rPr>
          <w:rFonts w:ascii="Courier New" w:cs="Courier New" w:eastAsia="Courier New" w:hAnsi="Courier New"/>
          <w:sz w:val="16"/>
          <w:szCs w:val="16"/>
          <w:color w:val="auto"/>
        </w:rPr>
        <w:t>"C/D Reserve Percentage" shall mean, for any day as applied to any ABR Loan, that percentage (expressed as a decimal) which is in effect on such day, as prescribed by</w:t>
      </w:r>
    </w:p>
    <w:p>
      <w:pPr>
        <w:sectPr>
          <w:pgSz w:w="11900" w:h="16838" w:orient="portrait"/>
          <w:cols w:equalWidth="0" w:num="1">
            <w:col w:w="9379"/>
          </w:cols>
          <w:pgMar w:left="1080" w:top="477" w:right="1440" w:bottom="1440" w:gutter="0" w:footer="0" w:header="0"/>
        </w:sectPr>
      </w:pPr>
    </w:p>
    <w:bookmarkStart w:id="407" w:name="page408"/>
    <w:bookmarkEnd w:id="407"/>
    <w:p>
      <w:pPr>
        <w:ind w:left="6620"/>
        <w:spacing w:after="0"/>
        <w:rPr>
          <w:sz w:val="20"/>
          <w:szCs w:val="20"/>
          <w:color w:val="auto"/>
        </w:rPr>
      </w:pPr>
      <w:r>
        <w:rPr>
          <w:rFonts w:ascii="Courier New" w:cs="Courier New" w:eastAsia="Courier New" w:hAnsi="Courier New"/>
          <w:sz w:val="16"/>
          <w:szCs w:val="16"/>
          <w:color w:val="auto"/>
        </w:rPr>
        <w:t>8</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the Board of Governors of the Federal Reserve System (or any successor) (the "Board"), for determining the maximum reserve requirement for a Depositary Institution (as defined in Regulation D of the Board) in respect of new non-personal time deposits in Dollars having a maturity of 30 days or more.</w:t>
      </w:r>
    </w:p>
    <w:p>
      <w:pPr>
        <w:spacing w:after="0" w:line="189" w:lineRule="exact"/>
        <w:rPr>
          <w:sz w:val="20"/>
          <w:szCs w:val="20"/>
          <w:color w:val="auto"/>
        </w:rPr>
      </w:pPr>
    </w:p>
    <w:p>
      <w:pPr>
        <w:ind w:right="2839" w:firstLine="851"/>
        <w:spacing w:after="0" w:line="239" w:lineRule="auto"/>
        <w:rPr>
          <w:sz w:val="20"/>
          <w:szCs w:val="20"/>
          <w:color w:val="auto"/>
        </w:rPr>
      </w:pPr>
      <w:r>
        <w:rPr>
          <w:rFonts w:ascii="Courier New" w:cs="Courier New" w:eastAsia="Courier New" w:hAnsi="Courier New"/>
          <w:sz w:val="16"/>
          <w:szCs w:val="16"/>
          <w:color w:val="auto"/>
        </w:rPr>
        <w:t>"Closing Date" shall mean the date upon which all of the conditions precedent to the effectiveness of this Agreement contained in subsection 5.1 are satisfied or waived by the Administrative Agent and each of the Lenders.</w:t>
      </w:r>
    </w:p>
    <w:p>
      <w:pPr>
        <w:spacing w:after="0" w:line="187" w:lineRule="exact"/>
        <w:rPr>
          <w:sz w:val="20"/>
          <w:szCs w:val="20"/>
          <w:color w:val="auto"/>
        </w:rPr>
      </w:pPr>
    </w:p>
    <w:p>
      <w:pPr>
        <w:ind w:right="3319" w:firstLine="851"/>
        <w:spacing w:after="0" w:line="237" w:lineRule="auto"/>
        <w:rPr>
          <w:sz w:val="20"/>
          <w:szCs w:val="20"/>
          <w:color w:val="auto"/>
        </w:rPr>
      </w:pPr>
      <w:r>
        <w:rPr>
          <w:rFonts w:ascii="Courier New" w:cs="Courier New" w:eastAsia="Courier New" w:hAnsi="Courier New"/>
          <w:sz w:val="16"/>
          <w:szCs w:val="16"/>
          <w:color w:val="auto"/>
        </w:rPr>
        <w:t>"Code" shall mean the Internal Revenue Code of 1986, as amended from time to time.</w:t>
      </w:r>
    </w:p>
    <w:p>
      <w:pPr>
        <w:spacing w:after="0" w:line="188" w:lineRule="exact"/>
        <w:rPr>
          <w:sz w:val="20"/>
          <w:szCs w:val="20"/>
          <w:color w:val="auto"/>
        </w:rPr>
      </w:pPr>
    </w:p>
    <w:p>
      <w:pPr>
        <w:ind w:right="2759" w:firstLine="851"/>
        <w:spacing w:after="0" w:line="237" w:lineRule="auto"/>
        <w:rPr>
          <w:sz w:val="20"/>
          <w:szCs w:val="20"/>
          <w:color w:val="auto"/>
        </w:rPr>
      </w:pPr>
      <w:r>
        <w:rPr>
          <w:rFonts w:ascii="Courier New" w:cs="Courier New" w:eastAsia="Courier New" w:hAnsi="Courier New"/>
          <w:sz w:val="16"/>
          <w:szCs w:val="16"/>
          <w:color w:val="auto"/>
        </w:rPr>
        <w:t>"Commitment" shall mean as to any Lender, the sum of the Term Commitment, and the Revolving Credit Commitment of such Lender.</w:t>
      </w:r>
    </w:p>
    <w:p>
      <w:pPr>
        <w:spacing w:after="0" w:line="188" w:lineRule="exact"/>
        <w:rPr>
          <w:sz w:val="20"/>
          <w:szCs w:val="20"/>
          <w:color w:val="auto"/>
        </w:rPr>
      </w:pPr>
    </w:p>
    <w:p>
      <w:pPr>
        <w:ind w:right="2759" w:firstLine="851"/>
        <w:spacing w:after="0" w:line="238" w:lineRule="auto"/>
        <w:rPr>
          <w:sz w:val="20"/>
          <w:szCs w:val="20"/>
          <w:color w:val="auto"/>
        </w:rPr>
      </w:pPr>
      <w:r>
        <w:rPr>
          <w:rFonts w:ascii="Courier New" w:cs="Courier New" w:eastAsia="Courier New" w:hAnsi="Courier New"/>
          <w:sz w:val="16"/>
          <w:szCs w:val="16"/>
          <w:color w:val="auto"/>
        </w:rPr>
        <w:t>"Commonly Controlled Entity" shall mean an entity, whether or not incorporated, which is under common control with the Borrower within the meaning of Section 4001 of ERISA.</w:t>
      </w:r>
    </w:p>
    <w:p>
      <w:pPr>
        <w:spacing w:after="0" w:line="188" w:lineRule="exact"/>
        <w:rPr>
          <w:sz w:val="20"/>
          <w:szCs w:val="20"/>
          <w:color w:val="auto"/>
        </w:rPr>
      </w:pPr>
    </w:p>
    <w:p>
      <w:pPr>
        <w:ind w:right="2839" w:firstLine="851"/>
        <w:spacing w:after="0" w:line="238" w:lineRule="auto"/>
        <w:rPr>
          <w:sz w:val="20"/>
          <w:szCs w:val="20"/>
          <w:color w:val="auto"/>
        </w:rPr>
      </w:pPr>
      <w:r>
        <w:rPr>
          <w:rFonts w:ascii="Courier New" w:cs="Courier New" w:eastAsia="Courier New" w:hAnsi="Courier New"/>
          <w:sz w:val="16"/>
          <w:szCs w:val="16"/>
          <w:color w:val="auto"/>
        </w:rPr>
        <w:t>"Confidential Information Memorandum" shall mean the confidential information memorandum distributed to the Lenders, dated September 2003.</w:t>
      </w:r>
    </w:p>
    <w:p>
      <w:pPr>
        <w:spacing w:after="0" w:line="188"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"Consolidated Current Assets" shall mean, at any date, all amounts (other than cash and Cash Equivalents) that would, in conformity with GAAP, be set forth opposite the caption "total current assets" (or any like caption) on a consolidated balance sheet of the Borrower and its Subsidiaries at such date.</w:t>
      </w:r>
    </w:p>
    <w:p>
      <w:pPr>
        <w:spacing w:after="0" w:line="189" w:lineRule="exact"/>
        <w:rPr>
          <w:sz w:val="20"/>
          <w:szCs w:val="20"/>
          <w:color w:val="auto"/>
        </w:rPr>
      </w:pPr>
    </w:p>
    <w:p>
      <w:pPr>
        <w:ind w:right="2659" w:firstLine="851"/>
        <w:spacing w:after="0" w:line="258" w:lineRule="auto"/>
        <w:rPr>
          <w:sz w:val="20"/>
          <w:szCs w:val="20"/>
          <w:color w:val="auto"/>
        </w:rPr>
      </w:pPr>
      <w:r>
        <w:rPr>
          <w:rFonts w:ascii="Courier New" w:cs="Courier New" w:eastAsia="Courier New" w:hAnsi="Courier New"/>
          <w:sz w:val="15"/>
          <w:szCs w:val="15"/>
          <w:color w:val="auto"/>
        </w:rPr>
        <w:t>"Consolidated Current Liabilities" shall mean, at any date, all amounts that would, in conformity with GAAP, be set forth opposite the caption "total current liabilities" (or any like caption) on a consolidated balance sheet of the Borrower and its Subsidiaries at such date, but excluding (a) the current portion of any Funded Debt of the Borrower and its Subsidiaries and (b) without duplication of clause (a) above, all Indebtedness consisting of Revolving Credit Loans or Swing Line Loans to the extent otherwise included therein.</w:t>
      </w:r>
    </w:p>
    <w:p>
      <w:pPr>
        <w:spacing w:after="0" w:line="176" w:lineRule="exact"/>
        <w:rPr>
          <w:sz w:val="20"/>
          <w:szCs w:val="20"/>
          <w:color w:val="auto"/>
        </w:rPr>
      </w:pPr>
    </w:p>
    <w:p>
      <w:pPr>
        <w:ind w:right="2759" w:firstLine="851"/>
        <w:spacing w:after="0"/>
        <w:rPr>
          <w:sz w:val="20"/>
          <w:szCs w:val="20"/>
          <w:color w:val="auto"/>
        </w:rPr>
      </w:pPr>
      <w:r>
        <w:rPr>
          <w:rFonts w:ascii="Courier New" w:cs="Courier New" w:eastAsia="Courier New" w:hAnsi="Courier New"/>
          <w:sz w:val="16"/>
          <w:szCs w:val="16"/>
          <w:color w:val="auto"/>
        </w:rPr>
        <w:t>"Consolidated Interest Expense" shall mean, for any period of determination thereof, the interest expense of the Borrower and its Subsidiaries for such period, as determined in accordance with GAAP; provided that non-interest costs and expenses arising out of the Refinancing, including costs and expenses incurred in connection with the issuance of the Senior Subordinated Notes, the tender offer transaction for the repurchase of Existing Senior Subordinated Notes and any subsequent redemption of Existing Senior Subordinated Notes shall not be considered for the purpose of determining Consolidated Interest Expense for any period during the fiscal year of the Borrower ending September 30, 2004.</w:t>
      </w:r>
    </w:p>
    <w:p>
      <w:pPr>
        <w:spacing w:after="0" w:line="189" w:lineRule="exact"/>
        <w:rPr>
          <w:sz w:val="20"/>
          <w:szCs w:val="20"/>
          <w:color w:val="auto"/>
        </w:rPr>
      </w:pPr>
    </w:p>
    <w:p>
      <w:pPr>
        <w:ind w:right="2759" w:firstLine="851"/>
        <w:spacing w:after="0" w:line="238" w:lineRule="auto"/>
        <w:rPr>
          <w:sz w:val="20"/>
          <w:szCs w:val="20"/>
          <w:color w:val="auto"/>
        </w:rPr>
      </w:pPr>
      <w:r>
        <w:rPr>
          <w:rFonts w:ascii="Courier New" w:cs="Courier New" w:eastAsia="Courier New" w:hAnsi="Courier New"/>
          <w:sz w:val="16"/>
          <w:szCs w:val="16"/>
          <w:color w:val="auto"/>
        </w:rPr>
        <w:t>"Consolidated Net Income" shall mean, for any period of determination thereof, net income of the Borrower and its Subsidiaries for such period, as determined in accordance with GAAP.</w:t>
      </w:r>
    </w:p>
    <w:p>
      <w:pPr>
        <w:sectPr>
          <w:pgSz w:w="11900" w:h="16838" w:orient="portrait"/>
          <w:cols w:equalWidth="0" w:num="1">
            <w:col w:w="9379"/>
          </w:cols>
          <w:pgMar w:left="1080" w:top="477" w:right="1440" w:bottom="1440" w:gutter="0" w:footer="0" w:header="0"/>
        </w:sectPr>
      </w:pPr>
    </w:p>
    <w:bookmarkStart w:id="408" w:name="page409"/>
    <w:bookmarkEnd w:id="408"/>
    <w:p>
      <w:pPr>
        <w:jc w:val="right"/>
        <w:ind w:right="2659"/>
        <w:spacing w:after="0"/>
        <w:rPr>
          <w:sz w:val="20"/>
          <w:szCs w:val="20"/>
          <w:color w:val="auto"/>
        </w:rPr>
      </w:pPr>
      <w:r>
        <w:rPr>
          <w:rFonts w:ascii="Courier New" w:cs="Courier New" w:eastAsia="Courier New" w:hAnsi="Courier New"/>
          <w:sz w:val="16"/>
          <w:szCs w:val="16"/>
          <w:color w:val="auto"/>
        </w:rPr>
        <w:t>9</w:t>
      </w:r>
    </w:p>
    <w:p>
      <w:pPr>
        <w:spacing w:after="0" w:line="186"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"Consolidated Net Worth" shall mean, in respect of any Person at a particular date, all amounts which, in conformity with GAAP, would be included under the caption "total shareholders' equity" (or any like caption) on a consolidated balance sheet of such Person and its Subsidiaries at such date.</w:t>
      </w:r>
    </w:p>
    <w:p>
      <w:pPr>
        <w:spacing w:after="0" w:line="189"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"Consolidated Total Assets" shall mean, at any date, all amounts that would, in conformity with GAAP, be set forth opposite the caption "total assets" (or any like caption) on a consolidated balance sheet of the Borrower and its Subsidiaries at such date.</w:t>
      </w:r>
    </w:p>
    <w:p>
      <w:pPr>
        <w:spacing w:after="0" w:line="187" w:lineRule="exact"/>
        <w:rPr>
          <w:sz w:val="20"/>
          <w:szCs w:val="20"/>
          <w:color w:val="auto"/>
        </w:rPr>
      </w:pPr>
    </w:p>
    <w:p>
      <w:pPr>
        <w:jc w:val="both"/>
        <w:ind w:right="2939" w:firstLine="851"/>
        <w:spacing w:after="0" w:line="238" w:lineRule="auto"/>
        <w:rPr>
          <w:sz w:val="20"/>
          <w:szCs w:val="20"/>
          <w:color w:val="auto"/>
        </w:rPr>
      </w:pPr>
      <w:r>
        <w:rPr>
          <w:rFonts w:ascii="Courier New" w:cs="Courier New" w:eastAsia="Courier New" w:hAnsi="Courier New"/>
          <w:sz w:val="16"/>
          <w:szCs w:val="16"/>
          <w:color w:val="auto"/>
        </w:rPr>
        <w:t>"Consolidated Working Capital" shall mean, at any date, the excess of Consolidated Current Assets on such date over Consolidated Current Liabilities on such date.</w:t>
      </w:r>
    </w:p>
    <w:p>
      <w:pPr>
        <w:spacing w:after="0" w:line="188" w:lineRule="exact"/>
        <w:rPr>
          <w:sz w:val="20"/>
          <w:szCs w:val="20"/>
          <w:color w:val="auto"/>
        </w:rPr>
      </w:pPr>
    </w:p>
    <w:p>
      <w:pPr>
        <w:ind w:right="2659" w:firstLine="851"/>
        <w:spacing w:after="0" w:line="256" w:lineRule="auto"/>
        <w:rPr>
          <w:sz w:val="20"/>
          <w:szCs w:val="20"/>
          <w:color w:val="auto"/>
        </w:rPr>
      </w:pPr>
      <w:r>
        <w:rPr>
          <w:rFonts w:ascii="Courier New" w:cs="Courier New" w:eastAsia="Courier New" w:hAnsi="Courier New"/>
          <w:sz w:val="15"/>
          <w:szCs w:val="15"/>
          <w:color w:val="auto"/>
        </w:rPr>
        <w:t>"Contingent Obligation" shall mean as to any Person, the outstanding amount of letters of credit (other than the Letters of Credit) with respect to which such Person is the account party that have not been drawn upon and any obligation of such Person guaranteeing or in effect guaranteeing any Indebtedness, leases, dividends or other obligations primarily to pay money ("primary obligations") of any other Person (the "primary obligor") in any manner, whether directly or indirectly, including, without limitation,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obligee under any such primary obligation of the ability of the primary obligor to make payment of such primary obligation or</w:t>
      </w:r>
    </w:p>
    <w:p>
      <w:pPr>
        <w:spacing w:after="0" w:line="11" w:lineRule="exact"/>
        <w:rPr>
          <w:sz w:val="20"/>
          <w:szCs w:val="20"/>
          <w:color w:val="auto"/>
        </w:rPr>
      </w:pPr>
    </w:p>
    <w:p>
      <w:pPr>
        <w:ind w:right="2659" w:firstLine="8"/>
        <w:spacing w:after="0" w:line="239" w:lineRule="auto"/>
        <w:tabs>
          <w:tab w:leader="none" w:pos="378" w:val="left"/>
        </w:tabs>
        <w:numPr>
          <w:ilvl w:val="0"/>
          <w:numId w:val="4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otherwise to assure or hold harmless the obligee under such primary obligation against loss in respect thereof; provided, however, that the term Contingent Obligation shall not include endorsements of instruments for deposit or collection in the ordinary course of business.</w:t>
      </w:r>
    </w:p>
    <w:p>
      <w:pPr>
        <w:spacing w:after="0" w:line="189"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"Contractual Obligation" shall mean, as to any Person, any material provision of any material security issued by such Person or of any material agreement, instrument or undertaking to which such Person is a party or by which it or any of its property is bound.</w:t>
      </w:r>
    </w:p>
    <w:p>
      <w:pPr>
        <w:spacing w:after="0" w:line="187" w:lineRule="exact"/>
        <w:rPr>
          <w:sz w:val="20"/>
          <w:szCs w:val="20"/>
          <w:color w:val="auto"/>
        </w:rPr>
      </w:pPr>
    </w:p>
    <w:p>
      <w:pPr>
        <w:ind w:right="2839" w:firstLine="851"/>
        <w:spacing w:after="0" w:line="239" w:lineRule="auto"/>
        <w:rPr>
          <w:sz w:val="20"/>
          <w:szCs w:val="20"/>
          <w:color w:val="auto"/>
        </w:rPr>
      </w:pPr>
      <w:r>
        <w:rPr>
          <w:rFonts w:ascii="Courier New" w:cs="Courier New" w:eastAsia="Courier New" w:hAnsi="Courier New"/>
          <w:sz w:val="16"/>
          <w:szCs w:val="16"/>
          <w:color w:val="auto"/>
        </w:rPr>
        <w:t>"Control Group" shall mean Horace Hagedorn, the Hagedorn Partnership, the general partners of the Hagedorn Partnership and, in the case of such individuals, their respective executors, administrators and heirs and their families and trusts for their benefit.</w:t>
      </w:r>
    </w:p>
    <w:p>
      <w:pPr>
        <w:spacing w:after="0" w:line="189" w:lineRule="exact"/>
        <w:rPr>
          <w:sz w:val="20"/>
          <w:szCs w:val="20"/>
          <w:color w:val="auto"/>
        </w:rPr>
      </w:pPr>
    </w:p>
    <w:p>
      <w:pPr>
        <w:ind w:right="2659" w:firstLine="851"/>
        <w:spacing w:after="0" w:line="238" w:lineRule="auto"/>
        <w:rPr>
          <w:sz w:val="20"/>
          <w:szCs w:val="20"/>
          <w:color w:val="auto"/>
        </w:rPr>
      </w:pPr>
      <w:r>
        <w:rPr>
          <w:rFonts w:ascii="Courier New" w:cs="Courier New" w:eastAsia="Courier New" w:hAnsi="Courier New"/>
          <w:sz w:val="16"/>
          <w:szCs w:val="16"/>
          <w:color w:val="auto"/>
        </w:rPr>
        <w:t>"Default" shall mean any of the events specified in Section 8, whether or not any requirement for the giving of notice, the lapse of time, or both, or any other condition, has been satisfied.</w:t>
      </w:r>
    </w:p>
    <w:p>
      <w:pPr>
        <w:sectPr>
          <w:pgSz w:w="11900" w:h="16838" w:orient="portrait"/>
          <w:cols w:equalWidth="0" w:num="1">
            <w:col w:w="9379"/>
          </w:cols>
          <w:pgMar w:left="1080" w:top="477" w:right="1440" w:bottom="1440" w:gutter="0" w:footer="0" w:header="0"/>
        </w:sectPr>
      </w:pPr>
    </w:p>
    <w:bookmarkStart w:id="409" w:name="page410"/>
    <w:bookmarkEnd w:id="409"/>
    <w:p>
      <w:pPr>
        <w:jc w:val="right"/>
        <w:ind w:right="2659"/>
        <w:spacing w:after="0"/>
        <w:rPr>
          <w:sz w:val="20"/>
          <w:szCs w:val="20"/>
          <w:color w:val="auto"/>
        </w:rPr>
      </w:pPr>
      <w:r>
        <w:rPr>
          <w:rFonts w:ascii="Courier New" w:cs="Courier New" w:eastAsia="Courier New" w:hAnsi="Courier New"/>
          <w:sz w:val="16"/>
          <w:szCs w:val="16"/>
          <w:color w:val="auto"/>
        </w:rPr>
        <w:t>10</w:t>
      </w:r>
    </w:p>
    <w:p>
      <w:pPr>
        <w:spacing w:after="0" w:line="186"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"Disposition" shall mean with respect to any property, any sale, lease, sale and leaseback, assignment, conveyance, transfer or other disposition thereof. The terms "Dispose" and "Disposed of" shall have correlative meanings.</w:t>
      </w:r>
    </w:p>
    <w:p>
      <w:pPr>
        <w:spacing w:after="0" w:line="187" w:lineRule="exact"/>
        <w:rPr>
          <w:sz w:val="20"/>
          <w:szCs w:val="20"/>
          <w:color w:val="auto"/>
        </w:rPr>
      </w:pPr>
    </w:p>
    <w:p>
      <w:pPr>
        <w:ind w:right="2839" w:firstLine="851"/>
        <w:spacing w:after="0" w:line="258" w:lineRule="auto"/>
        <w:rPr>
          <w:sz w:val="20"/>
          <w:szCs w:val="20"/>
          <w:color w:val="auto"/>
        </w:rPr>
      </w:pPr>
      <w:r>
        <w:rPr>
          <w:rFonts w:ascii="Courier New" w:cs="Courier New" w:eastAsia="Courier New" w:hAnsi="Courier New"/>
          <w:sz w:val="15"/>
          <w:szCs w:val="15"/>
          <w:color w:val="auto"/>
        </w:rPr>
        <w:t>"Dollar Equivalent" shall mean, on any Business Day with respect to any amount denominated in euros or any other currency, the amount of Dollars that would be required to purchase such amount of euros or such other currency, as the case may be, based upon the spot selling rate at which JPMCB London offers to sell each for Dollars in the London foreign exchange market at approximately 11:00 a.m. London time on such Business Day for delivery two Business Days later.</w:t>
      </w:r>
    </w:p>
    <w:p>
      <w:pPr>
        <w:spacing w:after="0" w:line="176" w:lineRule="exact"/>
        <w:rPr>
          <w:sz w:val="20"/>
          <w:szCs w:val="20"/>
          <w:color w:val="auto"/>
        </w:rPr>
      </w:pPr>
    </w:p>
    <w:p>
      <w:pPr>
        <w:ind w:right="3319" w:firstLine="851"/>
        <w:spacing w:after="0" w:line="237" w:lineRule="auto"/>
        <w:rPr>
          <w:sz w:val="20"/>
          <w:szCs w:val="20"/>
          <w:color w:val="auto"/>
        </w:rPr>
      </w:pPr>
      <w:r>
        <w:rPr>
          <w:rFonts w:ascii="Courier New" w:cs="Courier New" w:eastAsia="Courier New" w:hAnsi="Courier New"/>
          <w:sz w:val="16"/>
          <w:szCs w:val="16"/>
          <w:color w:val="auto"/>
        </w:rPr>
        <w:t>"Dollars", "$" and "U.S.$" shall mean dollars in lawful currency of the United States of America.</w:t>
      </w:r>
    </w:p>
    <w:p>
      <w:pPr>
        <w:spacing w:after="0" w:line="188" w:lineRule="exact"/>
        <w:rPr>
          <w:sz w:val="20"/>
          <w:szCs w:val="20"/>
          <w:color w:val="auto"/>
        </w:rPr>
      </w:pPr>
    </w:p>
    <w:p>
      <w:pPr>
        <w:ind w:right="2839" w:firstLine="851"/>
        <w:spacing w:after="0" w:line="238" w:lineRule="auto"/>
        <w:rPr>
          <w:sz w:val="20"/>
          <w:szCs w:val="20"/>
          <w:color w:val="auto"/>
        </w:rPr>
      </w:pPr>
      <w:r>
        <w:rPr>
          <w:rFonts w:ascii="Courier New" w:cs="Courier New" w:eastAsia="Courier New" w:hAnsi="Courier New"/>
          <w:sz w:val="16"/>
          <w:szCs w:val="16"/>
          <w:color w:val="auto"/>
        </w:rPr>
        <w:t>"Domestic Subsidiary" shall mean any Subsidiary incorporated under the laws of the United States or any political subdivision thereof.</w:t>
      </w:r>
    </w:p>
    <w:p>
      <w:pPr>
        <w:spacing w:after="0" w:line="188"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"Domestic Subsidiary Borrower" shall mean any Domestic Subsidiary which (a) is a Subsidiary Borrower hereunder on the Closing Date or (b) which is designated by the Borrower to be a Subsidiary Borrower pursuant to subsection 10.1(b).</w:t>
      </w:r>
    </w:p>
    <w:p>
      <w:pPr>
        <w:spacing w:after="0" w:line="187" w:lineRule="exact"/>
        <w:rPr>
          <w:sz w:val="20"/>
          <w:szCs w:val="20"/>
          <w:color w:val="auto"/>
        </w:rPr>
      </w:pPr>
    </w:p>
    <w:p>
      <w:pPr>
        <w:ind w:right="3119" w:firstLine="851"/>
        <w:spacing w:after="0" w:line="256" w:lineRule="auto"/>
        <w:rPr>
          <w:sz w:val="20"/>
          <w:szCs w:val="20"/>
          <w:color w:val="auto"/>
        </w:rPr>
      </w:pPr>
      <w:r>
        <w:rPr>
          <w:rFonts w:ascii="Courier New" w:cs="Courier New" w:eastAsia="Courier New" w:hAnsi="Courier New"/>
          <w:sz w:val="15"/>
          <w:szCs w:val="15"/>
          <w:color w:val="auto"/>
        </w:rPr>
        <w:t>"EBITDA" shall mean without duplication, for any fiscal period, the sum of the amounts for such fiscal period of (i) Consolidated Net Income, (ii) provision for taxes based on income,</w:t>
      </w:r>
    </w:p>
    <w:p>
      <w:pPr>
        <w:spacing w:after="0" w:line="2" w:lineRule="exact"/>
        <w:rPr>
          <w:sz w:val="20"/>
          <w:szCs w:val="20"/>
          <w:color w:val="auto"/>
        </w:rPr>
      </w:pPr>
    </w:p>
    <w:p>
      <w:pPr>
        <w:ind w:right="2839" w:firstLine="8"/>
        <w:spacing w:after="0" w:line="239" w:lineRule="auto"/>
        <w:tabs>
          <w:tab w:leader="none" w:pos="567" w:val="left"/>
        </w:tabs>
        <w:numPr>
          <w:ilvl w:val="0"/>
          <w:numId w:val="4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depreciation expense, (iv) Consolidated Interest Expense, (v) amortization expense and (vi) other non-recurring, non-cash items reducing Consolidated Net Income (reduced by any non-recurring, non-cash items increasing Consolidated Net Income), all as determined on a consolidated basis for the Borrower and its Subsidiaries in conformity with GAAP.</w:t>
      </w:r>
    </w:p>
    <w:p>
      <w:pPr>
        <w:spacing w:after="0" w:line="190"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"ECF Percentage" shall mean 50%; provided, that, with respect to any fiscal year of the Borrower, the ECF Percentage shall be reduced to 0% if the Leverage Ratio as of the last day of such fiscal year is not greater than 3.0 to 1.0.</w:t>
      </w:r>
    </w:p>
    <w:p>
      <w:pPr>
        <w:spacing w:after="0" w:line="187" w:lineRule="exact"/>
        <w:rPr>
          <w:sz w:val="20"/>
          <w:szCs w:val="20"/>
          <w:color w:val="auto"/>
        </w:rPr>
      </w:pPr>
    </w:p>
    <w:p>
      <w:pPr>
        <w:ind w:right="2659" w:firstLine="851"/>
        <w:spacing w:after="0" w:line="237" w:lineRule="auto"/>
        <w:rPr>
          <w:sz w:val="20"/>
          <w:szCs w:val="20"/>
          <w:color w:val="auto"/>
        </w:rPr>
      </w:pPr>
      <w:r>
        <w:rPr>
          <w:rFonts w:ascii="Courier New" w:cs="Courier New" w:eastAsia="Courier New" w:hAnsi="Courier New"/>
          <w:sz w:val="16"/>
          <w:szCs w:val="16"/>
          <w:color w:val="auto"/>
        </w:rPr>
        <w:t>"Effective Interbank Rate" shall have the meaning specified in subsection 2.18(e).</w:t>
      </w:r>
    </w:p>
    <w:p>
      <w:pPr>
        <w:spacing w:after="0" w:line="188" w:lineRule="exact"/>
        <w:rPr>
          <w:sz w:val="20"/>
          <w:szCs w:val="20"/>
          <w:color w:val="auto"/>
        </w:rPr>
      </w:pPr>
    </w:p>
    <w:p>
      <w:pPr>
        <w:ind w:right="2759" w:firstLine="851"/>
        <w:spacing w:after="0"/>
        <w:rPr>
          <w:sz w:val="20"/>
          <w:szCs w:val="20"/>
          <w:color w:val="auto"/>
        </w:rPr>
      </w:pPr>
      <w:r>
        <w:rPr>
          <w:rFonts w:ascii="Courier New" w:cs="Courier New" w:eastAsia="Courier New" w:hAnsi="Courier New"/>
          <w:sz w:val="16"/>
          <w:szCs w:val="16"/>
          <w:color w:val="auto"/>
        </w:rPr>
        <w:t>"Eligible Australian Bank" shall mean (a) a resident of Australia which does not make Australian Dollar Loans as part of carrying on business outside of Australia at or through a permanent establishment outside of Australia; or (b) a non-resident of Australia which makes Swing Line Loans or Revolving Credit Loans as part of carrying on business in Australia at or through a permanent establishment of the non-resident in Australia. In this definition, words and expressions used shall have the meaning ascribed to them for the purposes of S. 128B of the Australian Income Tax Assessment Act of 1936.</w:t>
      </w:r>
    </w:p>
    <w:p>
      <w:pPr>
        <w:spacing w:after="0" w:line="188"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"Eligible Canadian Bank" shall mean (a) those banks listed on Schedules I, II or III to the Bank Act (Canada), (b) any (i) trust company, savings bank, savings and loan association or similar financial institution, or (ii) insurance company engaged in the business of writing insurance which, in either case (A) has total assets of</w:t>
      </w:r>
    </w:p>
    <w:p>
      <w:pPr>
        <w:sectPr>
          <w:pgSz w:w="11900" w:h="16838" w:orient="portrait"/>
          <w:cols w:equalWidth="0" w:num="1">
            <w:col w:w="9379"/>
          </w:cols>
          <w:pgMar w:left="1080" w:top="477" w:right="1440" w:bottom="1440" w:gutter="0" w:footer="0" w:header="0"/>
        </w:sectPr>
      </w:pPr>
    </w:p>
    <w:bookmarkStart w:id="410" w:name="page411"/>
    <w:bookmarkEnd w:id="410"/>
    <w:p>
      <w:pPr>
        <w:jc w:val="right"/>
        <w:ind w:right="2659"/>
        <w:spacing w:after="0"/>
        <w:rPr>
          <w:sz w:val="20"/>
          <w:szCs w:val="20"/>
          <w:color w:val="auto"/>
        </w:rPr>
      </w:pPr>
      <w:r>
        <w:rPr>
          <w:rFonts w:ascii="Courier New" w:cs="Courier New" w:eastAsia="Courier New" w:hAnsi="Courier New"/>
          <w:sz w:val="16"/>
          <w:szCs w:val="16"/>
          <w:color w:val="auto"/>
        </w:rPr>
        <w:t>11</w:t>
      </w:r>
    </w:p>
    <w:p>
      <w:pPr>
        <w:spacing w:after="0" w:line="18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$10,000,000,000 or more, (B) is engaged in the business of lending money and extending credit under credit facilities substantially similar to those extended under this Agreement, (C) is operationally and procedurally able to meet the obligations of a Lender hereunder to the same degree as a commercial bank, and (c) any other financial institution (including a mutual fund or other fund) having total assets of $10,000,000,000 or more which meets the requirements set forth in subclauses (B) and (C) of clause (b) above; provided that each Eligible Canadian Bank must be organized under the laws of either Canada or a political subdivision thereof or, if not, it must (i) act hereunder through a branch, agency or funding office located in Canada and (ii) be exempt from withholding of tax on interest payments.</w:t>
      </w:r>
    </w:p>
    <w:p>
      <w:pPr>
        <w:spacing w:after="0" w:line="181"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"Eligible U.K. Bank" shall mean a Person that is both (i) a bank as defined in Section 840A of the United Kingdom Income and Corporation Taxes Act 1988, and (ii) a Person within the charge to United Kingdom corporation tax (i.e., a United Kingdom resident company or a non-resident company which is carrying on a trade in the United Kingdom through a branch or agency to which the beneficial interest in interest accrued under Loans made to the Borrower or a Subsidiary Borrower is attributable and which is not entitled to exemption from tax in respect of that interest).</w:t>
      </w:r>
    </w:p>
    <w:p>
      <w:pPr>
        <w:spacing w:after="0" w:line="188"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"Environmental Laws" shall mean any and all foreign, Federal, state, local or municipal laws, rules, orders, regulations, statutes, ordinances, codes, decrees, requirements of any Governmental Authority or requirements of law (including common law) regulating, relating to or imposing liability or standards of conduct concerning protection of human health or the environment, as now or may at any time hereafter be in effect.</w:t>
      </w:r>
    </w:p>
    <w:p>
      <w:pPr>
        <w:spacing w:after="0" w:line="192" w:lineRule="exact"/>
        <w:rPr>
          <w:sz w:val="20"/>
          <w:szCs w:val="20"/>
          <w:color w:val="auto"/>
        </w:rPr>
      </w:pPr>
    </w:p>
    <w:p>
      <w:pPr>
        <w:ind w:right="2659" w:firstLine="851"/>
        <w:spacing w:after="0" w:line="237" w:lineRule="auto"/>
        <w:rPr>
          <w:sz w:val="20"/>
          <w:szCs w:val="20"/>
          <w:color w:val="auto"/>
        </w:rPr>
      </w:pPr>
      <w:r>
        <w:rPr>
          <w:rFonts w:ascii="Courier New" w:cs="Courier New" w:eastAsia="Courier New" w:hAnsi="Courier New"/>
          <w:sz w:val="16"/>
          <w:szCs w:val="16"/>
          <w:color w:val="auto"/>
        </w:rPr>
        <w:t>"ERISA" shall mean the Employee Retirement Income Security Act of 1974, as amended from time to time.</w:t>
      </w:r>
    </w:p>
    <w:p>
      <w:pPr>
        <w:spacing w:after="0" w:line="188" w:lineRule="exact"/>
        <w:rPr>
          <w:sz w:val="20"/>
          <w:szCs w:val="20"/>
          <w:color w:val="auto"/>
        </w:rPr>
      </w:pPr>
    </w:p>
    <w:p>
      <w:pPr>
        <w:ind w:right="2659" w:firstLine="851"/>
        <w:spacing w:after="0" w:line="237" w:lineRule="auto"/>
        <w:rPr>
          <w:sz w:val="20"/>
          <w:szCs w:val="20"/>
          <w:color w:val="auto"/>
        </w:rPr>
      </w:pPr>
      <w:r>
        <w:rPr>
          <w:rFonts w:ascii="Courier New" w:cs="Courier New" w:eastAsia="Courier New" w:hAnsi="Courier New"/>
          <w:sz w:val="16"/>
          <w:szCs w:val="16"/>
          <w:color w:val="auto"/>
        </w:rPr>
        <w:t>"euro" and "E" shall mean the single currency of Participating Member States.</w:t>
      </w:r>
    </w:p>
    <w:p>
      <w:pPr>
        <w:spacing w:after="0" w:line="188" w:lineRule="exact"/>
        <w:rPr>
          <w:sz w:val="20"/>
          <w:szCs w:val="20"/>
          <w:color w:val="auto"/>
        </w:rPr>
      </w:pPr>
    </w:p>
    <w:p>
      <w:pPr>
        <w:ind w:right="2759" w:firstLine="851"/>
        <w:spacing w:after="0" w:line="262" w:lineRule="auto"/>
        <w:rPr>
          <w:sz w:val="20"/>
          <w:szCs w:val="20"/>
          <w:color w:val="auto"/>
        </w:rPr>
      </w:pPr>
      <w:r>
        <w:rPr>
          <w:rFonts w:ascii="Courier New" w:cs="Courier New" w:eastAsia="Courier New" w:hAnsi="Courier New"/>
          <w:sz w:val="15"/>
          <w:szCs w:val="15"/>
          <w:color w:val="auto"/>
        </w:rPr>
        <w:t>"Event of Default" shall mean any of the events specified in Section 8, provided that any requirement for the giving of notice, the lapse of time, or both, or any other condition, has been satisfied.</w:t>
      </w:r>
    </w:p>
    <w:p>
      <w:pPr>
        <w:spacing w:after="0" w:line="171" w:lineRule="exact"/>
        <w:rPr>
          <w:sz w:val="20"/>
          <w:szCs w:val="20"/>
          <w:color w:val="auto"/>
        </w:rPr>
      </w:pPr>
    </w:p>
    <w:p>
      <w:pPr>
        <w:ind w:right="2839" w:firstLine="851"/>
        <w:spacing w:after="0" w:line="256" w:lineRule="auto"/>
        <w:rPr>
          <w:sz w:val="20"/>
          <w:szCs w:val="20"/>
          <w:color w:val="auto"/>
        </w:rPr>
      </w:pPr>
      <w:r>
        <w:rPr>
          <w:rFonts w:ascii="Courier New" w:cs="Courier New" w:eastAsia="Courier New" w:hAnsi="Courier New"/>
          <w:sz w:val="15"/>
          <w:szCs w:val="15"/>
          <w:color w:val="auto"/>
        </w:rPr>
        <w:t>"Excess Cash Flow" shall mean for any fiscal year of the Borrower, the excess, if any, of (a) the sum, without duplication, of</w:t>
      </w:r>
    </w:p>
    <w:p>
      <w:pPr>
        <w:spacing w:after="0" w:line="1" w:lineRule="exact"/>
        <w:rPr>
          <w:sz w:val="20"/>
          <w:szCs w:val="20"/>
          <w:color w:val="auto"/>
        </w:rPr>
      </w:pPr>
    </w:p>
    <w:p>
      <w:pPr>
        <w:ind w:right="2759" w:firstLine="8"/>
        <w:spacing w:after="0" w:line="256" w:lineRule="auto"/>
        <w:tabs>
          <w:tab w:leader="none" w:pos="378"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Net Income for such fiscal year, (ii) an amount equal to the amount of all non-cash charges (including depreciation and amortization) deducted in arriving at such Consolidated Net Income,</w:t>
      </w:r>
    </w:p>
    <w:p>
      <w:pPr>
        <w:spacing w:after="0" w:line="1" w:lineRule="exact"/>
        <w:rPr>
          <w:rFonts w:ascii="Courier New" w:cs="Courier New" w:eastAsia="Courier New" w:hAnsi="Courier New"/>
          <w:sz w:val="15"/>
          <w:szCs w:val="15"/>
          <w:color w:val="auto"/>
        </w:rPr>
      </w:pPr>
    </w:p>
    <w:p>
      <w:pPr>
        <w:ind w:right="2659" w:firstLine="8"/>
        <w:spacing w:after="0"/>
        <w:tabs>
          <w:tab w:leader="none" w:pos="567" w:val="left"/>
        </w:tabs>
        <w:numPr>
          <w:ilvl w:val="0"/>
          <w:numId w:val="4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decreases in Consolidated Working Capital for such fiscal year, and (iv) an amount equal to the aggregate net non-cash loss on the Disposition of property by the Borrower and its Subsidiaries during such fiscal year (other than sales of inventory in the ordinary course of business), to the extent deducted in arriving at such Consolidated Net Income over (b) the sum, without duplication, of (i) an amount equal to the amount of all non-cash credits included in arriving at such Consolidated Net Income, (ii) the aggregate amount actually paid by the Borrower and its Subsidiaries in cash during such fiscal year on account of Capital Expenditures (excluding the principal amount of Indebtedness incurred in</w:t>
      </w:r>
    </w:p>
    <w:p>
      <w:pPr>
        <w:sectPr>
          <w:pgSz w:w="11900" w:h="16838" w:orient="portrait"/>
          <w:cols w:equalWidth="0" w:num="1">
            <w:col w:w="9379"/>
          </w:cols>
          <w:pgMar w:left="1080" w:top="477" w:right="1440" w:bottom="1440" w:gutter="0" w:footer="0" w:header="0"/>
        </w:sectPr>
      </w:pPr>
    </w:p>
    <w:bookmarkStart w:id="411" w:name="page412"/>
    <w:bookmarkEnd w:id="411"/>
    <w:p>
      <w:pPr>
        <w:jc w:val="right"/>
        <w:ind w:right="2659"/>
        <w:spacing w:after="0"/>
        <w:rPr>
          <w:sz w:val="20"/>
          <w:szCs w:val="20"/>
          <w:color w:val="auto"/>
        </w:rPr>
      </w:pPr>
      <w:r>
        <w:rPr>
          <w:rFonts w:ascii="Courier New" w:cs="Courier New" w:eastAsia="Courier New" w:hAnsi="Courier New"/>
          <w:sz w:val="16"/>
          <w:szCs w:val="16"/>
          <w:color w:val="auto"/>
        </w:rPr>
        <w:t>12</w:t>
      </w:r>
    </w:p>
    <w:p>
      <w:pPr>
        <w:spacing w:after="0" w:line="18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connection with such expenditures and any such expenditures financed with the proceeds of any Reinvestment Deferred Amount), (iii) the aggregate amount of all prepayments of Revolving Loans and Swing Line Loans during such fiscal year to the extent accompanying permanent optional reductions of the Revolving Commitments and all optional prepayments of the Term Loans during such fiscal year, (iv) the aggregate amount of all regularly scheduled principal payments of Funded Debt (including the Term Loans) of the Borrower and its Subsidiaries made during such fiscal year (other than in respect of any revolving credit facility to the extent there is not an equivalent permanent reduction in commitments thereunder), (v) increases in Consolidated Working Capital for such fiscal year, (vi) an amount equal to the aggregate net non-cash gain on the Disposition of property by the Borrower and its Subsidiaries during such fiscal year (other than sales of inventory in the ordinary course of business), to the extent included in arriving at such Consolidated Net Income, (vii) amounts expended in respect of Permitted Acquisitions (excluding the amount of any indebtedness assumed, acquired or incurred in connection with such Permitted Acquisition and included in the acquisition consideration),</w:t>
      </w:r>
    </w:p>
    <w:p>
      <w:pPr>
        <w:spacing w:after="0" w:line="181" w:lineRule="exact"/>
        <w:rPr>
          <w:sz w:val="20"/>
          <w:szCs w:val="20"/>
          <w:color w:val="auto"/>
        </w:rPr>
      </w:pPr>
    </w:p>
    <w:p>
      <w:pPr>
        <w:ind w:right="2759" w:firstLine="8"/>
        <w:spacing w:after="0" w:line="239" w:lineRule="auto"/>
        <w:tabs>
          <w:tab w:leader="none" w:pos="662" w:val="left"/>
        </w:tabs>
        <w:numPr>
          <w:ilvl w:val="0"/>
          <w:numId w:val="4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dividends actually paid in cash in respect of any Capital Stock (including any preferred stock) of the Borrower in accordance with subsection 7.15 to the extent not deducted from revenues in determining Consolidated Net Income for such fiscal year and (ix) the amount of cash actually paid to repurchase Capital Stock of the Borrower.</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"Excess Cash Flow Application Date" as defined in subsection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2.12(e).</w:t>
      </w:r>
    </w:p>
    <w:p>
      <w:pPr>
        <w:spacing w:after="0" w:line="186" w:lineRule="exact"/>
        <w:rPr>
          <w:sz w:val="20"/>
          <w:szCs w:val="20"/>
          <w:color w:val="auto"/>
        </w:rPr>
      </w:pPr>
    </w:p>
    <w:p>
      <w:pPr>
        <w:ind w:right="2759" w:firstLine="851"/>
        <w:spacing w:after="0"/>
        <w:rPr>
          <w:sz w:val="20"/>
          <w:szCs w:val="20"/>
          <w:color w:val="auto"/>
        </w:rPr>
      </w:pPr>
      <w:r>
        <w:rPr>
          <w:rFonts w:ascii="Courier New" w:cs="Courier New" w:eastAsia="Courier New" w:hAnsi="Courier New"/>
          <w:sz w:val="16"/>
          <w:szCs w:val="16"/>
          <w:color w:val="auto"/>
        </w:rPr>
        <w:t>"Excluded Foreign Subsidiary" shall mean any Foreign Subsidiary a guarantee from which, a pledge of the assets of which, or the pledge of 66 2/3% or more of the Capital Stock of which under the applicable Guarantee and Collateral Agreement would have adverse tax consequences on the Borrower, any of its Subsidiaries or such Foreign Subsidiary or would reasonably be deemed an unlawful act of such Foreign Subsidiary or any of its officers or directors under the laws of the applicable foreign jurisdiction.</w:t>
      </w:r>
    </w:p>
    <w:p>
      <w:pPr>
        <w:spacing w:after="0" w:line="187" w:lineRule="exact"/>
        <w:rPr>
          <w:sz w:val="20"/>
          <w:szCs w:val="20"/>
          <w:color w:val="auto"/>
        </w:rPr>
      </w:pPr>
    </w:p>
    <w:p>
      <w:pPr>
        <w:ind w:right="3039" w:firstLine="851"/>
        <w:spacing w:after="0" w:line="239" w:lineRule="auto"/>
        <w:rPr>
          <w:sz w:val="20"/>
          <w:szCs w:val="20"/>
          <w:color w:val="auto"/>
        </w:rPr>
      </w:pPr>
      <w:r>
        <w:rPr>
          <w:rFonts w:ascii="Courier New" w:cs="Courier New" w:eastAsia="Courier New" w:hAnsi="Courier New"/>
          <w:sz w:val="16"/>
          <w:szCs w:val="16"/>
          <w:color w:val="auto"/>
        </w:rPr>
        <w:t>"Existing Credit Agreement" shall mean the Amended and Restated Credit Agreement dated as of December 5, 2000, as amended, among the Borrower, the Subsidiary Borrowers, the several banks and other financial institutions parties thereto and JPMCB, as administrative agent.</w:t>
      </w:r>
    </w:p>
    <w:p>
      <w:pPr>
        <w:spacing w:after="0" w:line="189" w:lineRule="exact"/>
        <w:rPr>
          <w:sz w:val="20"/>
          <w:szCs w:val="20"/>
          <w:color w:val="auto"/>
        </w:rPr>
      </w:pPr>
    </w:p>
    <w:p>
      <w:pPr>
        <w:ind w:right="2839" w:firstLine="851"/>
        <w:spacing w:after="0" w:line="239" w:lineRule="auto"/>
        <w:rPr>
          <w:sz w:val="20"/>
          <w:szCs w:val="20"/>
          <w:color w:val="auto"/>
        </w:rPr>
      </w:pPr>
      <w:r>
        <w:rPr>
          <w:rFonts w:ascii="Courier New" w:cs="Courier New" w:eastAsia="Courier New" w:hAnsi="Courier New"/>
          <w:sz w:val="16"/>
          <w:szCs w:val="16"/>
          <w:color w:val="auto"/>
        </w:rPr>
        <w:t>"Existing Senior Subordinated Note Indenture" shall mean the Indenture dated as of January 21, 1999 between the Borrower, the guarantors named therein and State Street Bank and Trust Company, the predecessor trustee to U.S. Bank National Association, as Trustee, as supplemented by the Supplemental Indenture dated as of February 6, 2002, as the same may be amended, supplemented, waived or otherwise modified from time to time.</w:t>
      </w:r>
    </w:p>
    <w:p>
      <w:pPr>
        <w:spacing w:after="0" w:line="192"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"Existing Senior Subordinated Notes" shall mean the 8.625% senior subordinated notes of the Borrower issued in the aggregate principal amount of $400,000,000 pursuant to the Existing Subordinated Note Indenture, as the same may be replaced or refinanced in accordance with the terms of this Agreement.</w:t>
      </w:r>
    </w:p>
    <w:p>
      <w:pPr>
        <w:sectPr>
          <w:pgSz w:w="11900" w:h="16838" w:orient="portrait"/>
          <w:cols w:equalWidth="0" w:num="1">
            <w:col w:w="9379"/>
          </w:cols>
          <w:pgMar w:left="1080" w:top="477" w:right="1440" w:bottom="1440" w:gutter="0" w:footer="0" w:header="0"/>
        </w:sectPr>
      </w:pPr>
    </w:p>
    <w:bookmarkStart w:id="412" w:name="page413"/>
    <w:bookmarkEnd w:id="412"/>
    <w:p>
      <w:pPr>
        <w:jc w:val="right"/>
        <w:ind w:right="2659"/>
        <w:spacing w:after="0"/>
        <w:rPr>
          <w:sz w:val="20"/>
          <w:szCs w:val="20"/>
          <w:color w:val="auto"/>
        </w:rPr>
      </w:pPr>
      <w:r>
        <w:rPr>
          <w:rFonts w:ascii="Courier New" w:cs="Courier New" w:eastAsia="Courier New" w:hAnsi="Courier New"/>
          <w:sz w:val="16"/>
          <w:szCs w:val="16"/>
          <w:color w:val="auto"/>
        </w:rPr>
        <w:t>13</w:t>
      </w:r>
    </w:p>
    <w:p>
      <w:pPr>
        <w:spacing w:after="0" w:line="186" w:lineRule="exact"/>
        <w:rPr>
          <w:sz w:val="20"/>
          <w:szCs w:val="20"/>
          <w:color w:val="auto"/>
        </w:rPr>
      </w:pPr>
    </w:p>
    <w:p>
      <w:pPr>
        <w:ind w:right="2939" w:firstLine="851"/>
        <w:spacing w:after="0" w:line="260" w:lineRule="auto"/>
        <w:rPr>
          <w:sz w:val="20"/>
          <w:szCs w:val="20"/>
          <w:color w:val="auto"/>
        </w:rPr>
      </w:pPr>
      <w:r>
        <w:rPr>
          <w:rFonts w:ascii="Courier New" w:cs="Courier New" w:eastAsia="Courier New" w:hAnsi="Courier New"/>
          <w:sz w:val="15"/>
          <w:szCs w:val="15"/>
          <w:color w:val="auto"/>
        </w:rPr>
        <w:t>"Extension of Credit" shall mean (i) all Loans or advances made to the Borrower and the Subsidiary Borrowers hereunder and (ii) all Letters of Credit issued for the account of the Borrower and the Subsidiary Borrowers and any unreimbursed drawings hereunder.</w:t>
      </w:r>
    </w:p>
    <w:p>
      <w:pPr>
        <w:spacing w:after="0" w:line="173" w:lineRule="exact"/>
        <w:rPr>
          <w:sz w:val="20"/>
          <w:szCs w:val="20"/>
          <w:color w:val="auto"/>
        </w:rPr>
      </w:pPr>
    </w:p>
    <w:p>
      <w:pPr>
        <w:ind w:right="2759" w:firstLine="851"/>
        <w:spacing w:after="0" w:line="267" w:lineRule="auto"/>
        <w:rPr>
          <w:sz w:val="20"/>
          <w:szCs w:val="20"/>
          <w:color w:val="auto"/>
        </w:rPr>
      </w:pPr>
      <w:r>
        <w:rPr>
          <w:rFonts w:ascii="Courier New" w:cs="Courier New" w:eastAsia="Courier New" w:hAnsi="Courier New"/>
          <w:sz w:val="15"/>
          <w:szCs w:val="15"/>
          <w:color w:val="auto"/>
        </w:rPr>
        <w:t>"Facility" shall mean the Term Commitments and the Term Loans made thereunder (the "Term Facility") and each Revolving Facility.</w:t>
      </w:r>
    </w:p>
    <w:p>
      <w:pPr>
        <w:spacing w:after="0" w:line="168"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"Facility A Commitment" shall mean, as to each Facility A Lender, the obligation of such Lender, if any, to make Facility A Loans and participate in Swing Line Loans or Letters of Credit made under the Facility A Commitments in an aggregate principal and/or face amount not to exceed the amount set forth under the heading "Facility A Commitment" opposite such Facility A Lender's name on Schedule 1 or in the Assignment and Acceptance pursuant to which such Facility A Lender became a party hereto, as the same may be changed from time to time pursuant to the terms hereof. The original amount of the Facility A Commitments is $450,000,000.</w:t>
      </w:r>
    </w:p>
    <w:p>
      <w:pPr>
        <w:spacing w:after="0" w:line="188" w:lineRule="exact"/>
        <w:rPr>
          <w:sz w:val="20"/>
          <w:szCs w:val="20"/>
          <w:color w:val="auto"/>
        </w:rPr>
      </w:pPr>
    </w:p>
    <w:p>
      <w:pPr>
        <w:ind w:right="2659" w:firstLine="851"/>
        <w:spacing w:after="0" w:line="238" w:lineRule="auto"/>
        <w:rPr>
          <w:sz w:val="20"/>
          <w:szCs w:val="20"/>
          <w:color w:val="auto"/>
        </w:rPr>
      </w:pPr>
      <w:r>
        <w:rPr>
          <w:rFonts w:ascii="Courier New" w:cs="Courier New" w:eastAsia="Courier New" w:hAnsi="Courier New"/>
          <w:sz w:val="16"/>
          <w:szCs w:val="16"/>
          <w:color w:val="auto"/>
        </w:rPr>
        <w:t>"Facility A Lenders" shall mean each Lender that has a Facility A Commitment or that holds Facility A Loans; collectively, the "Facility A Lenders".</w:t>
      </w:r>
    </w:p>
    <w:p>
      <w:pPr>
        <w:spacing w:after="0" w:line="188" w:lineRule="exact"/>
        <w:rPr>
          <w:sz w:val="20"/>
          <w:szCs w:val="20"/>
          <w:color w:val="auto"/>
        </w:rPr>
      </w:pPr>
    </w:p>
    <w:p>
      <w:pPr>
        <w:jc w:val="both"/>
        <w:ind w:right="2659" w:firstLine="851"/>
        <w:spacing w:after="0" w:line="238" w:lineRule="auto"/>
        <w:rPr>
          <w:sz w:val="20"/>
          <w:szCs w:val="20"/>
          <w:color w:val="auto"/>
        </w:rPr>
      </w:pPr>
      <w:r>
        <w:rPr>
          <w:rFonts w:ascii="Courier New" w:cs="Courier New" w:eastAsia="Courier New" w:hAnsi="Courier New"/>
          <w:sz w:val="16"/>
          <w:szCs w:val="16"/>
          <w:color w:val="auto"/>
        </w:rPr>
        <w:t>"Facility A Loan" shall mean any Loan made under the Facility A Commitments pursuant to subsection 2.4; collectively, the "Facility A Loans".</w:t>
      </w:r>
    </w:p>
    <w:p>
      <w:pPr>
        <w:spacing w:after="0" w:line="188"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"Facility B Commitment" shall mean, as to each Facility B Lender, the obligation of such Lender, if any, to make Facility B Loans and participate in Swing Line Loans and Letters of Credit issued under the Facility B Commitments in an aggregate principal and/or face amount not to exceed the amount set forth under the heading "Facility B Commitment" opposite such Facility B Lender's name on Schedule 1 or in the Assignment and Acceptance pursuant to which such Facility B Lender became a party hereto, as the same may be changed from time to time pursuant to the terms hereof. The original amount of the Facility B Commitments is $200,000,000.</w:t>
      </w:r>
    </w:p>
    <w:p>
      <w:pPr>
        <w:spacing w:after="0" w:line="188" w:lineRule="exact"/>
        <w:rPr>
          <w:sz w:val="20"/>
          <w:szCs w:val="20"/>
          <w:color w:val="auto"/>
        </w:rPr>
      </w:pPr>
    </w:p>
    <w:p>
      <w:pPr>
        <w:ind w:right="2659" w:firstLine="851"/>
        <w:spacing w:after="0" w:line="238" w:lineRule="auto"/>
        <w:rPr>
          <w:sz w:val="20"/>
          <w:szCs w:val="20"/>
          <w:color w:val="auto"/>
        </w:rPr>
      </w:pPr>
      <w:r>
        <w:rPr>
          <w:rFonts w:ascii="Courier New" w:cs="Courier New" w:eastAsia="Courier New" w:hAnsi="Courier New"/>
          <w:sz w:val="16"/>
          <w:szCs w:val="16"/>
          <w:color w:val="auto"/>
        </w:rPr>
        <w:t>"Facility B Lender" shall mean each Lender that has a Facility B Commitment or that holds Facility B Loans; collectively, the "Facility B Lenders".</w:t>
      </w:r>
    </w:p>
    <w:p>
      <w:pPr>
        <w:spacing w:after="0" w:line="188" w:lineRule="exact"/>
        <w:rPr>
          <w:sz w:val="20"/>
          <w:szCs w:val="20"/>
          <w:color w:val="auto"/>
        </w:rPr>
      </w:pPr>
    </w:p>
    <w:p>
      <w:pPr>
        <w:jc w:val="both"/>
        <w:ind w:right="2659" w:firstLine="851"/>
        <w:spacing w:after="0" w:line="238" w:lineRule="auto"/>
        <w:rPr>
          <w:sz w:val="20"/>
          <w:szCs w:val="20"/>
          <w:color w:val="auto"/>
        </w:rPr>
      </w:pPr>
      <w:r>
        <w:rPr>
          <w:rFonts w:ascii="Courier New" w:cs="Courier New" w:eastAsia="Courier New" w:hAnsi="Courier New"/>
          <w:sz w:val="16"/>
          <w:szCs w:val="16"/>
          <w:color w:val="auto"/>
        </w:rPr>
        <w:t>"Facility B Loan" shall mean any Loan made under the Facility B Commitments pursuant to subsection 2.4; collectively, the "Facility B Loans".</w:t>
      </w:r>
    </w:p>
    <w:p>
      <w:pPr>
        <w:spacing w:after="0" w:line="188"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"Facility C Commitment" shall mean, as to each Facility C Lender, the obligation of such Lender, if any, to make Facility C Loans and participate in Swing Line Loans and Letters of Credit issued under the Facility C Commitments in an aggregate principal and/or face amount not to exceed the amount set forth under the heading "Facility C Commitment" opposite such Facility C Lender's name on Schedule 1 or in the Assignment and Acceptance pursuant to which such Lender became a party hereto, as the same may be changed from time to time pursuant to the terms hereof. The original amount of the Facility C Commitments is $25,000,000.</w:t>
      </w:r>
    </w:p>
    <w:p>
      <w:pPr>
        <w:sectPr>
          <w:pgSz w:w="11900" w:h="16838" w:orient="portrait"/>
          <w:cols w:equalWidth="0" w:num="1">
            <w:col w:w="9379"/>
          </w:cols>
          <w:pgMar w:left="1080" w:top="477" w:right="1440" w:bottom="1440" w:gutter="0" w:footer="0" w:header="0"/>
        </w:sectPr>
      </w:pPr>
    </w:p>
    <w:bookmarkStart w:id="413" w:name="page414"/>
    <w:bookmarkEnd w:id="413"/>
    <w:p>
      <w:pPr>
        <w:ind w:left="6540"/>
        <w:spacing w:after="0"/>
        <w:rPr>
          <w:sz w:val="20"/>
          <w:szCs w:val="20"/>
          <w:color w:val="auto"/>
        </w:rPr>
      </w:pPr>
      <w:r>
        <w:rPr>
          <w:rFonts w:ascii="Courier New" w:cs="Courier New" w:eastAsia="Courier New" w:hAnsi="Courier New"/>
          <w:sz w:val="15"/>
          <w:szCs w:val="15"/>
          <w:color w:val="auto"/>
        </w:rPr>
        <w:t>14</w:t>
      </w:r>
    </w:p>
    <w:p>
      <w:pPr>
        <w:spacing w:after="0" w:line="194" w:lineRule="exact"/>
        <w:rPr>
          <w:sz w:val="20"/>
          <w:szCs w:val="20"/>
          <w:color w:val="auto"/>
        </w:rPr>
      </w:pPr>
    </w:p>
    <w:p>
      <w:pPr>
        <w:ind w:right="2659" w:firstLine="851"/>
        <w:spacing w:after="0" w:line="238" w:lineRule="auto"/>
        <w:rPr>
          <w:sz w:val="20"/>
          <w:szCs w:val="20"/>
          <w:color w:val="auto"/>
        </w:rPr>
      </w:pPr>
      <w:r>
        <w:rPr>
          <w:rFonts w:ascii="Courier New" w:cs="Courier New" w:eastAsia="Courier New" w:hAnsi="Courier New"/>
          <w:sz w:val="16"/>
          <w:szCs w:val="16"/>
          <w:color w:val="auto"/>
        </w:rPr>
        <w:t>"Facility C Lender" shall mean each Lender that has a Facility C Commitment or that holds Facility C Loans; collectively, the "Facility C Lenders".</w:t>
      </w:r>
    </w:p>
    <w:p>
      <w:pPr>
        <w:spacing w:after="0" w:line="188" w:lineRule="exact"/>
        <w:rPr>
          <w:sz w:val="20"/>
          <w:szCs w:val="20"/>
          <w:color w:val="auto"/>
        </w:rPr>
      </w:pPr>
    </w:p>
    <w:p>
      <w:pPr>
        <w:jc w:val="both"/>
        <w:ind w:right="2659" w:firstLine="851"/>
        <w:spacing w:after="0" w:line="238" w:lineRule="auto"/>
        <w:rPr>
          <w:sz w:val="20"/>
          <w:szCs w:val="20"/>
          <w:color w:val="auto"/>
        </w:rPr>
      </w:pPr>
      <w:r>
        <w:rPr>
          <w:rFonts w:ascii="Courier New" w:cs="Courier New" w:eastAsia="Courier New" w:hAnsi="Courier New"/>
          <w:sz w:val="16"/>
          <w:szCs w:val="16"/>
          <w:color w:val="auto"/>
        </w:rPr>
        <w:t>"Facility C Loan" shall mean any Loan made under the Facility C Commitments pursuant to subsection 2.4; collectively, the "Facility C Loans".</w:t>
      </w:r>
    </w:p>
    <w:p>
      <w:pPr>
        <w:spacing w:after="0" w:line="188"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"Facility D Commitment" shall mean, as to each Facility D Lender, the obligation of such Lender, if any, to make Facility D Loans and participate in Swing Line Loans and Letters of Credit issued under the Facility D Commitments in an aggregate principal and/or face amount not to exceed the amount set forth under the heading "Facility D Commitment" opposite such Facility D Lender's name on Schedule 1 or in the Assignment and Acceptance pursuant to which such Lender became a party hereto, as the same may be changed from time to time pursuant to the terms hereof. The original amount of the Facility D Commitments is $25,000,000.</w:t>
      </w:r>
    </w:p>
    <w:p>
      <w:pPr>
        <w:spacing w:after="0" w:line="188" w:lineRule="exact"/>
        <w:rPr>
          <w:sz w:val="20"/>
          <w:szCs w:val="20"/>
          <w:color w:val="auto"/>
        </w:rPr>
      </w:pPr>
    </w:p>
    <w:p>
      <w:pPr>
        <w:ind w:right="2659" w:firstLine="851"/>
        <w:spacing w:after="0" w:line="238" w:lineRule="auto"/>
        <w:rPr>
          <w:sz w:val="20"/>
          <w:szCs w:val="20"/>
          <w:color w:val="auto"/>
        </w:rPr>
      </w:pPr>
      <w:r>
        <w:rPr>
          <w:rFonts w:ascii="Courier New" w:cs="Courier New" w:eastAsia="Courier New" w:hAnsi="Courier New"/>
          <w:sz w:val="16"/>
          <w:szCs w:val="16"/>
          <w:color w:val="auto"/>
        </w:rPr>
        <w:t>"Facility D Lender" shall mean each Lender that has a Facility D Commitment or that holds Facility D Loans; collectively, the "Facility D Lenders".</w:t>
      </w:r>
    </w:p>
    <w:p>
      <w:pPr>
        <w:spacing w:after="0" w:line="188" w:lineRule="exact"/>
        <w:rPr>
          <w:sz w:val="20"/>
          <w:szCs w:val="20"/>
          <w:color w:val="auto"/>
        </w:rPr>
      </w:pPr>
    </w:p>
    <w:p>
      <w:pPr>
        <w:jc w:val="both"/>
        <w:ind w:right="2659" w:firstLine="851"/>
        <w:spacing w:after="0" w:line="238" w:lineRule="auto"/>
        <w:rPr>
          <w:sz w:val="20"/>
          <w:szCs w:val="20"/>
          <w:color w:val="auto"/>
        </w:rPr>
      </w:pPr>
      <w:r>
        <w:rPr>
          <w:rFonts w:ascii="Courier New" w:cs="Courier New" w:eastAsia="Courier New" w:hAnsi="Courier New"/>
          <w:sz w:val="16"/>
          <w:szCs w:val="16"/>
          <w:color w:val="auto"/>
        </w:rPr>
        <w:t>"Facility D Loan" shall mean any Loan made under the Facility D Commitments pursuant to subsection 2.4; collectively, the "Facility D Loans".</w:t>
      </w:r>
    </w:p>
    <w:p>
      <w:pPr>
        <w:spacing w:after="0" w:line="188" w:lineRule="exact"/>
        <w:rPr>
          <w:sz w:val="20"/>
          <w:szCs w:val="20"/>
          <w:color w:val="auto"/>
        </w:rPr>
      </w:pPr>
    </w:p>
    <w:p>
      <w:pPr>
        <w:ind w:right="2939" w:firstLine="851"/>
        <w:spacing w:after="0" w:line="237" w:lineRule="auto"/>
        <w:rPr>
          <w:sz w:val="20"/>
          <w:szCs w:val="20"/>
          <w:color w:val="auto"/>
        </w:rPr>
      </w:pPr>
      <w:r>
        <w:rPr>
          <w:rFonts w:ascii="Courier New" w:cs="Courier New" w:eastAsia="Courier New" w:hAnsi="Courier New"/>
          <w:sz w:val="16"/>
          <w:szCs w:val="16"/>
          <w:color w:val="auto"/>
        </w:rPr>
        <w:t>"Facility Fee Rate" shall mean the rate per annum set forth under the relevant column heading in the Pricing Grid.</w:t>
      </w:r>
    </w:p>
    <w:p>
      <w:pPr>
        <w:spacing w:after="0" w:line="188" w:lineRule="exact"/>
        <w:rPr>
          <w:sz w:val="20"/>
          <w:szCs w:val="20"/>
          <w:color w:val="auto"/>
        </w:rPr>
      </w:pPr>
    </w:p>
    <w:p>
      <w:pPr>
        <w:ind w:right="2839" w:firstLine="851"/>
        <w:spacing w:after="0" w:line="237" w:lineRule="auto"/>
        <w:rPr>
          <w:sz w:val="20"/>
          <w:szCs w:val="20"/>
          <w:color w:val="auto"/>
        </w:rPr>
      </w:pPr>
      <w:r>
        <w:rPr>
          <w:rFonts w:ascii="Courier New" w:cs="Courier New" w:eastAsia="Courier New" w:hAnsi="Courier New"/>
          <w:sz w:val="16"/>
          <w:szCs w:val="16"/>
          <w:color w:val="auto"/>
        </w:rPr>
        <w:t>"Fee Letter" shall mean the letter, dated as of September 5, 2003, from the JMPCB and JPMSI to the Borrower.</w:t>
      </w:r>
    </w:p>
    <w:p>
      <w:pPr>
        <w:spacing w:after="0" w:line="188"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Foreign Cash Equivalents" shall mean (a) securities with maturities of one year or less issued in the currency applicable in any country in which a Foreign Subsidiary operates which are issued or fully guaranteed or insured by the government of such country of any agency thereof and (b) commercial paper of an issuer in any country in which a Foreign Subsidiary operates with a rating equivalent to at least A-1 by S &amp; P or P-1 by Moody's.</w:t>
      </w:r>
    </w:p>
    <w:p>
      <w:pPr>
        <w:spacing w:after="0" w:line="192" w:lineRule="exact"/>
        <w:rPr>
          <w:sz w:val="20"/>
          <w:szCs w:val="20"/>
          <w:color w:val="auto"/>
        </w:rPr>
      </w:pPr>
    </w:p>
    <w:p>
      <w:pPr>
        <w:ind w:right="2659" w:firstLine="851"/>
        <w:spacing w:after="0" w:line="238" w:lineRule="auto"/>
        <w:rPr>
          <w:sz w:val="20"/>
          <w:szCs w:val="20"/>
          <w:color w:val="auto"/>
        </w:rPr>
      </w:pPr>
      <w:r>
        <w:rPr>
          <w:rFonts w:ascii="Courier New" w:cs="Courier New" w:eastAsia="Courier New" w:hAnsi="Courier New"/>
          <w:sz w:val="16"/>
          <w:szCs w:val="16"/>
          <w:color w:val="auto"/>
        </w:rPr>
        <w:t>"Foreign Subsidiary" shall mean any Subsidiary of the Borrower which is organized under the laws of any jurisdiction outside of the United States of America.</w:t>
      </w:r>
    </w:p>
    <w:p>
      <w:pPr>
        <w:spacing w:after="0" w:line="188"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"Foreign Subsidiary Borrower" shall mean any Sterling Subsidiary Borrower, Australian Subsidiary Borrower or Canadian Subsidiary Borrower (a) which is a Subsidiary Borrower hereunder on the Closing Date or (b) which is designated by the Borrower pursuant to subsection 10.1(b).</w:t>
      </w:r>
    </w:p>
    <w:p>
      <w:pPr>
        <w:spacing w:after="0" w:line="189" w:lineRule="exact"/>
        <w:rPr>
          <w:sz w:val="20"/>
          <w:szCs w:val="20"/>
          <w:color w:val="auto"/>
        </w:rPr>
      </w:pPr>
    </w:p>
    <w:p>
      <w:pPr>
        <w:ind w:right="2759" w:firstLine="851"/>
        <w:spacing w:after="0"/>
        <w:rPr>
          <w:sz w:val="20"/>
          <w:szCs w:val="20"/>
          <w:color w:val="auto"/>
        </w:rPr>
      </w:pPr>
      <w:r>
        <w:rPr>
          <w:rFonts w:ascii="Courier New" w:cs="Courier New" w:eastAsia="Courier New" w:hAnsi="Courier New"/>
          <w:sz w:val="16"/>
          <w:szCs w:val="16"/>
          <w:color w:val="auto"/>
        </w:rPr>
        <w:t>"Funded Debt" shall mean, as to any Person, all Indebtedness of such Person that matures more than one year from the date of its creation or matures within one year from such date but is renewable or extendible, at the option of such Person, to a date more than one year from such date or arises under a revolving credit or similar agreement that obligates the lender or lenders to extend credit during a period of more than one year from such date, including all current maturities and current sinking fund payments in</w:t>
      </w:r>
    </w:p>
    <w:p>
      <w:pPr>
        <w:sectPr>
          <w:pgSz w:w="11900" w:h="16838" w:orient="portrait"/>
          <w:cols w:equalWidth="0" w:num="1">
            <w:col w:w="9379"/>
          </w:cols>
          <w:pgMar w:left="1080" w:top="481" w:right="1440" w:bottom="1440" w:gutter="0" w:footer="0" w:header="0"/>
        </w:sectPr>
      </w:pPr>
    </w:p>
    <w:bookmarkStart w:id="414" w:name="page415"/>
    <w:bookmarkEnd w:id="414"/>
    <w:p>
      <w:pPr>
        <w:ind w:left="6540"/>
        <w:spacing w:after="0"/>
        <w:rPr>
          <w:sz w:val="20"/>
          <w:szCs w:val="20"/>
          <w:color w:val="auto"/>
        </w:rPr>
      </w:pPr>
      <w:r>
        <w:rPr>
          <w:rFonts w:ascii="Courier New" w:cs="Courier New" w:eastAsia="Courier New" w:hAnsi="Courier New"/>
          <w:sz w:val="15"/>
          <w:szCs w:val="15"/>
          <w:color w:val="auto"/>
        </w:rPr>
        <w:t>15</w:t>
      </w:r>
    </w:p>
    <w:p>
      <w:pPr>
        <w:spacing w:after="0" w:line="194" w:lineRule="exact"/>
        <w:rPr>
          <w:sz w:val="20"/>
          <w:szCs w:val="20"/>
          <w:color w:val="auto"/>
        </w:rPr>
      </w:pPr>
    </w:p>
    <w:p>
      <w:pPr>
        <w:jc w:val="both"/>
        <w:ind w:right="2659"/>
        <w:spacing w:after="0" w:line="262" w:lineRule="auto"/>
        <w:rPr>
          <w:sz w:val="20"/>
          <w:szCs w:val="20"/>
          <w:color w:val="auto"/>
        </w:rPr>
      </w:pPr>
      <w:r>
        <w:rPr>
          <w:rFonts w:ascii="Courier New" w:cs="Courier New" w:eastAsia="Courier New" w:hAnsi="Courier New"/>
          <w:sz w:val="15"/>
          <w:szCs w:val="15"/>
          <w:color w:val="auto"/>
        </w:rPr>
        <w:t>respect of such Indebtedness whether or not required to be paid within one year from the date of its creation and, in the case of the Borrower and the Subsidiary Borrowers, Indebtedness in respect of the Loans.</w:t>
      </w:r>
    </w:p>
    <w:p>
      <w:pPr>
        <w:spacing w:after="0" w:line="171"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"GAAP" shall mean generally accepted accounting principles in the United States of America as in effect from time to time; provided, however, that if any modifications in GAAP after the Closing Date change any calculation of any financial covenants under this Agreement, the Administrative Agent and the Lenders agree to amend this Agreement to the effect that each such financial covenant is no more restrictive than such covenant was prior to such modification in GAAP (and until such agreement, such covenants shall be calculated in accordance with GAAP before such modification).</w:t>
      </w:r>
    </w:p>
    <w:p>
      <w:pPr>
        <w:spacing w:after="0" w:line="188"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"Governmental Authority" shall mean any nation or government, any state or other political subdivision thereof and any entity exercising executive, legislative, judicial, regulatory or administrative functions of or pertaining to government (including the National Association of Insurance Commissioners).</w:t>
      </w:r>
    </w:p>
    <w:p>
      <w:pPr>
        <w:spacing w:after="0" w:line="189"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"Guarantee and Collateral Agreement" shall mean any of (a) the Borrower and Domestic Subsidiary Guarantee and Collateral Agreement dated as of December 4, 1998 among the Borrower, the Domestic Subsidiary Borrowers, certain other Domestic Subsidiaries of the Borrower and the Administrative Agent, for the benefit of the Lenders, as amended, supplemented or otherwise modified from time to time, (b) the collateral security documents by the Foreign Subsidiary Borrowers and certain other Foreign Subsidiaries of the Borrower in form and substance reasonably satisfactory to the Administrative Agent, as amended, supplemented or otherwise modified from time to time and (c) the other guarantees and collateral security documents in respect of the obligations of the Borrower and the Subsidiary Borrowers hereunder executed and delivered by Holdco, the Borrower or any of its Subsidiaries from time to time.</w:t>
      </w:r>
    </w:p>
    <w:p>
      <w:pPr>
        <w:spacing w:after="0" w:line="191" w:lineRule="exact"/>
        <w:rPr>
          <w:sz w:val="20"/>
          <w:szCs w:val="20"/>
          <w:color w:val="auto"/>
        </w:rPr>
      </w:pPr>
    </w:p>
    <w:p>
      <w:pPr>
        <w:ind w:right="2659" w:firstLine="851"/>
        <w:spacing w:after="0" w:line="258" w:lineRule="auto"/>
        <w:rPr>
          <w:sz w:val="20"/>
          <w:szCs w:val="20"/>
          <w:color w:val="auto"/>
        </w:rPr>
      </w:pPr>
      <w:r>
        <w:rPr>
          <w:rFonts w:ascii="Courier New" w:cs="Courier New" w:eastAsia="Courier New" w:hAnsi="Courier New"/>
          <w:sz w:val="15"/>
          <w:szCs w:val="15"/>
          <w:color w:val="auto"/>
        </w:rPr>
        <w:t>"Hedging Agreements" shall mean any interest rate protection agreement, interest rate future, interest rate option, interest rate swap, interest rate cap, interest rate exchange (from fixed to floating rates, from one floating rate to another floating rate or otherwise) or other interest rate hedge or arrangement under which the Borrower is a party or a beneficiary and (b) any agreement or arrangement designed to limit or eliminate the risk and/or exposure of the Borrower to fluctuations in currency exchange rates or in commodity prices.</w:t>
      </w:r>
    </w:p>
    <w:p>
      <w:pPr>
        <w:spacing w:after="0" w:line="176" w:lineRule="exact"/>
        <w:rPr>
          <w:sz w:val="20"/>
          <w:szCs w:val="20"/>
          <w:color w:val="auto"/>
        </w:rPr>
      </w:pPr>
    </w:p>
    <w:p>
      <w:pPr>
        <w:ind w:right="2939" w:firstLine="851"/>
        <w:spacing w:after="0" w:line="238" w:lineRule="auto"/>
        <w:rPr>
          <w:sz w:val="20"/>
          <w:szCs w:val="20"/>
          <w:color w:val="auto"/>
        </w:rPr>
      </w:pPr>
      <w:r>
        <w:rPr>
          <w:rFonts w:ascii="Courier New" w:cs="Courier New" w:eastAsia="Courier New" w:hAnsi="Courier New"/>
          <w:sz w:val="16"/>
          <w:szCs w:val="16"/>
          <w:color w:val="auto"/>
        </w:rPr>
        <w:t>"Hedging Lender" shall mean any Lender or affiliate thereof which from time to time enters into a Hedging Agreement with the Borrower.</w:t>
      </w:r>
    </w:p>
    <w:p>
      <w:pPr>
        <w:spacing w:after="0" w:line="18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"Holdco" shall have the meaning set forth in subsection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7.3(d).</w:t>
      </w:r>
    </w:p>
    <w:p>
      <w:pPr>
        <w:spacing w:after="0" w:line="186" w:lineRule="exact"/>
        <w:rPr>
          <w:sz w:val="20"/>
          <w:szCs w:val="20"/>
          <w:color w:val="auto"/>
        </w:rPr>
      </w:pPr>
    </w:p>
    <w:p>
      <w:pPr>
        <w:ind w:right="2939" w:firstLine="851"/>
        <w:spacing w:after="0" w:line="239" w:lineRule="auto"/>
        <w:rPr>
          <w:sz w:val="20"/>
          <w:szCs w:val="20"/>
          <w:color w:val="auto"/>
        </w:rPr>
      </w:pPr>
      <w:r>
        <w:rPr>
          <w:rFonts w:ascii="Courier New" w:cs="Courier New" w:eastAsia="Courier New" w:hAnsi="Courier New"/>
          <w:sz w:val="16"/>
          <w:szCs w:val="16"/>
          <w:color w:val="auto"/>
        </w:rPr>
        <w:t>"Hostile Take-Over Bid" shall mean an offer to purchase a controlling interest in any Person by the Borrower or any of its Subsidiaries or in which the Borrower or any of its Subsidiaries is involved, in respect of which the board of directors (or equivalent governing body for such entity) of the target entity has recommended against acceptance</w:t>
      </w:r>
    </w:p>
    <w:p>
      <w:pPr>
        <w:sectPr>
          <w:pgSz w:w="11900" w:h="16838" w:orient="portrait"/>
          <w:cols w:equalWidth="0" w:num="1">
            <w:col w:w="9379"/>
          </w:cols>
          <w:pgMar w:left="1080" w:top="480" w:right="1440" w:bottom="1440" w:gutter="0" w:footer="0" w:header="0"/>
        </w:sectPr>
      </w:pPr>
    </w:p>
    <w:bookmarkStart w:id="415" w:name="page416"/>
    <w:bookmarkEnd w:id="415"/>
    <w:p>
      <w:pPr>
        <w:ind w:left="6540"/>
        <w:spacing w:after="0"/>
        <w:rPr>
          <w:sz w:val="20"/>
          <w:szCs w:val="20"/>
          <w:color w:val="auto"/>
        </w:rPr>
      </w:pPr>
      <w:r>
        <w:rPr>
          <w:rFonts w:ascii="Courier New" w:cs="Courier New" w:eastAsia="Courier New" w:hAnsi="Courier New"/>
          <w:sz w:val="15"/>
          <w:szCs w:val="15"/>
          <w:color w:val="auto"/>
        </w:rPr>
        <w:t>16</w:t>
      </w:r>
    </w:p>
    <w:p>
      <w:pPr>
        <w:spacing w:after="0" w:line="194"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of such offer to the target entity's shareholders or equity holders or which is similarly opposed or contested.</w:t>
      </w:r>
    </w:p>
    <w:p>
      <w:pPr>
        <w:spacing w:after="0" w:line="188" w:lineRule="exact"/>
        <w:rPr>
          <w:sz w:val="20"/>
          <w:szCs w:val="20"/>
          <w:color w:val="auto"/>
        </w:rPr>
      </w:pPr>
    </w:p>
    <w:p>
      <w:pPr>
        <w:ind w:right="2839" w:firstLine="851"/>
        <w:spacing w:after="0" w:line="256" w:lineRule="auto"/>
        <w:rPr>
          <w:sz w:val="20"/>
          <w:szCs w:val="20"/>
          <w:color w:val="auto"/>
        </w:rPr>
      </w:pPr>
      <w:r>
        <w:rPr>
          <w:rFonts w:ascii="Courier New" w:cs="Courier New" w:eastAsia="Courier New" w:hAnsi="Courier New"/>
          <w:sz w:val="15"/>
          <w:szCs w:val="15"/>
          <w:color w:val="auto"/>
        </w:rPr>
        <w:t>"Indebtedness" shall mean, as to any Person, at a particular time, (a) indebtedness of such Person for borrowed money or for the deferred purchase price of property or services (including, without limitation, any such indebtedness which is non-recourse to the credit of such Person but is secured by assets of such Person, but excluding current amounts payable incurred in the ordinary course of business),</w:t>
      </w:r>
    </w:p>
    <w:p>
      <w:pPr>
        <w:spacing w:after="0" w:line="4" w:lineRule="exact"/>
        <w:rPr>
          <w:sz w:val="20"/>
          <w:szCs w:val="20"/>
          <w:color w:val="auto"/>
        </w:rPr>
      </w:pPr>
    </w:p>
    <w:p>
      <w:pPr>
        <w:ind w:right="2659" w:firstLine="8"/>
        <w:spacing w:after="0"/>
        <w:tabs>
          <w:tab w:leader="none" w:pos="378" w:val="left"/>
        </w:tabs>
        <w:numPr>
          <w:ilvl w:val="0"/>
          <w:numId w:val="4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of such Person under leases which shall have been or should be, in accordance with GAAP, recorded as capitalized leases, (c) indebtedness of such Person arising under acceptance facilities, (d) indebtedness of such Person arising under unpaid reimbursement obligations in respect of all drafts drawn under letters of credit issued for the account of such Person, (e) the incurrence of withdrawal liability under Title IV of ERISA by such Person or a Commonly Controlled Entity to a Multi-employer Plan, (f) liabilities arising under Hedging Agreements of such Person and (g) indebtedness of such Person under any synthetic lease.</w:t>
      </w:r>
    </w:p>
    <w:p>
      <w:pPr>
        <w:spacing w:after="0" w:line="188" w:lineRule="exact"/>
        <w:rPr>
          <w:sz w:val="20"/>
          <w:szCs w:val="20"/>
          <w:color w:val="auto"/>
        </w:rPr>
      </w:pPr>
    </w:p>
    <w:p>
      <w:pPr>
        <w:ind w:right="2839" w:firstLine="851"/>
        <w:spacing w:after="0" w:line="238" w:lineRule="auto"/>
        <w:rPr>
          <w:sz w:val="20"/>
          <w:szCs w:val="20"/>
          <w:color w:val="auto"/>
        </w:rPr>
      </w:pPr>
      <w:r>
        <w:rPr>
          <w:rFonts w:ascii="Courier New" w:cs="Courier New" w:eastAsia="Courier New" w:hAnsi="Courier New"/>
          <w:sz w:val="16"/>
          <w:szCs w:val="16"/>
          <w:color w:val="auto"/>
        </w:rPr>
        <w:t>"Insolvency" shall mean, with respect to any Multi-employer Plan, the condition that such Plan is insolvent within the meaning of such term as used in Section 4245 of ERISA.</w:t>
      </w:r>
    </w:p>
    <w:p>
      <w:pPr>
        <w:spacing w:after="0" w:line="188"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"Interest Payment Date" shall mean (a) as to any ABR Loan, the last day of each March, June, September and December, commencing on the first of such days to occur after such ABR Loan is made or any LIBOR Loan is converted to such ABR Loan, (b) as to any LIBOR Loan in respect of which the Borrower or applicable Subsidiary Borrower has selected an Interest Period of one month, two months or three months, the last day of such Interest Period and (c) as to any LIBOR Loan in respect of which the Borrower or applicable Subsidiary Borrower has selected a longer Interest Period than the periods described in preceding clause (b), the day three months after the commencement of such Interest Period and the last day of such Interest Period.</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"Interest Period" shall mean with respect to any LIBOR Loan,</w:t>
      </w:r>
    </w:p>
    <w:p>
      <w:pPr>
        <w:spacing w:after="0" w:line="5" w:lineRule="exact"/>
        <w:rPr>
          <w:sz w:val="20"/>
          <w:szCs w:val="20"/>
          <w:color w:val="auto"/>
        </w:rPr>
      </w:pPr>
    </w:p>
    <w:p>
      <w:pPr>
        <w:ind w:right="2659" w:firstLine="8"/>
        <w:spacing w:after="0" w:line="257" w:lineRule="auto"/>
        <w:tabs>
          <w:tab w:leader="none" w:pos="378" w:val="left"/>
        </w:tabs>
        <w:numPr>
          <w:ilvl w:val="0"/>
          <w:numId w:val="4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initially, the period commencing on, as the case may be, the borrowing or conversion date with respect to a LIBOR Loan, and ending one, two, three or six months thereafter, as selected by the Borrower or applicable Subsidiary Borrower, as the case may be, in its irrevocable written notice of borrowing as provided in subsection 2.2 and, in the case of LIBOR Loans, 2.5 or 2.6 or, in the case of LIBOR Loans, its written irrevocable notice of conversion as provided in subsection 2.14 and (ii) thereafter, each period commencing on the last day of the next preceding Interest Period applicable to such LIBOR Loan and ending one, two, three or six months thereafter, as selected by the Borrower or applicable Subsidiary Borrower by irrevocable written notice to the Administrative Agent not less than three Business Days prior to the last day of the then current Interest Period with respect to such Loan; provided that all of the foregoing provisions relating to Interest Periods are subject to the following:</w:t>
      </w:r>
    </w:p>
    <w:p>
      <w:pPr>
        <w:spacing w:after="0" w:line="180" w:lineRule="exact"/>
        <w:rPr>
          <w:rFonts w:ascii="Courier New" w:cs="Courier New" w:eastAsia="Courier New" w:hAnsi="Courier New"/>
          <w:sz w:val="15"/>
          <w:szCs w:val="15"/>
          <w:color w:val="auto"/>
        </w:rPr>
      </w:pPr>
    </w:p>
    <w:p>
      <w:pPr>
        <w:jc w:val="both"/>
        <w:ind w:left="860" w:right="2659" w:firstLine="851"/>
        <w:spacing w:after="0" w:line="238" w:lineRule="auto"/>
        <w:tabs>
          <w:tab w:leader="none" w:pos="2089" w:val="left"/>
        </w:tabs>
        <w:numPr>
          <w:ilvl w:val="1"/>
          <w:numId w:val="4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Interest Period pertaining to a LIBOR Loan would otherwise end on a day which is not a Business Day, that Interest Period shall be extended to</w:t>
      </w:r>
    </w:p>
    <w:p>
      <w:pPr>
        <w:sectPr>
          <w:pgSz w:w="11900" w:h="16838" w:orient="portrait"/>
          <w:cols w:equalWidth="0" w:num="1">
            <w:col w:w="9379"/>
          </w:cols>
          <w:pgMar w:left="1080" w:top="481" w:right="1440" w:bottom="1440" w:gutter="0" w:footer="0" w:header="0"/>
        </w:sectPr>
      </w:pPr>
    </w:p>
    <w:bookmarkStart w:id="416" w:name="page417"/>
    <w:bookmarkEnd w:id="416"/>
    <w:p>
      <w:pPr>
        <w:jc w:val="right"/>
        <w:ind w:right="2659"/>
        <w:spacing w:after="0"/>
        <w:rPr>
          <w:sz w:val="20"/>
          <w:szCs w:val="20"/>
          <w:color w:val="auto"/>
        </w:rPr>
      </w:pPr>
      <w:r>
        <w:rPr>
          <w:rFonts w:ascii="Courier New" w:cs="Courier New" w:eastAsia="Courier New" w:hAnsi="Courier New"/>
          <w:sz w:val="16"/>
          <w:szCs w:val="16"/>
          <w:color w:val="auto"/>
        </w:rPr>
        <w:t>17</w:t>
      </w:r>
    </w:p>
    <w:p>
      <w:pPr>
        <w:spacing w:after="0" w:line="186" w:lineRule="exact"/>
        <w:rPr>
          <w:sz w:val="20"/>
          <w:szCs w:val="20"/>
          <w:color w:val="auto"/>
        </w:rPr>
      </w:pPr>
    </w:p>
    <w:p>
      <w:pPr>
        <w:ind w:left="860" w:right="2759"/>
        <w:spacing w:after="0" w:line="239" w:lineRule="auto"/>
        <w:rPr>
          <w:sz w:val="20"/>
          <w:szCs w:val="20"/>
          <w:color w:val="auto"/>
        </w:rPr>
      </w:pPr>
      <w:r>
        <w:rPr>
          <w:rFonts w:ascii="Courier New" w:cs="Courier New" w:eastAsia="Courier New" w:hAnsi="Courier New"/>
          <w:sz w:val="16"/>
          <w:szCs w:val="16"/>
          <w:color w:val="auto"/>
        </w:rPr>
        <w:t>the next succeeding Business Day unless the result of such extension would be to carry such Interest Period into another calendar month in which event such Interest Period shall end on the next preceding Business Day;</w:t>
      </w:r>
    </w:p>
    <w:p>
      <w:pPr>
        <w:spacing w:after="0" w:line="187" w:lineRule="exact"/>
        <w:rPr>
          <w:sz w:val="20"/>
          <w:szCs w:val="20"/>
          <w:color w:val="auto"/>
        </w:rPr>
      </w:pPr>
    </w:p>
    <w:p>
      <w:pPr>
        <w:ind w:left="860" w:right="2659" w:firstLine="851"/>
        <w:spacing w:after="0"/>
        <w:tabs>
          <w:tab w:leader="none" w:pos="2089" w:val="left"/>
        </w:tabs>
        <w:numPr>
          <w:ilvl w:val="0"/>
          <w:numId w:val="4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if the Borrower or applicable Subsidiary Borrower shall fail to give notice as provided in clauses (i) and (ii) in this definition with respect to a LIBOR Loan denominated in Dollars, the Borrower or applicable Subsidiary Borrower shall be deemed to have requested conversion of the affected LIBOR Loan to an ABR Loan on the last day of the then current Interest Period with respect thereto; and (2) if the Borrower or applicable Subsidiary Borrower shall fail to give notice as provided in clauses(i) and (ii) in this definition with respect to a Loan denominated in a currency other than Dollars, the Borrower or applicable Subsidiary Borrower shall be deemed to have requested a continuation of the affected Loan for a period commencing on the last day of the next preceding Interest Period applicable to such Loan and ending one month thereafter;</w:t>
      </w:r>
    </w:p>
    <w:p>
      <w:pPr>
        <w:spacing w:after="0" w:line="191" w:lineRule="exact"/>
        <w:rPr>
          <w:rFonts w:ascii="Courier New" w:cs="Courier New" w:eastAsia="Courier New" w:hAnsi="Courier New"/>
          <w:sz w:val="16"/>
          <w:szCs w:val="16"/>
          <w:color w:val="auto"/>
        </w:rPr>
      </w:pPr>
    </w:p>
    <w:p>
      <w:pPr>
        <w:ind w:left="860" w:right="2839" w:firstLine="851"/>
        <w:spacing w:after="0" w:line="238" w:lineRule="auto"/>
        <w:tabs>
          <w:tab w:leader="none" w:pos="2089" w:val="left"/>
        </w:tabs>
        <w:numPr>
          <w:ilvl w:val="0"/>
          <w:numId w:val="4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would otherwise extend beyond the applicable Termination Date shall end on the applicable Termination Date; and</w:t>
      </w:r>
    </w:p>
    <w:p>
      <w:pPr>
        <w:spacing w:after="0" w:line="188" w:lineRule="exact"/>
        <w:rPr>
          <w:rFonts w:ascii="Courier New" w:cs="Courier New" w:eastAsia="Courier New" w:hAnsi="Courier New"/>
          <w:sz w:val="16"/>
          <w:szCs w:val="16"/>
          <w:color w:val="auto"/>
        </w:rPr>
      </w:pPr>
    </w:p>
    <w:p>
      <w:pPr>
        <w:ind w:left="860" w:right="2759" w:firstLine="851"/>
        <w:spacing w:after="0" w:line="259" w:lineRule="auto"/>
        <w:tabs>
          <w:tab w:leader="none" w:pos="2089" w:val="left"/>
        </w:tabs>
        <w:numPr>
          <w:ilvl w:val="0"/>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Period pertaining to a LIBOR Loan that begins on the last Business Day of a calendar month (or on day for which there is no numerically corresponding day in the calendar month at the end of such Interest Period) shall end on the last Business Day of a calendar month.</w:t>
      </w:r>
    </w:p>
    <w:p>
      <w:pPr>
        <w:spacing w:after="0" w:line="174"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"International Standby Practices" shall mean the International Standby Practices, International Chamber of Commerce Publication No. ISP98, as the same may be effectively replaced in whole or in part or amended from time to time.</w:t>
      </w:r>
    </w:p>
    <w:p>
      <w:pPr>
        <w:spacing w:after="0" w:line="187"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"Issuing Lender" shall mean, in respect of any Letter of Credit, JPMCB or, at the option of JPMCB, any affiliate of JPMCB, or with the consent of the Borrower and the Administrative Agent, any other Lender, in each case in its capacity as the issuer of such Letter of Credit.</w:t>
      </w:r>
    </w:p>
    <w:p>
      <w:pPr>
        <w:spacing w:after="0" w:line="189" w:lineRule="exact"/>
        <w:rPr>
          <w:sz w:val="20"/>
          <w:szCs w:val="20"/>
          <w:color w:val="auto"/>
        </w:rPr>
      </w:pPr>
    </w:p>
    <w:p>
      <w:pPr>
        <w:ind w:right="2939" w:firstLine="851"/>
        <w:spacing w:after="0" w:line="237" w:lineRule="auto"/>
        <w:rPr>
          <w:sz w:val="20"/>
          <w:szCs w:val="20"/>
          <w:color w:val="auto"/>
        </w:rPr>
      </w:pPr>
      <w:r>
        <w:rPr>
          <w:rFonts w:ascii="Courier New" w:cs="Courier New" w:eastAsia="Courier New" w:hAnsi="Courier New"/>
          <w:sz w:val="16"/>
          <w:szCs w:val="16"/>
          <w:color w:val="auto"/>
        </w:rPr>
        <w:t>"JPMCB" shall have the meaning assigned to such term in the preamble hereto.</w:t>
      </w:r>
    </w:p>
    <w:p>
      <w:pPr>
        <w:spacing w:after="0" w:line="18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 JPMSI" shall mean J.P. Morgan Securities Inc.</w:t>
      </w:r>
    </w:p>
    <w:p>
      <w:pPr>
        <w:spacing w:after="0" w:line="18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"L/C Commitment" shall mean the amount of $65,000,000.</w:t>
      </w:r>
    </w:p>
    <w:p>
      <w:pPr>
        <w:spacing w:after="0" w:line="186"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"L/C Obligations" shall mean, at any time, an amount equal to the sum of (a) the aggregate then undrawn and unexpired amount of the then outstanding Letters of Credit and (b) the aggregate amount of drawings under Letters of Credit which have not then been reimbursed pursuant to Section 3.</w:t>
      </w:r>
    </w:p>
    <w:p>
      <w:pPr>
        <w:spacing w:after="0" w:line="189" w:lineRule="exact"/>
        <w:rPr>
          <w:sz w:val="20"/>
          <w:szCs w:val="20"/>
          <w:color w:val="auto"/>
        </w:rPr>
      </w:pPr>
    </w:p>
    <w:p>
      <w:pPr>
        <w:ind w:right="2839" w:firstLine="851"/>
        <w:spacing w:after="0" w:line="239" w:lineRule="auto"/>
        <w:rPr>
          <w:sz w:val="20"/>
          <w:szCs w:val="20"/>
          <w:color w:val="auto"/>
        </w:rPr>
      </w:pPr>
      <w:r>
        <w:rPr>
          <w:rFonts w:ascii="Courier New" w:cs="Courier New" w:eastAsia="Courier New" w:hAnsi="Courier New"/>
          <w:sz w:val="16"/>
          <w:szCs w:val="16"/>
          <w:color w:val="auto"/>
        </w:rPr>
        <w:t>"L/C Participants" shall mean, with respect to any Revolving Facility under which a Letter of Credit is issued, the collective reference to all the Revolving Credit Lenders under such Revolving Facility other than the Issuing Lender.</w:t>
      </w:r>
    </w:p>
    <w:p>
      <w:pPr>
        <w:sectPr>
          <w:pgSz w:w="11900" w:h="16838" w:orient="portrait"/>
          <w:cols w:equalWidth="0" w:num="1">
            <w:col w:w="9379"/>
          </w:cols>
          <w:pgMar w:left="1080" w:top="477" w:right="1440" w:bottom="1440" w:gutter="0" w:footer="0" w:header="0"/>
        </w:sectPr>
      </w:pPr>
    </w:p>
    <w:bookmarkStart w:id="417" w:name="page418"/>
    <w:bookmarkEnd w:id="417"/>
    <w:p>
      <w:pPr>
        <w:jc w:val="right"/>
        <w:ind w:right="2659"/>
        <w:spacing w:after="0"/>
        <w:rPr>
          <w:sz w:val="20"/>
          <w:szCs w:val="20"/>
          <w:color w:val="auto"/>
        </w:rPr>
      </w:pPr>
      <w:r>
        <w:rPr>
          <w:rFonts w:ascii="Courier New" w:cs="Courier New" w:eastAsia="Courier New" w:hAnsi="Courier New"/>
          <w:sz w:val="16"/>
          <w:szCs w:val="16"/>
          <w:color w:val="auto"/>
        </w:rPr>
        <w:t>18</w:t>
      </w:r>
    </w:p>
    <w:p>
      <w:pPr>
        <w:spacing w:after="0" w:line="186" w:lineRule="exact"/>
        <w:rPr>
          <w:sz w:val="20"/>
          <w:szCs w:val="20"/>
          <w:color w:val="auto"/>
        </w:rPr>
      </w:pPr>
    </w:p>
    <w:p>
      <w:pPr>
        <w:ind w:right="2839" w:firstLine="851"/>
        <w:spacing w:after="0" w:line="239" w:lineRule="auto"/>
        <w:rPr>
          <w:sz w:val="20"/>
          <w:szCs w:val="20"/>
          <w:color w:val="auto"/>
        </w:rPr>
      </w:pPr>
      <w:r>
        <w:rPr>
          <w:rFonts w:ascii="Courier New" w:cs="Courier New" w:eastAsia="Courier New" w:hAnsi="Courier New"/>
          <w:sz w:val="16"/>
          <w:szCs w:val="16"/>
          <w:color w:val="auto"/>
        </w:rPr>
        <w:t>"Lending Installation" shall mean, with respect to a Lender, the office, branch, subsidiary or affiliate of such Lender listed on the signature pages hereof or on a Schedule or otherwise selected by such Lender pursuant to subsection 2.25.</w:t>
      </w:r>
    </w:p>
    <w:p>
      <w:pPr>
        <w:spacing w:after="0" w:line="18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"Letter of Credit" shall mean any Standby L/C or Trade L/C.</w:t>
      </w:r>
    </w:p>
    <w:p>
      <w:pPr>
        <w:spacing w:after="0" w:line="186"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"Lenders" shall have the meaning assigned to such term in the preamble hereto. As the context shall require, a Lender shall include any of its affiliates that is a Sterling Lender, an Australian Dollar Lender, or a Canadian Dollar Lender.</w:t>
      </w:r>
    </w:p>
    <w:p>
      <w:pPr>
        <w:spacing w:after="0" w:line="187" w:lineRule="exact"/>
        <w:rPr>
          <w:sz w:val="20"/>
          <w:szCs w:val="20"/>
          <w:color w:val="auto"/>
        </w:rPr>
      </w:pPr>
    </w:p>
    <w:p>
      <w:pPr>
        <w:ind w:right="2659" w:firstLine="851"/>
        <w:spacing w:after="0" w:line="257" w:lineRule="auto"/>
        <w:rPr>
          <w:sz w:val="20"/>
          <w:szCs w:val="20"/>
          <w:color w:val="auto"/>
        </w:rPr>
      </w:pPr>
      <w:r>
        <w:rPr>
          <w:rFonts w:ascii="Courier New" w:cs="Courier New" w:eastAsia="Courier New" w:hAnsi="Courier New"/>
          <w:sz w:val="15"/>
          <w:szCs w:val="15"/>
          <w:color w:val="auto"/>
        </w:rPr>
        <w:t>"Leverage Ratio" shall mean, as at the last day of any fiscal quarter of the Borrower, the ratio of (i) Average Total Indebtedness of the Borrower and its Subsidiaries on such day to (ii) EBITDA for the four consecutive fiscal quarters ending on such day; provided any calculation of the above ratio following any acquisition made during the twelve-month period covered by such calculation, by purchase or otherwise, of all or substantially all of the business or assets of, any Person or of any line of business of any Person shall be determined on a pro forma basis without duplication, including (y) in Average Total Indebtedness and in the amount of preferred stock accruals, an annualization of the actual indebtedness or preferred stock accruals relating to such acquisition for the portion of such twelve-month period prior to the date of such acquisition (or, if such acquisition occurred on the last day of a fiscal quarter, an annualization estimate of the daily indebtedness or preferred stock accruals relating to such acquisition based on the indebtedness incurred and based on the current Interest Rates for such indebtedness or preferred stock issued on such date) and (z) in EBITDA the EBITDA of the acquired Person for any portion of such twelve-month period prior to such acquisition.</w:t>
      </w:r>
    </w:p>
    <w:p>
      <w:pPr>
        <w:spacing w:after="0" w:line="180" w:lineRule="exact"/>
        <w:rPr>
          <w:sz w:val="20"/>
          <w:szCs w:val="20"/>
          <w:color w:val="auto"/>
        </w:rPr>
      </w:pPr>
    </w:p>
    <w:p>
      <w:pPr>
        <w:ind w:right="2839" w:firstLine="851"/>
        <w:spacing w:after="0" w:line="238" w:lineRule="auto"/>
        <w:rPr>
          <w:sz w:val="20"/>
          <w:szCs w:val="20"/>
          <w:color w:val="auto"/>
        </w:rPr>
      </w:pPr>
      <w:r>
        <w:rPr>
          <w:rFonts w:ascii="Courier New" w:cs="Courier New" w:eastAsia="Courier New" w:hAnsi="Courier New"/>
          <w:sz w:val="16"/>
          <w:szCs w:val="16"/>
          <w:color w:val="auto"/>
        </w:rPr>
        <w:t>"LIBOR Base Rate" shall mean, with respect to any LIBOR Loan in Dollars, euros or any Optional Currency for any Interest Period therefor:</w:t>
      </w:r>
    </w:p>
    <w:p>
      <w:pPr>
        <w:spacing w:after="0" w:line="188" w:lineRule="exact"/>
        <w:rPr>
          <w:sz w:val="20"/>
          <w:szCs w:val="20"/>
          <w:color w:val="auto"/>
        </w:rPr>
      </w:pPr>
    </w:p>
    <w:p>
      <w:pPr>
        <w:ind w:left="860" w:right="2659" w:firstLine="851"/>
        <w:spacing w:after="0" w:line="257" w:lineRule="auto"/>
        <w:tabs>
          <w:tab w:leader="none" w:pos="2089"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per annum (rounded to the nearest 1/16 of 1%) appearing on the Screen for such currency as the London Interbank Offered Rate for deposits in such currency at approximately 11:00 a.m. London time (or as soon thereafter as practicable) on (in the case of any LIBOR Loan in Sterling), or two Business Days prior to (in the case of any LIBOR Loan in Dollars, euros or any other Optional Currency), the first day of such Interest Period as the London Interbank Offered Rate for such currency having a term comparable to such Interest Period and in an amount of U.S.$1,000,000 or the Non-Dollar Currency Equivalent thereof; or</w:t>
      </w:r>
    </w:p>
    <w:p>
      <w:pPr>
        <w:spacing w:after="0" w:line="181" w:lineRule="exact"/>
        <w:rPr>
          <w:rFonts w:ascii="Courier New" w:cs="Courier New" w:eastAsia="Courier New" w:hAnsi="Courier New"/>
          <w:sz w:val="15"/>
          <w:szCs w:val="15"/>
          <w:color w:val="auto"/>
        </w:rPr>
      </w:pPr>
    </w:p>
    <w:p>
      <w:pPr>
        <w:ind w:left="860" w:right="2659" w:firstLine="851"/>
        <w:spacing w:after="0" w:line="258" w:lineRule="auto"/>
        <w:tabs>
          <w:tab w:leader="none" w:pos="2089"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rate does not appear on the Screen (or, if the Screen shall cease to be publicly available or if the information contained on the Screen, in the Administrative Agent's reasonable judgment, shall cease accurately to reflect such LIBOR Base Rate, as reported by any publicly available source of similar market data selected by the Administrative Agent that, in the Administrative Agent's reasonable judgment, accurately reflects such LIBOR Base Rate), the LIBOR Base Rate shall mean, with respect to any LIBOR Loan for any Interest</w:t>
      </w:r>
    </w:p>
    <w:p>
      <w:pPr>
        <w:sectPr>
          <w:pgSz w:w="11900" w:h="16838" w:orient="portrait"/>
          <w:cols w:equalWidth="0" w:num="1">
            <w:col w:w="9379"/>
          </w:cols>
          <w:pgMar w:left="1080" w:top="477" w:right="1440" w:bottom="1440" w:gutter="0" w:footer="0" w:header="0"/>
        </w:sectPr>
      </w:pPr>
    </w:p>
    <w:bookmarkStart w:id="418" w:name="page419"/>
    <w:bookmarkEnd w:id="418"/>
    <w:p>
      <w:pPr>
        <w:jc w:val="right"/>
        <w:ind w:right="2659"/>
        <w:spacing w:after="0"/>
        <w:rPr>
          <w:sz w:val="20"/>
          <w:szCs w:val="20"/>
          <w:color w:val="auto"/>
        </w:rPr>
      </w:pPr>
      <w:r>
        <w:rPr>
          <w:rFonts w:ascii="Courier New" w:cs="Courier New" w:eastAsia="Courier New" w:hAnsi="Courier New"/>
          <w:sz w:val="16"/>
          <w:szCs w:val="16"/>
          <w:color w:val="auto"/>
        </w:rPr>
        <w:t>19</w:t>
      </w:r>
    </w:p>
    <w:p>
      <w:pPr>
        <w:spacing w:after="0" w:line="186" w:lineRule="exact"/>
        <w:rPr>
          <w:sz w:val="20"/>
          <w:szCs w:val="20"/>
          <w:color w:val="auto"/>
        </w:rPr>
      </w:pPr>
    </w:p>
    <w:p>
      <w:pPr>
        <w:ind w:left="860" w:right="2659"/>
        <w:spacing w:after="0"/>
        <w:rPr>
          <w:sz w:val="20"/>
          <w:szCs w:val="20"/>
          <w:color w:val="auto"/>
        </w:rPr>
      </w:pPr>
      <w:r>
        <w:rPr>
          <w:rFonts w:ascii="Courier New" w:cs="Courier New" w:eastAsia="Courier New" w:hAnsi="Courier New"/>
          <w:sz w:val="16"/>
          <w:szCs w:val="16"/>
          <w:color w:val="auto"/>
        </w:rPr>
        <w:t>Period, the arithmetic mean, as determined by the Administrative Agent, of the rate per annum (rounded to the nearest 1/16 of 1%) quoted by each relevant Reference Lender at approximately 11:00 a.m. London time (or as soon thereafter as practicable) on (in the case of any LIBOR Loan in Sterling), or two Business Days prior to (in the case of any LIBOR Loan in Dollars, euros or any other Optional Currency), the first day of the Interest Period for such Loan for the offering by such Reference Lender to leading banks in the London interbank market of deposits in such currency having a term comparable to such Interest Period and in an amount comparable to the principal amount of the LIBOR Loan to be made by such Reference Lender (or its relevant applicable Lending Installation, as the case may be) for such Interest Period.</w:t>
      </w:r>
    </w:p>
    <w:p>
      <w:pPr>
        <w:spacing w:after="0" w:line="191" w:lineRule="exact"/>
        <w:rPr>
          <w:sz w:val="20"/>
          <w:szCs w:val="20"/>
          <w:color w:val="auto"/>
        </w:rPr>
      </w:pPr>
    </w:p>
    <w:p>
      <w:pPr>
        <w:ind w:right="2759" w:firstLine="851"/>
        <w:spacing w:after="0" w:line="238" w:lineRule="auto"/>
        <w:rPr>
          <w:sz w:val="20"/>
          <w:szCs w:val="20"/>
          <w:color w:val="auto"/>
        </w:rPr>
      </w:pPr>
      <w:r>
        <w:rPr>
          <w:rFonts w:ascii="Courier New" w:cs="Courier New" w:eastAsia="Courier New" w:hAnsi="Courier New"/>
          <w:sz w:val="16"/>
          <w:szCs w:val="16"/>
          <w:color w:val="auto"/>
        </w:rPr>
        <w:t>"LIBOR Loans" shall mean the Loans hereunder at such time as they are made and/or being maintained at a rate of interest based upon the applicable LIBOR Rate.</w:t>
      </w:r>
    </w:p>
    <w:p>
      <w:pPr>
        <w:spacing w:after="0" w:line="188" w:lineRule="exact"/>
        <w:rPr>
          <w:sz w:val="20"/>
          <w:szCs w:val="20"/>
          <w:color w:val="auto"/>
        </w:rPr>
      </w:pPr>
    </w:p>
    <w:p>
      <w:pPr>
        <w:ind w:right="2659" w:firstLine="851"/>
        <w:spacing w:after="0" w:line="257" w:lineRule="auto"/>
        <w:rPr>
          <w:sz w:val="20"/>
          <w:szCs w:val="20"/>
          <w:color w:val="auto"/>
        </w:rPr>
      </w:pPr>
      <w:r>
        <w:rPr>
          <w:rFonts w:ascii="Courier New" w:cs="Courier New" w:eastAsia="Courier New" w:hAnsi="Courier New"/>
          <w:sz w:val="15"/>
          <w:szCs w:val="15"/>
          <w:color w:val="auto"/>
        </w:rPr>
        <w:t>"LIBOR Rate" shall mean (a) with respect to a LIBOR Loan denominated in Dollars, euros or any Optional Currency for each day during each Interest Period pertaining thereto, the rate per annum equal to the LIBOR Base Rate or, to the extent such reserve requirements are generally applicable with respect to loans to the relevant Borrower or Subsidiary Borrower, the quotient (rounded upward to the nearest 1/100 of 1%) of (A) the LIBOR Base Rate, divided by (B) a number equal to 1.00 minus the aggregate of the rates (expressed as a decimal fraction) of reserve requirements current on such day (including, without limitation, basic, supplemental, marginal and emergency reserves under any regulations of the Board of Governors of the Federal Reserve System or other Governmental Authority having jurisdiction with respect thereto), as now and from time to time hereafter in effect, dealing with reserve requirements prescribed for eurocurrency funding (currently referred to as "Eurocurrency liabilities" in Regulation D of such Board) maintained by a member of such System or (b) to the extent applicable with respect to a LIBOR Loan denominated in Sterling for each day during each Interest Period pertaining thereto, the sum of the LIBOR Base Rate plus, to the extent generally applicable to loans to the relevant Borrower or Subsidiary Borrower, the Financial Services Authority charges for such day.</w:t>
      </w:r>
    </w:p>
    <w:p>
      <w:pPr>
        <w:spacing w:after="0" w:line="362" w:lineRule="exact"/>
        <w:rPr>
          <w:sz w:val="20"/>
          <w:szCs w:val="20"/>
          <w:color w:val="auto"/>
        </w:rPr>
      </w:pPr>
    </w:p>
    <w:p>
      <w:pPr>
        <w:ind w:right="2759" w:firstLine="851"/>
        <w:spacing w:after="0" w:line="258" w:lineRule="auto"/>
        <w:rPr>
          <w:sz w:val="20"/>
          <w:szCs w:val="20"/>
          <w:color w:val="auto"/>
        </w:rPr>
      </w:pPr>
      <w:r>
        <w:rPr>
          <w:rFonts w:ascii="Courier New" w:cs="Courier New" w:eastAsia="Courier New" w:hAnsi="Courier New"/>
          <w:sz w:val="15"/>
          <w:szCs w:val="15"/>
          <w:color w:val="auto"/>
        </w:rPr>
        <w:t>"Lien" shall mean any mortgage, deed of trust, pledge, hypothecation, assignment, deposit arrangement, charge, encumbrance, lien (statutory or other), or preference, priority or other security agreement or preferential arrangement of any kind or nature whatsoever (including, without limitation, any conditional sale or other title retention agreement, any financing lease having substantially the same economic effect as any of the foregoing, and the authorized filing by or against a Person of any financing statement as debtor under the Uniform Commercial Code or comparable law of any jurisdiction).</w:t>
      </w:r>
    </w:p>
    <w:p>
      <w:pPr>
        <w:spacing w:after="0" w:line="175" w:lineRule="exact"/>
        <w:rPr>
          <w:sz w:val="20"/>
          <w:szCs w:val="20"/>
          <w:color w:val="auto"/>
        </w:rPr>
      </w:pPr>
    </w:p>
    <w:p>
      <w:pPr>
        <w:ind w:right="2839" w:firstLine="851"/>
        <w:spacing w:after="0" w:line="238" w:lineRule="auto"/>
        <w:rPr>
          <w:sz w:val="20"/>
          <w:szCs w:val="20"/>
          <w:color w:val="auto"/>
        </w:rPr>
      </w:pPr>
      <w:r>
        <w:rPr>
          <w:rFonts w:ascii="Courier New" w:cs="Courier New" w:eastAsia="Courier New" w:hAnsi="Courier New"/>
          <w:sz w:val="16"/>
          <w:szCs w:val="16"/>
          <w:color w:val="auto"/>
        </w:rPr>
        <w:t>"Loan" shall mean any Revolving Credit Loan, Swing Line Loan and/or Term Loan, as the context shall require; collectively, the "Loans".</w:t>
      </w:r>
    </w:p>
    <w:p>
      <w:pPr>
        <w:spacing w:after="0" w:line="188" w:lineRule="exact"/>
        <w:rPr>
          <w:sz w:val="20"/>
          <w:szCs w:val="20"/>
          <w:color w:val="auto"/>
        </w:rPr>
      </w:pPr>
    </w:p>
    <w:p>
      <w:pPr>
        <w:ind w:right="2759" w:firstLine="851"/>
        <w:spacing w:after="0" w:line="238" w:lineRule="auto"/>
        <w:rPr>
          <w:sz w:val="20"/>
          <w:szCs w:val="20"/>
          <w:color w:val="auto"/>
        </w:rPr>
      </w:pPr>
      <w:r>
        <w:rPr>
          <w:rFonts w:ascii="Courier New" w:cs="Courier New" w:eastAsia="Courier New" w:hAnsi="Courier New"/>
          <w:sz w:val="16"/>
          <w:szCs w:val="16"/>
          <w:color w:val="auto"/>
        </w:rPr>
        <w:t>"Loan Parties" shall mean the Borrower, each Subsidiary Borrower and each other Subsidiary of the Borrower which is a party to any Loan Document.</w:t>
      </w:r>
    </w:p>
    <w:p>
      <w:pPr>
        <w:sectPr>
          <w:pgSz w:w="11900" w:h="16838" w:orient="portrait"/>
          <w:cols w:equalWidth="0" w:num="1">
            <w:col w:w="9379"/>
          </w:cols>
          <w:pgMar w:left="1080" w:top="477" w:right="1440" w:bottom="1440" w:gutter="0" w:footer="0" w:header="0"/>
        </w:sectPr>
      </w:pPr>
    </w:p>
    <w:bookmarkStart w:id="419" w:name="page420"/>
    <w:bookmarkEnd w:id="419"/>
    <w:p>
      <w:pPr>
        <w:ind w:left="6540"/>
        <w:spacing w:after="0"/>
        <w:rPr>
          <w:sz w:val="20"/>
          <w:szCs w:val="20"/>
          <w:color w:val="auto"/>
        </w:rPr>
      </w:pPr>
      <w:r>
        <w:rPr>
          <w:rFonts w:ascii="Courier New" w:cs="Courier New" w:eastAsia="Courier New" w:hAnsi="Courier New"/>
          <w:sz w:val="15"/>
          <w:szCs w:val="15"/>
          <w:color w:val="auto"/>
        </w:rPr>
        <w:t>20</w:t>
      </w:r>
    </w:p>
    <w:p>
      <w:pPr>
        <w:spacing w:after="0" w:line="194" w:lineRule="exact"/>
        <w:rPr>
          <w:sz w:val="20"/>
          <w:szCs w:val="20"/>
          <w:color w:val="auto"/>
        </w:rPr>
      </w:pPr>
    </w:p>
    <w:p>
      <w:pPr>
        <w:ind w:right="2659" w:firstLine="851"/>
        <w:spacing w:after="0" w:line="238" w:lineRule="auto"/>
        <w:rPr>
          <w:sz w:val="20"/>
          <w:szCs w:val="20"/>
          <w:color w:val="auto"/>
        </w:rPr>
      </w:pPr>
      <w:r>
        <w:rPr>
          <w:rFonts w:ascii="Courier New" w:cs="Courier New" w:eastAsia="Courier New" w:hAnsi="Courier New"/>
          <w:sz w:val="16"/>
          <w:szCs w:val="16"/>
          <w:color w:val="auto"/>
        </w:rPr>
        <w:t>"Loan Documents" shall mean, collectively, this Agreement, any Notes, the Applications, the Letters of Credit and the Security Documents.</w:t>
      </w:r>
    </w:p>
    <w:p>
      <w:pPr>
        <w:spacing w:after="0" w:line="188"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"Majority Facility Lenders" shall mean, (i) with respect to the Term Facility, at any time, the holders of more than 50% of the aggregate unpaid principal amount of the Term Loans then outstanding and (ii) with respect to the Revolving Facilities in the aggregate as a single class, the holders of more than 50% of the Total Revolving Credit Commitments then in effect or, if the Revolving Credit Commitments have been terminated, the Aggregate Revolving Extensions of Credit then outstanding.</w:t>
      </w:r>
    </w:p>
    <w:p>
      <w:pPr>
        <w:spacing w:after="0" w:line="187" w:lineRule="exact"/>
        <w:rPr>
          <w:sz w:val="20"/>
          <w:szCs w:val="20"/>
          <w:color w:val="auto"/>
        </w:rPr>
      </w:pPr>
    </w:p>
    <w:p>
      <w:pPr>
        <w:ind w:right="2759" w:firstLine="851"/>
        <w:spacing w:after="0" w:line="237" w:lineRule="auto"/>
        <w:rPr>
          <w:sz w:val="20"/>
          <w:szCs w:val="20"/>
          <w:color w:val="auto"/>
        </w:rPr>
      </w:pPr>
      <w:r>
        <w:rPr>
          <w:rFonts w:ascii="Courier New" w:cs="Courier New" w:eastAsia="Courier New" w:hAnsi="Courier New"/>
          <w:sz w:val="16"/>
          <w:szCs w:val="16"/>
          <w:color w:val="auto"/>
        </w:rPr>
        <w:t>"Majority Revolving Facility Lenders" shall mean the Majority Facility Lenders in respect of the Revolving Facilities.</w:t>
      </w:r>
    </w:p>
    <w:p>
      <w:pPr>
        <w:spacing w:after="0" w:line="188"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"Material Adverse Effect" shall mean a material adverse effect on (a) the business, operations, property, financial condition or prospects of the Borrower and its Subsidiaries taken as a whole, (b) the Refinancing transactions taken as a whole or (c) the validity or enforceability of any material term of this or any of the other Loan Documents or the rights or remedies of the Administrative Agent or the Lenders hereunder or thereunder.</w:t>
      </w:r>
    </w:p>
    <w:p>
      <w:pPr>
        <w:spacing w:after="0" w:line="192"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"Material Environmental Amount" shall mean (a) an amount payable by the Borrower or any of its Subsidiaries for investigative and remedial costs, compliance costs, compensatory damages, natural resource damages, punitive damages, fines, and penalties, in the aggregate, that exceeds $10,000,000 (net of insurance), or (b) any other impact on the Borrower or any of its Subsidiaries arising out of any of the Environmental Laws which, in the aggregate, could reasonably be anticipated to exceed $10,000,000 (net of insurance).</w:t>
      </w:r>
    </w:p>
    <w:p>
      <w:pPr>
        <w:spacing w:after="0" w:line="187" w:lineRule="exact"/>
        <w:rPr>
          <w:sz w:val="20"/>
          <w:szCs w:val="20"/>
          <w:color w:val="auto"/>
        </w:rPr>
      </w:pPr>
    </w:p>
    <w:p>
      <w:pPr>
        <w:ind w:right="2759" w:firstLine="851"/>
        <w:spacing w:after="0" w:line="256" w:lineRule="auto"/>
        <w:rPr>
          <w:sz w:val="20"/>
          <w:szCs w:val="20"/>
          <w:color w:val="auto"/>
        </w:rPr>
      </w:pPr>
      <w:r>
        <w:rPr>
          <w:rFonts w:ascii="Courier New" w:cs="Courier New" w:eastAsia="Courier New" w:hAnsi="Courier New"/>
          <w:sz w:val="15"/>
          <w:szCs w:val="15"/>
          <w:color w:val="auto"/>
        </w:rPr>
        <w:t>"Material Subsidiary" shall mean at any time (a) any Subsidiary Borrower, (b) any Subsidiary of the Borrower created or acquired after the Closing Date which has a Total Capitalization of more than $20,000,000, (c) any Subsidiary of the Borrower with assets greater than or equal to 5% of all assets of the Borrower and its Subsidiaries, computed and consolidated in accordance with GAAP ("Consolidated Assets"), (d) any Subsidiary with revenues greater than or equal to 5% of the revenues of the Borrower and its Subsidiaries, computed and consolidated in accordance with GAAP ("Net Revenues") or</w:t>
      </w:r>
    </w:p>
    <w:p>
      <w:pPr>
        <w:spacing w:after="0" w:line="6" w:lineRule="exact"/>
        <w:rPr>
          <w:sz w:val="20"/>
          <w:szCs w:val="20"/>
          <w:color w:val="auto"/>
        </w:rPr>
      </w:pPr>
    </w:p>
    <w:p>
      <w:pPr>
        <w:ind w:right="2659" w:firstLine="8"/>
        <w:spacing w:after="0" w:line="257" w:lineRule="auto"/>
        <w:tabs>
          <w:tab w:leader="none" w:pos="378" w:val="left"/>
        </w:tabs>
        <w:numPr>
          <w:ilvl w:val="0"/>
          <w:numId w:val="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designated in writing by the Borrower as a Material Subsidiary, which designation shall be irrevocable; provided that if at any time (i) the aggregate Total Capitalization of all Subsidiaries that are not Material Subsidiaries shall exceed 10% of the Total Capitalization of the Borrower and its Subsidiaries, computed and consolidated in accordance with GAAP, (ii) the aggregate assets of all Subsidiaries that are not Material Subsidiaries shall exceed 10% of Consolidated Assets or (iii) the aggregate revenues of all Subsidiaries that are not Material Subsidiaries shall exceed 10% of Net Revenues, then, in any such case, the term Material Subsidiary shall be deemed to include such Subsidiaries (as determined pursuant to the next following sentence) of the Borrower as may be required so that none of preceding clauses (i), (ii) or (iii) shall continue to be true . For purposes of the proviso to the next preceding sentence, the Subsidiaries which shall be deemed to be Material Subsidiaries shall be determined based</w:t>
      </w:r>
    </w:p>
    <w:p>
      <w:pPr>
        <w:sectPr>
          <w:pgSz w:w="11900" w:h="16838" w:orient="portrait"/>
          <w:cols w:equalWidth="0" w:num="1">
            <w:col w:w="9379"/>
          </w:cols>
          <w:pgMar w:left="1080" w:top="481" w:right="1440" w:bottom="1440" w:gutter="0" w:footer="0" w:header="0"/>
        </w:sectPr>
      </w:pPr>
    </w:p>
    <w:bookmarkStart w:id="420" w:name="page421"/>
    <w:bookmarkEnd w:id="420"/>
    <w:p>
      <w:pPr>
        <w:jc w:val="right"/>
        <w:ind w:right="2659"/>
        <w:spacing w:after="0"/>
        <w:rPr>
          <w:sz w:val="20"/>
          <w:szCs w:val="20"/>
          <w:color w:val="auto"/>
        </w:rPr>
      </w:pPr>
      <w:r>
        <w:rPr>
          <w:rFonts w:ascii="Courier New" w:cs="Courier New" w:eastAsia="Courier New" w:hAnsi="Courier New"/>
          <w:sz w:val="16"/>
          <w:szCs w:val="16"/>
          <w:color w:val="auto"/>
        </w:rPr>
        <w:t>21</w:t>
      </w:r>
    </w:p>
    <w:p>
      <w:pPr>
        <w:spacing w:after="0" w:line="18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on the percentage that the assets of each such Subsidiary are of Consolidated Assets, with the Subsidiary with the highest such percentage being selected first, and each other Subsidiary required to satisfy the requirements set forth in such proviso being selected in descending order of such respective percentages.</w:t>
      </w:r>
    </w:p>
    <w:p>
      <w:pPr>
        <w:spacing w:after="0" w:line="189"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"Materials of Environmental Concern" shall mean any gasoline or petroleum (including crude oil or any fraction thereof) or petroleum products or any hazardous or toxic substances, materials or wastes, defined or regulated as such in or under any Environmental Law, including, without limitation, asbestos, polychlorinated biphenyls, and urea-formaldehyde insulation; and any other substance that could give rise to liability under any Environmental Law.</w:t>
      </w:r>
    </w:p>
    <w:p>
      <w:pPr>
        <w:spacing w:after="0" w:line="192"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"Minimum Interest Coverage" shall mean for each fiscal quarter of the Borrower the ratio of (a) the sum of EBITDA as of the end of such fiscal quarter for the preceding twelve months to (b) the Consolidated Interest Expense as of the end of such fiscal quarter for the preceding twelve months.</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"Moody's" shall mean Moody's Investors Service, Inc.</w:t>
      </w:r>
    </w:p>
    <w:p>
      <w:pPr>
        <w:spacing w:after="0" w:line="186" w:lineRule="exact"/>
        <w:rPr>
          <w:sz w:val="20"/>
          <w:szCs w:val="20"/>
          <w:color w:val="auto"/>
        </w:rPr>
      </w:pPr>
    </w:p>
    <w:p>
      <w:pPr>
        <w:ind w:right="2759" w:firstLine="851"/>
        <w:spacing w:after="0" w:line="262" w:lineRule="auto"/>
        <w:rPr>
          <w:sz w:val="20"/>
          <w:szCs w:val="20"/>
          <w:color w:val="auto"/>
        </w:rPr>
      </w:pPr>
      <w:r>
        <w:rPr>
          <w:rFonts w:ascii="Courier New" w:cs="Courier New" w:eastAsia="Courier New" w:hAnsi="Courier New"/>
          <w:sz w:val="15"/>
          <w:szCs w:val="15"/>
          <w:color w:val="auto"/>
        </w:rPr>
        <w:t>"Mortgaged Properties" shall mean the real properties listed on Schedule 1.1B, as to which the Administrative Agent for the benefit of the Lenders shall be granted a Lien pursuant to the Mortgages.</w:t>
      </w:r>
    </w:p>
    <w:p>
      <w:pPr>
        <w:spacing w:after="0" w:line="171" w:lineRule="exact"/>
        <w:rPr>
          <w:sz w:val="20"/>
          <w:szCs w:val="20"/>
          <w:color w:val="auto"/>
        </w:rPr>
      </w:pPr>
    </w:p>
    <w:p>
      <w:pPr>
        <w:ind w:right="2759" w:firstLine="851"/>
        <w:spacing w:after="0"/>
        <w:rPr>
          <w:sz w:val="20"/>
          <w:szCs w:val="20"/>
          <w:color w:val="auto"/>
        </w:rPr>
      </w:pPr>
      <w:r>
        <w:rPr>
          <w:rFonts w:ascii="Courier New" w:cs="Courier New" w:eastAsia="Courier New" w:hAnsi="Courier New"/>
          <w:sz w:val="16"/>
          <w:szCs w:val="16"/>
          <w:color w:val="auto"/>
        </w:rPr>
        <w:t>"Mortgages" shall mean each of the mortgages and deeds of trust made by any Loan Party in favor of, or for the benefit of, the Administrative Agent for the benefit of the Lenders, substantially in the form of Exhibit B (with such changes thereto as shall be advisable under the law of the jurisdiction in which such mortgage or deed of trust is to be recorded), including any mortgages granted under the Existing Credit Agreement with appropriate amendments thereto, as the same may be amended, supplemented or otherwise modified from time to time.</w:t>
      </w:r>
    </w:p>
    <w:p>
      <w:pPr>
        <w:spacing w:after="0" w:line="188" w:lineRule="exact"/>
        <w:rPr>
          <w:sz w:val="20"/>
          <w:szCs w:val="20"/>
          <w:color w:val="auto"/>
        </w:rPr>
      </w:pPr>
    </w:p>
    <w:p>
      <w:pPr>
        <w:ind w:right="3499" w:firstLine="851"/>
        <w:spacing w:after="0" w:line="267" w:lineRule="auto"/>
        <w:rPr>
          <w:sz w:val="20"/>
          <w:szCs w:val="20"/>
          <w:color w:val="auto"/>
        </w:rPr>
      </w:pPr>
      <w:r>
        <w:rPr>
          <w:rFonts w:ascii="Courier New" w:cs="Courier New" w:eastAsia="Courier New" w:hAnsi="Courier New"/>
          <w:sz w:val="15"/>
          <w:szCs w:val="15"/>
          <w:color w:val="auto"/>
        </w:rPr>
        <w:t>"Multi-employer Plan" shall mean a Plan which is a multi-employer plan as defined in Section 4001(a)(3) of ERISA.</w:t>
      </w:r>
    </w:p>
    <w:p>
      <w:pPr>
        <w:spacing w:after="0" w:line="168"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"Net Cash Proceeds" shall mean (a) in connection with any Asset Sale or any Recovery Event, the proceeds thereof in the form of cash and Cash Equivalents (including any such proceeds received by way of deferred payment of principal pursuant to a note or installment receivable or purchase price adjustment receivable or otherwise, but only as and when received) of such Asset Sale or Recovery Event, net of attorneys' fees, accountants' fees, investment banking fees, amounts required to be applied to the repayment of Indebtedness secured by a Lien expressly permitted hereunder on any asset that is the subject of such Asset Sale or Recovery Event (other than any Lien pursuant to a Security Document) and other customary fees and expenses actually incurred in connection therewith and net of taxes paid or reasonably estimated to be payable as a result thereof (after taking into account any available tax credits or deductions and any tax sharing arrangements) and (b) in connection with any issuance or sale of equity securities or debt securities or instruments or the incurrence of loans, the cash proceeds</w:t>
      </w:r>
    </w:p>
    <w:p>
      <w:pPr>
        <w:sectPr>
          <w:pgSz w:w="11900" w:h="16838" w:orient="portrait"/>
          <w:cols w:equalWidth="0" w:num="1">
            <w:col w:w="9379"/>
          </w:cols>
          <w:pgMar w:left="1080" w:top="477" w:right="1440" w:bottom="1440" w:gutter="0" w:footer="0" w:header="0"/>
        </w:sectPr>
      </w:pPr>
    </w:p>
    <w:bookmarkStart w:id="421" w:name="page422"/>
    <w:bookmarkEnd w:id="421"/>
    <w:p>
      <w:pPr>
        <w:jc w:val="right"/>
        <w:ind w:right="2659"/>
        <w:spacing w:after="0"/>
        <w:rPr>
          <w:sz w:val="20"/>
          <w:szCs w:val="20"/>
          <w:color w:val="auto"/>
        </w:rPr>
      </w:pPr>
      <w:r>
        <w:rPr>
          <w:rFonts w:ascii="Courier New" w:cs="Courier New" w:eastAsia="Courier New" w:hAnsi="Courier New"/>
          <w:sz w:val="16"/>
          <w:szCs w:val="16"/>
          <w:color w:val="auto"/>
        </w:rPr>
        <w:t>22</w:t>
      </w:r>
    </w:p>
    <w:p>
      <w:pPr>
        <w:spacing w:after="0" w:line="18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received from such issuance or incurrence, net of attorneys' fees, investment banking fees, accountants' fees, underwriting discounts and commissions and other customary fees and expenses actually incurred in connection therewith.</w:t>
      </w:r>
    </w:p>
    <w:p>
      <w:pPr>
        <w:spacing w:after="0" w:line="187" w:lineRule="exact"/>
        <w:rPr>
          <w:sz w:val="20"/>
          <w:szCs w:val="20"/>
          <w:color w:val="auto"/>
        </w:rPr>
      </w:pPr>
    </w:p>
    <w:p>
      <w:pPr>
        <w:ind w:right="2939" w:firstLine="851"/>
        <w:spacing w:after="0" w:line="237" w:lineRule="auto"/>
        <w:rPr>
          <w:sz w:val="20"/>
          <w:szCs w:val="20"/>
          <w:color w:val="auto"/>
        </w:rPr>
      </w:pPr>
      <w:r>
        <w:rPr>
          <w:rFonts w:ascii="Courier New" w:cs="Courier New" w:eastAsia="Courier New" w:hAnsi="Courier New"/>
          <w:sz w:val="16"/>
          <w:szCs w:val="16"/>
          <w:color w:val="auto"/>
        </w:rPr>
        <w:t>"New Lender Supplement" shall have the meaning set forth in subsection 2.27(a).</w:t>
      </w:r>
    </w:p>
    <w:p>
      <w:pPr>
        <w:spacing w:after="0" w:line="188" w:lineRule="exact"/>
        <w:rPr>
          <w:sz w:val="20"/>
          <w:szCs w:val="20"/>
          <w:color w:val="auto"/>
        </w:rPr>
      </w:pPr>
    </w:p>
    <w:p>
      <w:pPr>
        <w:ind w:right="2659" w:firstLine="851"/>
        <w:spacing w:after="0" w:line="237" w:lineRule="auto"/>
        <w:rPr>
          <w:sz w:val="20"/>
          <w:szCs w:val="20"/>
          <w:color w:val="auto"/>
        </w:rPr>
      </w:pPr>
      <w:r>
        <w:rPr>
          <w:rFonts w:ascii="Courier New" w:cs="Courier New" w:eastAsia="Courier New" w:hAnsi="Courier New"/>
          <w:sz w:val="16"/>
          <w:szCs w:val="16"/>
          <w:color w:val="auto"/>
        </w:rPr>
        <w:t>"New Revolving Credit Lender" shall have the meaning set forth in subsection 2.27(a).</w:t>
      </w:r>
    </w:p>
    <w:p>
      <w:pPr>
        <w:spacing w:after="0" w:line="188"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"Non-Dollar Currency Equivalent" shall mean, on any Business Day with respect to any amount in Dollars, the amount of euros or the relevant Optional Currency that could be purchased with such amount of Dollars using the foreign exchange rate for such Business Day specified in the definition of "Dollar Equivalent".</w:t>
      </w:r>
    </w:p>
    <w:p>
      <w:pPr>
        <w:spacing w:after="0" w:line="189" w:lineRule="exact"/>
        <w:rPr>
          <w:sz w:val="20"/>
          <w:szCs w:val="20"/>
          <w:color w:val="auto"/>
        </w:rPr>
      </w:pPr>
    </w:p>
    <w:p>
      <w:pPr>
        <w:ind w:right="3219" w:firstLine="851"/>
        <w:spacing w:after="0" w:line="237" w:lineRule="auto"/>
        <w:rPr>
          <w:sz w:val="20"/>
          <w:szCs w:val="20"/>
          <w:color w:val="auto"/>
        </w:rPr>
      </w:pPr>
      <w:r>
        <w:rPr>
          <w:rFonts w:ascii="Courier New" w:cs="Courier New" w:eastAsia="Courier New" w:hAnsi="Courier New"/>
          <w:sz w:val="16"/>
          <w:szCs w:val="16"/>
          <w:color w:val="auto"/>
        </w:rPr>
        <w:t>"Non-Excluded Taxes" shall have the meaning set forth in subsection 2.22.</w:t>
      </w:r>
    </w:p>
    <w:p>
      <w:pPr>
        <w:spacing w:after="0" w:line="18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"Note": shall mean any promissory note evidencing Loans.</w:t>
      </w:r>
    </w:p>
    <w:p>
      <w:pPr>
        <w:spacing w:after="0" w:line="186"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"Obligations" shall mean the unpaid principal of and interest on (including, without limitation, interest accruing after the maturity of the Loans and interest thereon accruing after the filing of any petition in bankruptcy, or the commencement of any insolvency, reorganization or like proceeding, relating to the Borrower or any Subsidiary Borrower, whether or not a claim for post-filing or post-petition interest is allowed in such proceeding) and all other obligations and liabilities (including all obligations in respect of overdrafts and related liabilities owed to any Lender or affiliate of a Lender or the Administrative Agent arising from treasury, depositary and cash management services or in connection with any automated clearinghouse transfer of funds) of the Borrower or any Subsidiary Borrower to the Administrative Agent or the Lenders, whether direct or indirect, absolute or contingent, due or to become due, now existing or hereafter incurred, which may arise under, out of, or in connection with, this Agreement, the other Loan Documents, any Hedge Agreement entered into with a Lender or an affiliate thereof or any other document made, delivered or given in connection herewith or therewith, whether on account of principal, interest, reimbursement obligations, fees, indemnities, costs, expenses (including, without limitation, all fees and disbursements of counsel to the Administrative Agent or any Lender) or otherwise.</w:t>
      </w:r>
    </w:p>
    <w:p>
      <w:pPr>
        <w:spacing w:after="0" w:line="196"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"Optional Currency" shall mean Sterling and any other national currency readily available and freely tradable in the London currency market that are commonly the subject of interbank deposits therein and approved by the Administrative Agent.</w:t>
      </w:r>
    </w:p>
    <w:p>
      <w:pPr>
        <w:spacing w:after="0" w:line="187"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"Participants" shall mean one or more banks or other entities to whom one or more Lenders have sold, in the ordinary course of business and in accordance with applicable law, participating interests in any Loan, Note, Revolving Credit Commitment or Term Loan Commitment or any other interest hereunder owing to such Lender.</w:t>
      </w:r>
    </w:p>
    <w:p>
      <w:pPr>
        <w:spacing w:after="0" w:line="189"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"Participating Member State" shall mean a member state of the European Communities that adopts or has adopted the euro as its lawful currency in accordance with legislation of the European Community relating to Economic and Monetary Union.</w:t>
      </w:r>
    </w:p>
    <w:p>
      <w:pPr>
        <w:sectPr>
          <w:pgSz w:w="11900" w:h="16838" w:orient="portrait"/>
          <w:cols w:equalWidth="0" w:num="1">
            <w:col w:w="9379"/>
          </w:cols>
          <w:pgMar w:left="1080" w:top="477" w:right="1440" w:bottom="1440" w:gutter="0" w:footer="0" w:header="0"/>
        </w:sectPr>
      </w:pPr>
    </w:p>
    <w:bookmarkStart w:id="422" w:name="page423"/>
    <w:bookmarkEnd w:id="422"/>
    <w:p>
      <w:pPr>
        <w:jc w:val="right"/>
        <w:ind w:right="2659"/>
        <w:spacing w:after="0"/>
        <w:rPr>
          <w:sz w:val="20"/>
          <w:szCs w:val="20"/>
          <w:color w:val="auto"/>
        </w:rPr>
      </w:pPr>
      <w:r>
        <w:rPr>
          <w:rFonts w:ascii="Courier New" w:cs="Courier New" w:eastAsia="Courier New" w:hAnsi="Courier New"/>
          <w:sz w:val="16"/>
          <w:szCs w:val="16"/>
          <w:color w:val="auto"/>
        </w:rPr>
        <w:t>23</w:t>
      </w:r>
    </w:p>
    <w:p>
      <w:pPr>
        <w:spacing w:after="0" w:line="186" w:lineRule="exact"/>
        <w:rPr>
          <w:sz w:val="20"/>
          <w:szCs w:val="20"/>
          <w:color w:val="auto"/>
        </w:rPr>
      </w:pPr>
    </w:p>
    <w:p>
      <w:pPr>
        <w:ind w:right="3039" w:firstLine="851"/>
        <w:spacing w:after="0" w:line="267" w:lineRule="auto"/>
        <w:rPr>
          <w:sz w:val="20"/>
          <w:szCs w:val="20"/>
          <w:color w:val="auto"/>
        </w:rPr>
      </w:pPr>
      <w:r>
        <w:rPr>
          <w:rFonts w:ascii="Courier New" w:cs="Courier New" w:eastAsia="Courier New" w:hAnsi="Courier New"/>
          <w:sz w:val="15"/>
          <w:szCs w:val="15"/>
          <w:color w:val="auto"/>
        </w:rPr>
        <w:t>"PBGC" shall mean the Pension Benefit Guaranty Corporation established pursuant to Subtitle A of Title IV of ERISA.</w:t>
      </w:r>
    </w:p>
    <w:p>
      <w:pPr>
        <w:spacing w:after="0" w:line="168" w:lineRule="exact"/>
        <w:rPr>
          <w:sz w:val="20"/>
          <w:szCs w:val="20"/>
          <w:color w:val="auto"/>
        </w:rPr>
      </w:pPr>
    </w:p>
    <w:p>
      <w:pPr>
        <w:ind w:right="2659" w:firstLine="851"/>
        <w:spacing w:after="0" w:line="257" w:lineRule="auto"/>
        <w:rPr>
          <w:sz w:val="20"/>
          <w:szCs w:val="20"/>
          <w:color w:val="auto"/>
        </w:rPr>
      </w:pPr>
      <w:r>
        <w:rPr>
          <w:rFonts w:ascii="Courier New" w:cs="Courier New" w:eastAsia="Courier New" w:hAnsi="Courier New"/>
          <w:sz w:val="15"/>
          <w:szCs w:val="15"/>
          <w:color w:val="auto"/>
        </w:rPr>
        <w:t>"Permitted Acquisition" shall mean any acquisition of all or substantially all the assets of, or shares or other equity interests in, a Person or division or line of business of a Person or other significant assets of a Person (other than inventory, leases, materials and equipment and other assets in the ordinary course of business) if immediately after giving effect thereto: (i) no Default or Event of Default shall have occurred and be continuing or would result therefrom, (ii) 100% of the capital stock of any acquired or newly formed corporation, partnership, association or other business entity is owned directly by the Borrower or a wholly-owned Subsidiary and all actions required to be taken, if any, with respect to such acquired or newly formed subsidiary under subsection 6.11 shall have been taken or shall be planned to be taken in a manner reasonably satisfactory to the Administrative Agent, (iii) no Material Adverse Effect would be likely to result therefrom and (iv)(I) the Borrower shall be in compliance, on a pro forma basis after giving effect to such acquisition or formation, with the covenants contained in subsections 6.9 and 6.10 recomputed as at the last day of the most recently ended fiscal quarter of the Borrower as if such acquisition had occurred on the first day of each relevant period for testing such compliance and any savings associated with such acquisition had been achieved on the first day of such relevant period, and, in the case of an acquisition involving consideration in excess of $10,000,000, the Borrower shall have delivered to the Administrative Agent an officers' certificate to such effect, together with all relevant financial information for such subsidiary or assets (to the extent reasonably available), and (II) after giving effect to such transaction, any acquired or newly formed subsidiary shall not be liable for any Indebtedness (except for Indebtedness permitted by subsection 7.6) and (v) after giving effect to the consummation thereof, the aggregate amount of consideration (whether cash or property, as valued in good faith by the Board of Directors of the Borrower) for all Permitted Acquisitions shall not exceed (x) $130,000,000 in the aggregate for the fiscal year of the Borrower ending September 30, 2004 and (y) $30,000,000 in the aggregate for any fiscal year thereafter; provided that any amounts not used for Permitted Acquisitions in the fiscal year for which it is permitted in this subclause (v), may be carried over for expenditure in any fiscal year thereafter; provided further the limitations in subclause (v) above shall not be applicable to any such transaction to the extent that in such transaction the consideration (A) consists of Capital Stock of the Borrower or its Subsidiaries, (B) is financed with cash in an amount of up to 50% of the portion of the cumulative Excess Cash Flow (commencing with the fiscal year ending September 30, 2004) not required to be applied to repay the Term Loans pursuant to subsection 2.12(e) and not used for any prior Permitted Acquisition or (C) is financed with the Net Cash Proceeds of (1) subordinated notes permitted pursuant to subsections 7.6(e) or (f) or (2) senior unsecured or subordinated notes permitted pursuant to subsection 7.6(g).</w:t>
      </w:r>
    </w:p>
    <w:p>
      <w:pPr>
        <w:spacing w:after="0" w:line="360" w:lineRule="exact"/>
        <w:rPr>
          <w:sz w:val="20"/>
          <w:szCs w:val="20"/>
          <w:color w:val="auto"/>
        </w:rPr>
      </w:pPr>
    </w:p>
    <w:p>
      <w:pPr>
        <w:ind w:right="2839" w:firstLine="851"/>
        <w:spacing w:after="0" w:line="237" w:lineRule="auto"/>
        <w:rPr>
          <w:sz w:val="20"/>
          <w:szCs w:val="20"/>
          <w:color w:val="auto"/>
        </w:rPr>
      </w:pPr>
      <w:r>
        <w:rPr>
          <w:rFonts w:ascii="Courier New" w:cs="Courier New" w:eastAsia="Courier New" w:hAnsi="Courier New"/>
          <w:sz w:val="16"/>
          <w:szCs w:val="16"/>
          <w:color w:val="auto"/>
        </w:rPr>
        <w:t>"Permitted Foreign Debt" shall have the meaning specified in subsection 7.6(k).</w:t>
      </w:r>
    </w:p>
    <w:p>
      <w:pPr>
        <w:spacing w:after="0" w:line="188" w:lineRule="exact"/>
        <w:rPr>
          <w:sz w:val="20"/>
          <w:szCs w:val="20"/>
          <w:color w:val="auto"/>
        </w:rPr>
      </w:pPr>
    </w:p>
    <w:p>
      <w:pPr>
        <w:ind w:right="2659" w:firstLine="851"/>
        <w:spacing w:after="0" w:line="260" w:lineRule="auto"/>
        <w:rPr>
          <w:sz w:val="20"/>
          <w:szCs w:val="20"/>
          <w:color w:val="auto"/>
        </w:rPr>
      </w:pPr>
      <w:r>
        <w:rPr>
          <w:rFonts w:ascii="Courier New" w:cs="Courier New" w:eastAsia="Courier New" w:hAnsi="Courier New"/>
          <w:sz w:val="15"/>
          <w:szCs w:val="15"/>
          <w:color w:val="auto"/>
        </w:rPr>
        <w:t>"Person" shall mean an individual, a partnership, a corporation, a limited liability company, a business trust, a joint stock company, a trust, an unincorporated association, a joint venture, a Governmental Authority or any other entity of whatever nature.</w:t>
      </w:r>
    </w:p>
    <w:p>
      <w:pPr>
        <w:sectPr>
          <w:pgSz w:w="11900" w:h="16838" w:orient="portrait"/>
          <w:cols w:equalWidth="0" w:num="1">
            <w:col w:w="9379"/>
          </w:cols>
          <w:pgMar w:left="1080" w:top="477" w:right="1440" w:bottom="1440" w:gutter="0" w:footer="0" w:header="0"/>
        </w:sectPr>
      </w:pPr>
    </w:p>
    <w:bookmarkStart w:id="423" w:name="page424"/>
    <w:bookmarkEnd w:id="423"/>
    <w:p>
      <w:pPr>
        <w:jc w:val="right"/>
        <w:ind w:right="2659"/>
        <w:spacing w:after="0"/>
        <w:rPr>
          <w:sz w:val="20"/>
          <w:szCs w:val="20"/>
          <w:color w:val="auto"/>
        </w:rPr>
      </w:pPr>
      <w:r>
        <w:rPr>
          <w:rFonts w:ascii="Courier New" w:cs="Courier New" w:eastAsia="Courier New" w:hAnsi="Courier New"/>
          <w:sz w:val="16"/>
          <w:szCs w:val="16"/>
          <w:color w:val="auto"/>
        </w:rPr>
        <w:t>24</w:t>
      </w:r>
    </w:p>
    <w:p>
      <w:pPr>
        <w:spacing w:after="0" w:line="186"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"Plan" shall mean, at any particular time, any employee benefit plan which is covered by ERISA and in respect of which the Borrower or a Commonly Controlled Entity is (or if such plan were terminated at such time, would under Section 4069 of ERISA be deemed to be) an "employer" as defined in Section 3(5) of ERISA.</w:t>
      </w:r>
    </w:p>
    <w:p>
      <w:pPr>
        <w:spacing w:after="0" w:line="189" w:lineRule="exact"/>
        <w:rPr>
          <w:sz w:val="20"/>
          <w:szCs w:val="20"/>
          <w:color w:val="auto"/>
        </w:rPr>
      </w:pPr>
    </w:p>
    <w:p>
      <w:pPr>
        <w:ind w:right="3499" w:firstLine="851"/>
        <w:spacing w:after="0" w:line="237" w:lineRule="auto"/>
        <w:rPr>
          <w:sz w:val="20"/>
          <w:szCs w:val="20"/>
          <w:color w:val="auto"/>
        </w:rPr>
      </w:pPr>
      <w:r>
        <w:rPr>
          <w:rFonts w:ascii="Courier New" w:cs="Courier New" w:eastAsia="Courier New" w:hAnsi="Courier New"/>
          <w:sz w:val="16"/>
          <w:szCs w:val="16"/>
          <w:color w:val="auto"/>
        </w:rPr>
        <w:t>"Prepayment Date" shall have the meaning set forth in subsection 2.13(g).</w:t>
      </w:r>
    </w:p>
    <w:p>
      <w:pPr>
        <w:spacing w:after="0" w:line="188" w:lineRule="exact"/>
        <w:rPr>
          <w:sz w:val="20"/>
          <w:szCs w:val="20"/>
          <w:color w:val="auto"/>
        </w:rPr>
      </w:pPr>
    </w:p>
    <w:p>
      <w:pPr>
        <w:ind w:right="2659" w:firstLine="851"/>
        <w:spacing w:after="0" w:line="237" w:lineRule="auto"/>
        <w:rPr>
          <w:sz w:val="20"/>
          <w:szCs w:val="20"/>
          <w:color w:val="auto"/>
        </w:rPr>
      </w:pPr>
      <w:r>
        <w:rPr>
          <w:rFonts w:ascii="Courier New" w:cs="Courier New" w:eastAsia="Courier New" w:hAnsi="Courier New"/>
          <w:sz w:val="16"/>
          <w:szCs w:val="16"/>
          <w:color w:val="auto"/>
        </w:rPr>
        <w:t>"Prepayment Option Notice" shall have the meaning set forth in subsection 2.13(g).</w:t>
      </w:r>
    </w:p>
    <w:p>
      <w:pPr>
        <w:spacing w:after="0" w:line="18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"Pricing Grid" shall mean the pricing grid attached hereto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Annex A.</w:t>
      </w:r>
    </w:p>
    <w:p>
      <w:pPr>
        <w:spacing w:after="0" w:line="18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"Properties" shall mean the real property listed on Schedule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4.19(b).</w:t>
      </w:r>
    </w:p>
    <w:p>
      <w:pPr>
        <w:spacing w:after="0" w:line="186" w:lineRule="exact"/>
        <w:rPr>
          <w:sz w:val="20"/>
          <w:szCs w:val="20"/>
          <w:color w:val="auto"/>
        </w:rPr>
      </w:pPr>
    </w:p>
    <w:p>
      <w:pPr>
        <w:ind w:right="3499" w:firstLine="851"/>
        <w:spacing w:after="0" w:line="237" w:lineRule="auto"/>
        <w:rPr>
          <w:sz w:val="20"/>
          <w:szCs w:val="20"/>
          <w:color w:val="auto"/>
        </w:rPr>
      </w:pPr>
      <w:r>
        <w:rPr>
          <w:rFonts w:ascii="Courier New" w:cs="Courier New" w:eastAsia="Courier New" w:hAnsi="Courier New"/>
          <w:sz w:val="16"/>
          <w:szCs w:val="16"/>
          <w:color w:val="auto"/>
        </w:rPr>
        <w:t>"Receivables" shall have the meaning specified in the Guarantee and Collateral Agreement.</w:t>
      </w:r>
    </w:p>
    <w:p>
      <w:pPr>
        <w:spacing w:after="0" w:line="188" w:lineRule="exact"/>
        <w:rPr>
          <w:sz w:val="20"/>
          <w:szCs w:val="20"/>
          <w:color w:val="auto"/>
        </w:rPr>
      </w:pPr>
    </w:p>
    <w:p>
      <w:pPr>
        <w:ind w:right="3319" w:firstLine="851"/>
        <w:spacing w:after="0" w:line="237" w:lineRule="auto"/>
        <w:rPr>
          <w:sz w:val="20"/>
          <w:szCs w:val="20"/>
          <w:color w:val="auto"/>
        </w:rPr>
      </w:pPr>
      <w:r>
        <w:rPr>
          <w:rFonts w:ascii="Courier New" w:cs="Courier New" w:eastAsia="Courier New" w:hAnsi="Courier New"/>
          <w:sz w:val="16"/>
          <w:szCs w:val="16"/>
          <w:color w:val="auto"/>
        </w:rPr>
        <w:t>"Receivables Subsidiary" shall mean a Subsidiary of the Borrower created to purchase and finance Sold Receivables.</w:t>
      </w:r>
    </w:p>
    <w:p>
      <w:pPr>
        <w:spacing w:after="0" w:line="188" w:lineRule="exact"/>
        <w:rPr>
          <w:sz w:val="20"/>
          <w:szCs w:val="20"/>
          <w:color w:val="auto"/>
        </w:rPr>
      </w:pPr>
    </w:p>
    <w:p>
      <w:pPr>
        <w:ind w:right="2759" w:firstLine="851"/>
        <w:spacing w:after="0" w:line="259" w:lineRule="auto"/>
        <w:rPr>
          <w:sz w:val="20"/>
          <w:szCs w:val="20"/>
          <w:color w:val="auto"/>
        </w:rPr>
      </w:pPr>
      <w:r>
        <w:rPr>
          <w:rFonts w:ascii="Courier New" w:cs="Courier New" w:eastAsia="Courier New" w:hAnsi="Courier New"/>
          <w:sz w:val="15"/>
          <w:szCs w:val="15"/>
          <w:color w:val="auto"/>
        </w:rPr>
        <w:t>"Receivables Purchase Facility" shall mean any receivables purchase facility with terms and conditions reasonably satisfactory to the Administrative Agent and pursuant to which ownership interests in, or notes, commercial paper, certificates or other debt instruments in respect of which, are secured by the Sold Receivables.</w:t>
      </w:r>
    </w:p>
    <w:p>
      <w:pPr>
        <w:spacing w:after="0" w:line="174"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"Recovery Event" shall mean any settlement of or payment in respect of any property or casualty insurance claim or any condemnation proceeding relating to any asset of the Borrower or any of its Subsidiaries (valued at the initial principal amount thereof in the case of non-cash proceeds consisting of notes or other debt securities and valued at fair market value in the case of other non-cash proceeds) in excess of $1,000,000.</w:t>
      </w:r>
    </w:p>
    <w:p>
      <w:pPr>
        <w:spacing w:after="0" w:line="192" w:lineRule="exact"/>
        <w:rPr>
          <w:sz w:val="20"/>
          <w:szCs w:val="20"/>
          <w:color w:val="auto"/>
        </w:rPr>
      </w:pPr>
    </w:p>
    <w:p>
      <w:pPr>
        <w:ind w:right="3319" w:firstLine="851"/>
        <w:spacing w:after="0" w:line="237" w:lineRule="auto"/>
        <w:rPr>
          <w:sz w:val="20"/>
          <w:szCs w:val="20"/>
          <w:color w:val="auto"/>
        </w:rPr>
      </w:pPr>
      <w:r>
        <w:rPr>
          <w:rFonts w:ascii="Courier New" w:cs="Courier New" w:eastAsia="Courier New" w:hAnsi="Courier New"/>
          <w:sz w:val="16"/>
          <w:szCs w:val="16"/>
          <w:color w:val="auto"/>
        </w:rPr>
        <w:t>"Reference Lenders" shall mean JPMCB and Citicorp North America, Inc.</w:t>
      </w:r>
    </w:p>
    <w:p>
      <w:pPr>
        <w:spacing w:after="0" w:line="18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"Refinancing" shall be as defined in subsection 2.23(a).</w:t>
      </w:r>
    </w:p>
    <w:p>
      <w:pPr>
        <w:spacing w:after="0" w:line="186"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"Refinancing Agreements" shall mean the collective reference to any and all agreements entered into by the Borrower or any of its Subsidiaries in respect of the Refinancing (other than this Agreement), including the Senior Subordinated Note Indenture, the Offering Memorandum in respect of the Senior Subordinated Notes, dated October 1, 2003, the Purchase Agreement, dated as of October 1, 2003, among the Borrower and the Initial Purchasers party thereto, and the Offer to Purchase and Consent Solicitation Statement, dated as of September 15, 2003 and any other agreements related thereto.</w:t>
      </w:r>
    </w:p>
    <w:p>
      <w:pPr>
        <w:spacing w:after="0" w:line="188" w:lineRule="exact"/>
        <w:rPr>
          <w:sz w:val="20"/>
          <w:szCs w:val="20"/>
          <w:color w:val="auto"/>
        </w:rPr>
      </w:pPr>
    </w:p>
    <w:p>
      <w:pPr>
        <w:ind w:right="2659" w:firstLine="851"/>
        <w:spacing w:after="0" w:line="237" w:lineRule="auto"/>
        <w:rPr>
          <w:sz w:val="20"/>
          <w:szCs w:val="20"/>
          <w:color w:val="auto"/>
        </w:rPr>
      </w:pPr>
      <w:r>
        <w:rPr>
          <w:rFonts w:ascii="Courier New" w:cs="Courier New" w:eastAsia="Courier New" w:hAnsi="Courier New"/>
          <w:sz w:val="16"/>
          <w:szCs w:val="16"/>
          <w:color w:val="auto"/>
        </w:rPr>
        <w:t>"Refunded Swing Line Loans" shall have the meaning assigned to such term in subsection 2.6(b).</w:t>
      </w:r>
    </w:p>
    <w:p>
      <w:pPr>
        <w:sectPr>
          <w:pgSz w:w="11900" w:h="16838" w:orient="portrait"/>
          <w:cols w:equalWidth="0" w:num="1">
            <w:col w:w="9379"/>
          </w:cols>
          <w:pgMar w:left="1080" w:top="477" w:right="1440" w:bottom="1440" w:gutter="0" w:footer="0" w:header="0"/>
        </w:sectPr>
      </w:pPr>
    </w:p>
    <w:bookmarkStart w:id="424" w:name="page425"/>
    <w:bookmarkEnd w:id="424"/>
    <w:p>
      <w:pPr>
        <w:jc w:val="right"/>
        <w:ind w:right="2659"/>
        <w:spacing w:after="0"/>
        <w:rPr>
          <w:sz w:val="20"/>
          <w:szCs w:val="20"/>
          <w:color w:val="auto"/>
        </w:rPr>
      </w:pPr>
      <w:r>
        <w:rPr>
          <w:rFonts w:ascii="Courier New" w:cs="Courier New" w:eastAsia="Courier New" w:hAnsi="Courier New"/>
          <w:sz w:val="16"/>
          <w:szCs w:val="16"/>
          <w:color w:val="auto"/>
        </w:rPr>
        <w:t>25</w:t>
      </w:r>
    </w:p>
    <w:p>
      <w:pPr>
        <w:spacing w:after="0" w:line="186" w:lineRule="exact"/>
        <w:rPr>
          <w:sz w:val="20"/>
          <w:szCs w:val="20"/>
          <w:color w:val="auto"/>
        </w:rPr>
      </w:pPr>
    </w:p>
    <w:p>
      <w:pPr>
        <w:ind w:right="3119" w:firstLine="851"/>
        <w:spacing w:after="0" w:line="237" w:lineRule="auto"/>
        <w:rPr>
          <w:sz w:val="20"/>
          <w:szCs w:val="20"/>
          <w:color w:val="auto"/>
        </w:rPr>
      </w:pPr>
      <w:r>
        <w:rPr>
          <w:rFonts w:ascii="Courier New" w:cs="Courier New" w:eastAsia="Courier New" w:hAnsi="Courier New"/>
          <w:sz w:val="16"/>
          <w:szCs w:val="16"/>
          <w:color w:val="auto"/>
        </w:rPr>
        <w:t>"Register" shall have the meaning specified in subsection 10.6(b)(iv).</w:t>
      </w:r>
    </w:p>
    <w:p>
      <w:pPr>
        <w:spacing w:after="0" w:line="188"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"Regular Subsidiary Borrower" shall mean Scotts Treasury EEIG, any Domestic Subsidiary Borrower, any Foreign Subsidiary Borrower which is designated by the Borrower as a "Regular Subsidiary Borrower" in a notice to the Administrative Agent (which shall notify each Revolving Credit Lender of such designation), and any Foreign Subsidiary designated by the Borrower as a Regular Subsidiary Borrower after the Closing Date pursuant to subsection 10.1(b); provided that so long as any such Foreign Subsidiary Borrower is so designated, it is not required under the laws or regulations of any Governmental Authority to deduct or withhold any Excluded Taxes from any payment made by it under Section 2 or otherwise pursuant to this Agreement. The Borrower may rescind any such designation at any time by notice to the Administrative Agent, which shall notify each Revolving Credit Lender of such rescission.</w:t>
      </w:r>
    </w:p>
    <w:p>
      <w:pPr>
        <w:spacing w:after="0" w:line="191" w:lineRule="exact"/>
        <w:rPr>
          <w:sz w:val="20"/>
          <w:szCs w:val="20"/>
          <w:color w:val="auto"/>
        </w:rPr>
      </w:pPr>
    </w:p>
    <w:p>
      <w:pPr>
        <w:ind w:right="2839" w:firstLine="851"/>
        <w:spacing w:after="0" w:line="262" w:lineRule="auto"/>
        <w:rPr>
          <w:sz w:val="20"/>
          <w:szCs w:val="20"/>
          <w:color w:val="auto"/>
        </w:rPr>
      </w:pPr>
      <w:r>
        <w:rPr>
          <w:rFonts w:ascii="Courier New" w:cs="Courier New" w:eastAsia="Courier New" w:hAnsi="Courier New"/>
          <w:sz w:val="15"/>
          <w:szCs w:val="15"/>
          <w:color w:val="auto"/>
        </w:rPr>
        <w:t>"Reimbursement Obligation" shall mean the Borrower's obligation to reimburse the Administrative Agent or any other Issuing Lender on account of the Letters of Credit as provided in Section 3.</w:t>
      </w:r>
    </w:p>
    <w:p>
      <w:pPr>
        <w:spacing w:after="0" w:line="171"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"Reinvestment Deferred Amount" shall mean with respect to any Reinvestment Event, the aggregate Net Cash Proceeds received by the Borrower or any of its Subsidiaries in connection therewith that are not applied to prepay the Term Loans or reduce the Revolving Commitments pursuant to subsection 2.12(d) as a result of the delivery of a Reinvestment Notice.</w:t>
      </w:r>
    </w:p>
    <w:p>
      <w:pPr>
        <w:spacing w:after="0" w:line="190"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"Reinvestment Event" shall mean any Asset Sale (other than the sale, transfer or discount of Sold Receivables pursuant to any Receivables Purchase Facility) or Recovery Event in respect of which the Borrower has delivered a Reinvestment Notice.</w:t>
      </w:r>
    </w:p>
    <w:p>
      <w:pPr>
        <w:spacing w:after="0" w:line="187" w:lineRule="exact"/>
        <w:rPr>
          <w:sz w:val="20"/>
          <w:szCs w:val="20"/>
          <w:color w:val="auto"/>
        </w:rPr>
      </w:pPr>
    </w:p>
    <w:p>
      <w:pPr>
        <w:ind w:right="2659" w:firstLine="851"/>
        <w:spacing w:after="0" w:line="258" w:lineRule="auto"/>
        <w:rPr>
          <w:sz w:val="20"/>
          <w:szCs w:val="20"/>
          <w:color w:val="auto"/>
        </w:rPr>
      </w:pPr>
      <w:r>
        <w:rPr>
          <w:rFonts w:ascii="Courier New" w:cs="Courier New" w:eastAsia="Courier New" w:hAnsi="Courier New"/>
          <w:sz w:val="15"/>
          <w:szCs w:val="15"/>
          <w:color w:val="auto"/>
        </w:rPr>
        <w:t>"Reinvestment Notice" shall mean a written notice executed by a Responsible Officer stating that no Event of Default has occurred and is continuing and that the Borrower (directly or indirectly through a Subsidiary) intends and expects to use all or a specified portion of the Net Cash Proceeds of an Asset Sale (other than the sale, transfer or discount of Sold Receivables pursuant to any Receivables Purchase Facility) or Recovery Event to acquire assets useful in its business.</w:t>
      </w:r>
    </w:p>
    <w:p>
      <w:pPr>
        <w:spacing w:after="0" w:line="176" w:lineRule="exact"/>
        <w:rPr>
          <w:sz w:val="20"/>
          <w:szCs w:val="20"/>
          <w:color w:val="auto"/>
        </w:rPr>
      </w:pPr>
    </w:p>
    <w:p>
      <w:pPr>
        <w:ind w:right="2659" w:firstLine="851"/>
        <w:spacing w:after="0" w:line="258" w:lineRule="auto"/>
        <w:rPr>
          <w:sz w:val="20"/>
          <w:szCs w:val="20"/>
          <w:color w:val="auto"/>
        </w:rPr>
      </w:pPr>
      <w:r>
        <w:rPr>
          <w:rFonts w:ascii="Courier New" w:cs="Courier New" w:eastAsia="Courier New" w:hAnsi="Courier New"/>
          <w:sz w:val="15"/>
          <w:szCs w:val="15"/>
          <w:color w:val="auto"/>
        </w:rPr>
        <w:t>"Reinvestment Prepayment Amount" shall mean with respect to any Reinvestment Event, the (x) Reinvestment Deferred Amount relating thereto less (y) any amount thereof expended prior to the relevant Reinvestment Prepayment Date (i) to acquire assets useful in the Borrower's business or (ii) to pay the Borrower's reasonable expenses relating to any proposed acquisition of assets useful in such business.</w:t>
      </w:r>
    </w:p>
    <w:p>
      <w:pPr>
        <w:spacing w:after="0" w:line="177"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"Reinvestment Prepayment Date" shall mean with respect to any Reinvestment Event, the earlier of (a) the date occurring six months after such Reinvestment Event and (b) the date on which the Borrower shall have notified the Administrative Agent that it has determined not to, or shall have otherwise ceased to, acquire assets useful in the Borrower's business with all or any portion of the relevant Reinvestment Deferred Amount.</w:t>
      </w:r>
    </w:p>
    <w:p>
      <w:pPr>
        <w:sectPr>
          <w:pgSz w:w="11900" w:h="16838" w:orient="portrait"/>
          <w:cols w:equalWidth="0" w:num="1">
            <w:col w:w="9379"/>
          </w:cols>
          <w:pgMar w:left="1080" w:top="477" w:right="1440" w:bottom="1440" w:gutter="0" w:footer="0" w:header="0"/>
        </w:sectPr>
      </w:pPr>
    </w:p>
    <w:bookmarkStart w:id="425" w:name="page426"/>
    <w:bookmarkEnd w:id="425"/>
    <w:p>
      <w:pPr>
        <w:jc w:val="right"/>
        <w:ind w:right="2659"/>
        <w:spacing w:after="0"/>
        <w:rPr>
          <w:sz w:val="20"/>
          <w:szCs w:val="20"/>
          <w:color w:val="auto"/>
        </w:rPr>
      </w:pPr>
      <w:r>
        <w:rPr>
          <w:rFonts w:ascii="Courier New" w:cs="Courier New" w:eastAsia="Courier New" w:hAnsi="Courier New"/>
          <w:sz w:val="16"/>
          <w:szCs w:val="16"/>
          <w:color w:val="auto"/>
        </w:rPr>
        <w:t>26</w:t>
      </w:r>
    </w:p>
    <w:p>
      <w:pPr>
        <w:spacing w:after="0" w:line="186" w:lineRule="exact"/>
        <w:rPr>
          <w:sz w:val="20"/>
          <w:szCs w:val="20"/>
          <w:color w:val="auto"/>
        </w:rPr>
      </w:pPr>
    </w:p>
    <w:p>
      <w:pPr>
        <w:ind w:right="2759" w:firstLine="851"/>
        <w:spacing w:after="0" w:line="238" w:lineRule="auto"/>
        <w:rPr>
          <w:sz w:val="20"/>
          <w:szCs w:val="20"/>
          <w:color w:val="auto"/>
        </w:rPr>
      </w:pPr>
      <w:r>
        <w:rPr>
          <w:rFonts w:ascii="Courier New" w:cs="Courier New" w:eastAsia="Courier New" w:hAnsi="Courier New"/>
          <w:sz w:val="16"/>
          <w:szCs w:val="16"/>
          <w:color w:val="auto"/>
        </w:rPr>
        <w:t>"Reorganization" shall mean, with respect to any Multi-employer Plan, the condition that such Plan is in reorganization within the meaning of such term as used in Section 4241 of ERISA.</w:t>
      </w:r>
    </w:p>
    <w:p>
      <w:pPr>
        <w:spacing w:after="0" w:line="188"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"Reportable Event" shall mean any of the events set forth in Section 4043(b) of ERISA or the regulations thereunder (with respect to which the PBGC has not, by regulation, waived the 30-day notice requirement).</w:t>
      </w:r>
    </w:p>
    <w:p>
      <w:pPr>
        <w:spacing w:after="0" w:line="187"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"Required Lenders" shall mean at any time, the holders of more than 50% of the sum of (i) the aggregate unpaid principal amount of the Term Loans then outstanding and (ii) the Total Revolving Credit Commitments then in effect or, if the Revolving Credit Commitments have been terminated, the Aggregate Revolving Extensions of Credit then outstanding.</w:t>
      </w:r>
    </w:p>
    <w:p>
      <w:pPr>
        <w:spacing w:after="0" w:line="190" w:lineRule="exact"/>
        <w:rPr>
          <w:sz w:val="20"/>
          <w:szCs w:val="20"/>
          <w:color w:val="auto"/>
        </w:rPr>
      </w:pPr>
    </w:p>
    <w:p>
      <w:pPr>
        <w:ind w:right="2659" w:firstLine="851"/>
        <w:spacing w:after="0" w:line="267" w:lineRule="auto"/>
        <w:rPr>
          <w:sz w:val="20"/>
          <w:szCs w:val="20"/>
          <w:color w:val="auto"/>
        </w:rPr>
      </w:pPr>
      <w:r>
        <w:rPr>
          <w:rFonts w:ascii="Courier New" w:cs="Courier New" w:eastAsia="Courier New" w:hAnsi="Courier New"/>
          <w:sz w:val="15"/>
          <w:szCs w:val="15"/>
          <w:color w:val="auto"/>
        </w:rPr>
        <w:t>"Required Prepayment Lenders" shall mean the Majority Facility Lenders in respect of the Term Facility and the Revolving Facilities.</w:t>
      </w:r>
    </w:p>
    <w:p>
      <w:pPr>
        <w:spacing w:after="0" w:line="168"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"Requirement of Law" shall mean, as to any Person, the Certificate of Incorporation or Articles of Incorporation, as the case may be, and Code of Regulations and/or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7"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"Responsible Officer" shall mean, as to any Person, the Chairman, President or an Executive, Senior or other Vice President (or, in the case of any Foreign Subsidiary, any analogous title) of such Person and, with respect to financial matters, the Chief Financial Officer, the Treasurer or the Controller (or, in the case of any Foreign Subsidiary, any analogous title) of such Person.</w:t>
      </w:r>
    </w:p>
    <w:p>
      <w:pPr>
        <w:spacing w:after="0" w:line="190" w:lineRule="exact"/>
        <w:rPr>
          <w:sz w:val="20"/>
          <w:szCs w:val="20"/>
          <w:color w:val="auto"/>
        </w:rPr>
      </w:pPr>
    </w:p>
    <w:p>
      <w:pPr>
        <w:ind w:right="2759" w:firstLine="851"/>
        <w:spacing w:after="0" w:line="258" w:lineRule="auto"/>
        <w:rPr>
          <w:sz w:val="20"/>
          <w:szCs w:val="20"/>
          <w:color w:val="auto"/>
        </w:rPr>
      </w:pPr>
      <w:r>
        <w:rPr>
          <w:rFonts w:ascii="Courier New" w:cs="Courier New" w:eastAsia="Courier New" w:hAnsi="Courier New"/>
          <w:sz w:val="15"/>
          <w:szCs w:val="15"/>
          <w:color w:val="auto"/>
        </w:rPr>
        <w:t>"Revolving Credit Commitments" shall mean, as to any Lender, such Lender's Facility A Commitments, Facility B Commitments, Facility C Commitments, Facility D Commitments, for all purposes other than Section 2 (other than subsections 2.4 and 2.27 ) and Section 3, Sterling Commitments, Australian Commitments and Canadian Commitments, if any, and such other Commitments under any new Revolving Facility established in accordance with subsection 2.27(b). The original amount of the Total Revolving Credit Commitments is $700,000,000.</w:t>
      </w:r>
    </w:p>
    <w:p>
      <w:pPr>
        <w:spacing w:after="0" w:line="176"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"Revolving Credit Commitment Period" shall mean the period from and including the Closing Date to, but not including, the Revolving Credit Termination Date or such earlier date as the Revolving Credit Commitments may terminate as provided herein.</w:t>
      </w:r>
    </w:p>
    <w:p>
      <w:pPr>
        <w:spacing w:after="0" w:line="187"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"Revolving Credit Lender" shall mean each of the Facility A Lenders, the Facility B Lenders, the Facility C Lenders, the Facility D Lenders and, for all purposes other than Section 2 (other than subsections 2.4 and 2.27) and Section 3, the Australian Dollar Lenders, the Canadian Dollar Lenders and the Sterling Lenders.</w:t>
      </w:r>
    </w:p>
    <w:p>
      <w:pPr>
        <w:sectPr>
          <w:pgSz w:w="11900" w:h="16838" w:orient="portrait"/>
          <w:cols w:equalWidth="0" w:num="1">
            <w:col w:w="9379"/>
          </w:cols>
          <w:pgMar w:left="1080" w:top="477" w:right="1440" w:bottom="1440" w:gutter="0" w:footer="0" w:header="0"/>
        </w:sectPr>
      </w:pPr>
    </w:p>
    <w:bookmarkStart w:id="426" w:name="page427"/>
    <w:bookmarkEnd w:id="426"/>
    <w:p>
      <w:pPr>
        <w:jc w:val="right"/>
        <w:ind w:right="2659"/>
        <w:spacing w:after="0"/>
        <w:rPr>
          <w:sz w:val="20"/>
          <w:szCs w:val="20"/>
          <w:color w:val="auto"/>
        </w:rPr>
      </w:pPr>
      <w:r>
        <w:rPr>
          <w:rFonts w:ascii="Courier New" w:cs="Courier New" w:eastAsia="Courier New" w:hAnsi="Courier New"/>
          <w:sz w:val="16"/>
          <w:szCs w:val="16"/>
          <w:color w:val="auto"/>
        </w:rPr>
        <w:t>27</w:t>
      </w:r>
    </w:p>
    <w:p>
      <w:pPr>
        <w:spacing w:after="0" w:line="186"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"Revolving Credit Loan" shall mean each Facility A Loan, Facility B Loan, Facility C Loan, Facility D Loan and, for all purposes other than Section 2 (other than subsections 2.4 and 2.27) and Section 3, each Sterling Loan, Australian Dollar Loan and Canadian Dollar Loan; collectively, the "Revolving Credit Loans".</w:t>
      </w:r>
    </w:p>
    <w:p>
      <w:pPr>
        <w:spacing w:after="0" w:line="189" w:lineRule="exact"/>
        <w:rPr>
          <w:sz w:val="20"/>
          <w:szCs w:val="20"/>
          <w:color w:val="auto"/>
        </w:rPr>
      </w:pPr>
    </w:p>
    <w:p>
      <w:pPr>
        <w:jc w:val="both"/>
        <w:ind w:right="2659" w:firstLine="851"/>
        <w:spacing w:after="0" w:line="238" w:lineRule="auto"/>
        <w:rPr>
          <w:sz w:val="20"/>
          <w:szCs w:val="20"/>
          <w:color w:val="auto"/>
        </w:rPr>
      </w:pPr>
      <w:r>
        <w:rPr>
          <w:rFonts w:ascii="Courier New" w:cs="Courier New" w:eastAsia="Courier New" w:hAnsi="Courier New"/>
          <w:sz w:val="16"/>
          <w:szCs w:val="16"/>
          <w:color w:val="auto"/>
        </w:rPr>
        <w:t>"Revolving Credit Termination Date" shall be October 22, 2008 or such earlier date on which the Revolving Credit Commitments shall be terminated in accordance with this Agreement.</w:t>
      </w:r>
    </w:p>
    <w:p>
      <w:pPr>
        <w:spacing w:after="0" w:line="188"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"Revolving Extensions of Credit" shall mean, as to any Revolving Credit Lender at any time, an amount equal to the sum of (a) the aggregate principal amount of all Revolving Credit Loans held by such Lender then outstanding, (b) such Lender's Revolving Percentage of the L/C Obligations then outstanding and (c) such Lender's Revolving Percentage of the aggregate principal amount of Swing Line Loans then outstanding.</w:t>
      </w:r>
    </w:p>
    <w:p>
      <w:pPr>
        <w:spacing w:after="0" w:line="192" w:lineRule="exact"/>
        <w:rPr>
          <w:sz w:val="20"/>
          <w:szCs w:val="20"/>
          <w:color w:val="auto"/>
        </w:rPr>
      </w:pPr>
    </w:p>
    <w:p>
      <w:pPr>
        <w:ind w:right="2659" w:firstLine="851"/>
        <w:spacing w:after="0" w:line="257" w:lineRule="auto"/>
        <w:rPr>
          <w:sz w:val="20"/>
          <w:szCs w:val="20"/>
          <w:color w:val="auto"/>
        </w:rPr>
      </w:pPr>
      <w:r>
        <w:rPr>
          <w:rFonts w:ascii="Courier New" w:cs="Courier New" w:eastAsia="Courier New" w:hAnsi="Courier New"/>
          <w:sz w:val="15"/>
          <w:szCs w:val="15"/>
          <w:color w:val="auto"/>
        </w:rPr>
        <w:t>"Revolving Facilities" shall mean, without duplication, (a) the Facility A Commitments together with the Aggregate Facility A Revolving Extensions of Credit ("Facility A"); the Facility B Commitments together with the Aggregate Facility B Revolving Extensions of Credit ("Facility B"); the Facility C Commitments together with the Aggregate Facility C Revolving Extensions of Credit ("Facility C"); the Facility D Commitments together with the Aggregate Facility D Revolving Extensions of Credit ("Facility D"); and, for all purposes other than Section 2 (other than subsections 2.4 and 2.27) and Section 3, the Sterling Commitments together with the Aggregate Sterling Revolving Extensions of Credit (the "Sterling Facility"); the Australian Commitments together with the Aggregate Australian Revolving Extensions of Credit (the "Australian Facility"); the Canadian Commitments together with the Aggregate Canadian Revolving Extensions of Credit (the "Canadian Facility"), or any other Revolving Facility established pursuant to subsection 2.27(b).</w:t>
      </w:r>
    </w:p>
    <w:p>
      <w:pPr>
        <w:spacing w:after="0" w:line="363"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"Revolving Percentage" shall mean, as to any Revolving Credit Lender in respect of any Revolving Facility at any time, the percentage which such Lender's Revolving Credit Commitment under such Revolving Facility then constitutes of the aggregate Revolving Credit Commitments in respect of such Revolving Facility (or, at any time after the Revolving Credit Commitments shall have expired or terminated, the percentage which the aggregate principal amount of such Lender's Revolving Extension of Credit under any Revolving Facility then outstanding constitutes of the aggregate principal amount of the Revolving Extension of Credit in respect of such Revolving Facility then outstanding).</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"S&amp;P" shall mean Standard &amp; Poor's Ratings Services.</w:t>
      </w:r>
    </w:p>
    <w:p>
      <w:pPr>
        <w:spacing w:after="0" w:line="186"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"Screen" shall mean, with respect to any currency, the relevant Telerate Page on which appears the LIBOR Base Rate for deposits in such currency; provided that, if there is no such Telerate Page, the relevant Bloomberg Financial Markets Service page will be substituted.</w:t>
      </w:r>
    </w:p>
    <w:p>
      <w:pPr>
        <w:sectPr>
          <w:pgSz w:w="11900" w:h="16838" w:orient="portrait"/>
          <w:cols w:equalWidth="0" w:num="1">
            <w:col w:w="9379"/>
          </w:cols>
          <w:pgMar w:left="1080" w:top="476" w:right="1440" w:bottom="1440" w:gutter="0" w:footer="0" w:header="0"/>
        </w:sectPr>
      </w:pPr>
    </w:p>
    <w:bookmarkStart w:id="427" w:name="page428"/>
    <w:bookmarkEnd w:id="427"/>
    <w:p>
      <w:pPr>
        <w:jc w:val="right"/>
        <w:ind w:right="2659"/>
        <w:spacing w:after="0"/>
        <w:rPr>
          <w:sz w:val="20"/>
          <w:szCs w:val="20"/>
          <w:color w:val="auto"/>
        </w:rPr>
      </w:pPr>
      <w:r>
        <w:rPr>
          <w:rFonts w:ascii="Courier New" w:cs="Courier New" w:eastAsia="Courier New" w:hAnsi="Courier New"/>
          <w:sz w:val="16"/>
          <w:szCs w:val="16"/>
          <w:color w:val="auto"/>
        </w:rPr>
        <w:t>28</w:t>
      </w:r>
    </w:p>
    <w:p>
      <w:pPr>
        <w:spacing w:after="0" w:line="186" w:lineRule="exact"/>
        <w:rPr>
          <w:sz w:val="20"/>
          <w:szCs w:val="20"/>
          <w:color w:val="auto"/>
        </w:rPr>
      </w:pPr>
    </w:p>
    <w:p>
      <w:pPr>
        <w:ind w:right="3219" w:firstLine="851"/>
        <w:spacing w:after="0" w:line="237" w:lineRule="auto"/>
        <w:rPr>
          <w:sz w:val="20"/>
          <w:szCs w:val="20"/>
          <w:color w:val="auto"/>
        </w:rPr>
      </w:pPr>
      <w:r>
        <w:rPr>
          <w:rFonts w:ascii="Courier New" w:cs="Courier New" w:eastAsia="Courier New" w:hAnsi="Courier New"/>
          <w:sz w:val="16"/>
          <w:szCs w:val="16"/>
          <w:color w:val="auto"/>
        </w:rPr>
        <w:t>"Security Document" shall mean each of the Guarantee and Collateral Agreements and the Mortgages.</w:t>
      </w:r>
    </w:p>
    <w:p>
      <w:pPr>
        <w:spacing w:after="0" w:line="188"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"Senior Indebtedness" shall mean, in respect of the Borrower at a particular date, Total Indebtedness other than the Subordinated Debt and any other subordinated Indebtedness of the Borrower that would be set forth as subordinated Indebtedness on a consolidated balance sheet of the Borrower and its consolidated Subsidiaries as of such date provided that, for the purpose of calculating the Senior Leverage Ratio for any period, Senior Indebtedness shall be reduced by excess cash balances set forth on the balance sheet of the Borrower as at such date.</w:t>
      </w:r>
    </w:p>
    <w:p>
      <w:pPr>
        <w:spacing w:after="0" w:line="188"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"Senior Leverage Ratio" shall mean, as at the last day of any fiscal quarter of the Borrower, the ratio of (i) Average Senior Indebtedness of the Borrower and its Subsidiaries on such day to (ii) EBITDA for the four consecutive fiscal quarters ending on such day; provided any calculation of the above ratio following any acquisition made during the twelve-month period covered by such calculation, by purchase or otherwise, of all or substantially all of the business or assets of any Person or of any line of business of any Person shall be determined on a pro forma basis without duplication, including (x) in Average Senior Indebtedness and in the amount of preferred stock accruals an annualization of the actual Senior Indebtedness or preferred stock accruals relating to such acquisition for the portion of such twelve-month period since the date of such acquisition (or, if such acquisition occurred on the last day of a fiscal quarter, an annualization estimate of the daily Senior Indebtedness or preferred stock accruals relating to such acquisition based on the indebtedness incurred and based on the current Interest Rates for such indebtedness or preferred stock issued on such date) and (y) in EBITDA the EBITDA of the acquired Person for any portion of such twelve-month period prior to such acquisition.</w:t>
      </w:r>
    </w:p>
    <w:p>
      <w:pPr>
        <w:spacing w:after="0" w:line="194"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"Senior Subordinated Note Indenture" shall mean the Indenture entered into by the Borrower on October 8, 2003 together with all instruments and other agreements to be entered into by the Borrower and its Subsidiaries in connection therewith, as the same may be amended, supplemented or otherwise modified from time to time in accordance with subsection 7.12.</w:t>
      </w:r>
    </w:p>
    <w:p>
      <w:pPr>
        <w:spacing w:after="0" w:line="190" w:lineRule="exact"/>
        <w:rPr>
          <w:sz w:val="20"/>
          <w:szCs w:val="20"/>
          <w:color w:val="auto"/>
        </w:rPr>
      </w:pPr>
    </w:p>
    <w:p>
      <w:pPr>
        <w:ind w:right="3039" w:firstLine="851"/>
        <w:spacing w:after="0" w:line="238" w:lineRule="auto"/>
        <w:rPr>
          <w:sz w:val="20"/>
          <w:szCs w:val="20"/>
          <w:color w:val="auto"/>
        </w:rPr>
      </w:pPr>
      <w:r>
        <w:rPr>
          <w:rFonts w:ascii="Courier New" w:cs="Courier New" w:eastAsia="Courier New" w:hAnsi="Courier New"/>
          <w:sz w:val="16"/>
          <w:szCs w:val="16"/>
          <w:color w:val="auto"/>
        </w:rPr>
        <w:t>"Senior Subordinated Notes" shall mean senior subordinated notes of the Borrower issued under the Senior Subordinated Note Indenture.</w:t>
      </w:r>
    </w:p>
    <w:p>
      <w:pPr>
        <w:spacing w:after="0" w:line="188" w:lineRule="exact"/>
        <w:rPr>
          <w:sz w:val="20"/>
          <w:szCs w:val="20"/>
          <w:color w:val="auto"/>
        </w:rPr>
      </w:pPr>
    </w:p>
    <w:p>
      <w:pPr>
        <w:ind w:right="2659" w:firstLine="851"/>
        <w:spacing w:after="0" w:line="237" w:lineRule="auto"/>
        <w:rPr>
          <w:sz w:val="20"/>
          <w:szCs w:val="20"/>
          <w:color w:val="auto"/>
        </w:rPr>
      </w:pPr>
      <w:r>
        <w:rPr>
          <w:rFonts w:ascii="Courier New" w:cs="Courier New" w:eastAsia="Courier New" w:hAnsi="Courier New"/>
          <w:sz w:val="16"/>
          <w:szCs w:val="16"/>
          <w:color w:val="auto"/>
        </w:rPr>
        <w:t>"Single Employer Plan" shall mean any Plan which is covered by Title IV of ERISA but which is not a Multi-employer Plan.</w:t>
      </w:r>
    </w:p>
    <w:p>
      <w:pPr>
        <w:spacing w:after="0" w:line="188"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"Sold Receivables" shall mean Receivables of the Borrower in an aggregate amount not to exceed $125,000,000 sold to the Receivables Subsidiary or any other Person pursuant to and securing obligations under any Receivables Purchase Facility.</w:t>
      </w:r>
    </w:p>
    <w:p>
      <w:pPr>
        <w:spacing w:after="0" w:line="187" w:lineRule="exact"/>
        <w:rPr>
          <w:sz w:val="20"/>
          <w:szCs w:val="20"/>
          <w:color w:val="auto"/>
        </w:rPr>
      </w:pPr>
    </w:p>
    <w:p>
      <w:pPr>
        <w:ind w:right="2839" w:firstLine="851"/>
        <w:spacing w:after="0" w:line="239" w:lineRule="auto"/>
        <w:rPr>
          <w:sz w:val="20"/>
          <w:szCs w:val="20"/>
          <w:color w:val="auto"/>
        </w:rPr>
      </w:pPr>
      <w:r>
        <w:rPr>
          <w:rFonts w:ascii="Courier New" w:cs="Courier New" w:eastAsia="Courier New" w:hAnsi="Courier New"/>
          <w:sz w:val="16"/>
          <w:szCs w:val="16"/>
          <w:color w:val="auto"/>
        </w:rPr>
        <w:t>"Solvent", when used with respect to any Person, shall mean that, as of any date of determination, (a) the amount of the "present fair saleable value" of the assets of such Person will, as of such date, exceed the amount of all "liabilities of such Person,</w:t>
      </w:r>
    </w:p>
    <w:p>
      <w:pPr>
        <w:sectPr>
          <w:pgSz w:w="11900" w:h="16838" w:orient="portrait"/>
          <w:cols w:equalWidth="0" w:num="1">
            <w:col w:w="9379"/>
          </w:cols>
          <w:pgMar w:left="1080" w:top="477" w:right="1440" w:bottom="1440" w:gutter="0" w:footer="0" w:header="0"/>
        </w:sectPr>
      </w:pPr>
    </w:p>
    <w:bookmarkStart w:id="428" w:name="page429"/>
    <w:bookmarkEnd w:id="428"/>
    <w:p>
      <w:pPr>
        <w:jc w:val="right"/>
        <w:ind w:right="2659"/>
        <w:spacing w:after="0"/>
        <w:rPr>
          <w:sz w:val="20"/>
          <w:szCs w:val="20"/>
          <w:color w:val="auto"/>
        </w:rPr>
      </w:pPr>
      <w:r>
        <w:rPr>
          <w:rFonts w:ascii="Courier New" w:cs="Courier New" w:eastAsia="Courier New" w:hAnsi="Courier New"/>
          <w:sz w:val="16"/>
          <w:szCs w:val="16"/>
          <w:color w:val="auto"/>
        </w:rPr>
        <w:t>29</w:t>
      </w:r>
    </w:p>
    <w:p>
      <w:pPr>
        <w:spacing w:after="0" w:line="186" w:lineRule="exact"/>
        <w:rPr>
          <w:sz w:val="20"/>
          <w:szCs w:val="20"/>
          <w:color w:val="auto"/>
        </w:rPr>
      </w:pPr>
    </w:p>
    <w:p>
      <w:pPr>
        <w:ind w:right="2659"/>
        <w:spacing w:after="0" w:line="256" w:lineRule="auto"/>
        <w:rPr>
          <w:sz w:val="20"/>
          <w:szCs w:val="20"/>
          <w:color w:val="auto"/>
        </w:rPr>
      </w:pPr>
      <w:r>
        <w:rPr>
          <w:rFonts w:ascii="Courier New" w:cs="Courier New" w:eastAsia="Courier New" w:hAnsi="Courier New"/>
          <w:sz w:val="15"/>
          <w:szCs w:val="15"/>
          <w:color w:val="auto"/>
        </w:rPr>
        <w:t>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w:t>
      </w:r>
    </w:p>
    <w:p>
      <w:pPr>
        <w:spacing w:after="0" w:line="4" w:lineRule="exact"/>
        <w:rPr>
          <w:sz w:val="20"/>
          <w:szCs w:val="20"/>
          <w:color w:val="auto"/>
        </w:rPr>
      </w:pPr>
    </w:p>
    <w:p>
      <w:pPr>
        <w:ind w:right="2659" w:firstLine="8"/>
        <w:spacing w:after="0" w:line="257" w:lineRule="auto"/>
        <w:tabs>
          <w:tab w:leader="none" w:pos="378"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 will not have, as of such date, an unreasonably small amount of capital with which to conduct its business, and (d) such Person will be able to pay its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81" w:lineRule="exact"/>
        <w:rPr>
          <w:sz w:val="20"/>
          <w:szCs w:val="20"/>
          <w:color w:val="auto"/>
        </w:rPr>
      </w:pPr>
    </w:p>
    <w:p>
      <w:pPr>
        <w:ind w:right="2839" w:firstLine="851"/>
        <w:spacing w:after="0" w:line="237" w:lineRule="auto"/>
        <w:rPr>
          <w:sz w:val="20"/>
          <w:szCs w:val="20"/>
          <w:color w:val="auto"/>
        </w:rPr>
      </w:pPr>
      <w:r>
        <w:rPr>
          <w:rFonts w:ascii="Courier New" w:cs="Courier New" w:eastAsia="Courier New" w:hAnsi="Courier New"/>
          <w:sz w:val="16"/>
          <w:szCs w:val="16"/>
          <w:color w:val="auto"/>
        </w:rPr>
        <w:t>"Standby L/C" and "Standby L/Cs" shall each have the meaning specified in subsection 3.1(a).</w:t>
      </w:r>
    </w:p>
    <w:p>
      <w:pPr>
        <w:spacing w:after="0" w:line="188" w:lineRule="exact"/>
        <w:rPr>
          <w:sz w:val="20"/>
          <w:szCs w:val="20"/>
          <w:color w:val="auto"/>
        </w:rPr>
      </w:pPr>
    </w:p>
    <w:p>
      <w:pPr>
        <w:ind w:right="3039" w:firstLine="851"/>
        <w:spacing w:after="0" w:line="237" w:lineRule="auto"/>
        <w:rPr>
          <w:sz w:val="20"/>
          <w:szCs w:val="20"/>
          <w:color w:val="auto"/>
        </w:rPr>
      </w:pPr>
      <w:r>
        <w:rPr>
          <w:rFonts w:ascii="Courier New" w:cs="Courier New" w:eastAsia="Courier New" w:hAnsi="Courier New"/>
          <w:sz w:val="16"/>
          <w:szCs w:val="16"/>
          <w:color w:val="auto"/>
        </w:rPr>
        <w:t>"Sterling" shall have the meaning assigned to such term in Annex B hereto.</w:t>
      </w:r>
    </w:p>
    <w:p>
      <w:pPr>
        <w:spacing w:after="0" w:line="188" w:lineRule="exact"/>
        <w:rPr>
          <w:sz w:val="20"/>
          <w:szCs w:val="20"/>
          <w:color w:val="auto"/>
        </w:rPr>
      </w:pPr>
    </w:p>
    <w:p>
      <w:pPr>
        <w:ind w:right="2659" w:firstLine="851"/>
        <w:spacing w:after="0" w:line="237" w:lineRule="auto"/>
        <w:rPr>
          <w:sz w:val="20"/>
          <w:szCs w:val="20"/>
          <w:color w:val="auto"/>
        </w:rPr>
      </w:pPr>
      <w:r>
        <w:rPr>
          <w:rFonts w:ascii="Courier New" w:cs="Courier New" w:eastAsia="Courier New" w:hAnsi="Courier New"/>
          <w:sz w:val="16"/>
          <w:szCs w:val="16"/>
          <w:color w:val="auto"/>
        </w:rPr>
        <w:t>"Sterling Commitments" shall have the meaning assigned to such term in Annex B hereto.</w:t>
      </w:r>
    </w:p>
    <w:p>
      <w:pPr>
        <w:spacing w:after="0" w:line="188" w:lineRule="exact"/>
        <w:rPr>
          <w:sz w:val="20"/>
          <w:szCs w:val="20"/>
          <w:color w:val="auto"/>
        </w:rPr>
      </w:pPr>
    </w:p>
    <w:p>
      <w:pPr>
        <w:ind w:right="2759" w:firstLine="851"/>
        <w:spacing w:after="0" w:line="237" w:lineRule="auto"/>
        <w:rPr>
          <w:sz w:val="20"/>
          <w:szCs w:val="20"/>
          <w:color w:val="auto"/>
        </w:rPr>
      </w:pPr>
      <w:r>
        <w:rPr>
          <w:rFonts w:ascii="Courier New" w:cs="Courier New" w:eastAsia="Courier New" w:hAnsi="Courier New"/>
          <w:sz w:val="16"/>
          <w:szCs w:val="16"/>
          <w:color w:val="auto"/>
        </w:rPr>
        <w:t>"Sterling L/C Obligations" shall have the meaning assigned to such term in Annex B hereto.</w:t>
      </w:r>
    </w:p>
    <w:p>
      <w:pPr>
        <w:spacing w:after="0" w:line="188"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"Sterling Lender" shall mean each Lender that has a Sterling Commitment or that holds Sterling Loans; collectively, the "Sterling Lenders". Each Sterling Lender on the date hereof represents that it is an Eligible U.K. Bank.</w:t>
      </w:r>
    </w:p>
    <w:p>
      <w:pPr>
        <w:spacing w:after="0" w:line="187" w:lineRule="exact"/>
        <w:rPr>
          <w:sz w:val="20"/>
          <w:szCs w:val="20"/>
          <w:color w:val="auto"/>
        </w:rPr>
      </w:pPr>
    </w:p>
    <w:p>
      <w:pPr>
        <w:ind w:right="2759" w:firstLine="851"/>
        <w:spacing w:after="0" w:line="237" w:lineRule="auto"/>
        <w:rPr>
          <w:sz w:val="20"/>
          <w:szCs w:val="20"/>
          <w:color w:val="auto"/>
        </w:rPr>
      </w:pPr>
      <w:r>
        <w:rPr>
          <w:rFonts w:ascii="Courier New" w:cs="Courier New" w:eastAsia="Courier New" w:hAnsi="Courier New"/>
          <w:sz w:val="16"/>
          <w:szCs w:val="16"/>
          <w:color w:val="auto"/>
        </w:rPr>
        <w:t>"Sterling Loan" shall mean any Sterling Loan made pursuant to Annex B hereto; collectively, the "Sterling Loans".</w:t>
      </w:r>
    </w:p>
    <w:p>
      <w:pPr>
        <w:spacing w:after="0" w:line="188" w:lineRule="exact"/>
        <w:rPr>
          <w:sz w:val="20"/>
          <w:szCs w:val="20"/>
          <w:color w:val="auto"/>
        </w:rPr>
      </w:pPr>
    </w:p>
    <w:p>
      <w:pPr>
        <w:ind w:right="2759" w:firstLine="851"/>
        <w:spacing w:after="0" w:line="258" w:lineRule="auto"/>
        <w:rPr>
          <w:sz w:val="20"/>
          <w:szCs w:val="20"/>
          <w:color w:val="auto"/>
        </w:rPr>
      </w:pPr>
      <w:r>
        <w:rPr>
          <w:rFonts w:ascii="Courier New" w:cs="Courier New" w:eastAsia="Courier New" w:hAnsi="Courier New"/>
          <w:sz w:val="15"/>
          <w:szCs w:val="15"/>
          <w:color w:val="auto"/>
        </w:rPr>
        <w:t>"Sterling Subsidiary Borrower" shall mean Miracle Garden Care Limited, OM Scott International Investments Ltd., Scotts Holdings Limited and The Scotts Company (UK) Ltd. or any other Foreign Subsidiary Borrower organized under the laws of the United Kingdom and designated as such by the Borrower in a notice to the Administrative Agent, which shall notify each Sterling Lender thereof.</w:t>
      </w:r>
    </w:p>
    <w:p>
      <w:pPr>
        <w:spacing w:after="0" w:line="177" w:lineRule="exact"/>
        <w:rPr>
          <w:sz w:val="20"/>
          <w:szCs w:val="20"/>
          <w:color w:val="auto"/>
        </w:rPr>
      </w:pPr>
    </w:p>
    <w:p>
      <w:pPr>
        <w:ind w:right="2759" w:firstLine="851"/>
        <w:spacing w:after="0" w:line="237" w:lineRule="auto"/>
        <w:rPr>
          <w:sz w:val="20"/>
          <w:szCs w:val="20"/>
          <w:color w:val="auto"/>
        </w:rPr>
      </w:pPr>
      <w:r>
        <w:rPr>
          <w:rFonts w:ascii="Courier New" w:cs="Courier New" w:eastAsia="Courier New" w:hAnsi="Courier New"/>
          <w:sz w:val="16"/>
          <w:szCs w:val="16"/>
          <w:color w:val="auto"/>
        </w:rPr>
        <w:t>"Sterling Swing Line Lenders" shall have the meaning assigned to such term in Annex B hereto.</w:t>
      </w:r>
    </w:p>
    <w:p>
      <w:pPr>
        <w:spacing w:after="0" w:line="188" w:lineRule="exact"/>
        <w:rPr>
          <w:sz w:val="20"/>
          <w:szCs w:val="20"/>
          <w:color w:val="auto"/>
        </w:rPr>
      </w:pPr>
    </w:p>
    <w:p>
      <w:pPr>
        <w:ind w:right="2659" w:firstLine="851"/>
        <w:spacing w:after="0" w:line="237" w:lineRule="auto"/>
        <w:rPr>
          <w:sz w:val="20"/>
          <w:szCs w:val="20"/>
          <w:color w:val="auto"/>
        </w:rPr>
      </w:pPr>
      <w:r>
        <w:rPr>
          <w:rFonts w:ascii="Courier New" w:cs="Courier New" w:eastAsia="Courier New" w:hAnsi="Courier New"/>
          <w:sz w:val="16"/>
          <w:szCs w:val="16"/>
          <w:color w:val="auto"/>
        </w:rPr>
        <w:t>"Sterling Swing Line Loans" shall have the meaning assigned to such term in Annex B hereto.</w:t>
      </w:r>
    </w:p>
    <w:p>
      <w:pPr>
        <w:spacing w:after="0" w:line="188" w:lineRule="exact"/>
        <w:rPr>
          <w:sz w:val="20"/>
          <w:szCs w:val="20"/>
          <w:color w:val="auto"/>
        </w:rPr>
      </w:pPr>
    </w:p>
    <w:p>
      <w:pPr>
        <w:ind w:right="3039" w:firstLine="851"/>
        <w:spacing w:after="0" w:line="239" w:lineRule="auto"/>
        <w:rPr>
          <w:sz w:val="20"/>
          <w:szCs w:val="20"/>
          <w:color w:val="auto"/>
        </w:rPr>
      </w:pPr>
      <w:r>
        <w:rPr>
          <w:rFonts w:ascii="Courier New" w:cs="Courier New" w:eastAsia="Courier New" w:hAnsi="Courier New"/>
          <w:sz w:val="16"/>
          <w:szCs w:val="16"/>
          <w:color w:val="auto"/>
        </w:rPr>
        <w:t>"Subordinated Debt" shall mean the Indebtedness of the Borrower pursuant to the Senior Subordinated Note Indenture and the Senior Subordinated Notes and the Subordinated Debt permitted under subsections 7.6(e), 7.6(f) and 7.6(g).</w:t>
      </w:r>
    </w:p>
    <w:p>
      <w:pPr>
        <w:sectPr>
          <w:pgSz w:w="11900" w:h="16838" w:orient="portrait"/>
          <w:cols w:equalWidth="0" w:num="1">
            <w:col w:w="9379"/>
          </w:cols>
          <w:pgMar w:left="1080" w:top="477" w:right="1440" w:bottom="1440" w:gutter="0" w:footer="0" w:header="0"/>
        </w:sectPr>
      </w:pPr>
    </w:p>
    <w:bookmarkStart w:id="429" w:name="page430"/>
    <w:bookmarkEnd w:id="429"/>
    <w:p>
      <w:pPr>
        <w:ind w:left="6440"/>
        <w:spacing w:after="0"/>
        <w:rPr>
          <w:sz w:val="20"/>
          <w:szCs w:val="20"/>
          <w:color w:val="auto"/>
        </w:rPr>
      </w:pPr>
      <w:r>
        <w:rPr>
          <w:rFonts w:ascii="Courier New" w:cs="Courier New" w:eastAsia="Courier New" w:hAnsi="Courier New"/>
          <w:sz w:val="16"/>
          <w:szCs w:val="16"/>
          <w:color w:val="auto"/>
        </w:rPr>
        <w:t>30</w:t>
      </w:r>
    </w:p>
    <w:p>
      <w:pPr>
        <w:spacing w:after="0" w:line="186"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"Subsidiary" shall mean, as to any Person, a corporation, partnership, limited liability company, business trust, joint stock company, trust, unincorporated association, joint venture or the European equivalent thereof of which shares of Capital Stock having ordinary voting power (other than Capital Stock having such power only by reason of the happening of a contingency) to elect a majority of the board of directors or equivalent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w:t>
      </w:r>
    </w:p>
    <w:p>
      <w:pPr>
        <w:spacing w:after="0" w:line="189"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"Subsidiary Borrowers" shall mean Hyponex Corporation, Miracle Garden Care Limited, OM Scott International Investments Ltd., Scotts Australia Pty. Ltd., Scotts Canada, Ltd., Scotts Holdings Limited, Scotts Manufacturing Company, Scotts-Sierra Horticultural Products Company, Scotts-Sierra Investments, Inc., Scotts Temecula Operations, LLC, Scotts Treasury EEIG, The Scotts Company (UK) Ltd. and all existing or future, Domestic or Foreign, Subsidiaries then designated by the Borrower pursuant to subsection 10.1(b)</w:t>
      </w:r>
    </w:p>
    <w:p>
      <w:pPr>
        <w:spacing w:after="0" w:line="187"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"Subsidiary Guarantors" shall mean (a) each Domestic Subsidiary of the Borrower and (b) each Domestic Subsidiary acquired or organized subsequent to the Closing Date, except as otherwise provided in subsection 6.11(c).</w:t>
      </w:r>
    </w:p>
    <w:p>
      <w:pPr>
        <w:spacing w:after="0" w:line="187" w:lineRule="exact"/>
        <w:rPr>
          <w:sz w:val="20"/>
          <w:szCs w:val="20"/>
          <w:color w:val="auto"/>
        </w:rPr>
      </w:pPr>
    </w:p>
    <w:p>
      <w:pPr>
        <w:ind w:right="3319" w:firstLine="851"/>
        <w:spacing w:after="0" w:line="237" w:lineRule="auto"/>
        <w:rPr>
          <w:sz w:val="20"/>
          <w:szCs w:val="20"/>
          <w:color w:val="auto"/>
        </w:rPr>
      </w:pPr>
      <w:r>
        <w:rPr>
          <w:rFonts w:ascii="Courier New" w:cs="Courier New" w:eastAsia="Courier New" w:hAnsi="Courier New"/>
          <w:sz w:val="16"/>
          <w:szCs w:val="16"/>
          <w:color w:val="auto"/>
        </w:rPr>
        <w:t>"Supported Foreign Indebtedness" shall have the meaning specified in subsection 7.6(m).</w:t>
      </w:r>
    </w:p>
    <w:p>
      <w:pPr>
        <w:spacing w:after="0" w:line="188" w:lineRule="exact"/>
        <w:rPr>
          <w:sz w:val="20"/>
          <w:szCs w:val="20"/>
          <w:color w:val="auto"/>
        </w:rPr>
      </w:pPr>
    </w:p>
    <w:p>
      <w:pPr>
        <w:ind w:right="2659" w:firstLine="851"/>
        <w:spacing w:after="0" w:line="238" w:lineRule="auto"/>
        <w:rPr>
          <w:sz w:val="20"/>
          <w:szCs w:val="20"/>
          <w:color w:val="auto"/>
        </w:rPr>
      </w:pPr>
      <w:r>
        <w:rPr>
          <w:rFonts w:ascii="Courier New" w:cs="Courier New" w:eastAsia="Courier New" w:hAnsi="Courier New"/>
          <w:sz w:val="16"/>
          <w:szCs w:val="16"/>
          <w:color w:val="auto"/>
        </w:rPr>
        <w:t>"Swing Line Commitment" shall mean the obligation of the Swing Line Lenders, at any date, to make a Swing Line Loan pursuant to subsection 2.6(a) in the amount referred to therein.</w:t>
      </w:r>
    </w:p>
    <w:p>
      <w:pPr>
        <w:spacing w:after="0" w:line="188" w:lineRule="exact"/>
        <w:rPr>
          <w:sz w:val="20"/>
          <w:szCs w:val="20"/>
          <w:color w:val="auto"/>
        </w:rPr>
      </w:pPr>
    </w:p>
    <w:p>
      <w:pPr>
        <w:ind w:right="3219" w:firstLine="851"/>
        <w:spacing w:after="0" w:line="237" w:lineRule="auto"/>
        <w:rPr>
          <w:sz w:val="20"/>
          <w:szCs w:val="20"/>
          <w:color w:val="auto"/>
        </w:rPr>
      </w:pPr>
      <w:r>
        <w:rPr>
          <w:rFonts w:ascii="Courier New" w:cs="Courier New" w:eastAsia="Courier New" w:hAnsi="Courier New"/>
          <w:sz w:val="16"/>
          <w:szCs w:val="16"/>
          <w:color w:val="auto"/>
        </w:rPr>
        <w:t>"Swing Line Loan Participation Certificate" shall mean a certificate, substantially in the form of Exhibit C hereto.</w:t>
      </w:r>
    </w:p>
    <w:p>
      <w:pPr>
        <w:spacing w:after="0" w:line="188" w:lineRule="exact"/>
        <w:rPr>
          <w:sz w:val="20"/>
          <w:szCs w:val="20"/>
          <w:color w:val="auto"/>
        </w:rPr>
      </w:pPr>
    </w:p>
    <w:p>
      <w:pPr>
        <w:jc w:val="both"/>
        <w:ind w:right="2759" w:firstLine="851"/>
        <w:spacing w:after="0" w:line="238" w:lineRule="auto"/>
        <w:rPr>
          <w:sz w:val="20"/>
          <w:szCs w:val="20"/>
          <w:color w:val="auto"/>
        </w:rPr>
      </w:pPr>
      <w:r>
        <w:rPr>
          <w:rFonts w:ascii="Courier New" w:cs="Courier New" w:eastAsia="Courier New" w:hAnsi="Courier New"/>
          <w:sz w:val="16"/>
          <w:szCs w:val="16"/>
          <w:color w:val="auto"/>
        </w:rPr>
        <w:t>"Swing Line Lenders" shall mean JPMCB or such other Revolving Credit Lenders as may be requested by the Administrative Agent to make Swing Line Loans from time to time.</w:t>
      </w:r>
    </w:p>
    <w:p>
      <w:pPr>
        <w:spacing w:after="0" w:line="188"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"Swing Line Loan" shall mean any Swing Line Loan made under the Facility A Commitments, the Facility B Commitments, the Facility C Commitments and the Facility D Commitments pursuant to subsection 2.6; collectively, the "Swing Line Loans".</w:t>
      </w:r>
    </w:p>
    <w:p>
      <w:pPr>
        <w:spacing w:after="0" w:line="187"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"Telerate Page" shall mean the "British Bankers Assoc. Interest Settlement Rates Page" display designated at Page 3750 (or such other page on which euros or any Optional Currency then appears) on the Moneyline Telerate (or such other page as may replace such page on such service for the purpose of displaying the rates at which Dollar deposits or deposits in euros or any Optional Currency are offered by leading banks in the London interbank deposit market).</w:t>
      </w:r>
    </w:p>
    <w:p>
      <w:pPr>
        <w:sectPr>
          <w:pgSz w:w="11900" w:h="16838" w:orient="portrait"/>
          <w:cols w:equalWidth="0" w:num="1">
            <w:col w:w="9379"/>
          </w:cols>
          <w:pgMar w:left="1080" w:top="477" w:right="1440" w:bottom="1440" w:gutter="0" w:footer="0" w:header="0"/>
        </w:sectPr>
      </w:pPr>
    </w:p>
    <w:bookmarkStart w:id="430" w:name="page431"/>
    <w:bookmarkEnd w:id="430"/>
    <w:p>
      <w:pPr>
        <w:jc w:val="right"/>
        <w:ind w:right="2659"/>
        <w:spacing w:after="0"/>
        <w:rPr>
          <w:sz w:val="20"/>
          <w:szCs w:val="20"/>
          <w:color w:val="auto"/>
        </w:rPr>
      </w:pPr>
      <w:r>
        <w:rPr>
          <w:rFonts w:ascii="Courier New" w:cs="Courier New" w:eastAsia="Courier New" w:hAnsi="Courier New"/>
          <w:sz w:val="16"/>
          <w:szCs w:val="16"/>
          <w:color w:val="auto"/>
        </w:rPr>
        <w:t>31</w:t>
      </w:r>
    </w:p>
    <w:p>
      <w:pPr>
        <w:spacing w:after="0" w:line="186" w:lineRule="exact"/>
        <w:rPr>
          <w:sz w:val="20"/>
          <w:szCs w:val="20"/>
          <w:color w:val="auto"/>
        </w:rPr>
      </w:pPr>
    </w:p>
    <w:p>
      <w:pPr>
        <w:ind w:right="2659" w:firstLine="851"/>
        <w:spacing w:after="0" w:line="259" w:lineRule="auto"/>
        <w:rPr>
          <w:sz w:val="20"/>
          <w:szCs w:val="20"/>
          <w:color w:val="auto"/>
        </w:rPr>
      </w:pPr>
      <w:r>
        <w:rPr>
          <w:rFonts w:ascii="Courier New" w:cs="Courier New" w:eastAsia="Courier New" w:hAnsi="Courier New"/>
          <w:sz w:val="15"/>
          <w:szCs w:val="15"/>
          <w:color w:val="auto"/>
        </w:rPr>
        <w:t>"Term Commitments" shall mean, as to any Term Lender, the obligation of such Lender to make a Term Loan to the Borrower hereunder in a principal amount not to exceed the amount set forth under the heading "Term Commitment" opposite such Lender's name on Schedule 1. The original amount of the Term Commitments is $500,000,000.</w:t>
      </w:r>
    </w:p>
    <w:p>
      <w:pPr>
        <w:spacing w:after="0" w:line="174" w:lineRule="exact"/>
        <w:rPr>
          <w:sz w:val="20"/>
          <w:szCs w:val="20"/>
          <w:color w:val="auto"/>
        </w:rPr>
      </w:pPr>
    </w:p>
    <w:p>
      <w:pPr>
        <w:ind w:right="3599" w:firstLine="851"/>
        <w:spacing w:after="0" w:line="237" w:lineRule="auto"/>
        <w:rPr>
          <w:sz w:val="20"/>
          <w:szCs w:val="20"/>
          <w:color w:val="auto"/>
        </w:rPr>
      </w:pPr>
      <w:r>
        <w:rPr>
          <w:rFonts w:ascii="Courier New" w:cs="Courier New" w:eastAsia="Courier New" w:hAnsi="Courier New"/>
          <w:sz w:val="16"/>
          <w:szCs w:val="16"/>
          <w:color w:val="auto"/>
        </w:rPr>
        <w:t>"Term Lender" shall mean each Lender that has a Term Commitment or that holds a Term Loan.</w:t>
      </w:r>
    </w:p>
    <w:p>
      <w:pPr>
        <w:spacing w:after="0" w:line="18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"Term Loan" shall be as defined in subsection 2.1.</w:t>
      </w:r>
    </w:p>
    <w:p>
      <w:pPr>
        <w:spacing w:after="0" w:line="18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"Term Loan Termination Date" shall mean September 30, 2010.</w:t>
      </w:r>
    </w:p>
    <w:p>
      <w:pPr>
        <w:spacing w:after="0" w:line="186"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"Term Percentage" shall mean as to any Lender at any time, the percentage which such Lender's Term Commitment then constitutes of the aggregate Term Commitments (or, at any time after the Closing Date, the percentage which the aggregate principal amount of such Lender's Term Loans then outstanding constitutes of the aggregate principal amount of the Term Loans then outstanding).</w:t>
      </w:r>
    </w:p>
    <w:p>
      <w:pPr>
        <w:spacing w:after="0" w:line="190" w:lineRule="exact"/>
        <w:rPr>
          <w:sz w:val="20"/>
          <w:szCs w:val="20"/>
          <w:color w:val="auto"/>
        </w:rPr>
      </w:pPr>
    </w:p>
    <w:p>
      <w:pPr>
        <w:ind w:right="2839" w:firstLine="851"/>
        <w:spacing w:after="0" w:line="267" w:lineRule="auto"/>
        <w:rPr>
          <w:sz w:val="20"/>
          <w:szCs w:val="20"/>
          <w:color w:val="auto"/>
        </w:rPr>
      </w:pPr>
      <w:r>
        <w:rPr>
          <w:rFonts w:ascii="Courier New" w:cs="Courier New" w:eastAsia="Courier New" w:hAnsi="Courier New"/>
          <w:sz w:val="15"/>
          <w:szCs w:val="15"/>
          <w:color w:val="auto"/>
        </w:rPr>
        <w:t>"Termination Date" shall mean the Term Loan Termination Date or the Revolving Credit Termination Date, as the context requires.</w:t>
      </w:r>
    </w:p>
    <w:p>
      <w:pPr>
        <w:spacing w:after="0" w:line="168" w:lineRule="exact"/>
        <w:rPr>
          <w:sz w:val="20"/>
          <w:szCs w:val="20"/>
          <w:color w:val="auto"/>
        </w:rPr>
      </w:pPr>
    </w:p>
    <w:p>
      <w:pPr>
        <w:ind w:right="2659" w:firstLine="851"/>
        <w:spacing w:after="0" w:line="238" w:lineRule="auto"/>
        <w:rPr>
          <w:sz w:val="20"/>
          <w:szCs w:val="20"/>
          <w:color w:val="auto"/>
        </w:rPr>
      </w:pPr>
      <w:r>
        <w:rPr>
          <w:rFonts w:ascii="Courier New" w:cs="Courier New" w:eastAsia="Courier New" w:hAnsi="Courier New"/>
          <w:sz w:val="16"/>
          <w:szCs w:val="16"/>
          <w:color w:val="auto"/>
        </w:rPr>
        <w:t>"Total Capitalization" shall mean, in respect of any Person at a particular date, the sum at such date of the Total Indebtedness of such Person and the Consolidated Net Worth of such Person.</w:t>
      </w:r>
    </w:p>
    <w:p>
      <w:pPr>
        <w:spacing w:after="0" w:line="188" w:lineRule="exact"/>
        <w:rPr>
          <w:sz w:val="20"/>
          <w:szCs w:val="20"/>
          <w:color w:val="auto"/>
        </w:rPr>
      </w:pPr>
    </w:p>
    <w:p>
      <w:pPr>
        <w:ind w:right="2659" w:firstLine="851"/>
        <w:spacing w:after="0" w:line="258" w:lineRule="auto"/>
        <w:rPr>
          <w:sz w:val="20"/>
          <w:szCs w:val="20"/>
          <w:color w:val="auto"/>
        </w:rPr>
      </w:pPr>
      <w:r>
        <w:rPr>
          <w:rFonts w:ascii="Courier New" w:cs="Courier New" w:eastAsia="Courier New" w:hAnsi="Courier New"/>
          <w:sz w:val="15"/>
          <w:szCs w:val="15"/>
          <w:color w:val="auto"/>
        </w:rPr>
        <w:t>"Total Indebtedness" shall mean, in respect of any Person at a particular date, the sum at such date of (a) the aggregate outstanding principal amount of all Indebtedness for borrowed money of such Person and (b) all other items which would properly be included as indebtedness, determined in accordance with GAAP, on a consolidated balance sheet of such Person and its Subsidiaries; provided that, for the purpose of calculating the Leverage Ratio for any period, Total Indebtedness shall be reduced by cash and Cash Equivalents set forth on the balance sheet of such Person as at such date.</w:t>
      </w:r>
    </w:p>
    <w:p>
      <w:pPr>
        <w:spacing w:after="0" w:line="175"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"Total Revolving Credit Commitments" shall be, at any time, the aggregate amount of the Revolving Credit Commitments then in effect (without duplication for the Sterling Commitments, the Australian Commitments and the Canadian Commitments).</w:t>
      </w:r>
    </w:p>
    <w:p>
      <w:pPr>
        <w:spacing w:after="0" w:line="187" w:lineRule="exact"/>
        <w:rPr>
          <w:sz w:val="20"/>
          <w:szCs w:val="20"/>
          <w:color w:val="auto"/>
        </w:rPr>
      </w:pPr>
    </w:p>
    <w:p>
      <w:pPr>
        <w:ind w:right="2939" w:firstLine="851"/>
        <w:spacing w:after="0" w:line="237" w:lineRule="auto"/>
        <w:rPr>
          <w:sz w:val="20"/>
          <w:szCs w:val="20"/>
          <w:color w:val="auto"/>
        </w:rPr>
      </w:pPr>
      <w:r>
        <w:rPr>
          <w:rFonts w:ascii="Courier New" w:cs="Courier New" w:eastAsia="Courier New" w:hAnsi="Courier New"/>
          <w:sz w:val="16"/>
          <w:szCs w:val="16"/>
          <w:color w:val="auto"/>
        </w:rPr>
        <w:t>"Trade L/C" shall have the meaning assigned to such term in subsection 3.1(a).</w:t>
      </w:r>
    </w:p>
    <w:p>
      <w:pPr>
        <w:spacing w:after="0" w:line="188" w:lineRule="exact"/>
        <w:rPr>
          <w:sz w:val="20"/>
          <w:szCs w:val="20"/>
          <w:color w:val="auto"/>
        </w:rPr>
      </w:pPr>
    </w:p>
    <w:p>
      <w:pPr>
        <w:ind w:right="2659" w:firstLine="851"/>
        <w:spacing w:after="0" w:line="237" w:lineRule="auto"/>
        <w:rPr>
          <w:sz w:val="20"/>
          <w:szCs w:val="20"/>
          <w:color w:val="auto"/>
        </w:rPr>
      </w:pPr>
      <w:r>
        <w:rPr>
          <w:rFonts w:ascii="Courier New" w:cs="Courier New" w:eastAsia="Courier New" w:hAnsi="Courier New"/>
          <w:sz w:val="16"/>
          <w:szCs w:val="16"/>
          <w:color w:val="auto"/>
        </w:rPr>
        <w:t>"Type" shall mean as to any Loan, its nature as an ABR Loan or a LIBOR Loan.</w:t>
      </w:r>
    </w:p>
    <w:p>
      <w:pPr>
        <w:spacing w:after="0" w:line="188" w:lineRule="exact"/>
        <w:rPr>
          <w:sz w:val="20"/>
          <w:szCs w:val="20"/>
          <w:color w:val="auto"/>
        </w:rPr>
      </w:pPr>
    </w:p>
    <w:p>
      <w:pPr>
        <w:ind w:right="2759" w:firstLine="851"/>
        <w:spacing w:after="0" w:line="260" w:lineRule="auto"/>
        <w:rPr>
          <w:sz w:val="20"/>
          <w:szCs w:val="20"/>
          <w:color w:val="auto"/>
        </w:rPr>
      </w:pPr>
      <w:r>
        <w:rPr>
          <w:rFonts w:ascii="Courier New" w:cs="Courier New" w:eastAsia="Courier New" w:hAnsi="Courier New"/>
          <w:sz w:val="15"/>
          <w:szCs w:val="15"/>
          <w:color w:val="auto"/>
        </w:rPr>
        <w:t>"Uniform Customs" shall mean the Uniform Customs and Practice for Documentary Credits (1993 Revision), International Chamber of Commerce Publication No. 500, as the same may be effectively replaced in whole or in part or amended from time to time.</w:t>
      </w:r>
    </w:p>
    <w:p>
      <w:pPr>
        <w:sectPr>
          <w:pgSz w:w="11900" w:h="16838" w:orient="portrait"/>
          <w:cols w:equalWidth="0" w:num="1">
            <w:col w:w="9379"/>
          </w:cols>
          <w:pgMar w:left="1080" w:top="477" w:right="1440" w:bottom="1440" w:gutter="0" w:footer="0" w:header="0"/>
        </w:sectPr>
      </w:pPr>
    </w:p>
    <w:bookmarkStart w:id="431" w:name="page432"/>
    <w:bookmarkEnd w:id="431"/>
    <w:p>
      <w:pPr>
        <w:jc w:val="right"/>
        <w:ind w:right="2659"/>
        <w:spacing w:after="0"/>
        <w:rPr>
          <w:sz w:val="20"/>
          <w:szCs w:val="20"/>
          <w:color w:val="auto"/>
        </w:rPr>
      </w:pPr>
      <w:r>
        <w:rPr>
          <w:rFonts w:ascii="Courier New" w:cs="Courier New" w:eastAsia="Courier New" w:hAnsi="Courier New"/>
          <w:sz w:val="16"/>
          <w:szCs w:val="16"/>
          <w:color w:val="auto"/>
        </w:rPr>
        <w:t>32</w:t>
      </w:r>
    </w:p>
    <w:p>
      <w:pPr>
        <w:spacing w:after="0" w:line="186" w:lineRule="exact"/>
        <w:rPr>
          <w:sz w:val="20"/>
          <w:szCs w:val="20"/>
          <w:color w:val="auto"/>
        </w:rPr>
      </w:pPr>
    </w:p>
    <w:p>
      <w:pPr>
        <w:ind w:left="843" w:right="2839" w:firstLine="851"/>
        <w:spacing w:after="0" w:line="260" w:lineRule="auto"/>
        <w:rPr>
          <w:sz w:val="20"/>
          <w:szCs w:val="20"/>
          <w:color w:val="auto"/>
        </w:rPr>
      </w:pPr>
      <w:r>
        <w:rPr>
          <w:rFonts w:ascii="Courier New" w:cs="Courier New" w:eastAsia="Courier New" w:hAnsi="Courier New"/>
          <w:sz w:val="15"/>
          <w:szCs w:val="15"/>
          <w:color w:val="auto"/>
        </w:rPr>
        <w:t>"wholly owned Subsidiary" or "wholly-owned Subsidiary" means any subsidiary of any Person all of the Capital Stock of which (other than directors' qualifying shares required by law) is owned by such Person directly and/or through other wholly owned Subsidiaries.</w:t>
      </w:r>
    </w:p>
    <w:p>
      <w:pPr>
        <w:spacing w:after="0" w:line="173" w:lineRule="exact"/>
        <w:rPr>
          <w:sz w:val="20"/>
          <w:szCs w:val="20"/>
          <w:color w:val="auto"/>
        </w:rPr>
      </w:pPr>
    </w:p>
    <w:p>
      <w:pPr>
        <w:ind w:left="3" w:right="3039" w:firstLine="851"/>
        <w:spacing w:after="0" w:line="239" w:lineRule="auto"/>
        <w:rPr>
          <w:sz w:val="20"/>
          <w:szCs w:val="20"/>
          <w:color w:val="auto"/>
        </w:rPr>
      </w:pPr>
      <w:r>
        <w:rPr>
          <w:rFonts w:ascii="Courier New" w:cs="Courier New" w:eastAsia="Courier New" w:hAnsi="Courier New"/>
          <w:sz w:val="16"/>
          <w:szCs w:val="16"/>
          <w:color w:val="auto"/>
        </w:rPr>
        <w:t>1.2 Other Definitional Provisions. (a) All terms defined in this Agreement shall have the defined meanings when used in any of the other Loan Documents or in any certificate or other document made or delivered pursuant hereto or thereto unless otherwise defined therein.</w:t>
      </w:r>
    </w:p>
    <w:p>
      <w:pPr>
        <w:spacing w:after="0" w:line="187" w:lineRule="exact"/>
        <w:rPr>
          <w:sz w:val="20"/>
          <w:szCs w:val="20"/>
          <w:color w:val="auto"/>
        </w:rPr>
      </w:pPr>
    </w:p>
    <w:p>
      <w:pPr>
        <w:ind w:left="3" w:right="2839" w:firstLine="848"/>
        <w:spacing w:after="0" w:line="239" w:lineRule="auto"/>
        <w:tabs>
          <w:tab w:leader="none" w:pos="1232" w:val="left"/>
        </w:tabs>
        <w:numPr>
          <w:ilvl w:val="0"/>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in any of the other Loan Documents, or in any certificate or other document made or delivered pursuant hereto or thereto, accounting terms, to the extent not otherwise defined in subsection 1.1, shall have the respective meanings given to them under GAAP.</w:t>
      </w:r>
    </w:p>
    <w:p>
      <w:pPr>
        <w:spacing w:after="0" w:line="187" w:lineRule="exact"/>
        <w:rPr>
          <w:rFonts w:ascii="Courier New" w:cs="Courier New" w:eastAsia="Courier New" w:hAnsi="Courier New"/>
          <w:sz w:val="16"/>
          <w:szCs w:val="16"/>
          <w:color w:val="auto"/>
        </w:rPr>
      </w:pPr>
    </w:p>
    <w:p>
      <w:pPr>
        <w:ind w:left="3" w:right="2759" w:firstLine="848"/>
        <w:spacing w:after="0" w:line="239" w:lineRule="auto"/>
        <w:tabs>
          <w:tab w:leader="none" w:pos="1232" w:val="left"/>
        </w:tabs>
        <w:numPr>
          <w:ilvl w:val="0"/>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"hereof", "herein" and "hereunder" and words of similar import when used in this Agreement shall refer to this Agreement as a whole and not to any particular provision of this Agreement, and section, subsection, schedule and exhibit references are to this Agreement unless otherwise specified.</w:t>
      </w:r>
    </w:p>
    <w:p>
      <w:pPr>
        <w:spacing w:after="0" w:line="188" w:lineRule="exact"/>
        <w:rPr>
          <w:rFonts w:ascii="Courier New" w:cs="Courier New" w:eastAsia="Courier New" w:hAnsi="Courier New"/>
          <w:sz w:val="16"/>
          <w:szCs w:val="16"/>
          <w:color w:val="auto"/>
        </w:rPr>
      </w:pPr>
    </w:p>
    <w:p>
      <w:pPr>
        <w:ind w:left="3" w:right="2759" w:firstLine="848"/>
        <w:spacing w:after="0" w:line="238" w:lineRule="auto"/>
        <w:tabs>
          <w:tab w:leader="none" w:pos="1232" w:val="left"/>
        </w:tabs>
        <w:numPr>
          <w:ilvl w:val="0"/>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"affiliate" of a Lender includes, in the case of a Lender which is an investment fund, the investment adviser thereof and any other investment fund having the same investment adviser.</w:t>
      </w:r>
    </w:p>
    <w:p>
      <w:pPr>
        <w:spacing w:after="0" w:line="184"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Section 2. AMOUNT AND TERMS OF LOANS</w:t>
      </w:r>
    </w:p>
    <w:p>
      <w:pPr>
        <w:spacing w:after="0" w:line="186" w:lineRule="exact"/>
        <w:rPr>
          <w:sz w:val="20"/>
          <w:szCs w:val="20"/>
          <w:color w:val="auto"/>
        </w:rPr>
      </w:pPr>
    </w:p>
    <w:p>
      <w:pPr>
        <w:ind w:left="3" w:right="2759" w:firstLine="851"/>
        <w:spacing w:after="0" w:line="239" w:lineRule="auto"/>
        <w:rPr>
          <w:sz w:val="20"/>
          <w:szCs w:val="20"/>
          <w:color w:val="auto"/>
        </w:rPr>
      </w:pPr>
      <w:r>
        <w:rPr>
          <w:rFonts w:ascii="Courier New" w:cs="Courier New" w:eastAsia="Courier New" w:hAnsi="Courier New"/>
          <w:sz w:val="16"/>
          <w:szCs w:val="16"/>
          <w:color w:val="auto"/>
        </w:rPr>
        <w:t>2.1 Term Commitments. Subject to the terms and conditions hereof, (a) each Term Lender severally agrees to make a Term Loan denominated in Dollars to the Borrower on the Closing Date in an amount not to exceed the amount of the Term Commitment of such Lender. The Term Loans may be LIBOR Loans or ABR Loans, as determined by the Borrower and notified to the Administrative Agent in accordance with subsections 2.2 and 2.14.</w:t>
      </w:r>
    </w:p>
    <w:p>
      <w:pPr>
        <w:spacing w:after="0" w:line="190" w:lineRule="exact"/>
        <w:rPr>
          <w:sz w:val="20"/>
          <w:szCs w:val="20"/>
          <w:color w:val="auto"/>
        </w:rPr>
      </w:pPr>
    </w:p>
    <w:p>
      <w:pPr>
        <w:ind w:left="3" w:right="2659" w:firstLine="851"/>
        <w:spacing w:after="0" w:line="256" w:lineRule="auto"/>
        <w:rPr>
          <w:sz w:val="20"/>
          <w:szCs w:val="20"/>
          <w:color w:val="auto"/>
        </w:rPr>
      </w:pPr>
      <w:r>
        <w:rPr>
          <w:rFonts w:ascii="Courier New" w:cs="Courier New" w:eastAsia="Courier New" w:hAnsi="Courier New"/>
          <w:sz w:val="15"/>
          <w:szCs w:val="15"/>
          <w:color w:val="auto"/>
        </w:rPr>
        <w:t>2.2 Procedure for Term Loan Borrowing. (a) The Borrower may borrow under the Term Commitments on the Closing Date; provided that the Borrower shall give the Administrative Agent irrevocable notice ((1) which notice must be received by the Administrative Agent prior to 11:00 A.M., New York City time on the Closing Date, in the case of ABR Loans and (2) which notice must be received by the Administrative Agent prior to 11:00 A.M., New York City time three Business Days prior to the Closing Date, in the case of LIBOR Loans), specifying</w:t>
      </w:r>
    </w:p>
    <w:p>
      <w:pPr>
        <w:spacing w:after="0" w:line="4" w:lineRule="exact"/>
        <w:rPr>
          <w:sz w:val="20"/>
          <w:szCs w:val="20"/>
          <w:color w:val="auto"/>
        </w:rPr>
      </w:pPr>
    </w:p>
    <w:p>
      <w:pPr>
        <w:ind w:left="3" w:right="2839" w:hanging="3"/>
        <w:spacing w:after="0"/>
        <w:tabs>
          <w:tab w:leader="none" w:pos="381" w:val="left"/>
        </w:tabs>
        <w:numPr>
          <w:ilvl w:val="0"/>
          <w:numId w:val="4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requested Borrowing Date, (ii) whether the borrowing is to be an ABR Loan or a LIBOR Loan or a combination thereof, (iii) if the borrowing is to be entirely or partly a LIBOR Loan, the amount to be a LIBOR Loan and (iv) the length of the Interest Period for such LIBOR Loan. Each ABR borrowing by the Borrower pursuant to the Term Commitments shall be in an aggregate principal amount equal to $1,000,000 or a whole multiple of $250,000 in excess thereof. Each LIBOR borrowing by the Borrower pursuant to the Term Commitments shall be in an aggregate principal amount equal to $1,000,000 or a whole multiple of $1,000,000 in excess thereof.</w:t>
      </w:r>
    </w:p>
    <w:p>
      <w:pPr>
        <w:sectPr>
          <w:pgSz w:w="11900" w:h="16838" w:orient="portrait"/>
          <w:cols w:equalWidth="0" w:num="1">
            <w:col w:w="10222"/>
          </w:cols>
          <w:pgMar w:left="237" w:top="477" w:right="1440" w:bottom="1440" w:gutter="0" w:footer="0" w:header="0"/>
        </w:sectPr>
      </w:pPr>
    </w:p>
    <w:bookmarkStart w:id="432" w:name="page433"/>
    <w:bookmarkEnd w:id="432"/>
    <w:p>
      <w:pPr>
        <w:ind w:left="7380"/>
        <w:spacing w:after="0"/>
        <w:rPr>
          <w:sz w:val="20"/>
          <w:szCs w:val="20"/>
          <w:color w:val="auto"/>
        </w:rPr>
      </w:pPr>
      <w:r>
        <w:rPr>
          <w:rFonts w:ascii="Courier New" w:cs="Courier New" w:eastAsia="Courier New" w:hAnsi="Courier New"/>
          <w:sz w:val="16"/>
          <w:szCs w:val="16"/>
          <w:color w:val="auto"/>
        </w:rPr>
        <w:t>33</w:t>
      </w:r>
    </w:p>
    <w:p>
      <w:pPr>
        <w:spacing w:after="0" w:line="186" w:lineRule="exact"/>
        <w:rPr>
          <w:sz w:val="20"/>
          <w:szCs w:val="20"/>
          <w:color w:val="auto"/>
        </w:rPr>
      </w:pPr>
    </w:p>
    <w:p>
      <w:pPr>
        <w:ind w:right="2659" w:firstLine="848"/>
        <w:spacing w:after="0" w:line="257" w:lineRule="auto"/>
        <w:tabs>
          <w:tab w:leader="none" w:pos="1229" w:val="left"/>
        </w:tabs>
        <w:numPr>
          <w:ilvl w:val="0"/>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receipt of any notice from the Borrower pursuant to this subsection 2.2, the Administrative Agent shall promptly notify each Lender thereof. Each Lender will make the amount of its ratable share of each borrowing available to the Administrative Agent for the account of the Borrower at the office of the Administrative Agent specified in subsection 10.2 prior to 2:00 P.M., New York City time, on the Borrowing Date requested by the Borrower in funds immediately available to the Administrative Agent. Such borrowing will then be made available to the Borrower by the Administrative Agent crediting the account of the Borrower on the books of such office with the aggregate of the amounts made available to the Administrative Agent by the Lenders and in like funds as received by the Administrative Agent.</w:t>
      </w:r>
    </w:p>
    <w:p>
      <w:pPr>
        <w:spacing w:after="0" w:line="181" w:lineRule="exact"/>
        <w:rPr>
          <w:sz w:val="20"/>
          <w:szCs w:val="20"/>
          <w:color w:val="auto"/>
        </w:rPr>
      </w:pPr>
    </w:p>
    <w:p>
      <w:pPr>
        <w:ind w:right="2839" w:firstLine="851"/>
        <w:spacing w:after="0" w:line="260" w:lineRule="auto"/>
        <w:rPr>
          <w:sz w:val="20"/>
          <w:szCs w:val="20"/>
          <w:color w:val="auto"/>
        </w:rPr>
      </w:pPr>
      <w:r>
        <w:rPr>
          <w:rFonts w:ascii="Courier New" w:cs="Courier New" w:eastAsia="Courier New" w:hAnsi="Courier New"/>
          <w:sz w:val="15"/>
          <w:szCs w:val="15"/>
          <w:color w:val="auto"/>
        </w:rPr>
        <w:t>2.3 Repayment of Term Loans. The Term Loan of each Term Lender shall mature in 27 consecutive quarterly installments, commencing on March 31, 2004, each of which shall be in an amount equal to such Lender's Term Percentage multiplied by the amount set forth below opposite such installment.</w:t>
      </w:r>
    </w:p>
    <w:p>
      <w:pPr>
        <w:spacing w:after="0" w:line="200" w:lineRule="exact"/>
        <w:rPr>
          <w:sz w:val="20"/>
          <w:szCs w:val="20"/>
          <w:color w:val="auto"/>
        </w:rPr>
      </w:pPr>
    </w:p>
    <w:p>
      <w:pPr>
        <w:spacing w:after="0" w:line="333" w:lineRule="exact"/>
        <w:rPr>
          <w:sz w:val="20"/>
          <w:szCs w:val="20"/>
          <w:color w:val="auto"/>
        </w:rPr>
      </w:pPr>
    </w:p>
    <w:tbl>
      <w:tblPr>
        <w:tblLayout w:type="fixed"/>
        <w:tblInd w:w="1700" w:type="dxa"/>
        <w:tblCellMar>
          <w:top w:w="0" w:type="dxa"/>
          <w:left w:w="0" w:type="dxa"/>
          <w:bottom w:w="0" w:type="dxa"/>
          <w:right w:w="0" w:type="dxa"/>
        </w:tblCellMar>
      </w:tblPr>
      <w:tr>
        <w:trPr>
          <w:trHeight w:val="181"/>
        </w:trPr>
        <w:tc>
          <w:tcPr>
            <w:tcW w:w="3680" w:type="dxa"/>
            <w:vAlign w:val="bottom"/>
            <w:gridSpan w:val="2"/>
          </w:tcPr>
          <w:p>
            <w:pPr>
              <w:spacing w:after="0"/>
              <w:rPr>
                <w:sz w:val="20"/>
                <w:szCs w:val="20"/>
                <w:color w:val="auto"/>
              </w:rPr>
            </w:pPr>
            <w:r>
              <w:rPr>
                <w:rFonts w:ascii="Courier New" w:cs="Courier New" w:eastAsia="Courier New" w:hAnsi="Courier New"/>
                <w:sz w:val="16"/>
                <w:szCs w:val="16"/>
                <w:color w:val="auto"/>
              </w:rPr>
              <w:t>Installment</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Principal Amount</w:t>
            </w:r>
          </w:p>
        </w:tc>
      </w:tr>
      <w:tr>
        <w:trPr>
          <w:trHeight w:val="182"/>
        </w:trPr>
        <w:tc>
          <w:tcPr>
            <w:tcW w:w="368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680" w:type="dxa"/>
            <w:vAlign w:val="bottom"/>
            <w:gridSpan w:val="2"/>
          </w:tcPr>
          <w:p>
            <w:pPr>
              <w:spacing w:after="0"/>
              <w:rPr>
                <w:sz w:val="20"/>
                <w:szCs w:val="20"/>
                <w:color w:val="auto"/>
              </w:rPr>
            </w:pPr>
            <w:r>
              <w:rPr>
                <w:rFonts w:ascii="Courier New" w:cs="Courier New" w:eastAsia="Courier New" w:hAnsi="Courier New"/>
                <w:sz w:val="16"/>
                <w:szCs w:val="16"/>
                <w:color w:val="auto"/>
              </w:rPr>
              <w:t>March 31, 2004</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June 30,</w:t>
            </w:r>
          </w:p>
        </w:tc>
        <w:tc>
          <w:tcPr>
            <w:tcW w:w="2880" w:type="dxa"/>
            <w:vAlign w:val="bottom"/>
          </w:tcPr>
          <w:p>
            <w:pPr>
              <w:ind w:left="60"/>
              <w:spacing w:after="0"/>
              <w:rPr>
                <w:sz w:val="20"/>
                <w:szCs w:val="20"/>
                <w:color w:val="auto"/>
              </w:rPr>
            </w:pPr>
            <w:r>
              <w:rPr>
                <w:rFonts w:ascii="Courier New" w:cs="Courier New" w:eastAsia="Courier New" w:hAnsi="Courier New"/>
                <w:sz w:val="16"/>
                <w:szCs w:val="16"/>
                <w:color w:val="auto"/>
              </w:rPr>
              <w:t>2004</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182"/>
        </w:trPr>
        <w:tc>
          <w:tcPr>
            <w:tcW w:w="3680" w:type="dxa"/>
            <w:vAlign w:val="bottom"/>
            <w:gridSpan w:val="2"/>
          </w:tcPr>
          <w:p>
            <w:pPr>
              <w:spacing w:after="0"/>
              <w:rPr>
                <w:sz w:val="20"/>
                <w:szCs w:val="20"/>
                <w:color w:val="auto"/>
              </w:rPr>
            </w:pPr>
            <w:r>
              <w:rPr>
                <w:rFonts w:ascii="Courier New" w:cs="Courier New" w:eastAsia="Courier New" w:hAnsi="Courier New"/>
                <w:sz w:val="16"/>
                <w:szCs w:val="16"/>
                <w:color w:val="auto"/>
              </w:rPr>
              <w:t>September 30, 2004</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2880" w:type="dxa"/>
            <w:vAlign w:val="bottom"/>
          </w:tcPr>
          <w:p>
            <w:pPr>
              <w:ind w:left="60"/>
              <w:spacing w:after="0"/>
              <w:rPr>
                <w:sz w:val="20"/>
                <w:szCs w:val="20"/>
                <w:color w:val="auto"/>
              </w:rPr>
            </w:pPr>
            <w:r>
              <w:rPr>
                <w:rFonts w:ascii="Courier New" w:cs="Courier New" w:eastAsia="Courier New" w:hAnsi="Courier New"/>
                <w:sz w:val="16"/>
                <w:szCs w:val="16"/>
                <w:color w:val="auto"/>
              </w:rPr>
              <w:t>31, 2004</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364"/>
        </w:trPr>
        <w:tc>
          <w:tcPr>
            <w:tcW w:w="3680" w:type="dxa"/>
            <w:vAlign w:val="bottom"/>
            <w:gridSpan w:val="2"/>
          </w:tcPr>
          <w:p>
            <w:pPr>
              <w:spacing w:after="0"/>
              <w:rPr>
                <w:sz w:val="20"/>
                <w:szCs w:val="20"/>
                <w:color w:val="auto"/>
              </w:rPr>
            </w:pPr>
            <w:r>
              <w:rPr>
                <w:rFonts w:ascii="Courier New" w:cs="Courier New" w:eastAsia="Courier New" w:hAnsi="Courier New"/>
                <w:sz w:val="16"/>
                <w:szCs w:val="16"/>
                <w:color w:val="auto"/>
              </w:rPr>
              <w:t>March 31, 2005</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June 30,</w:t>
            </w:r>
          </w:p>
        </w:tc>
        <w:tc>
          <w:tcPr>
            <w:tcW w:w="2880" w:type="dxa"/>
            <w:vAlign w:val="bottom"/>
          </w:tcPr>
          <w:p>
            <w:pPr>
              <w:ind w:left="60"/>
              <w:spacing w:after="0"/>
              <w:rPr>
                <w:sz w:val="20"/>
                <w:szCs w:val="20"/>
                <w:color w:val="auto"/>
              </w:rPr>
            </w:pPr>
            <w:r>
              <w:rPr>
                <w:rFonts w:ascii="Courier New" w:cs="Courier New" w:eastAsia="Courier New" w:hAnsi="Courier New"/>
                <w:sz w:val="16"/>
                <w:szCs w:val="16"/>
                <w:color w:val="auto"/>
              </w:rPr>
              <w:t>2005</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182"/>
        </w:trPr>
        <w:tc>
          <w:tcPr>
            <w:tcW w:w="3680" w:type="dxa"/>
            <w:vAlign w:val="bottom"/>
            <w:gridSpan w:val="2"/>
          </w:tcPr>
          <w:p>
            <w:pPr>
              <w:spacing w:after="0"/>
              <w:rPr>
                <w:sz w:val="20"/>
                <w:szCs w:val="20"/>
                <w:color w:val="auto"/>
              </w:rPr>
            </w:pPr>
            <w:r>
              <w:rPr>
                <w:rFonts w:ascii="Courier New" w:cs="Courier New" w:eastAsia="Courier New" w:hAnsi="Courier New"/>
                <w:sz w:val="16"/>
                <w:szCs w:val="16"/>
                <w:color w:val="auto"/>
              </w:rPr>
              <w:t>September 30, 2005</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2880" w:type="dxa"/>
            <w:vAlign w:val="bottom"/>
          </w:tcPr>
          <w:p>
            <w:pPr>
              <w:ind w:left="60"/>
              <w:spacing w:after="0"/>
              <w:rPr>
                <w:sz w:val="20"/>
                <w:szCs w:val="20"/>
                <w:color w:val="auto"/>
              </w:rPr>
            </w:pPr>
            <w:r>
              <w:rPr>
                <w:rFonts w:ascii="Courier New" w:cs="Courier New" w:eastAsia="Courier New" w:hAnsi="Courier New"/>
                <w:sz w:val="16"/>
                <w:szCs w:val="16"/>
                <w:color w:val="auto"/>
              </w:rPr>
              <w:t>31, 2005</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364"/>
        </w:trPr>
        <w:tc>
          <w:tcPr>
            <w:tcW w:w="3680" w:type="dxa"/>
            <w:vAlign w:val="bottom"/>
            <w:gridSpan w:val="2"/>
          </w:tcPr>
          <w:p>
            <w:pPr>
              <w:spacing w:after="0"/>
              <w:rPr>
                <w:sz w:val="20"/>
                <w:szCs w:val="20"/>
                <w:color w:val="auto"/>
              </w:rPr>
            </w:pPr>
            <w:r>
              <w:rPr>
                <w:rFonts w:ascii="Courier New" w:cs="Courier New" w:eastAsia="Courier New" w:hAnsi="Courier New"/>
                <w:sz w:val="16"/>
                <w:szCs w:val="16"/>
                <w:color w:val="auto"/>
              </w:rPr>
              <w:t>March 31, 2006</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June 30,</w:t>
            </w:r>
          </w:p>
        </w:tc>
        <w:tc>
          <w:tcPr>
            <w:tcW w:w="2880" w:type="dxa"/>
            <w:vAlign w:val="bottom"/>
          </w:tcPr>
          <w:p>
            <w:pPr>
              <w:ind w:left="60"/>
              <w:spacing w:after="0"/>
              <w:rPr>
                <w:sz w:val="20"/>
                <w:szCs w:val="20"/>
                <w:color w:val="auto"/>
              </w:rPr>
            </w:pPr>
            <w:r>
              <w:rPr>
                <w:rFonts w:ascii="Courier New" w:cs="Courier New" w:eastAsia="Courier New" w:hAnsi="Courier New"/>
                <w:sz w:val="16"/>
                <w:szCs w:val="16"/>
                <w:color w:val="auto"/>
              </w:rPr>
              <w:t>2006</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182"/>
        </w:trPr>
        <w:tc>
          <w:tcPr>
            <w:tcW w:w="3680" w:type="dxa"/>
            <w:vAlign w:val="bottom"/>
            <w:gridSpan w:val="2"/>
          </w:tcPr>
          <w:p>
            <w:pPr>
              <w:spacing w:after="0"/>
              <w:rPr>
                <w:sz w:val="20"/>
                <w:szCs w:val="20"/>
                <w:color w:val="auto"/>
              </w:rPr>
            </w:pPr>
            <w:r>
              <w:rPr>
                <w:rFonts w:ascii="Courier New" w:cs="Courier New" w:eastAsia="Courier New" w:hAnsi="Courier New"/>
                <w:sz w:val="16"/>
                <w:szCs w:val="16"/>
                <w:color w:val="auto"/>
              </w:rPr>
              <w:t>September 30, 2006</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2880" w:type="dxa"/>
            <w:vAlign w:val="bottom"/>
          </w:tcPr>
          <w:p>
            <w:pPr>
              <w:ind w:left="60"/>
              <w:spacing w:after="0"/>
              <w:rPr>
                <w:sz w:val="20"/>
                <w:szCs w:val="20"/>
                <w:color w:val="auto"/>
              </w:rPr>
            </w:pPr>
            <w:r>
              <w:rPr>
                <w:rFonts w:ascii="Courier New" w:cs="Courier New" w:eastAsia="Courier New" w:hAnsi="Courier New"/>
                <w:sz w:val="16"/>
                <w:szCs w:val="16"/>
                <w:color w:val="auto"/>
              </w:rPr>
              <w:t>31, 2006</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364"/>
        </w:trPr>
        <w:tc>
          <w:tcPr>
            <w:tcW w:w="3680" w:type="dxa"/>
            <w:vAlign w:val="bottom"/>
            <w:gridSpan w:val="2"/>
          </w:tcPr>
          <w:p>
            <w:pPr>
              <w:spacing w:after="0"/>
              <w:rPr>
                <w:sz w:val="20"/>
                <w:szCs w:val="20"/>
                <w:color w:val="auto"/>
              </w:rPr>
            </w:pPr>
            <w:r>
              <w:rPr>
                <w:rFonts w:ascii="Courier New" w:cs="Courier New" w:eastAsia="Courier New" w:hAnsi="Courier New"/>
                <w:sz w:val="16"/>
                <w:szCs w:val="16"/>
                <w:color w:val="auto"/>
              </w:rPr>
              <w:t>March 31, 2007</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June 30,</w:t>
            </w:r>
          </w:p>
        </w:tc>
        <w:tc>
          <w:tcPr>
            <w:tcW w:w="2880" w:type="dxa"/>
            <w:vAlign w:val="bottom"/>
          </w:tcPr>
          <w:p>
            <w:pPr>
              <w:ind w:left="60"/>
              <w:spacing w:after="0"/>
              <w:rPr>
                <w:sz w:val="20"/>
                <w:szCs w:val="20"/>
                <w:color w:val="auto"/>
              </w:rPr>
            </w:pPr>
            <w:r>
              <w:rPr>
                <w:rFonts w:ascii="Courier New" w:cs="Courier New" w:eastAsia="Courier New" w:hAnsi="Courier New"/>
                <w:sz w:val="16"/>
                <w:szCs w:val="16"/>
                <w:color w:val="auto"/>
              </w:rPr>
              <w:t>2007</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182"/>
        </w:trPr>
        <w:tc>
          <w:tcPr>
            <w:tcW w:w="3680" w:type="dxa"/>
            <w:vAlign w:val="bottom"/>
            <w:gridSpan w:val="2"/>
          </w:tcPr>
          <w:p>
            <w:pPr>
              <w:spacing w:after="0"/>
              <w:rPr>
                <w:sz w:val="20"/>
                <w:szCs w:val="20"/>
                <w:color w:val="auto"/>
              </w:rPr>
            </w:pPr>
            <w:r>
              <w:rPr>
                <w:rFonts w:ascii="Courier New" w:cs="Courier New" w:eastAsia="Courier New" w:hAnsi="Courier New"/>
                <w:sz w:val="16"/>
                <w:szCs w:val="16"/>
                <w:color w:val="auto"/>
              </w:rPr>
              <w:t>September 30, 2007</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2880" w:type="dxa"/>
            <w:vAlign w:val="bottom"/>
          </w:tcPr>
          <w:p>
            <w:pPr>
              <w:ind w:left="60"/>
              <w:spacing w:after="0"/>
              <w:rPr>
                <w:sz w:val="20"/>
                <w:szCs w:val="20"/>
                <w:color w:val="auto"/>
              </w:rPr>
            </w:pPr>
            <w:r>
              <w:rPr>
                <w:rFonts w:ascii="Courier New" w:cs="Courier New" w:eastAsia="Courier New" w:hAnsi="Courier New"/>
                <w:sz w:val="16"/>
                <w:szCs w:val="16"/>
                <w:color w:val="auto"/>
              </w:rPr>
              <w:t>31, 2007</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364"/>
        </w:trPr>
        <w:tc>
          <w:tcPr>
            <w:tcW w:w="3680" w:type="dxa"/>
            <w:vAlign w:val="bottom"/>
            <w:gridSpan w:val="2"/>
          </w:tcPr>
          <w:p>
            <w:pPr>
              <w:spacing w:after="0"/>
              <w:rPr>
                <w:sz w:val="20"/>
                <w:szCs w:val="20"/>
                <w:color w:val="auto"/>
              </w:rPr>
            </w:pPr>
            <w:r>
              <w:rPr>
                <w:rFonts w:ascii="Courier New" w:cs="Courier New" w:eastAsia="Courier New" w:hAnsi="Courier New"/>
                <w:sz w:val="16"/>
                <w:szCs w:val="16"/>
                <w:color w:val="auto"/>
              </w:rPr>
              <w:t>March 31, 2008</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June 30,</w:t>
            </w:r>
          </w:p>
        </w:tc>
        <w:tc>
          <w:tcPr>
            <w:tcW w:w="2880" w:type="dxa"/>
            <w:vAlign w:val="bottom"/>
          </w:tcPr>
          <w:p>
            <w:pPr>
              <w:ind w:left="60"/>
              <w:spacing w:after="0"/>
              <w:rPr>
                <w:sz w:val="20"/>
                <w:szCs w:val="20"/>
                <w:color w:val="auto"/>
              </w:rPr>
            </w:pPr>
            <w:r>
              <w:rPr>
                <w:rFonts w:ascii="Courier New" w:cs="Courier New" w:eastAsia="Courier New" w:hAnsi="Courier New"/>
                <w:sz w:val="16"/>
                <w:szCs w:val="16"/>
                <w:color w:val="auto"/>
              </w:rPr>
              <w:t>2008</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182"/>
        </w:trPr>
        <w:tc>
          <w:tcPr>
            <w:tcW w:w="3680" w:type="dxa"/>
            <w:vAlign w:val="bottom"/>
            <w:gridSpan w:val="2"/>
          </w:tcPr>
          <w:p>
            <w:pPr>
              <w:spacing w:after="0"/>
              <w:rPr>
                <w:sz w:val="20"/>
                <w:szCs w:val="20"/>
                <w:color w:val="auto"/>
              </w:rPr>
            </w:pPr>
            <w:r>
              <w:rPr>
                <w:rFonts w:ascii="Courier New" w:cs="Courier New" w:eastAsia="Courier New" w:hAnsi="Courier New"/>
                <w:sz w:val="16"/>
                <w:szCs w:val="16"/>
                <w:color w:val="auto"/>
              </w:rPr>
              <w:t>September 30, 2008</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2880" w:type="dxa"/>
            <w:vAlign w:val="bottom"/>
          </w:tcPr>
          <w:p>
            <w:pPr>
              <w:ind w:left="60"/>
              <w:spacing w:after="0"/>
              <w:rPr>
                <w:sz w:val="20"/>
                <w:szCs w:val="20"/>
                <w:color w:val="auto"/>
              </w:rPr>
            </w:pPr>
            <w:r>
              <w:rPr>
                <w:rFonts w:ascii="Courier New" w:cs="Courier New" w:eastAsia="Courier New" w:hAnsi="Courier New"/>
                <w:sz w:val="16"/>
                <w:szCs w:val="16"/>
                <w:color w:val="auto"/>
              </w:rPr>
              <w:t>31, 2008</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364"/>
        </w:trPr>
        <w:tc>
          <w:tcPr>
            <w:tcW w:w="3680" w:type="dxa"/>
            <w:vAlign w:val="bottom"/>
            <w:gridSpan w:val="2"/>
          </w:tcPr>
          <w:p>
            <w:pPr>
              <w:spacing w:after="0"/>
              <w:rPr>
                <w:sz w:val="20"/>
                <w:szCs w:val="20"/>
                <w:color w:val="auto"/>
              </w:rPr>
            </w:pPr>
            <w:r>
              <w:rPr>
                <w:rFonts w:ascii="Courier New" w:cs="Courier New" w:eastAsia="Courier New" w:hAnsi="Courier New"/>
                <w:sz w:val="16"/>
                <w:szCs w:val="16"/>
                <w:color w:val="auto"/>
              </w:rPr>
              <w:t>March 31, 2009</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June 30,</w:t>
            </w:r>
          </w:p>
        </w:tc>
        <w:tc>
          <w:tcPr>
            <w:tcW w:w="2880" w:type="dxa"/>
            <w:vAlign w:val="bottom"/>
          </w:tcPr>
          <w:p>
            <w:pPr>
              <w:ind w:left="60"/>
              <w:spacing w:after="0"/>
              <w:rPr>
                <w:sz w:val="20"/>
                <w:szCs w:val="20"/>
                <w:color w:val="auto"/>
              </w:rPr>
            </w:pPr>
            <w:r>
              <w:rPr>
                <w:rFonts w:ascii="Courier New" w:cs="Courier New" w:eastAsia="Courier New" w:hAnsi="Courier New"/>
                <w:sz w:val="16"/>
                <w:szCs w:val="16"/>
                <w:color w:val="auto"/>
              </w:rPr>
              <w:t>2009</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182"/>
        </w:trPr>
        <w:tc>
          <w:tcPr>
            <w:tcW w:w="3680" w:type="dxa"/>
            <w:vAlign w:val="bottom"/>
            <w:gridSpan w:val="2"/>
          </w:tcPr>
          <w:p>
            <w:pPr>
              <w:spacing w:after="0"/>
              <w:rPr>
                <w:sz w:val="20"/>
                <w:szCs w:val="20"/>
                <w:color w:val="auto"/>
              </w:rPr>
            </w:pPr>
            <w:r>
              <w:rPr>
                <w:rFonts w:ascii="Courier New" w:cs="Courier New" w:eastAsia="Courier New" w:hAnsi="Courier New"/>
                <w:sz w:val="16"/>
                <w:szCs w:val="16"/>
                <w:color w:val="auto"/>
              </w:rPr>
              <w:t>September 30, 2009</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2880" w:type="dxa"/>
            <w:vAlign w:val="bottom"/>
          </w:tcPr>
          <w:p>
            <w:pPr>
              <w:ind w:left="60"/>
              <w:spacing w:after="0"/>
              <w:rPr>
                <w:sz w:val="20"/>
                <w:szCs w:val="20"/>
                <w:color w:val="auto"/>
              </w:rPr>
            </w:pPr>
            <w:r>
              <w:rPr>
                <w:rFonts w:ascii="Courier New" w:cs="Courier New" w:eastAsia="Courier New" w:hAnsi="Courier New"/>
                <w:sz w:val="16"/>
                <w:szCs w:val="16"/>
                <w:color w:val="auto"/>
              </w:rPr>
              <w:t>31, 2009</w:t>
            </w:r>
          </w:p>
        </w:tc>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bl>
    <w:p>
      <w:pPr>
        <w:sectPr>
          <w:pgSz w:w="11900" w:h="16838" w:orient="portrait"/>
          <w:cols w:equalWidth="0" w:num="1">
            <w:col w:w="10219"/>
          </w:cols>
          <w:pgMar w:left="240" w:top="477" w:right="1440" w:bottom="1440" w:gutter="0" w:footer="0" w:header="0"/>
        </w:sectPr>
      </w:pPr>
    </w:p>
    <w:bookmarkStart w:id="433" w:name="page434"/>
    <w:bookmarkEnd w:id="433"/>
    <w:p>
      <w:pPr>
        <w:jc w:val="right"/>
        <w:ind w:right="2659"/>
        <w:spacing w:after="0"/>
        <w:rPr>
          <w:sz w:val="20"/>
          <w:szCs w:val="20"/>
          <w:color w:val="auto"/>
        </w:rPr>
      </w:pPr>
      <w:r>
        <w:rPr>
          <w:rFonts w:ascii="Courier New" w:cs="Courier New" w:eastAsia="Courier New" w:hAnsi="Courier New"/>
          <w:sz w:val="16"/>
          <w:szCs w:val="16"/>
          <w:color w:val="auto"/>
        </w:rPr>
        <w:t>34</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80" w:type="dxa"/>
            <w:vAlign w:val="bottom"/>
          </w:tcPr>
          <w:p>
            <w:pPr>
              <w:spacing w:after="0"/>
              <w:rPr>
                <w:sz w:val="20"/>
                <w:szCs w:val="20"/>
                <w:color w:val="auto"/>
              </w:rPr>
            </w:pPr>
            <w:r>
              <w:rPr>
                <w:rFonts w:ascii="Courier New" w:cs="Courier New" w:eastAsia="Courier New" w:hAnsi="Courier New"/>
                <w:sz w:val="16"/>
                <w:szCs w:val="16"/>
                <w:color w:val="auto"/>
              </w:rPr>
              <w:t>Installment</w:t>
            </w:r>
          </w:p>
        </w:tc>
        <w:tc>
          <w:tcPr>
            <w:tcW w:w="37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Principal Amount</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680" w:type="dxa"/>
            <w:vAlign w:val="bottom"/>
          </w:tcPr>
          <w:p>
            <w:pPr>
              <w:spacing w:after="0"/>
              <w:rPr>
                <w:sz w:val="20"/>
                <w:szCs w:val="20"/>
                <w:color w:val="auto"/>
              </w:rPr>
            </w:pPr>
            <w:r>
              <w:rPr>
                <w:rFonts w:ascii="Courier New" w:cs="Courier New" w:eastAsia="Courier New" w:hAnsi="Courier New"/>
                <w:sz w:val="16"/>
                <w:szCs w:val="16"/>
                <w:color w:val="auto"/>
              </w:rPr>
              <w:t>March 31, 2010</w:t>
            </w:r>
          </w:p>
        </w:tc>
        <w:tc>
          <w:tcPr>
            <w:tcW w:w="37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$500,000</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June 30, 2010</w:t>
            </w:r>
          </w:p>
        </w:tc>
        <w:tc>
          <w:tcPr>
            <w:tcW w:w="37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$500,000</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September 30, 2010</w:t>
            </w:r>
          </w:p>
        </w:tc>
        <w:tc>
          <w:tcPr>
            <w:tcW w:w="37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$487,000,000</w:t>
            </w:r>
          </w:p>
        </w:tc>
      </w:tr>
    </w:tbl>
    <w:p>
      <w:pPr>
        <w:spacing w:after="0" w:line="368"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2.4 Revolving Credit Commitment. (a) Subject to and upon the terms and conditions of this Agreement, (i) each Facility A Lender severally (but not jointly) agrees to make Facility A Loans in Dollars, euros and any Optional Currency to the Borrower and/or the Regular Subsidiary Borrowers from time to time during the Revolving Credit Commitment Period in an aggregate principal amount not to exceed at any one time the Available Facility A Commitment of such Facility A Lender; provided that, after giving effect to the making of such Facility A Loans, the Aggregate Facility A Revolving Extensions of Credit will not exceed the Facility A Commitments; (ii) each Facility B Lender severally (but not jointly) agrees to make Facility B Loans in Dollars, euros, and any Optional Currency to the Borrower and/or the Regular Subsidiary Borrowers from to time during the Revolving Credit Commitment Period in an aggregate principal amount not to exceed the Available Facility B Commitment of such Facility B Lender (which for this purpose shall be computed as though the amount in subclause (b)(i) in the definition thereof is $0); provided that, after giving effect to the making of such Facility B Loans, the Aggregate Facility B Revolving Extensions of Credit will not exceed the Facility B Commitments; (iii) each Facility C Lender severally (but not jointly) agrees to make Facility C Loans in Dollars, euros, and any Optional Currency to the Borrower and/or the Regular Subsidiary Borrowers from to time during the Revolving Credit Commitment Period in an aggregate principal amount not to exceed the Available Facility C Commitment of such Facility C Lender; provided that, after giving effect to the making of such Facility C Loans, the Aggregate Facility C Revolving Extensions of Credit will not exceed the Facility C Commitments (which for this purpose shall be computed as though the amount in subclause (b)(i) in the definition thereof is $0); (iv) each Facility D Lender severally (but not jointly) agrees to make Facility D Loans in Dollars, euros, and any Optional Currency to the Borrower and/or the Regular Subsidiary Borrowers from to time during the Revolving Credit Commitment Period in an aggregate principal amount not to exceed the Available Facility D Commitment of such Facility D Lender (which for this purpose shall be computed as though the amount in subclause (b)(i) in the definition thereof is $0); provided that, after giving effect to the making of such Facility D Loans, the Aggregate Facility D Revolving Extensions of Credit will not exceed the Facility D Commitments; (v) each Sterling Lender, which shall also be a Facility B Lender or an affiliate thereof, severally (but not jointly) agrees to make Sterling Loans in Sterling or euros to each Sterling Subsidiary Borrower from time to time during the Revolving Credit Commitment Period in an aggregate principal amount not to exceed the Available Sterling Commitment of such Sterling Lender in accordance with the terms of Annex B hereto (which for this purpose shall be computed as though the amount in subclause (b)(i) in the definition thereof is $0); provided that, after giving effect to the making of such Sterling Loans, the Aggregate Sterling Revolving Extensions of Credit will not exceed the Sterling Commitments; (vi) each Australian Dollar Lender, which shall be a Facility C Lender or an affiliate thereof, severally (but not jointly) agrees to make Australian Dollar Loans in Australian Dollars to each Australian Subsidiary Borrower from time to time during the Revolving Credit Commitment Period in an aggregate principal amount not to exceed the Available Australian Commitment of such</w:t>
      </w:r>
    </w:p>
    <w:p>
      <w:pPr>
        <w:sectPr>
          <w:pgSz w:w="11900" w:h="16838" w:orient="portrait"/>
          <w:cols w:equalWidth="0" w:num="1">
            <w:col w:w="10219"/>
          </w:cols>
          <w:pgMar w:left="240" w:top="477" w:right="1440" w:bottom="1440" w:gutter="0" w:footer="0" w:header="0"/>
        </w:sectPr>
      </w:pPr>
    </w:p>
    <w:bookmarkStart w:id="434" w:name="page435"/>
    <w:bookmarkEnd w:id="434"/>
    <w:p>
      <w:pPr>
        <w:jc w:val="right"/>
        <w:ind w:right="2659"/>
        <w:spacing w:after="0"/>
        <w:rPr>
          <w:sz w:val="20"/>
          <w:szCs w:val="20"/>
          <w:color w:val="auto"/>
        </w:rPr>
      </w:pPr>
      <w:r>
        <w:rPr>
          <w:rFonts w:ascii="Courier New" w:cs="Courier New" w:eastAsia="Courier New" w:hAnsi="Courier New"/>
          <w:sz w:val="16"/>
          <w:szCs w:val="16"/>
          <w:color w:val="auto"/>
        </w:rPr>
        <w:t>35</w:t>
      </w:r>
    </w:p>
    <w:p>
      <w:pPr>
        <w:spacing w:after="0" w:line="368"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Australian Dollar Lender in accordance with the terms of Annex C hereto (which for this purpose shall be computed as though the amount in subclause (b)(i) in the definition thereof is $0); provided that, after giving effect to the making of such Australian Dollar Loans, the Aggregate Australian Revolving Extensions of Credit will not exceed the Australian Commitments; and (vii) each Canadian Dollar Lender, which shall be a Facility D Lender or an affiliate thereof, severally (but not jointly) agrees to make, Canadian Dollar Loans in Canadian Dollars to each Canadian Subsidiary Borrower from time to time during the Revolving Credit Commitment Period in an aggregate principal amount not to exceed the Available Canadian Commitment of such Canadian Dollar Lender in accordance with the terms of Annex D hereto (which for this purpose shall be computed as though the amount in subclause (b)(i) in the definition thereof is $0); provided that, after giving effect to the making of such Canadian Dollar Loans, the Aggregate Canadian Revolving Extensions of Credit will not exceed the Canadian Commitment. During the Revolving Credit Commitment Period the Borrower and the Subsidiary Borrowers may use the Revolving Credit Commitments by borrowing, repaying the Revolving Credit Loans in whole or in part, and reborrowing, all in accordance with the terms and conditions hereof. Except as provided in Annex B, Annex C or Annex D, each Revolving Credit Lender shall only be required to make Revolving Credit Loans (x) in Dollars, (y) in euros and (z) in Optional Currencies. The Borrower and Regular Subsidiary Borrowers may make ABR Loan and LIBOR Loan borrowings in Dollars and may make LIBOR Loan borrowings in euros and any Optional Currency under any Revolving Facility. Foreign Subsidiary Borrowers may make borrowings under the Revolving Facilities as provided for in Annex B, Annex C or Annex D. Each Facility B Lender, in respect of Sterling Loans, Facility C Lender, in respect of Australian Dollar Loans, and Facility D Lender in respect of Canadian Dollar Loans, agrees that each of its Lending Installations making or holding Sterling Loans, Australian Dollar Loans or Canadian Dollar Loans hereunder shall be on the date hereof, on the date any such Loans are made hereunder and, after giving effect to an assignment pursuant to subsection 10.6 hereof, an Eligible U.K. Bank, an Eligible Australian Bank or an Eligible Canadian Bank, as the case may be.</w:t>
      </w:r>
    </w:p>
    <w:p>
      <w:pPr>
        <w:spacing w:after="0" w:line="361"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2.5 Procedure for Revolving Credit Borrowing. (a) The Borrower and the Regular Subsidiary Borrowers may borrow under any Revolving Facility during the Revolving Credit Commitment Period on any Business Day; provided that the Borrower or the relevant Regular Subsidiary Borrower shall give the Administrative Agent irrevocable notice (1) (which notice must be received by the Administrative Agent prior to 11:00 A.M., New York City time) on the requested Borrowing Date, in the case of ABR Loans, (2) (which notice must be received by the Administrative Agent prior to 11:00 A.M., New York City time) three Business Days prior to the requested Borrowing Date, in the case of LIBOR Loans in Dollars and (3) (which notice must be received by 11:00 A.M. London time) three Business Days prior to the requested Borrowing Date, in the case of LIBOR Loans in euros or an Optional Currency, specifying (i) the identity of the Borrower or Regular Subsidiary Borrower borrowing and the amount and currency to be borrowed, (ii) the requested Borrowing Date, (iii) the Revolving Facility under which the borrowing is to be made, (iv) whether the borrowing is to be an ABR Loan (in the case of Revolving Credit Loans in Dollars) or a LIBOR Loan or a combination thereof, and (v) if the borrowing is to be entirely or partly a LIBOR Loan, the amount to be a LIBOR Loan and the length of the Interest Period for such LIBOR Loan. Each ABR borrowing by the Borrower or any Regular Subsidiary Borrower pursuant to the Revolving Credit Commitments shall be in an aggregate principal amount equal to $1,000,000 or a whole multiple of $250,000 in excess</w:t>
      </w:r>
    </w:p>
    <w:p>
      <w:pPr>
        <w:sectPr>
          <w:pgSz w:w="11900" w:h="16838" w:orient="portrait"/>
          <w:cols w:equalWidth="0" w:num="1">
            <w:col w:w="10219"/>
          </w:cols>
          <w:pgMar w:left="240" w:top="477" w:right="1440" w:bottom="1440" w:gutter="0" w:footer="0" w:header="0"/>
        </w:sectPr>
      </w:pPr>
    </w:p>
    <w:bookmarkStart w:id="435" w:name="page436"/>
    <w:bookmarkEnd w:id="435"/>
    <w:p>
      <w:pPr>
        <w:jc w:val="right"/>
        <w:ind w:right="2659"/>
        <w:spacing w:after="0"/>
        <w:rPr>
          <w:sz w:val="20"/>
          <w:szCs w:val="20"/>
          <w:color w:val="auto"/>
        </w:rPr>
      </w:pPr>
      <w:r>
        <w:rPr>
          <w:rFonts w:ascii="Courier New" w:cs="Courier New" w:eastAsia="Courier New" w:hAnsi="Courier New"/>
          <w:sz w:val="16"/>
          <w:szCs w:val="16"/>
          <w:color w:val="auto"/>
        </w:rPr>
        <w:t>36</w:t>
      </w:r>
    </w:p>
    <w:p>
      <w:pPr>
        <w:spacing w:after="0" w:line="36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thereof. Each LIBOR borrowing in Dollars by the Borrower or any Regular Subsidiary Borrower pursuant to the Revolving Credit Commitments shall be in an aggregate principal amount equal to $1,000,000 or a whole multiple of $1,000,000 in excess thereof. Each LIBOR borrowing in euros or an Optional Currency by the Borrower or any Regular Subsidiary Borrower pursuant to the Revolving Credit Commitments shall be in an aggregate principal amount equal to $2,500,000 or a whole multiple of $1,000,000 in excess thereof in the Non-Dollar Currency Equivalent thereof.</w:t>
      </w:r>
    </w:p>
    <w:p>
      <w:pPr>
        <w:spacing w:after="0" w:line="187" w:lineRule="exact"/>
        <w:rPr>
          <w:sz w:val="20"/>
          <w:szCs w:val="20"/>
          <w:color w:val="auto"/>
        </w:rPr>
      </w:pPr>
    </w:p>
    <w:p>
      <w:pPr>
        <w:ind w:right="2659" w:firstLine="1132"/>
        <w:spacing w:after="0"/>
        <w:tabs>
          <w:tab w:leader="none" w:pos="1513" w:val="left"/>
        </w:tabs>
        <w:numPr>
          <w:ilvl w:val="0"/>
          <w:numId w:val="4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of any notice from the Borrower or a Regular Subsidiary Borrower pursuant to this subsection 2.5, the Administrative Agent shall promptly notify each Revolving Credit Lender under the relevant Revolving Facility thereof. Each such Revolving Credit Lender will make the amount of its ratable share (subject to subsection 2.4) of each borrowing available to the Administrative Agent for the account of the Borrower or such Regular Subsidiary Borrower at the office of the Administrative Agent specified in subsection 10.2 prior to 2:00 P.M., New York City time (or in the case of any borrowing in an Optional Currency, at the place and time specified by the Administrative Agent from time to time), on the Borrowing Date requested by the Borrower or such Regular Subsidiary Borrower in funds immediately available to the Administrative Agent. Such borrowing will then be made available to the Borrower or such Regular Subsidiary Borrower by the Administrative Agent crediting the account of the Borrower or such Regular Subsidiary Borrower on the books of such office with the aggregate of the amounts made available to the Administrative Agent by such Revolving Credit Lenders and in like funds as received by the Administrative Agent.</w:t>
      </w:r>
    </w:p>
    <w:p>
      <w:pPr>
        <w:spacing w:after="0" w:line="193"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2.6 Swing Line Commitments. (a) Subject to the terms and conditions hereof, from time to time prior to the Revolving Credit Termination Date and to the Borrower or any Regular Subsidiary Borrower (i) each Swing Line Lender severally (but not jointly) agrees to make Swing Line Loans in Dollars or euros in an aggregate principal amount not to exceed $30,000,000 at any one time outstanding (each of the foregoing individually, a "Swing Line Loan"; collectively the "Swing Line Loans"), which Swing Line Loans may be borrowed under any of the Facility A Commitments, the Facility B Commitments, the Facility C Commitments or the Facility D Commitments; provided that, after giving effect to the making of such Swing Line Loans, the aggregate principal amount of Swing Line Loans (including any Sterling Swing Line Loans, Australian Dollar Swing Line Loans and Canadian Dollar Swing Line Loans) made under any Revolving Facility (including the Sterling Facility, Australian Facility and Canadian Facility) at any one time outstanding shall not exceed $80,000,000 or the Non-Dollar Currency Equivalent thereof and the Aggregate Facility A Revolving Extensions of Credit shall not exceed the Facility A Commitments, the Aggregate Facility B Revolving Extensions of Credit shall not exceed the Facility B Commitments, the Aggregate Facility C Revolving Extensions of Credit shall not exceed the Facility C Commitments and the Aggregate Facility D Revolving Extensions of Credit shall not exceed the Facility D Commitments. All Swing Line Loans in Dollars shall be made as ABR Loans and Swing Line Loans in euros shall be made on terms agreed upon by the relevant Swing Line Lender and the Borrower or applicable Regular Subsidiary Borrower. The Borrower or applicable Regular Subsidiary Borrower shall give the Administrative Agent irrevocable notice (which notice must be received by the Administrative Agent at or prior to 1:00 P.M., New York City time, on the requested Borrowing Date), specifying the amount of each requested Swing Line Loan, which shall be greater than or equal to a minimum amount to be agreed upon by the Borrower or applicable Regular Subsidiary Borrower and the relevant Swing</w:t>
      </w:r>
    </w:p>
    <w:p>
      <w:pPr>
        <w:sectPr>
          <w:pgSz w:w="11900" w:h="16838" w:orient="portrait"/>
          <w:cols w:equalWidth="0" w:num="1">
            <w:col w:w="10219"/>
          </w:cols>
          <w:pgMar w:left="240" w:top="476" w:right="1440" w:bottom="1440" w:gutter="0" w:footer="0" w:header="0"/>
        </w:sectPr>
      </w:pPr>
    </w:p>
    <w:bookmarkStart w:id="436" w:name="page437"/>
    <w:bookmarkEnd w:id="436"/>
    <w:p>
      <w:pPr>
        <w:jc w:val="right"/>
        <w:ind w:right="2659"/>
        <w:spacing w:after="0"/>
        <w:rPr>
          <w:sz w:val="20"/>
          <w:szCs w:val="20"/>
          <w:color w:val="auto"/>
        </w:rPr>
      </w:pPr>
      <w:r>
        <w:rPr>
          <w:rFonts w:ascii="Courier New" w:cs="Courier New" w:eastAsia="Courier New" w:hAnsi="Courier New"/>
          <w:sz w:val="16"/>
          <w:szCs w:val="16"/>
          <w:color w:val="auto"/>
        </w:rPr>
        <w:t>37</w:t>
      </w:r>
    </w:p>
    <w:p>
      <w:pPr>
        <w:spacing w:after="0" w:line="368" w:lineRule="exact"/>
        <w:rPr>
          <w:sz w:val="20"/>
          <w:szCs w:val="20"/>
          <w:color w:val="auto"/>
        </w:rPr>
      </w:pPr>
    </w:p>
    <w:p>
      <w:pPr>
        <w:ind w:right="2659"/>
        <w:spacing w:after="0" w:line="258" w:lineRule="auto"/>
        <w:rPr>
          <w:sz w:val="20"/>
          <w:szCs w:val="20"/>
          <w:color w:val="auto"/>
        </w:rPr>
      </w:pPr>
      <w:r>
        <w:rPr>
          <w:rFonts w:ascii="Courier New" w:cs="Courier New" w:eastAsia="Courier New" w:hAnsi="Courier New"/>
          <w:sz w:val="15"/>
          <w:szCs w:val="15"/>
          <w:color w:val="auto"/>
        </w:rPr>
        <w:t>Line Lender, and the Revolving Facility under which it is to be borrowed. In giving irrevocable notice, the Borrower or the applicable Regular Subsidiary Borrower shall designate, at its option, one or two Swing Line Lenders to make one or more Swing Line Loans in the relevant currency. Upon such notice, the Administrative Agent shall promptly notify each applicable Swing Line Lender thereof. Each Swing Line Lender which has been designated by the Borrower or the applicable Regular Subsidiary Borrower in its irrevocable notice shall make the amount of its ratable share of each borrowing in the currency requested available to the Borrower or applicable Regular Subsidiary Borrower in the manner directed by the Administrative Agent on the requested Borrowing Date.</w:t>
      </w:r>
    </w:p>
    <w:p>
      <w:pPr>
        <w:spacing w:after="0" w:line="174" w:lineRule="exact"/>
        <w:rPr>
          <w:sz w:val="20"/>
          <w:szCs w:val="20"/>
          <w:color w:val="auto"/>
        </w:rPr>
      </w:pPr>
    </w:p>
    <w:p>
      <w:pPr>
        <w:ind w:right="2659" w:firstLine="1132"/>
        <w:spacing w:after="0"/>
        <w:tabs>
          <w:tab w:leader="none" w:pos="1513" w:val="left"/>
        </w:tabs>
        <w:numPr>
          <w:ilvl w:val="0"/>
          <w:numId w:val="4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Swing Line Lenders or any of them at any time and in their or its sole and absolute discretion, may, on behalf of the Borrower or applicable Regular Subsidiary Borrower (which hereby irrevocably directs the Swing Line Lenders to act on its behalf), request each Revolving Credit Lender under the applicable Revolving Facility, including each Swing Line Lender, with respect to all other Swing Line Loans, to make a Revolving Credit Loan under such Revolving Facility, in the currency of the Swing Line Loan(s) made by such Swing Line Lender(s) in an amount equal to such Lender's Revolving Percentage under such Revolving Facility of the amount of the Swing Line Loans (the "Refunded Swing Line Loans") outstanding on the date such notice is given. Unless any of the events described in paragraph (f) of Section 8 shall have occurred (in which event the procedures of paragraph (c) of this subsection 2.6 shall apply), each Revolving Credit Lender shall make the proceeds of its Revolving Credit Loan available to the Administrative Agent for the account of the Swing Line Lenders, at the office of the Administrative Agent prior to 12:00 Noon (New York City time) in funds immediately available on the Business Day next succeeding the date such notice is given. The proceeds of such Revolving Credit Loans shall be immediately applied to repay the Refunded Swing Line Loans.</w:t>
      </w:r>
    </w:p>
    <w:p>
      <w:pPr>
        <w:spacing w:after="0" w:line="193" w:lineRule="exact"/>
        <w:rPr>
          <w:rFonts w:ascii="Courier New" w:cs="Courier New" w:eastAsia="Courier New" w:hAnsi="Courier New"/>
          <w:sz w:val="16"/>
          <w:szCs w:val="16"/>
          <w:color w:val="auto"/>
        </w:rPr>
      </w:pPr>
    </w:p>
    <w:p>
      <w:pPr>
        <w:ind w:right="2659" w:firstLine="1132"/>
        <w:spacing w:after="0"/>
        <w:tabs>
          <w:tab w:leader="none" w:pos="1513" w:val="left"/>
        </w:tabs>
        <w:numPr>
          <w:ilvl w:val="0"/>
          <w:numId w:val="4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prior to the making of a Revolving Credit Loan pursuant to paragraph (b) of subsection 2.6, one of the events described in paragraph (f) of Section 8 shall have occurred, each Revolving Credit Lender under the applicable Revolving Facility hereby agrees to and will, on the date such Revolving Credit Loan was to have been made, purchase an undivided participating interest in each Refunded Swing Line Loan in an amount equal to its Revolving Percentage under such Revolving Facility of such Refunded Swing Line Loan. Such Revolving Credit Lender will immediately transfer to the Administrative Agent for the account of the Swing Line Lenders, in immediately available funds denominated in Dollars, the Dollar Equivalent (if applicable) of the amount of its participations and, upon its receipt of its ratable share thereof, each Swing Line Lender will deliver to such Revolving Credit Lender a Swing Line Loan Participation Certificate dated the date of receipt of such funds and in such amount. On such date, any Swing Line Loans not denominated in Dollars shall, without any further action or notice being required, be converted to and become denominated in Dollars in an amount equal to the Dollar Equivalent of the amount thereof on such date.</w:t>
      </w:r>
    </w:p>
    <w:p>
      <w:pPr>
        <w:spacing w:after="0" w:line="192" w:lineRule="exact"/>
        <w:rPr>
          <w:rFonts w:ascii="Courier New" w:cs="Courier New" w:eastAsia="Courier New" w:hAnsi="Courier New"/>
          <w:sz w:val="16"/>
          <w:szCs w:val="16"/>
          <w:color w:val="auto"/>
        </w:rPr>
      </w:pPr>
    </w:p>
    <w:p>
      <w:pPr>
        <w:ind w:right="2839" w:firstLine="1132"/>
        <w:spacing w:after="0" w:line="258" w:lineRule="auto"/>
        <w:tabs>
          <w:tab w:leader="none" w:pos="1513"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at any time after any Swing Line Lender has received from any Revolving Credit Lender such Revolving Credit Lender's participating interest in a Refunded Swing Line Loan and such Swing Line Lender receives any payment on account thereof, such Swing Line Lender will distribute to such Revolving Credit Lender through the Administrative Agent its participating interest in such Dollar Equivalent amount (appropriately adjusted, in the</w:t>
      </w:r>
    </w:p>
    <w:p>
      <w:pPr>
        <w:sectPr>
          <w:pgSz w:w="11900" w:h="16838" w:orient="portrait"/>
          <w:cols w:equalWidth="0" w:num="1">
            <w:col w:w="10219"/>
          </w:cols>
          <w:pgMar w:left="240" w:top="477" w:right="1440" w:bottom="1440" w:gutter="0" w:footer="0" w:header="0"/>
        </w:sectPr>
      </w:pPr>
    </w:p>
    <w:bookmarkStart w:id="437" w:name="page438"/>
    <w:bookmarkEnd w:id="437"/>
    <w:p>
      <w:pPr>
        <w:jc w:val="right"/>
        <w:ind w:right="2659"/>
        <w:spacing w:after="0"/>
        <w:rPr>
          <w:sz w:val="20"/>
          <w:szCs w:val="20"/>
          <w:color w:val="auto"/>
        </w:rPr>
      </w:pPr>
      <w:r>
        <w:rPr>
          <w:rFonts w:ascii="Courier New" w:cs="Courier New" w:eastAsia="Courier New" w:hAnsi="Courier New"/>
          <w:sz w:val="16"/>
          <w:szCs w:val="16"/>
          <w:color w:val="auto"/>
        </w:rPr>
        <w:t>38</w:t>
      </w:r>
    </w:p>
    <w:p>
      <w:pPr>
        <w:spacing w:after="0" w:line="368"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case of interest payments, to reflect the period of time during which such Revolving Credit Lender's participating interest was outstanding and funded) in funds denominated in Dollars; provided, however, that in the event that such payment received by such Swing Line Lender is required to be returned, such Revolving Credit Lender will return to such Swing Line Lender through the Administrative Agent any portion thereof previously distributed by such Swing Line Lender to it in like funds as such payment is required to be returned by such Swing Line Lender.</w:t>
      </w:r>
    </w:p>
    <w:p>
      <w:pPr>
        <w:spacing w:after="0" w:line="187"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2.7 Participation. Each Revolving Credit Lender's obligation to purchase participating interests pursuant to paragraph (c) of subsection 2.6 shall be absolute and unconditional and shall not be affected by any circumstances, including, without limitation, (a) any set-off, counterclaim, recoupment, defense or other right which such Revolving Credit Lender may have against the Swing Line Lender, the Borrower, any Regular Subsidiary Borrower or any other Person for any reason whatsoever; (b) the occurrence or continuance of an Event of Default; (c) any adverse change in the condition (financial or otherwise) of the Borrower or any Subsidiary; (d) any breach of this Agreement by the Borrower, any Regular Subsidiary Borrower or any other Revolving Credit Lender; or (e) any other circumstance, happening or event whatsoever, whether or not similar to any of the foregoing. Notwithstanding the foregoing, no Revolving Credit Lender shall have any obligation to purchase participating interests pursuant to paragraph (c) of subsection 2.6 or to make any Refunded Swing Line Loans in respect of any Swing Line Loan which was made at any time following receipt by the Administrative Agent of a notice from any Revolving Credit Lender specifying that (x) a Default or Event of Default has occurred and is continuing and (y) explicitly stating that such Revolving Credit Lender will not purchase such participating interests or make Refunded Swing Line Loans with respect to Swing Line Loans made after the date of receipt of such notice.</w:t>
      </w:r>
    </w:p>
    <w:p>
      <w:pPr>
        <w:spacing w:after="0" w:line="180" w:lineRule="exact"/>
        <w:rPr>
          <w:sz w:val="20"/>
          <w:szCs w:val="20"/>
          <w:color w:val="auto"/>
        </w:rPr>
      </w:pPr>
    </w:p>
    <w:p>
      <w:pPr>
        <w:ind w:right="2759" w:firstLine="1135"/>
        <w:spacing w:after="0" w:line="257" w:lineRule="auto"/>
        <w:rPr>
          <w:sz w:val="20"/>
          <w:szCs w:val="20"/>
          <w:color w:val="auto"/>
        </w:rPr>
      </w:pPr>
      <w:r>
        <w:rPr>
          <w:rFonts w:ascii="Courier New" w:cs="Courier New" w:eastAsia="Courier New" w:hAnsi="Courier New"/>
          <w:sz w:val="15"/>
          <w:szCs w:val="15"/>
          <w:color w:val="auto"/>
        </w:rPr>
        <w:t>2.8 Repayment of Revolving Credit Loans; Evidence of Debt. (a) The Borrower hereby unconditionally promises to pay to the Administrative Agent for the account of each Lender (i) the then unpaid principal amount of each Revolving Credit Loan of such Lender on the Revolving Credit Termination Date (or such earlier date on which the Loans become due and payable pursuant to Section 8) and (ii) the then unpaid principal amount of the Swing Line Loans of the Swing Line Lender on the Revolving Credit Termination Date (or such earlier date on which the Swing Line Loans become due and payable pursuant to Section 8). Each of the Regular Subsidiary Borrowers hereby unconditionally promises to pay to the Administrative Agent for the account of such Lender (i) the then unpaid principal amount of each Loan to such Subsidiary Borrower on the Revolving Credit Termination Date (or such earlier date on which the Revolving Credit Loans become due and payable pursuant to Section 8) and (ii) the then unpaid principal amount of the Swing Line Loans to such Subsidiary Borrower of the Swing Line Lender on the Revolving Credit Termination Date (or such earlier date on which the Swing Line Loans became due and payable pursuant to Section 8). Each of the Borrower and the relevant Subsidiary Borrowers hereby further agrees to pay interest on the unpaid principal amount of the Loans from time to time outstanding to the Borrower or such Subsidiary Borrower, as applicable, from the date hereof until payment in full thereof at the rates per annum, and on the dates, set forth in subsection 2.15.</w:t>
      </w:r>
    </w:p>
    <w:p>
      <w:pPr>
        <w:spacing w:after="0" w:line="180" w:lineRule="exact"/>
        <w:rPr>
          <w:sz w:val="20"/>
          <w:szCs w:val="20"/>
          <w:color w:val="auto"/>
        </w:rPr>
      </w:pPr>
    </w:p>
    <w:p>
      <w:pPr>
        <w:ind w:right="2659" w:firstLine="1132"/>
        <w:spacing w:after="0" w:line="238" w:lineRule="auto"/>
        <w:tabs>
          <w:tab w:leader="none" w:pos="1513" w:val="left"/>
        </w:tabs>
        <w:numPr>
          <w:ilvl w:val="0"/>
          <w:numId w:val="4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Lender shall maintain in accordance with its usual practice an account or accounts evidencing indebtedness of the Borrower and the Subsidiary Borrowers to such</w:t>
      </w:r>
    </w:p>
    <w:p>
      <w:pPr>
        <w:sectPr>
          <w:pgSz w:w="11900" w:h="16838" w:orient="portrait"/>
          <w:cols w:equalWidth="0" w:num="1">
            <w:col w:w="10219"/>
          </w:cols>
          <w:pgMar w:left="240" w:top="477" w:right="1440" w:bottom="1440" w:gutter="0" w:footer="0" w:header="0"/>
        </w:sectPr>
      </w:pPr>
    </w:p>
    <w:bookmarkStart w:id="438" w:name="page439"/>
    <w:bookmarkEnd w:id="438"/>
    <w:p>
      <w:pPr>
        <w:jc w:val="right"/>
        <w:ind w:right="2659"/>
        <w:spacing w:after="0"/>
        <w:rPr>
          <w:sz w:val="20"/>
          <w:szCs w:val="20"/>
          <w:color w:val="auto"/>
        </w:rPr>
      </w:pPr>
      <w:r>
        <w:rPr>
          <w:rFonts w:ascii="Courier New" w:cs="Courier New" w:eastAsia="Courier New" w:hAnsi="Courier New"/>
          <w:sz w:val="16"/>
          <w:szCs w:val="16"/>
          <w:color w:val="auto"/>
        </w:rPr>
        <w:t>39</w:t>
      </w:r>
    </w:p>
    <w:p>
      <w:pPr>
        <w:spacing w:after="0" w:line="368"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Lender resulting from each Loan of such Lender from time to time, including the amounts of principal and interest payable and paid to such Lender from time to time under this Agreement.</w:t>
      </w:r>
    </w:p>
    <w:p>
      <w:pPr>
        <w:spacing w:after="0" w:line="188" w:lineRule="exact"/>
        <w:rPr>
          <w:sz w:val="20"/>
          <w:szCs w:val="20"/>
          <w:color w:val="auto"/>
        </w:rPr>
      </w:pPr>
    </w:p>
    <w:p>
      <w:pPr>
        <w:ind w:right="2659" w:firstLine="1132"/>
        <w:spacing w:after="0"/>
        <w:tabs>
          <w:tab w:leader="none" w:pos="1513" w:val="left"/>
        </w:tabs>
        <w:numPr>
          <w:ilvl w:val="0"/>
          <w:numId w:val="4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maintain the Register pursuant to subsection 10.6(b)(iv), and a subaccount therein for each Lender, in which shall be recorded (i) the amount of each Loan made hereunder, the Type thereof and each Interest Period applicable thereto, (ii) the amount of any principal or interest due and payable or to become due and payable from the Borrower or a Regular Subsidiary Borrower to each Lender hereunder and (iii) both the amount of any sum received by the Administrative Agent hereunder from the Borrower or such Regular Subsidiary Borrower and each Lender's share thereof.</w:t>
      </w:r>
    </w:p>
    <w:p>
      <w:pPr>
        <w:spacing w:after="0" w:line="186" w:lineRule="exact"/>
        <w:rPr>
          <w:rFonts w:ascii="Courier New" w:cs="Courier New" w:eastAsia="Courier New" w:hAnsi="Courier New"/>
          <w:sz w:val="16"/>
          <w:szCs w:val="16"/>
          <w:color w:val="auto"/>
        </w:rPr>
      </w:pPr>
    </w:p>
    <w:p>
      <w:pPr>
        <w:ind w:right="2659" w:firstLine="1132"/>
        <w:spacing w:after="0"/>
        <w:tabs>
          <w:tab w:leader="none" w:pos="1513" w:val="left"/>
        </w:tabs>
        <w:numPr>
          <w:ilvl w:val="0"/>
          <w:numId w:val="4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entries made in the Register and the accounts of each Lender maintained pursuant to subsection 2.8(b) shall, to the extent permitted by applicable law, be prima facie evidence of the existence and amounts of the obligations of the Borrower and each Regular Subsidiary Borrower therein recorded; provided, however, that the failure of any Lender or the Administrative Agent to maintain the Register or any such account, or any error therein, shall not in any manner affect the obligation of the Borrower or such Regular Subsidiary Borrower to repay (with applicable interest) the Loans made to such Borrower or such Regular Subsidiary Borrower by such Lender in accordance with the terms of this Agreement.</w:t>
      </w:r>
    </w:p>
    <w:p>
      <w:pPr>
        <w:spacing w:after="0" w:line="188" w:lineRule="exact"/>
        <w:rPr>
          <w:rFonts w:ascii="Courier New" w:cs="Courier New" w:eastAsia="Courier New" w:hAnsi="Courier New"/>
          <w:sz w:val="16"/>
          <w:szCs w:val="16"/>
          <w:color w:val="auto"/>
        </w:rPr>
      </w:pPr>
    </w:p>
    <w:p>
      <w:pPr>
        <w:ind w:right="2659" w:firstLine="1132"/>
        <w:spacing w:after="0" w:line="239" w:lineRule="auto"/>
        <w:tabs>
          <w:tab w:leader="none" w:pos="1513" w:val="left"/>
        </w:tabs>
        <w:numPr>
          <w:ilvl w:val="0"/>
          <w:numId w:val="4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Loan to Scotts Treasury EEIG may remain outstanding for more than 11.5 months and, after any such Loan is repaid, there shall be a period of at least two weeks during which Scotts Treasury EEIG has no Loan or other amount outstanding under any Facility; provided that the Borrower may deliver a notice to the Administrative Agent at any time directing that the restriction in this subsection 2.8(e) shall cease to apply with respect to such Loan or such period as are mentioned in any such notice.</w:t>
      </w:r>
    </w:p>
    <w:p>
      <w:pPr>
        <w:spacing w:after="0" w:line="192"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2.9 Facility Fee. The Borrower agrees to pay to the Administrative Agent, for the account of each Revolving Credit Lender, a facility fee in Dollars for the period from and including the Closing Date to the Revolving Credit Termination Date, calculated as an amount equal to the product of (a) the Facility Fee Rate and (b) the average daily amount of the Revolving Credit Commitments of such Lender (regardless of usage) during the period for which such facility fee is calculated, payable quarterly in arrears on the last day of each March, June, September and December and on the Revolving Credit Termination Date. Such payments shall commence on December 31, 2003, and such first payments shall be for the period from the Closing Date through December 31, 2003. The Borrower also agrees to pay to the Administrative Agent, (i) the fees described in the Commitment Letter, dated September 5, 2003, from JPMCB and JPMSI to the Borrower and (ii) the fees described in the Fee Letter.</w:t>
      </w:r>
    </w:p>
    <w:p>
      <w:pPr>
        <w:spacing w:after="0" w:line="190"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2.10 Termination or Reduction of Revolving Credit Commitments. (a) Optional. The Borrower shall have the right, upon not less than five Business Days' written notice to the Administrative Agent, to terminate the Revolving Credit Commitments or, from time to time, reduce the amount of the Revolving Credit Commitments, provided that (i) any such reduction shall be applied ratably across the Facility A, Facility B, Facility C and Facility D (with corresponding reductions across the Sterling Facility, the Australian Facility and the Canadian Facility), (ii) any such reduction shall be accompanied by prepayment of the Revolving Credit Loans under the applicable Revolving Facility by the Borrower and/or any Regular Subsidiary</w:t>
      </w:r>
    </w:p>
    <w:p>
      <w:pPr>
        <w:sectPr>
          <w:pgSz w:w="11900" w:h="16838" w:orient="portrait"/>
          <w:cols w:equalWidth="0" w:num="1">
            <w:col w:w="10219"/>
          </w:cols>
          <w:pgMar w:left="240" w:top="476" w:right="1440" w:bottom="1440" w:gutter="0" w:footer="0" w:header="0"/>
        </w:sectPr>
      </w:pPr>
    </w:p>
    <w:bookmarkStart w:id="439" w:name="page440"/>
    <w:bookmarkEnd w:id="439"/>
    <w:p>
      <w:pPr>
        <w:jc w:val="right"/>
        <w:ind w:right="2659"/>
        <w:spacing w:after="0"/>
        <w:rPr>
          <w:sz w:val="20"/>
          <w:szCs w:val="20"/>
          <w:color w:val="auto"/>
        </w:rPr>
      </w:pPr>
      <w:r>
        <w:rPr>
          <w:rFonts w:ascii="Courier New" w:cs="Courier New" w:eastAsia="Courier New" w:hAnsi="Courier New"/>
          <w:sz w:val="16"/>
          <w:szCs w:val="16"/>
          <w:color w:val="auto"/>
        </w:rPr>
        <w:t>40</w:t>
      </w:r>
    </w:p>
    <w:p>
      <w:pPr>
        <w:spacing w:after="0" w:line="36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Borrower, as applicable, together with accrued interest on the amount so prepaid to the date of such prepayment, to the extent, if any, the Available Facility A Commitments, the Available Facility B Commitments, Available Facility C Commitments or the Available Facility D Commitments would be negative, (iii) any such termination of the Revolving Credit Commitments shall be accompanied by (A) prepayment in full of the Revolving Credit Loans then outstanding hereunder, (B) cash collateralization of all L/C Obligations then outstanding in accordance with the provisions of subsection 2.13, and (C) payment of accrued interest thereon to the date of such prepayment and the payment of any unpaid fees then accrued hereunder (including, without limitation, in respect of any Letters of Credit) and (iii) any termination of the Revolving Credit Commitments while LIBOR Loans are outstanding under the Revolving Credit Commitments and any reduction of the aggregate amount of the Revolving Credit Commitments that reduces the amount of the Revolving Credit Commitments under any Revolving Facility below the principal amount of the LIBOR Loans then outstanding thereunder may be made only on the last day of the respective Interest Periods for such LIBOR Loans. Upon receipt of such notice, the Administrative Agent shall promptly notify each Lender thereof. Any such reduction shall be in an amount of $1,000,000 or a whole multiple of $1,000,000 in excess thereof (or in the case of a LIBOR borrowing in euros, an Optional Currency, the Dollar Equivalent thereof) and shall reduce permanently the amount of the Revolving Credit Commitments then in effect.</w:t>
      </w:r>
    </w:p>
    <w:p>
      <w:pPr>
        <w:spacing w:after="0" w:line="196" w:lineRule="exact"/>
        <w:rPr>
          <w:sz w:val="20"/>
          <w:szCs w:val="20"/>
          <w:color w:val="auto"/>
        </w:rPr>
      </w:pPr>
    </w:p>
    <w:p>
      <w:pPr>
        <w:ind w:right="2659" w:firstLine="1132"/>
        <w:spacing w:after="0" w:line="239" w:lineRule="auto"/>
        <w:tabs>
          <w:tab w:leader="none" w:pos="1513" w:val="left"/>
        </w:tabs>
        <w:numPr>
          <w:ilvl w:val="0"/>
          <w:numId w:val="4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Mandatory. The Revolving Credit Commitments shall automatically terminate on the Revolving Credit Termination Date and all Revolving Credit Loans shall be repaid and to the extent any Letter of Credit remains outstanding after the Revolving Credit Termination Date, the Borrower shall cash collateralize such L/C Obligations (and the fees thereon) in accordance with the provisions of subsection 2.13. The Revolving Credit Commitments shall also be reduced in accordance with subsection 2.12.</w:t>
      </w:r>
    </w:p>
    <w:p>
      <w:pPr>
        <w:spacing w:after="0" w:line="192"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2.11 Optional Prepayments. The Borrower or any Regular Subsidiary Borrower may, at any time and from time to time prepay the Term Loans or the Revolving Loans, including Loans under any Facility, made to it hereunder, in each case in whole or in part, without premium or penalty, upon at least four Business Days' irrevocable notice to the Administrative Agent in the case of LIBOR Loans, and two Business Days' irrevocable notice to the Administrative Agent in the case of ABR Loans, specifying the date and amount of prepayment, the relevant Facility and whether the prepayment is of LIBOR Loans, ABR Loans or a combination thereof, and, if a combination thereof, the amount of prepayment allocable to each. If such notice is given, the Borrower or the relevant Regular Subsidiary Borrower shall make such prepayment and the payment amount specified in such notice shall be due and payable on the date specified therein, together with accrued interest to such date on the amount prepaid. Partial prepayments shall be in an aggregate principal amount of $1,000,000 or a whole multiple of $500,000 in excess thereof (or in the case of a LIBOR borrowing in euros or an Optional Currency, the Dollar Equivalent thereof), provided that unless a LIBOR Loan is prepaid in full, no prepayment shall be made if, after giving effect to such prepayment, the aggregate principal amount of LIBOR Loans in Dollars outstanding with respect to which a common Interest Period has been selected shall be less than $1,000,000 or, in the case of LIBOR Loans in euros or an Optional Currency, after giving effect to such prepayment, the aggregate principal amount of LIBOR Loans in euros or an Optional Currency outstanding with respect to which a common Interest Period has been selected shall be less than $2,500,000 or the Non-Dollar Currency Equivalent thereof.</w:t>
      </w:r>
    </w:p>
    <w:p>
      <w:pPr>
        <w:sectPr>
          <w:pgSz w:w="11900" w:h="16838" w:orient="portrait"/>
          <w:cols w:equalWidth="0" w:num="1">
            <w:col w:w="10219"/>
          </w:cols>
          <w:pgMar w:left="240" w:top="477" w:right="1440" w:bottom="1440" w:gutter="0" w:footer="0" w:header="0"/>
        </w:sectPr>
      </w:pPr>
    </w:p>
    <w:bookmarkStart w:id="440" w:name="page441"/>
    <w:bookmarkEnd w:id="440"/>
    <w:p>
      <w:pPr>
        <w:jc w:val="right"/>
        <w:ind w:right="2659"/>
        <w:spacing w:after="0"/>
        <w:rPr>
          <w:sz w:val="20"/>
          <w:szCs w:val="20"/>
          <w:color w:val="auto"/>
        </w:rPr>
      </w:pPr>
      <w:r>
        <w:rPr>
          <w:rFonts w:ascii="Courier New" w:cs="Courier New" w:eastAsia="Courier New" w:hAnsi="Courier New"/>
          <w:sz w:val="16"/>
          <w:szCs w:val="16"/>
          <w:color w:val="auto"/>
        </w:rPr>
        <w:t>41</w:t>
      </w:r>
    </w:p>
    <w:p>
      <w:pPr>
        <w:spacing w:after="0" w:line="368" w:lineRule="exact"/>
        <w:rPr>
          <w:sz w:val="20"/>
          <w:szCs w:val="20"/>
          <w:color w:val="auto"/>
        </w:rPr>
      </w:pPr>
    </w:p>
    <w:p>
      <w:pPr>
        <w:ind w:left="3" w:right="2659" w:firstLine="1135"/>
        <w:spacing w:after="0" w:line="257" w:lineRule="auto"/>
        <w:rPr>
          <w:sz w:val="20"/>
          <w:szCs w:val="20"/>
          <w:color w:val="auto"/>
        </w:rPr>
      </w:pPr>
      <w:r>
        <w:rPr>
          <w:rFonts w:ascii="Courier New" w:cs="Courier New" w:eastAsia="Courier New" w:hAnsi="Courier New"/>
          <w:sz w:val="15"/>
          <w:szCs w:val="15"/>
          <w:color w:val="auto"/>
        </w:rPr>
        <w:t>2.12 Mandatory Prepayments. (a) The Borrower, without notice or demand, shall immediately prepay the Revolving Credit Loans under any Revolving Facility, or cause such Loans to be prepaid by the Regular Subsidiary Borrowers, to the extent, if any, that the Available Facility A Commitments, the Available Facility B Commitments, the Available Facility C Commitments or the Available Facility D Commitments, as the case may be, are negative, together with accrued interest to the date of such prepayment on the amount so prepaid; provided that if such prepayment is required solely as a result of a change in the aggregate Dollar Equivalent of the Revolving Credit Loans in euros or an Optional Currency, no prepayment shall be made unless such prepayment is required pursuant to subsection 2.24 under the applicable Revolving Facility.</w:t>
      </w:r>
    </w:p>
    <w:p>
      <w:pPr>
        <w:spacing w:after="0" w:line="181" w:lineRule="exact"/>
        <w:rPr>
          <w:sz w:val="20"/>
          <w:szCs w:val="20"/>
          <w:color w:val="auto"/>
        </w:rPr>
      </w:pPr>
    </w:p>
    <w:p>
      <w:pPr>
        <w:ind w:left="3" w:right="2659" w:firstLine="1132"/>
        <w:spacing w:after="0" w:line="258" w:lineRule="auto"/>
        <w:tabs>
          <w:tab w:leader="none" w:pos="1516" w:val="left"/>
        </w:tabs>
        <w:numPr>
          <w:ilvl w:val="1"/>
          <w:numId w:val="4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Required Prepayment Lenders shall otherwise agree, until the Term Loans have been repaid in full, if any Capital Stock or other equity shall be issued by the Borrower or any of its Subsidiaries (other than to the Borrower or any Regular Subsidiary Borrower), an amount equal to 50% of the Net Cash Proceeds thereof or the equivalent thereof shall be applied on the date of such issuance toward the prepayment of the Term Loans as set forth in subsection 2.12(g); provided that no prepayment under this subsection 2.12(b) shall be required if the Leverage Ratio as most recently determined on or prior to such date in accordance with this Agreement is less than 3.5 to 1.0.</w:t>
      </w:r>
    </w:p>
    <w:p>
      <w:pPr>
        <w:spacing w:after="0" w:line="174" w:lineRule="exact"/>
        <w:rPr>
          <w:rFonts w:ascii="Courier New" w:cs="Courier New" w:eastAsia="Courier New" w:hAnsi="Courier New"/>
          <w:sz w:val="15"/>
          <w:szCs w:val="15"/>
          <w:color w:val="auto"/>
        </w:rPr>
      </w:pPr>
    </w:p>
    <w:p>
      <w:pPr>
        <w:ind w:left="3" w:right="2759" w:firstLine="1132"/>
        <w:spacing w:after="0" w:line="258" w:lineRule="auto"/>
        <w:tabs>
          <w:tab w:leader="none" w:pos="1516" w:val="left"/>
        </w:tabs>
        <w:numPr>
          <w:ilvl w:val="1"/>
          <w:numId w:val="4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Required Prepayment Lenders shall otherwise agree, until the Term Loans have been repaid in full, if any Indebtedness shall be incurred by the Borrower or any of its Subsidiaries (excluding any Indebtedness incurred in accordance with subsection 7.6), the Borrower shall apply an amount equal to 100% of the Net Cash Proceeds thereof or the equivalent thereof on the date of such incurrence toward the prepayment of the Term Loans.</w:t>
      </w:r>
    </w:p>
    <w:p>
      <w:pPr>
        <w:spacing w:after="0" w:line="177" w:lineRule="exact"/>
        <w:rPr>
          <w:rFonts w:ascii="Courier New" w:cs="Courier New" w:eastAsia="Courier New" w:hAnsi="Courier New"/>
          <w:sz w:val="15"/>
          <w:szCs w:val="15"/>
          <w:color w:val="auto"/>
        </w:rPr>
      </w:pPr>
    </w:p>
    <w:p>
      <w:pPr>
        <w:ind w:left="3" w:right="2659" w:firstLine="1132"/>
        <w:spacing w:after="0" w:line="238" w:lineRule="auto"/>
        <w:tabs>
          <w:tab w:leader="none" w:pos="1516" w:val="left"/>
        </w:tabs>
        <w:numPr>
          <w:ilvl w:val="1"/>
          <w:numId w:val="4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Required Prepayment Lenders shall otherwise agree, if on any date the Borrower or any of its Subsidiaries shall receive Net Cash Proceeds from any Asset Sale (including any Asset Sale permitted under clause</w:t>
      </w:r>
    </w:p>
    <w:p>
      <w:pPr>
        <w:spacing w:after="0" w:line="6" w:lineRule="exact"/>
        <w:rPr>
          <w:rFonts w:ascii="Courier New" w:cs="Courier New" w:eastAsia="Courier New" w:hAnsi="Courier New"/>
          <w:sz w:val="16"/>
          <w:szCs w:val="16"/>
          <w:color w:val="auto"/>
        </w:rPr>
      </w:pPr>
    </w:p>
    <w:p>
      <w:pPr>
        <w:ind w:left="3" w:right="2659" w:hanging="3"/>
        <w:spacing w:after="0"/>
        <w:tabs>
          <w:tab w:leader="none" w:pos="381" w:val="left"/>
        </w:tabs>
        <w:numPr>
          <w:ilvl w:val="0"/>
          <w:numId w:val="4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subsection 7.9) or Recovery Event then, unless a Reinvestment Notice shall be delivered in respect thereof, an amount equal to such Net Cash Proceeds shall be applied by the Borrower or its Subsidiaries toward the prepayment of Term Loans and the reduction of the Revolving Credit Commitments as set forth in Section 2.12(g); provided, that, notwithstanding the foregoing, (i) Net Cash Proceeds of any Asset Sale specified in any Reinvestment Notice must be reinvested within one year from the date such Net Cash Proceeds are received by the Borrower or any of its Subsidiaries and (ii) on each Reinvestment Prepayment Date, an amount equal to the Reinvestment Prepayment Amount with respect to the relevant Reinvestment Event shall be applied toward the prepayment of the Term Loans and the reduction of the Revolving Credit Commitments as set forth in subsection 2.12(g).</w:t>
      </w:r>
    </w:p>
    <w:p>
      <w:pPr>
        <w:spacing w:after="0" w:line="189" w:lineRule="exact"/>
        <w:rPr>
          <w:rFonts w:ascii="Courier New" w:cs="Courier New" w:eastAsia="Courier New" w:hAnsi="Courier New"/>
          <w:sz w:val="16"/>
          <w:szCs w:val="16"/>
          <w:color w:val="auto"/>
        </w:rPr>
      </w:pPr>
    </w:p>
    <w:p>
      <w:pPr>
        <w:ind w:left="3" w:right="2659" w:firstLine="1132"/>
        <w:spacing w:after="0"/>
        <w:tabs>
          <w:tab w:leader="none" w:pos="1516" w:val="left"/>
        </w:tabs>
        <w:numPr>
          <w:ilvl w:val="1"/>
          <w:numId w:val="4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Required Prepayment Lenders shall otherwise agree, until the Term Loans have been repaid in full, if, for any fiscal year of the Borrower commencing with the fiscal year ending September 30, 2004, there shall be Excess Cash Flow, the Borrower shall, on the relevant Excess Cash Flow Application Date, apply the ECF Percentage of such Excess Cash Flow toward the prepayment of the Term Loans. Each such prepayment and commitment reduction shall be made on a date (an "Excess Cash Flow Application Date") no later than five days after the earlier of (i) the date on which the financial statements of the Borrower referred to in subsection 6.1(a), for the fiscal year with respect to which such prepayment is made, are</w:t>
      </w:r>
    </w:p>
    <w:p>
      <w:pPr>
        <w:sectPr>
          <w:pgSz w:w="11900" w:h="16838" w:orient="portrait"/>
          <w:cols w:equalWidth="0" w:num="1">
            <w:col w:w="10222"/>
          </w:cols>
          <w:pgMar w:left="237" w:top="477" w:right="1440" w:bottom="1440" w:gutter="0" w:footer="0" w:header="0"/>
        </w:sectPr>
      </w:pPr>
    </w:p>
    <w:bookmarkStart w:id="441" w:name="page442"/>
    <w:bookmarkEnd w:id="441"/>
    <w:p>
      <w:pPr>
        <w:jc w:val="right"/>
        <w:ind w:right="2659"/>
        <w:spacing w:after="0"/>
        <w:rPr>
          <w:sz w:val="20"/>
          <w:szCs w:val="20"/>
          <w:color w:val="auto"/>
        </w:rPr>
      </w:pPr>
      <w:r>
        <w:rPr>
          <w:rFonts w:ascii="Courier New" w:cs="Courier New" w:eastAsia="Courier New" w:hAnsi="Courier New"/>
          <w:sz w:val="16"/>
          <w:szCs w:val="16"/>
          <w:color w:val="auto"/>
        </w:rPr>
        <w:t>42</w:t>
      </w:r>
    </w:p>
    <w:p>
      <w:pPr>
        <w:spacing w:after="0" w:line="368" w:lineRule="exact"/>
        <w:rPr>
          <w:sz w:val="20"/>
          <w:szCs w:val="20"/>
          <w:color w:val="auto"/>
        </w:rPr>
      </w:pPr>
    </w:p>
    <w:p>
      <w:pPr>
        <w:ind w:right="3419"/>
        <w:spacing w:after="0" w:line="237" w:lineRule="auto"/>
        <w:rPr>
          <w:sz w:val="20"/>
          <w:szCs w:val="20"/>
          <w:color w:val="auto"/>
        </w:rPr>
      </w:pPr>
      <w:r>
        <w:rPr>
          <w:rFonts w:ascii="Courier New" w:cs="Courier New" w:eastAsia="Courier New" w:hAnsi="Courier New"/>
          <w:sz w:val="16"/>
          <w:szCs w:val="16"/>
          <w:color w:val="auto"/>
        </w:rPr>
        <w:t>required to be delivered to the Lenders and (ii) the date such financial statements are actually delivered.</w:t>
      </w:r>
    </w:p>
    <w:p>
      <w:pPr>
        <w:spacing w:after="0" w:line="188" w:lineRule="exact"/>
        <w:rPr>
          <w:sz w:val="20"/>
          <w:szCs w:val="20"/>
          <w:color w:val="auto"/>
        </w:rPr>
      </w:pPr>
    </w:p>
    <w:p>
      <w:pPr>
        <w:ind w:right="2659" w:firstLine="1132"/>
        <w:spacing w:after="0" w:line="239" w:lineRule="auto"/>
        <w:tabs>
          <w:tab w:leader="none" w:pos="1513" w:val="left"/>
        </w:tabs>
        <w:numPr>
          <w:ilvl w:val="0"/>
          <w:numId w:val="4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Required Prepayment Lenders shall otherwise agree, if any Existing Senior Subordinated Notes remain outstanding as of July 31, 2004, the Borrower shall make a prepayment of the Term Loans in an amount equal to the aggregate principal amount thereof.</w:t>
      </w:r>
    </w:p>
    <w:p>
      <w:pPr>
        <w:spacing w:after="0" w:line="187" w:lineRule="exact"/>
        <w:rPr>
          <w:rFonts w:ascii="Courier New" w:cs="Courier New" w:eastAsia="Courier New" w:hAnsi="Courier New"/>
          <w:sz w:val="16"/>
          <w:szCs w:val="16"/>
          <w:color w:val="auto"/>
        </w:rPr>
      </w:pPr>
    </w:p>
    <w:p>
      <w:pPr>
        <w:ind w:right="2659" w:firstLine="1132"/>
        <w:spacing w:after="0" w:line="258" w:lineRule="auto"/>
        <w:tabs>
          <w:tab w:leader="none" w:pos="1513" w:val="left"/>
        </w:tabs>
        <w:numPr>
          <w:ilvl w:val="0"/>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Required Prepayment Lenders shall otherwise agree, amounts to be applied in connection with prepayments and Revolving Credit Commitment reductions made pursuant to clause (d) of this subsection 2.12 shall be applied, first, to the prepayment of the Term Loans until paid in full and, second, to reduce permanently the Revolving Credit Commitments, ratably among the Revolving Facilities; provided that amounts to be applied in connection with Net Proceeds from any Asset Sale under clause (c) of subsection 7.9 shall be applied, first, to reduce permanently the Revolving Credit Commitments, ratably among the Revolving Facilities, and second, to the prepayment of the Term Loans.</w:t>
      </w:r>
    </w:p>
    <w:p>
      <w:pPr>
        <w:spacing w:after="0" w:line="175"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2.13 Cash Collateralization of Letters of Credit. To the extent that at any time and from time to time, the L/C Obligations exceed the amount of the L/C Commitments or the L/C Obligations under any Revolving Facility exceed the Revolving Credit Commitments under such Revolving Facility (whether pursuant to subsections 2.10, 2.11, 2.12 or otherwise), the Borrower shall cash collateralize (in a manner reasonably satisfactory to the Administrative Agent) such portion of the L/C Obligations (and the fees thereon through the stated expiration date of the Letters of Credit giving rise to such L/C Obligations) which is in excess of the L/C Commitments or such Revolving Credit Commitments, as applicable.</w:t>
      </w:r>
    </w:p>
    <w:p>
      <w:pPr>
        <w:spacing w:after="0" w:line="184"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2.14 Conversion Options. The Borrower or any Regular Subsidiary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Borrower may elect from time to time to convert LIBOR Loans in Dollars under 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Revolving Facility to ABR Loans under such Revolving Facility, and may elect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time to time to convert ABR Loans in Dollars under any Revolving Facility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LIBOR Loans under such Revolving Facility, by giving the Administrative Agent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least three Business Days' prior irrevocable written notice of such election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convert (which date shall be a Business Day and in the case of any conversion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any LIBOR Loans to ABR Loans, the last day of an Interest Period therefor),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amount and type of conversion and, in the case of any conversion of ABR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Loans to LIBOR Loans, the Interest Period selected with respect thereto;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provided, however, that (i) ABR Loans may not be converted to LIBOR Loans when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Default or Event of Default has occurred and is continuing without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 of the Administrative Agent and (ii) Swing Line Loans may not, at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be converted to LIBOR Loans. All or any part of outstanding LIBOR Loans or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ABR Loans may be converted as provided herein, provided that partial conversions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LIBOR Loans to ABR Loans shall be in an aggregate principal amount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$2,500,000 or a whole multiple thereof and partial conversions of ABR Loans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LIBOR Loans with respect to which a common Interest Period has been selected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be in an aggregate principal amount of $5,000,000 or a whole multiple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$2,500,000 in excess thereof, and provided, further, that in the case of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partial conversion of LIBOR Loans to ABR Loans, after giving effect to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the aggregate principal amount of the LIBOR Loans outstanding with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 to which a common Interest Period has been selected shall be not less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than $5,000,000.</w:t>
      </w:r>
    </w:p>
    <w:p>
      <w:pPr>
        <w:sectPr>
          <w:pgSz w:w="11900" w:h="16838" w:orient="portrait"/>
          <w:cols w:equalWidth="0" w:num="1">
            <w:col w:w="10219"/>
          </w:cols>
          <w:pgMar w:left="240" w:top="477" w:right="1440" w:bottom="1440" w:gutter="0" w:footer="0" w:header="0"/>
        </w:sectPr>
      </w:pPr>
    </w:p>
    <w:bookmarkStart w:id="442" w:name="page443"/>
    <w:bookmarkEnd w:id="442"/>
    <w:p>
      <w:pPr>
        <w:jc w:val="right"/>
        <w:ind w:right="2659"/>
        <w:spacing w:after="0"/>
        <w:rPr>
          <w:sz w:val="20"/>
          <w:szCs w:val="20"/>
          <w:color w:val="auto"/>
        </w:rPr>
      </w:pPr>
      <w:r>
        <w:rPr>
          <w:rFonts w:ascii="Courier New" w:cs="Courier New" w:eastAsia="Courier New" w:hAnsi="Courier New"/>
          <w:sz w:val="16"/>
          <w:szCs w:val="16"/>
          <w:color w:val="auto"/>
        </w:rPr>
        <w:t>43</w:t>
      </w:r>
    </w:p>
    <w:p>
      <w:pPr>
        <w:spacing w:after="0" w:line="368" w:lineRule="exact"/>
        <w:rPr>
          <w:sz w:val="20"/>
          <w:szCs w:val="20"/>
          <w:color w:val="auto"/>
        </w:rPr>
      </w:pPr>
    </w:p>
    <w:p>
      <w:pPr>
        <w:ind w:right="2659" w:firstLine="1132"/>
        <w:spacing w:after="0"/>
        <w:tabs>
          <w:tab w:leader="none" w:pos="1513" w:val="left"/>
        </w:tabs>
        <w:numPr>
          <w:ilvl w:val="0"/>
          <w:numId w:val="4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LIBOR Loans may be continued as such upon the expiration of an Interest Period by compliance by the Borrower or the Regular Subsidiary Borrowers with the notice provisions contained in the definition of Interest Period, provided that no LIBOR Loan in Dollars may be continued as such when any Default or Event of Default has occurred and is continuing, but shall be automatically converted to an ABR Loan on the last day of the last Interest Period for which a LIBOR Rate was determined by the Administrative Agent on or prior to the Administrative Agent's obtaining knowledge of such Default or Event of Default.</w:t>
      </w:r>
    </w:p>
    <w:p>
      <w:pPr>
        <w:spacing w:after="0" w:line="187" w:lineRule="exact"/>
        <w:rPr>
          <w:rFonts w:ascii="Courier New" w:cs="Courier New" w:eastAsia="Courier New" w:hAnsi="Courier New"/>
          <w:sz w:val="16"/>
          <w:szCs w:val="16"/>
          <w:color w:val="auto"/>
        </w:rPr>
      </w:pPr>
    </w:p>
    <w:p>
      <w:pPr>
        <w:ind w:right="2659" w:firstLine="1132"/>
        <w:spacing w:after="0" w:line="239" w:lineRule="auto"/>
        <w:tabs>
          <w:tab w:leader="none" w:pos="1513" w:val="left"/>
        </w:tabs>
        <w:numPr>
          <w:ilvl w:val="0"/>
          <w:numId w:val="4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conversion or continuation of any Revolving Credit Loans under any Revolving Facility shall be made pursuant to this subsection 2.14 if, after giving effect to such conversion or continuation the amount of the Available Facility A Commitments, the Available Facility B Commitments, the Available Facility C Commitments or the Available Facility D Commitments, as the case may be, would be negative.</w:t>
      </w:r>
    </w:p>
    <w:p>
      <w:pPr>
        <w:spacing w:after="0" w:line="190" w:lineRule="exact"/>
        <w:rPr>
          <w:rFonts w:ascii="Courier New" w:cs="Courier New" w:eastAsia="Courier New" w:hAnsi="Courier New"/>
          <w:sz w:val="16"/>
          <w:szCs w:val="16"/>
          <w:color w:val="auto"/>
        </w:rPr>
      </w:pPr>
    </w:p>
    <w:p>
      <w:pPr>
        <w:ind w:right="2659" w:firstLine="1132"/>
        <w:spacing w:after="0" w:line="238" w:lineRule="auto"/>
        <w:tabs>
          <w:tab w:leader="none" w:pos="1513" w:val="left"/>
        </w:tabs>
        <w:numPr>
          <w:ilvl w:val="0"/>
          <w:numId w:val="4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Conversions of Revolving Credit Loans in any currency to another currency shall be made by repaying such Revolving Credit Loans and reborrowing in such other currency in compliance with the provisions hereof.</w:t>
      </w:r>
    </w:p>
    <w:p>
      <w:pPr>
        <w:spacing w:after="0" w:line="184"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2.15 Interest Rate and Payment Dates.</w:t>
      </w:r>
    </w:p>
    <w:p>
      <w:pPr>
        <w:spacing w:after="0" w:line="186" w:lineRule="exact"/>
        <w:rPr>
          <w:sz w:val="20"/>
          <w:szCs w:val="20"/>
          <w:color w:val="auto"/>
        </w:rPr>
      </w:pPr>
    </w:p>
    <w:p>
      <w:pPr>
        <w:ind w:right="2659" w:firstLine="1132"/>
        <w:spacing w:after="0" w:line="238" w:lineRule="auto"/>
        <w:tabs>
          <w:tab w:leader="none" w:pos="1513" w:val="left"/>
        </w:tabs>
        <w:numPr>
          <w:ilvl w:val="0"/>
          <w:numId w:val="4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LIBOR Loan shall bear interest for each day during each Interest Period with respect thereto at a rate per annum equal to the LIBOR Rate determined for such Interest Period plus the Applicable Margin.</w:t>
      </w:r>
    </w:p>
    <w:p>
      <w:pPr>
        <w:spacing w:after="0" w:line="188" w:lineRule="exact"/>
        <w:rPr>
          <w:rFonts w:ascii="Courier New" w:cs="Courier New" w:eastAsia="Courier New" w:hAnsi="Courier New"/>
          <w:sz w:val="16"/>
          <w:szCs w:val="16"/>
          <w:color w:val="auto"/>
        </w:rPr>
      </w:pPr>
    </w:p>
    <w:p>
      <w:pPr>
        <w:ind w:right="2839" w:firstLine="1132"/>
        <w:spacing w:after="0" w:line="238" w:lineRule="auto"/>
        <w:tabs>
          <w:tab w:leader="none" w:pos="1513" w:val="left"/>
        </w:tabs>
        <w:numPr>
          <w:ilvl w:val="0"/>
          <w:numId w:val="4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ABR Loan shall bear interest for the period from and including the date thereof until maturity at a rate per annum equal to the ABR plus the Applicable Margin.</w:t>
      </w:r>
    </w:p>
    <w:p>
      <w:pPr>
        <w:spacing w:after="0" w:line="188" w:lineRule="exact"/>
        <w:rPr>
          <w:rFonts w:ascii="Courier New" w:cs="Courier New" w:eastAsia="Courier New" w:hAnsi="Courier New"/>
          <w:sz w:val="16"/>
          <w:szCs w:val="16"/>
          <w:color w:val="auto"/>
        </w:rPr>
      </w:pPr>
    </w:p>
    <w:p>
      <w:pPr>
        <w:ind w:right="2659" w:firstLine="1132"/>
        <w:spacing w:after="0"/>
        <w:tabs>
          <w:tab w:leader="none" w:pos="1513" w:val="left"/>
        </w:tabs>
        <w:numPr>
          <w:ilvl w:val="0"/>
          <w:numId w:val="4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all or a portion of (i) the principal amount of any Loan or any reimbursement obligation, (ii) any interest payable thereon or (iii) any facility fee, commission or other amount payable hereunder shall not be paid when due (whether at the stated maturity, by acceleration or otherwise), such overdue amount shall bear interest at a rate per annum which is (A) the rate pursuant to paragraph (a) of this subsection plus 2% or (B) in the case of amounts in Dollars, if higher, the rate described in paragraph (b) of this subsection 2.15 plus 2%, in each case from the date of such non-payment until such amount is paid in full (as well after as before judgment). The Administrative Agent may choose any Interest Period from time to time (including one Interest Period of shorter than one month) with respect to any overdue amount bearing interest based upon paragraph (a) of this subsection.</w:t>
      </w:r>
    </w:p>
    <w:p>
      <w:pPr>
        <w:spacing w:after="0" w:line="189" w:lineRule="exact"/>
        <w:rPr>
          <w:rFonts w:ascii="Courier New" w:cs="Courier New" w:eastAsia="Courier New" w:hAnsi="Courier New"/>
          <w:sz w:val="16"/>
          <w:szCs w:val="16"/>
          <w:color w:val="auto"/>
        </w:rPr>
      </w:pPr>
    </w:p>
    <w:p>
      <w:pPr>
        <w:ind w:right="2939" w:firstLine="1132"/>
        <w:spacing w:after="0" w:line="238" w:lineRule="auto"/>
        <w:tabs>
          <w:tab w:leader="none" w:pos="1513" w:val="left"/>
        </w:tabs>
        <w:numPr>
          <w:ilvl w:val="0"/>
          <w:numId w:val="4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shall be payable in arrears on each Interest Payment Date, except that interest payable pursuant to subsection 2.15(c) shall be payable upon demand.</w:t>
      </w:r>
    </w:p>
    <w:p>
      <w:pPr>
        <w:spacing w:after="0" w:line="188" w:lineRule="exact"/>
        <w:rPr>
          <w:sz w:val="20"/>
          <w:szCs w:val="20"/>
          <w:color w:val="auto"/>
        </w:rPr>
      </w:pPr>
    </w:p>
    <w:p>
      <w:pPr>
        <w:ind w:right="3119" w:firstLine="1135"/>
        <w:spacing w:after="0" w:line="239" w:lineRule="auto"/>
        <w:rPr>
          <w:sz w:val="20"/>
          <w:szCs w:val="20"/>
          <w:color w:val="auto"/>
        </w:rPr>
      </w:pPr>
      <w:r>
        <w:rPr>
          <w:rFonts w:ascii="Courier New" w:cs="Courier New" w:eastAsia="Courier New" w:hAnsi="Courier New"/>
          <w:sz w:val="16"/>
          <w:szCs w:val="16"/>
          <w:color w:val="auto"/>
        </w:rPr>
        <w:t>2.16 Computation of Interest and Fees. Each determination of an interest rate by the Administrative Agent pursuant to any provision of this Agreement shall be conclusive and binding on the Borrower and the Regular Subsidiary Borrowers absent manifest error.</w:t>
      </w:r>
    </w:p>
    <w:p>
      <w:pPr>
        <w:spacing w:after="0" w:line="187" w:lineRule="exact"/>
        <w:rPr>
          <w:sz w:val="20"/>
          <w:szCs w:val="20"/>
          <w:color w:val="auto"/>
        </w:rPr>
      </w:pPr>
    </w:p>
    <w:p>
      <w:pPr>
        <w:jc w:val="both"/>
        <w:ind w:right="2759" w:firstLine="1132"/>
        <w:spacing w:after="0" w:line="239" w:lineRule="auto"/>
        <w:tabs>
          <w:tab w:leader="none" w:pos="1513" w:val="left"/>
        </w:tabs>
        <w:numPr>
          <w:ilvl w:val="0"/>
          <w:numId w:val="4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(other than interest based on the Prime Rate) shall be calculated on the basis of a 360-day year for the actual days elapsed (subject, in the case of any LIBOR Loan in an Optional Currency, to any market convention for a different basis as determined by the</w:t>
      </w:r>
    </w:p>
    <w:p>
      <w:pPr>
        <w:sectPr>
          <w:pgSz w:w="11900" w:h="16838" w:orient="portrait"/>
          <w:cols w:equalWidth="0" w:num="1">
            <w:col w:w="10219"/>
          </w:cols>
          <w:pgMar w:left="240" w:top="477" w:right="1440" w:bottom="1440" w:gutter="0" w:footer="0" w:header="0"/>
        </w:sectPr>
      </w:pPr>
    </w:p>
    <w:bookmarkStart w:id="443" w:name="page444"/>
    <w:bookmarkEnd w:id="443"/>
    <w:p>
      <w:pPr>
        <w:jc w:val="right"/>
        <w:ind w:right="2659"/>
        <w:spacing w:after="0"/>
        <w:rPr>
          <w:sz w:val="20"/>
          <w:szCs w:val="20"/>
          <w:color w:val="auto"/>
        </w:rPr>
      </w:pPr>
      <w:r>
        <w:rPr>
          <w:rFonts w:ascii="Courier New" w:cs="Courier New" w:eastAsia="Courier New" w:hAnsi="Courier New"/>
          <w:sz w:val="16"/>
          <w:szCs w:val="16"/>
          <w:color w:val="auto"/>
        </w:rPr>
        <w:t>44</w:t>
      </w:r>
    </w:p>
    <w:p>
      <w:pPr>
        <w:spacing w:after="0" w:line="36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Administrative Agent); and facility fees and interest based on the Prime Rate shall be calculated on the basis of a 365- (366-, as the case may be) day year for the actual days elapsed. The Administrative Agent shall as soon as practicable notify the Borrower and the affected Lenders of each determination of the LIBOR Rate. Any change in the interest rate on a Loan resulting from a change in the ABR, any LIBOR reserve requirements, the C/D Assessment Rate or the C/D Reserve Percentage shall become effective as of the opening of business on the day on which such change becomes effective. The Administrative Agent shall as soon as practicable notify the Borrower and the affected Lenders of the Closing Date and the amount of such change in interest rate.</w:t>
      </w:r>
    </w:p>
    <w:p>
      <w:pPr>
        <w:spacing w:after="0" w:line="188" w:lineRule="exact"/>
        <w:rPr>
          <w:sz w:val="20"/>
          <w:szCs w:val="20"/>
          <w:color w:val="auto"/>
        </w:rPr>
      </w:pPr>
    </w:p>
    <w:p>
      <w:pPr>
        <w:ind w:right="2839" w:firstLine="1132"/>
        <w:spacing w:after="0" w:line="258" w:lineRule="auto"/>
        <w:tabs>
          <w:tab w:leader="none" w:pos="1513" w:val="left"/>
        </w:tabs>
        <w:numPr>
          <w:ilvl w:val="0"/>
          <w:numId w:val="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at the request of the Borrower or a Regular Subsidiary Borrower or any Lender, deliver to the Borrower or a Regular Subsidiary Borrower or such Lender a statement showing in reasonable detail the calculations used by the Administrative Agent in determining any interest rate pursuant to subsection 2.15, excluding any LIBOR Base Rate which is based upon the British Bankers Assoc. Interest Settlement Rates Page.</w:t>
      </w:r>
    </w:p>
    <w:p>
      <w:pPr>
        <w:spacing w:after="0" w:line="177"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2.17 Inability to Determine Interest Rate. In the event that the Reference Lenders shall have reasonably determined (which determination shall be conclusive and binding upon the Borrower and the Regular Subsidiary Borrowers absent manifest error) that by reason of circumstances affecting the interbank eurocurrency market, adequate and reasonable means do not exist for ascertaining the LIBOR Rate applicable pursuant to subsection 2.15(a) for any Interest Period with respect to (a) a proposed Loan that has been requested be made as a LIBOR Loan, (b) a LIBOR Loan that will result from the requested conversion of an ABR Loan into a LIBOR Loan or (c) the continuation of LIBOR Loans beyond the expiration of the then current Interest Period with respect thereto, the Administrative Agent shall forthwith give telecopy or telephonic notice of such determination, confirmed in writing, to the Borrower and the Lenders at least one Business Day prior to, as the case may be, the requested Borrowing Date for such LIBOR Loan, the conversion date of such ABR Loan or the last day of such Interest Period. If such notice is given (i) any requested LIBOR Loan in Dollars shall be made as an ABR Loan, (ii) any ABR Loan that was to have been converted to a LIBOR Loan shall be continued as an ABR Loan, (iii) any outstanding LIBOR Loan in Dollars shall be converted, on the last day of the then current Interest Period with respect thereto, to an ABR Loan and (iv) the LIBOR Rate for such Interest Period for any affected LIBOR Loans in euros or any Optional Currency shall bear interest for such Interest Period at a rate reasonably determined by the Administrative Agent as representing the cost to Lenders generally holding such LIBOR Loans of funding such LIBOR Loans for such Interest Period plus the Applicable Margin. Until such notice has been withdrawn by the Administrative Agent, no further LIBOR Loans shall be made nor shall the Borrower have the right to convert an ABR Loan to a LIBOR Loan. Such notice shall be withdrawn by the Administrative Agent when the Administrative Agent shall reasonably determine that adequate and reasonable means exist for ascertaining the LIBOR Rate.</w:t>
      </w:r>
    </w:p>
    <w:p>
      <w:pPr>
        <w:spacing w:after="0" w:line="200" w:lineRule="exact"/>
        <w:rPr>
          <w:sz w:val="20"/>
          <w:szCs w:val="20"/>
          <w:color w:val="auto"/>
        </w:rPr>
      </w:pPr>
    </w:p>
    <w:p>
      <w:pPr>
        <w:ind w:right="2839" w:firstLine="1135"/>
        <w:spacing w:after="0" w:line="239" w:lineRule="auto"/>
        <w:rPr>
          <w:sz w:val="20"/>
          <w:szCs w:val="20"/>
          <w:color w:val="auto"/>
        </w:rPr>
      </w:pPr>
      <w:r>
        <w:rPr>
          <w:rFonts w:ascii="Courier New" w:cs="Courier New" w:eastAsia="Courier New" w:hAnsi="Courier New"/>
          <w:sz w:val="16"/>
          <w:szCs w:val="16"/>
          <w:color w:val="auto"/>
        </w:rPr>
        <w:t>2.18 Pro Rata Treatment and Payments. Each borrowing from the Revolving Credit Lenders hereunder shall be made under the Revolving Facility specified by the Borrower in accordance with subsections 2.4 and 2.5. The borrowing of Term Loans hereunder shall be made ratably from the Term Lenders according to their respective Term Percentages and any reduction of the Revolving Credit Commitments under any Revolving Facility of the Lenders shall be made ratably.</w:t>
      </w:r>
    </w:p>
    <w:p>
      <w:pPr>
        <w:sectPr>
          <w:pgSz w:w="11900" w:h="16838" w:orient="portrait"/>
          <w:cols w:equalWidth="0" w:num="1">
            <w:col w:w="10219"/>
          </w:cols>
          <w:pgMar w:left="240" w:top="477" w:right="1440" w:bottom="1440" w:gutter="0" w:footer="0" w:header="0"/>
        </w:sectPr>
      </w:pPr>
    </w:p>
    <w:bookmarkStart w:id="444" w:name="page445"/>
    <w:bookmarkEnd w:id="444"/>
    <w:p>
      <w:pPr>
        <w:jc w:val="right"/>
        <w:ind w:right="2659"/>
        <w:spacing w:after="0"/>
        <w:rPr>
          <w:sz w:val="20"/>
          <w:szCs w:val="20"/>
          <w:color w:val="auto"/>
        </w:rPr>
      </w:pPr>
      <w:r>
        <w:rPr>
          <w:rFonts w:ascii="Courier New" w:cs="Courier New" w:eastAsia="Courier New" w:hAnsi="Courier New"/>
          <w:sz w:val="16"/>
          <w:szCs w:val="16"/>
          <w:color w:val="auto"/>
        </w:rPr>
        <w:t>45</w:t>
      </w:r>
    </w:p>
    <w:p>
      <w:pPr>
        <w:spacing w:after="0" w:line="368" w:lineRule="exact"/>
        <w:rPr>
          <w:sz w:val="20"/>
          <w:szCs w:val="20"/>
          <w:color w:val="auto"/>
        </w:rPr>
      </w:pPr>
    </w:p>
    <w:p>
      <w:pPr>
        <w:ind w:right="2659" w:firstLine="1132"/>
        <w:spacing w:after="0"/>
        <w:tabs>
          <w:tab w:leader="none" w:pos="1513" w:val="left"/>
        </w:tabs>
        <w:numPr>
          <w:ilvl w:val="0"/>
          <w:numId w:val="4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payment (including each prepayment) on account of principal of and interest on the Revolving Credit Loans in any currency shall be made ratably according to the respective outstanding principal amounts of such Loans then held by the Revolving Credit Lenders, subject in the case of prepayments of principal to any designation of the Administrative Agent pursuant to subsection 2.4. The Borrower or a Regular Subsidiary Borrower may select the currency or currencies of any optional or mandatory prepayment of the Revolving Credit Loans.</w:t>
      </w:r>
    </w:p>
    <w:p>
      <w:pPr>
        <w:spacing w:after="0" w:line="186" w:lineRule="exact"/>
        <w:rPr>
          <w:rFonts w:ascii="Courier New" w:cs="Courier New" w:eastAsia="Courier New" w:hAnsi="Courier New"/>
          <w:sz w:val="16"/>
          <w:szCs w:val="16"/>
          <w:color w:val="auto"/>
        </w:rPr>
      </w:pPr>
    </w:p>
    <w:p>
      <w:pPr>
        <w:ind w:right="2659" w:firstLine="1132"/>
        <w:spacing w:after="0" w:line="258" w:lineRule="auto"/>
        <w:tabs>
          <w:tab w:leader="none" w:pos="1513" w:val="left"/>
        </w:tabs>
        <w:numPr>
          <w:ilvl w:val="0"/>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payment (including each prepayment) by the Borrower and the Regular Subsidiary Borrowers on account of principal of and interest on the Term Loans shall be made ratably according to the outstanding principal amounts of such Term Loans. The amount of each principal prepayment of the Term Loans shall be applied ratably to reduce the then remaining installments thereof, ratably based upon the Dollar Equivalent of the then remaining principal amount thereof; provided that any such principal payment pursuant to clause (b) of subsection 2.12 shall be applied to such installments in the direct order of maturity thereof. Amounts prepaid on account of the Term Loans may not be reborrowed.</w:t>
      </w:r>
    </w:p>
    <w:p>
      <w:pPr>
        <w:spacing w:after="0" w:line="174" w:lineRule="exact"/>
        <w:rPr>
          <w:rFonts w:ascii="Courier New" w:cs="Courier New" w:eastAsia="Courier New" w:hAnsi="Courier New"/>
          <w:sz w:val="15"/>
          <w:szCs w:val="15"/>
          <w:color w:val="auto"/>
        </w:rPr>
      </w:pPr>
    </w:p>
    <w:p>
      <w:pPr>
        <w:ind w:right="2659" w:firstLine="1132"/>
        <w:spacing w:after="0" w:line="257" w:lineRule="auto"/>
        <w:tabs>
          <w:tab w:leader="none" w:pos="1513" w:val="left"/>
        </w:tabs>
        <w:numPr>
          <w:ilvl w:val="0"/>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(including prepayments) to be made by the Borrower or any Regular Subsidiary Borrower hereunder, whether on account of principal, interest, fees or otherwise, shall be made without set off or counterclaim and shall be made prior to 12:00 Noon, New York City time, on the due date thereof to the Administrative Agent, for the account of the relevant Lenders, at the Administrative Agent's office specified in subsection 10.2, in Dollars or euros, as applicable, and in immediately available funds (or in the case of any payment in an Optional Currency, in the relevant Optional Currency and at the place and time specified by the Administrative Agent from time to time). The Administrative Agent shall distribute such payments to the relevant Lenders promptly upon receipt in like funds as received. If any payment hereunder (other than payments on LIBOR Loans) becomes due and payable on a day other than a Business Day, such payment shall be extended to the next succeeding Business Day and such extension of time shall in such case be included in the computation of the amount payable hereunder. If any payment on a LIBOR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w:t>
      </w:r>
    </w:p>
    <w:p>
      <w:pPr>
        <w:spacing w:after="0" w:line="180" w:lineRule="exact"/>
        <w:rPr>
          <w:rFonts w:ascii="Courier New" w:cs="Courier New" w:eastAsia="Courier New" w:hAnsi="Courier New"/>
          <w:sz w:val="15"/>
          <w:szCs w:val="15"/>
          <w:color w:val="auto"/>
        </w:rPr>
      </w:pPr>
    </w:p>
    <w:p>
      <w:pPr>
        <w:ind w:right="2659" w:firstLine="1132"/>
        <w:spacing w:after="0"/>
        <w:tabs>
          <w:tab w:leader="none" w:pos="1513" w:val="left"/>
        </w:tabs>
        <w:numPr>
          <w:ilvl w:val="0"/>
          <w:numId w:val="4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Administrative Agent shall have been notified in writing by any Lender prior to a Borrowing Date that such Lender will not make the amount that would constitute its share of the borrowing on such date available to the Administrative Agent, the Administrative Agent may assume that such Lender has made such amount available to the Administrative Agent on such Borrowing Date, and the Administrative Agent may, in reliance upon such assumption, make available to the Borrower or the relevant Regular Subsidiary Borrower a corresponding amount. If such amount is made available to the Administrative Agent on a date after such Borrowing Date, such Lender shall pay to the Administrative Agent on demand an amount equal to the product of (i) the daily average Federal funds rate (or, in the case of any borrowing in euros or an Optional Currency, the customary rate as selected by the Administrative Agent for the settlement of obligations between banks) during such period as quoted by the Administrative Agent, times (ii) the amount of such Lender's share of such borrowing, times (iii) a fraction the numerator of which is the number of days that elapse from</w:t>
      </w:r>
    </w:p>
    <w:p>
      <w:pPr>
        <w:sectPr>
          <w:pgSz w:w="11900" w:h="16838" w:orient="portrait"/>
          <w:cols w:equalWidth="0" w:num="1">
            <w:col w:w="10219"/>
          </w:cols>
          <w:pgMar w:left="240" w:top="477" w:right="1440" w:bottom="1440" w:gutter="0" w:footer="0" w:header="0"/>
        </w:sectPr>
      </w:pPr>
    </w:p>
    <w:bookmarkStart w:id="445" w:name="page446"/>
    <w:bookmarkEnd w:id="445"/>
    <w:p>
      <w:pPr>
        <w:jc w:val="right"/>
        <w:ind w:right="2659"/>
        <w:spacing w:after="0"/>
        <w:rPr>
          <w:sz w:val="20"/>
          <w:szCs w:val="20"/>
          <w:color w:val="auto"/>
        </w:rPr>
      </w:pPr>
      <w:r>
        <w:rPr>
          <w:rFonts w:ascii="Courier New" w:cs="Courier New" w:eastAsia="Courier New" w:hAnsi="Courier New"/>
          <w:sz w:val="16"/>
          <w:szCs w:val="16"/>
          <w:color w:val="auto"/>
        </w:rPr>
        <w:t>46</w:t>
      </w:r>
    </w:p>
    <w:p>
      <w:pPr>
        <w:spacing w:after="0" w:line="36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and including such Borrowing Date to the date on which such Lender's Revolving Percentage or Term Percentage of such borrowing shall have become immediately available to the Administrative Agent and the denominator of which is 360 (the "Effective Interbank Rate"). A certificate of the Administrative Agent submitted to any Lender with respect to any amounts owing under this subsection shall be conclusive in the absence of manifest error. If such amount is so made available, such payment to the Administrative Agent shall constitute such Lender's Loan on such Borrowing Date for all purposes of this Agreement. If such amount is not so made available to the Administrative Agent, then the Administrative Agent shall notify the Borrower or the relevant Regular Subsidiary Borrower of such failure and on the fourth Business Day following such Borrowing Date, the Borrower or such Regular Subsidiary Borrower shall pay to the Administrative Agent such ratable portion, together with interest thereon for each day that the Borrower or such Regular Subsidiary Borrower had the use of such ratable portion, at the Effective Interbank Rate. Nothing contained in this subsection 2.18(e) shall relieve any Lender which has failed to make available its ratable portion of any borrowing hereunder from its obligation to do so in accordance with the terms hereof.</w:t>
      </w:r>
    </w:p>
    <w:p>
      <w:pPr>
        <w:spacing w:after="0" w:line="193" w:lineRule="exact"/>
        <w:rPr>
          <w:sz w:val="20"/>
          <w:szCs w:val="20"/>
          <w:color w:val="auto"/>
        </w:rPr>
      </w:pPr>
    </w:p>
    <w:p>
      <w:pPr>
        <w:ind w:right="2659" w:firstLine="1132"/>
        <w:spacing w:after="0" w:line="239" w:lineRule="auto"/>
        <w:tabs>
          <w:tab w:leader="none" w:pos="1513" w:val="left"/>
        </w:tabs>
        <w:numPr>
          <w:ilvl w:val="0"/>
          <w:numId w:val="4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any Lender to make the Loan to be made by it on any Borrowing Date shall not relieve any other Lender of its obligation, if any, hereunder to make its Loan on such Borrowing Date, but no Lender shall be responsible for the failure of any other Lender to make the Loan to be made by such other Lender on such Borrowing Date.</w:t>
      </w:r>
    </w:p>
    <w:p>
      <w:pPr>
        <w:spacing w:after="0" w:line="189"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2.19 Illegality. Notwithstanding any other provisions herein, if any introduction of or change in any law, regulation, treaty or directive or in the interpretation or application thereof occurring after the date hereof shall make it unlawful for any Lender to make or maintain LIBOR Loans as contemplated by this Agreement, (a) such Lender shall forthwith give telecopy or telephonic notice of such circumstances, confirmed in writing, to the Borrower or the relevant Regular Subsidiary Borrower (which notice shall be withdrawn by such Lender when such Lender shall reasonably determine that it shall no longer be illegal for such Lender to make or maintain LIBOR Loans or to convert ABR Loans to LIBOR Loans), (b) the commitment of such Lender hereunder to make LIBOR Loans or to convert ABR Loans to LIBOR Loans shall forthwith be canceled and (c) such Lender's Loans then outstanding as LIBOR Loans, if any, shall be, in the case of Loans in Dollars, converted automatically to ABR Loans based upon the ABR on the last day of the then current Interest Period with respect to such Loans or within such earlier period as may be required by law and in the case of Loans in euros or any Optional Currency, shall be prepaid on the last day of the then current Interest Period with respect to such Loans or within such earlier period as may be required by law. The Borrower and each Regular Subsidiary Borrower hereby agrees promptly to pay the Administrative Agent for the account of each Lender, upon demand by the Administrative Agent, any additional amounts necessary to compensate the Lenders for any costs incurred by the Lenders in making any conversion in accordance with this subsection 2.19, including, but not limited to, any interest or fees payable by the Lenders to lenders of funds obtained by them in order to make or maintain their LIBOR Loans hereunder (the Administrative Agent's notice of such costs, as certified to the Borrower or such Regular Subsidiary Borrower, to be conclusive, absent manifest error).</w:t>
      </w:r>
    </w:p>
    <w:p>
      <w:pPr>
        <w:spacing w:after="0" w:line="180"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2.20 Requirements of Law. (a) In the event that any introduction of or change in any law, regulation, treaty or directive or in the interpretation or application thereof occurring after the date hereof or compliance by any Lender with any request or directive (whether or not</w:t>
      </w:r>
    </w:p>
    <w:p>
      <w:pPr>
        <w:sectPr>
          <w:pgSz w:w="11900" w:h="16838" w:orient="portrait"/>
          <w:cols w:equalWidth="0" w:num="1">
            <w:col w:w="10219"/>
          </w:cols>
          <w:pgMar w:left="240" w:top="477" w:right="1440" w:bottom="1440" w:gutter="0" w:footer="0" w:header="0"/>
        </w:sectPr>
      </w:pPr>
    </w:p>
    <w:bookmarkStart w:id="446" w:name="page447"/>
    <w:bookmarkEnd w:id="446"/>
    <w:p>
      <w:pPr>
        <w:jc w:val="right"/>
        <w:ind w:right="2659"/>
        <w:spacing w:after="0"/>
        <w:rPr>
          <w:sz w:val="20"/>
          <w:szCs w:val="20"/>
          <w:color w:val="auto"/>
        </w:rPr>
      </w:pPr>
      <w:r>
        <w:rPr>
          <w:rFonts w:ascii="Courier New" w:cs="Courier New" w:eastAsia="Courier New" w:hAnsi="Courier New"/>
          <w:sz w:val="16"/>
          <w:szCs w:val="16"/>
          <w:color w:val="auto"/>
        </w:rPr>
        <w:t>47</w:t>
      </w:r>
    </w:p>
    <w:p>
      <w:pPr>
        <w:spacing w:after="0" w:line="368"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having the force of law) from any central bank or other governmental authority, agency or instrumentality (including the National Association of Insurance Commissioners):</w:t>
      </w:r>
    </w:p>
    <w:p>
      <w:pPr>
        <w:spacing w:after="0" w:line="370" w:lineRule="exact"/>
        <w:rPr>
          <w:sz w:val="20"/>
          <w:szCs w:val="20"/>
          <w:color w:val="auto"/>
        </w:rPr>
      </w:pPr>
    </w:p>
    <w:p>
      <w:pPr>
        <w:ind w:left="560" w:right="2759" w:firstLine="1139"/>
        <w:spacing w:after="0" w:line="239" w:lineRule="auto"/>
        <w:tabs>
          <w:tab w:leader="none" w:pos="2073"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subject such Lender to any tax of any kind, whatsoever with respect to this Agreement, any Letter of Credit, any Application, any Loan or any LIBOR Loans made by it or its obligation to make LIBOR Loans or change the basis of taxation of payments to such Lender of principal, facility fee, interest or any other amount payable hereunder (other than Non-Excluded Taxes or changes in the rate of tax on the overall net income of such Lender)</w:t>
      </w:r>
    </w:p>
    <w:p>
      <w:pPr>
        <w:spacing w:after="0" w:line="191" w:lineRule="exact"/>
        <w:rPr>
          <w:rFonts w:ascii="Courier New" w:cs="Courier New" w:eastAsia="Courier New" w:hAnsi="Courier New"/>
          <w:sz w:val="16"/>
          <w:szCs w:val="16"/>
          <w:color w:val="auto"/>
        </w:rPr>
      </w:pPr>
    </w:p>
    <w:p>
      <w:pPr>
        <w:ind w:left="560" w:right="2659" w:firstLine="1139"/>
        <w:spacing w:after="0" w:line="239" w:lineRule="auto"/>
        <w:tabs>
          <w:tab w:leader="none" w:pos="2168"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impose, modify or hold applicable any reserve, special deposit, compulsory loan or similar requirement against assets held by, or deposits or other liabilities in or for the account of, advances or loans by, or other credit extended by, or any other acquisition of funds by, any office of such Lender which are not otherwise included in the determination of the LIBOR Rate hereunder, or</w:t>
      </w:r>
    </w:p>
    <w:p>
      <w:pPr>
        <w:spacing w:after="0" w:line="190" w:lineRule="exact"/>
        <w:rPr>
          <w:rFonts w:ascii="Courier New" w:cs="Courier New" w:eastAsia="Courier New" w:hAnsi="Courier New"/>
          <w:sz w:val="16"/>
          <w:szCs w:val="16"/>
          <w:color w:val="auto"/>
        </w:rPr>
      </w:pPr>
    </w:p>
    <w:p>
      <w:pPr>
        <w:ind w:left="560" w:right="2839" w:firstLine="1139"/>
        <w:spacing w:after="0" w:line="237" w:lineRule="auto"/>
        <w:tabs>
          <w:tab w:leader="none" w:pos="2262"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impose on such Lender or the eurocurrency market any other condition;</w:t>
      </w:r>
    </w:p>
    <w:p>
      <w:pPr>
        <w:spacing w:after="0" w:line="188"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and the result of any of the foregoing is to increase the cost to such Lender (which increase in cost shall be the result of such Lender's reasonable allocation of the aggregate of such cost increases resulting from such events), of making, renewing or maintaining LIBOR Loans or issuing or participating in Letters of Credit or to reduce any amount receivable thereunder then, in any such case, the Borrower or the relevant Regular Subsidiary Borrower shall, upon notice to it from such Lender (with a copy to the Administrative Agent) certifying that (x) one of the events described in this subsection 2.20(a) has occurred and the nature of such event, (y) the increased cost or reduced amount resulting from such event and (z) the additional amounts demanded by such Lender and a reasonably detailed explanation of the calculation thereof, promptly pay to the Administrative Agent for the account of the applicable Lender, upon demand by the Administrative Agent, without duplication, any additional amounts necessary to compensate such Lender for such increased cost or reduced amount receivable which such Lender deems to be material as determined in good faith by such Lender with respect to this Agreement or the Loans made hereunder, provided that, in any such case, the Borrower or the relevant Regular Subsidiary Borrower (if otherwise not prohibited hereunder) may elect to convert the LIBOR Loans in Dollars made hereunder to ABR Loans by giving such Lender and the Administrative Agent at least one Business Day's prior irrevocable notice of such election in which case the Borrower or relevant Regular Subsidiary Borrower shall promptly pay the Administrative Agent for the account of the applicable Lender, upon demand by the Administrative Agent, without duplication, any loss or expense incurred by such Lender in liquidating or re-employing the deposits from which the funds were obtained by such Lender for the purpose of making and/or maintaining such LIBOR Loans, together with any amount due under this subsection 2.20(a) in respect of the period prior to such conversion. If such Lender becomes entitled to claim any additional amounts pursuant to this subsection, it shall promptly notify the Borrower or the relevant Regular Subsidiary Borrower of the event by reason of which it has become so entitled.</w:t>
      </w:r>
    </w:p>
    <w:p>
      <w:pPr>
        <w:sectPr>
          <w:pgSz w:w="11900" w:h="16838" w:orient="portrait"/>
          <w:cols w:equalWidth="0" w:num="1">
            <w:col w:w="10219"/>
          </w:cols>
          <w:pgMar w:left="240" w:top="477" w:right="1440" w:bottom="1440" w:gutter="0" w:footer="0" w:header="0"/>
        </w:sectPr>
      </w:pPr>
    </w:p>
    <w:bookmarkStart w:id="447" w:name="page448"/>
    <w:bookmarkEnd w:id="447"/>
    <w:p>
      <w:pPr>
        <w:jc w:val="right"/>
        <w:ind w:right="2659"/>
        <w:spacing w:after="0"/>
        <w:rPr>
          <w:sz w:val="20"/>
          <w:szCs w:val="20"/>
          <w:color w:val="auto"/>
        </w:rPr>
      </w:pPr>
      <w:r>
        <w:rPr>
          <w:rFonts w:ascii="Courier New" w:cs="Courier New" w:eastAsia="Courier New" w:hAnsi="Courier New"/>
          <w:sz w:val="16"/>
          <w:szCs w:val="16"/>
          <w:color w:val="auto"/>
        </w:rPr>
        <w:t>48</w:t>
      </w:r>
    </w:p>
    <w:p>
      <w:pPr>
        <w:spacing w:after="0" w:line="368" w:lineRule="exact"/>
        <w:rPr>
          <w:sz w:val="20"/>
          <w:szCs w:val="20"/>
          <w:color w:val="auto"/>
        </w:rPr>
      </w:pPr>
    </w:p>
    <w:p>
      <w:pPr>
        <w:ind w:left="3" w:right="2759" w:firstLine="1132"/>
        <w:spacing w:after="0" w:line="256" w:lineRule="auto"/>
        <w:tabs>
          <w:tab w:leader="none" w:pos="1516" w:val="left"/>
        </w:tabs>
        <w:numPr>
          <w:ilvl w:val="1"/>
          <w:numId w:val="4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Lender shall have determined that any change in any Requirement of Law regarding capital adequacy or in the interpretation or application thereof or compliance by such Lender or any corporation controlling such Lender with any request or directive regarding capital adequacy (whether or not having the force of law) from any Governmental Authority made subsequent to the date hereof does or shall have the effect of reducing the rate of return on such Lender's or such corporation's capital as a consequence of its obligations hereunder or under any Letters of Credit to a level below that which such Lender or such corporation could have achieved but for such change or compliance (taking into consideration such Lender's or such corporation's policies with respect to capital adequacy) by an amount deemed by such Lender to be material, then from time to time, within 15 days after submission by such Lender to the Borrower (with a copy to the Administrative Agent) of a written request therefor certifying that (x) one of the events described in this subsection 2.20(b) has occurred and the nature of such event,</w:t>
      </w:r>
    </w:p>
    <w:p>
      <w:pPr>
        <w:spacing w:after="0" w:line="9" w:lineRule="exact"/>
        <w:rPr>
          <w:rFonts w:ascii="Courier New" w:cs="Courier New" w:eastAsia="Courier New" w:hAnsi="Courier New"/>
          <w:sz w:val="15"/>
          <w:szCs w:val="15"/>
          <w:color w:val="auto"/>
        </w:rPr>
      </w:pPr>
    </w:p>
    <w:p>
      <w:pPr>
        <w:ind w:left="3" w:right="2659" w:hanging="3"/>
        <w:spacing w:after="0" w:line="260" w:lineRule="auto"/>
        <w:tabs>
          <w:tab w:leader="none" w:pos="381" w:val="left"/>
        </w:tabs>
        <w:numPr>
          <w:ilvl w:val="0"/>
          <w:numId w:val="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increased cost or reduced amount resulting from such event and (z) the additional amounts demanded by such Lender and a reasonably detailed explanation of the calculation thereof, the Borrower shall pay to such Lender such additional amount or amounts as will compensate such Lender for such reduction.</w:t>
      </w:r>
    </w:p>
    <w:p>
      <w:pPr>
        <w:spacing w:after="0" w:line="173" w:lineRule="exact"/>
        <w:rPr>
          <w:rFonts w:ascii="Courier New" w:cs="Courier New" w:eastAsia="Courier New" w:hAnsi="Courier New"/>
          <w:sz w:val="15"/>
          <w:szCs w:val="15"/>
          <w:color w:val="auto"/>
        </w:rPr>
      </w:pPr>
    </w:p>
    <w:p>
      <w:pPr>
        <w:ind w:left="3" w:right="2839" w:firstLine="1132"/>
        <w:spacing w:after="0" w:line="238" w:lineRule="auto"/>
        <w:tabs>
          <w:tab w:leader="none" w:pos="1516" w:val="left"/>
        </w:tabs>
        <w:numPr>
          <w:ilvl w:val="1"/>
          <w:numId w:val="4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as to any additional amounts payable pursuant to paragraphs (a) and (b) above submitted by any Lender to the Borrower or a Regular Subsidiary Borrower shall be conclusive absent manifest error.</w:t>
      </w:r>
    </w:p>
    <w:p>
      <w:pPr>
        <w:spacing w:after="0" w:line="188" w:lineRule="exact"/>
        <w:rPr>
          <w:sz w:val="20"/>
          <w:szCs w:val="20"/>
          <w:color w:val="auto"/>
        </w:rPr>
      </w:pPr>
    </w:p>
    <w:p>
      <w:pPr>
        <w:ind w:left="3" w:right="2659" w:firstLine="1135"/>
        <w:spacing w:after="0" w:line="257" w:lineRule="auto"/>
        <w:rPr>
          <w:sz w:val="20"/>
          <w:szCs w:val="20"/>
          <w:color w:val="auto"/>
        </w:rPr>
      </w:pPr>
      <w:r>
        <w:rPr>
          <w:rFonts w:ascii="Courier New" w:cs="Courier New" w:eastAsia="Courier New" w:hAnsi="Courier New"/>
          <w:sz w:val="15"/>
          <w:szCs w:val="15"/>
          <w:color w:val="auto"/>
        </w:rPr>
        <w:t>2.21 Indemnity. The Borrower and each Regular Subsidiary Borrower agrees to indemnify each Lender and to hold each Lender harmless from any loss or expense which such Lender may sustain or incur as a consequence of (a) default by the Borrower or such Regular Subsidiary Borrower in payment of the principal amount of or interest on any LIBOR Loans including, but not limited to, any such loss or expense arising from interest or fees payable by such Lender to lenders of funds obtained by them in order to maintain their LIBOR Loans, (b) default by the Borrower or such Regular Subsidiary Borrower in making LIBOR Loans or conversion after the Borrower or such Regular Subsidiary Borrower has given a notice in accordance with subsection 2.5 or 2.14, (c) default by the Borrower or such Regular Subsidiary Borrower in making any prepayment of a LIBOR Loan after the Borrower or such Regular Subsidiary Borrower has given a notice in accordance with subsection 2.11, and (d) the making of any payment or conversion of LIBOR Loans on a day which is not the last day of the applicable Interest Period with respect thereto, including, but not limited to, any such loss or expense arising from interest or fees payable by the Lenders to lenders of funds obtained by them in order to maintain their LIBOR Loans hereunder. This covenant shall survive termination of this Agreement and payment of the outstanding Notes. The obligations of indemnity of each of the respective Regular Subsidiary Borrowers hereunder are limited only to the loss and expense described herein arising from or as a result of any act or omission by such Regular Subsidiary Borrower, and are not, and shall not be deemed to be, the joint and several obligations of each such Regular Subsidiary Borrower as to any loss or expense arising from or as a result of any act or omission by the Borrower or the other Regular Subsidiary Borrower.</w:t>
      </w:r>
    </w:p>
    <w:p>
      <w:pPr>
        <w:spacing w:after="0" w:line="362" w:lineRule="exact"/>
        <w:rPr>
          <w:sz w:val="20"/>
          <w:szCs w:val="20"/>
          <w:color w:val="auto"/>
        </w:rPr>
      </w:pPr>
    </w:p>
    <w:p>
      <w:pPr>
        <w:ind w:left="3" w:right="2659" w:firstLine="1135"/>
        <w:spacing w:after="0" w:line="239" w:lineRule="auto"/>
        <w:rPr>
          <w:sz w:val="20"/>
          <w:szCs w:val="20"/>
          <w:color w:val="auto"/>
        </w:rPr>
      </w:pPr>
      <w:r>
        <w:rPr>
          <w:rFonts w:ascii="Courier New" w:cs="Courier New" w:eastAsia="Courier New" w:hAnsi="Courier New"/>
          <w:sz w:val="16"/>
          <w:szCs w:val="16"/>
          <w:color w:val="auto"/>
        </w:rPr>
        <w:t>2.22 Taxes. (a) Except as provided below in this subsection, all payments made by the Borrower or any Subsidiary Borrower under this Agreement shall be made free and clear of, and without deduction or withholding for or on account of, any present or future income, stamp or other taxes, levies, imposts, duties, charges, fees, deductions or withholdings, now or</w:t>
      </w:r>
    </w:p>
    <w:p>
      <w:pPr>
        <w:sectPr>
          <w:pgSz w:w="11900" w:h="16838" w:orient="portrait"/>
          <w:cols w:equalWidth="0" w:num="1">
            <w:col w:w="10222"/>
          </w:cols>
          <w:pgMar w:left="237" w:top="476" w:right="1440" w:bottom="1440" w:gutter="0" w:footer="0" w:header="0"/>
        </w:sectPr>
      </w:pPr>
    </w:p>
    <w:bookmarkStart w:id="448" w:name="page449"/>
    <w:bookmarkEnd w:id="448"/>
    <w:p>
      <w:pPr>
        <w:jc w:val="right"/>
        <w:ind w:right="2659"/>
        <w:spacing w:after="0"/>
        <w:rPr>
          <w:sz w:val="20"/>
          <w:szCs w:val="20"/>
          <w:color w:val="auto"/>
        </w:rPr>
      </w:pPr>
      <w:r>
        <w:rPr>
          <w:rFonts w:ascii="Courier New" w:cs="Courier New" w:eastAsia="Courier New" w:hAnsi="Courier New"/>
          <w:sz w:val="16"/>
          <w:szCs w:val="16"/>
          <w:color w:val="auto"/>
        </w:rPr>
        <w:t>49</w:t>
      </w:r>
    </w:p>
    <w:p>
      <w:pPr>
        <w:spacing w:after="0" w:line="368"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hereafter imposed, levied, collected, withheld or assessed by any Governmental Authority, excluding the following taxes ("Excluded Taxes") (x) taxes measured by or imposed upon the overall net income of any Lender or its applicable lending office, or any branch or affiliate thereof, and (y) all franchise taxes or branch taxes imposed upon any Lender or its applicable lending office, or any branch or affiliate thereof, in each case imposed: (i) by the jurisdiction under the laws of which such Lender, applicable lending office, branch or affiliate is organized or is located, or in which its principal executive office is located, or any nation within which such jurisdiction is located or any political subdivision thereof; or (ii) by reason of any connection between the jurisdiction imposing such tax and such Lender, applicable lending office, branch or affiliate other than a connection arising solely from such Lender having executed, delivered or performed its obligations under, or received payment under or enforced, this Agreement. If any such non-excluded taxes, levies, imposts, duties, charges, fees, deductions or withholdings ("Non-Excluded Taxes") are required to be withheld from any amounts payable to the Administrative Agent or any Lender hereunder, the amounts so payable to the Administrative Agent or such Lender shall be increased to the extent necessary to yield to the Administrative Agent or such Lender (after payment of all Non-Excluded Taxes) interest or any such other amounts payable hereunder at the rates or in the amounts specified in this Agreement, provided, however, that the Borrower and/or such Subsidiary Borrower shall be entitled to deduct and withhold any Non-Excluded Taxes and shall not be required to increase any such amounts payable to any Lender that are attributable to (i) such Lender's failure to comply with the requirements of paragraph (b) of this subsection or (ii) the Lender's failure at all times during which it is a party to this Agreement to comply with the requirements of subsection 2.1, 2.4 or 2.6 unless such failure is due to a change in treaty, law or regulation or any application or interpretation thereof. Whenever any Non-Excluded Taxes are payable by the Borrower or any Subsidiary Borrower, as promptly as possible thereafter the applicable Borrower or Subsidiary Borrower shall send to the Administrative Agent for its own account or for the account of such Lender, as the case may be, a certified copy of an original official receipt received by such Borrower or such Subsidiary Borrower showing payment thereof. If the Borrower or any Subsidiary Borrower fails to pay any Non-Excluded Taxes when due to the appropriate taxing authority or fails to remit to the Administrative Agent the required receipts or other required documentary evidence, such Borrower or Subsidiary Borrower shall indemnify the Administrative Agent and the Lenders for any incremental taxes, interest or penalties that may become payable by the Administrative Agent or any Lender as a result of any such failure. The agreements in this subsection shall survive the termination of this Agreement and the payment of the Loans and all other amounts payable hereunder.</w:t>
      </w:r>
    </w:p>
    <w:p>
      <w:pPr>
        <w:spacing w:after="0" w:line="200" w:lineRule="exact"/>
        <w:rPr>
          <w:sz w:val="20"/>
          <w:szCs w:val="20"/>
          <w:color w:val="auto"/>
        </w:rPr>
      </w:pPr>
    </w:p>
    <w:p>
      <w:pPr>
        <w:spacing w:after="0" w:line="343" w:lineRule="exact"/>
        <w:rPr>
          <w:sz w:val="20"/>
          <w:szCs w:val="20"/>
          <w:color w:val="auto"/>
        </w:rPr>
      </w:pPr>
    </w:p>
    <w:p>
      <w:pPr>
        <w:ind w:right="2839" w:firstLine="1132"/>
        <w:spacing w:after="0" w:line="237" w:lineRule="auto"/>
        <w:tabs>
          <w:tab w:leader="none" w:pos="1513" w:val="left"/>
        </w:tabs>
        <w:numPr>
          <w:ilvl w:val="0"/>
          <w:numId w:val="4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Each Lender that is not incorporated under the laws of the United States of America or a state thereof shall:</w:t>
      </w:r>
    </w:p>
    <w:p>
      <w:pPr>
        <w:spacing w:after="0" w:line="188" w:lineRule="exact"/>
        <w:rPr>
          <w:sz w:val="20"/>
          <w:szCs w:val="20"/>
          <w:color w:val="auto"/>
        </w:rPr>
      </w:pPr>
    </w:p>
    <w:p>
      <w:pPr>
        <w:ind w:left="560" w:right="2659" w:firstLine="572"/>
        <w:spacing w:after="0"/>
        <w:tabs>
          <w:tab w:leader="none" w:pos="1506" w:val="left"/>
        </w:tabs>
        <w:numPr>
          <w:ilvl w:val="0"/>
          <w:numId w:val="4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on or before the date of any payment by the Borrower or any Regular Subsidiary Borrower under this Agreement or any Notes to such Lender, deliver to the Borrower and the Administrative Agent two duly completed copies of United States Internal Revenue Service Form W-8BEN or W-8ECI, as applicable, or such successor applicable form, statement or certificate, as the case may be, certifying that it is entitled to an exemption from United States backup withholding tax or is entitled receive payments under this Agreement and any Notes without deduction or withholding (or,</w:t>
      </w:r>
    </w:p>
    <w:p>
      <w:pPr>
        <w:sectPr>
          <w:pgSz w:w="11900" w:h="16838" w:orient="portrait"/>
          <w:cols w:equalWidth="0" w:num="1">
            <w:col w:w="10219"/>
          </w:cols>
          <w:pgMar w:left="240" w:top="477" w:right="1440" w:bottom="1440" w:gutter="0" w:footer="0" w:header="0"/>
        </w:sectPr>
      </w:pPr>
    </w:p>
    <w:bookmarkStart w:id="449" w:name="page450"/>
    <w:bookmarkEnd w:id="449"/>
    <w:p>
      <w:pPr>
        <w:jc w:val="right"/>
        <w:ind w:right="2659"/>
        <w:spacing w:after="0"/>
        <w:rPr>
          <w:sz w:val="20"/>
          <w:szCs w:val="20"/>
          <w:color w:val="auto"/>
        </w:rPr>
      </w:pPr>
      <w:r>
        <w:rPr>
          <w:rFonts w:ascii="Courier New" w:cs="Courier New" w:eastAsia="Courier New" w:hAnsi="Courier New"/>
          <w:sz w:val="16"/>
          <w:szCs w:val="16"/>
          <w:color w:val="auto"/>
        </w:rPr>
        <w:t>50</w:t>
      </w:r>
    </w:p>
    <w:p>
      <w:pPr>
        <w:spacing w:after="0" w:line="368" w:lineRule="exact"/>
        <w:rPr>
          <w:sz w:val="20"/>
          <w:szCs w:val="20"/>
          <w:color w:val="auto"/>
        </w:rPr>
      </w:pPr>
    </w:p>
    <w:p>
      <w:pPr>
        <w:ind w:left="560" w:right="3219"/>
        <w:spacing w:after="0" w:line="237" w:lineRule="auto"/>
        <w:rPr>
          <w:sz w:val="20"/>
          <w:szCs w:val="20"/>
          <w:color w:val="auto"/>
        </w:rPr>
      </w:pPr>
      <w:r>
        <w:rPr>
          <w:rFonts w:ascii="Courier New" w:cs="Courier New" w:eastAsia="Courier New" w:hAnsi="Courier New"/>
          <w:sz w:val="16"/>
          <w:szCs w:val="16"/>
          <w:color w:val="auto"/>
        </w:rPr>
        <w:t>upon the prior written consent of the Borrower, at a reduced rate of withholding) of any United States federal income taxes;</w:t>
      </w:r>
    </w:p>
    <w:p>
      <w:pPr>
        <w:spacing w:after="0" w:line="188" w:lineRule="exact"/>
        <w:rPr>
          <w:sz w:val="20"/>
          <w:szCs w:val="20"/>
          <w:color w:val="auto"/>
        </w:rPr>
      </w:pPr>
    </w:p>
    <w:p>
      <w:pPr>
        <w:ind w:left="560" w:right="2759" w:firstLine="1139"/>
        <w:spacing w:after="0" w:line="239" w:lineRule="auto"/>
        <w:tabs>
          <w:tab w:leader="none" w:pos="2168" w:val="left"/>
        </w:tabs>
        <w:numPr>
          <w:ilvl w:val="1"/>
          <w:numId w:val="4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to the Borrower and the Administrative Agent two further copies of any such form or certification on or before the date that any such form or certification expires or becomes obsolete and after the occurrence of any event requiring a change in the most recent form previously delivered by it to the Borrower or such Domestic Subsidiary Borrower; and</w:t>
      </w:r>
    </w:p>
    <w:p>
      <w:pPr>
        <w:spacing w:after="0" w:line="190" w:lineRule="exact"/>
        <w:rPr>
          <w:rFonts w:ascii="Courier New" w:cs="Courier New" w:eastAsia="Courier New" w:hAnsi="Courier New"/>
          <w:sz w:val="16"/>
          <w:szCs w:val="16"/>
          <w:color w:val="auto"/>
        </w:rPr>
      </w:pPr>
    </w:p>
    <w:p>
      <w:pPr>
        <w:ind w:left="560" w:right="2839" w:firstLine="1139"/>
        <w:spacing w:after="0" w:line="238" w:lineRule="auto"/>
        <w:tabs>
          <w:tab w:leader="none" w:pos="2262" w:val="left"/>
        </w:tabs>
        <w:numPr>
          <w:ilvl w:val="1"/>
          <w:numId w:val="4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such extensions of time for filing and complete such forms or certifications as may reasonably be requested by the Borrower or the Administrative Agent;</w:t>
      </w:r>
    </w:p>
    <w:p>
      <w:pPr>
        <w:spacing w:after="0" w:line="188" w:lineRule="exact"/>
        <w:rPr>
          <w:rFonts w:ascii="Courier New" w:cs="Courier New" w:eastAsia="Courier New" w:hAnsi="Courier New"/>
          <w:sz w:val="16"/>
          <w:szCs w:val="16"/>
          <w:color w:val="auto"/>
        </w:rPr>
      </w:pPr>
    </w:p>
    <w:p>
      <w:pPr>
        <w:ind w:left="560" w:right="2659" w:firstLine="572"/>
        <w:spacing w:after="0" w:line="257" w:lineRule="auto"/>
        <w:tabs>
          <w:tab w:leader="none" w:pos="1506" w:val="left"/>
        </w:tabs>
        <w:numPr>
          <w:ilvl w:val="0"/>
          <w:numId w:val="4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such Lender that is not a "bank" within the meaning of Section 881(c)(3)(A) of the Code, (i) represent to the Borrower (for the benefit of each of the Borrower, the relevant Subsidiary Borrowers and the Administrative Agent) that it is not a bank within the meaning of Section 881(c)(3)(A) of the Code, (ii) agree to furnish to the Borrower on or before the date of any payment by the Borrower or any Domestic Subsidiary Borrower, with a copy to the Administrative Agent, (A) a certificate substantially in the form of Exhibit D (any such certificate a "U.S. Tax Compliance Certificate") and (B) two accurate and complete original signed copies of Internal Revenue Service Form W-8 BEN or W-8 ECI, as applicable, or successor applicable form certifying to such Lender's legal entitlement at the date of such certificate to an exemption from U.S. withholding tax under the provisions of Sections 871(h), 881(c) and 1441(c)(9) of the Code with respect to payments to be made under this Agreement and any Notes (and to deliver to the Borrower and the Administrative Agent two further copies of such form on or before the date it expires or becomes obsolete and after the occurrence of any event requiring a change in the most recently provided form and, if necessary, obtain any extensions of time reasonably requested by the Borrower or the Administrative Agent for filing and completing such forms), and (iii) agree, to the extent legally entitled to do so, upon reasonable request by the Borrower, to provide to the Borrower (for the benefit of each of the Borrower, the Domestic Subsidiary Borrowers and the Administrative Agent) such other forms as may be reasonably required in order to establish the legal entitlement of such lender to an exemption from withholding with respect to payments under this Agreement and any Notes, provided that in determining the reasonableness of a request under this clause (iii) such Lender shall be entitled to consider the cost (to the extent unreimbursed by the Borrower) which would be imposed on such Lender of complying with such request;</w:t>
      </w:r>
    </w:p>
    <w:p>
      <w:pPr>
        <w:spacing w:after="0" w:line="362"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unless in any such case any change in treaty, law or regulation has occurred after the date such Person becomes a Lender hereunder which renders all such forms inapplicable or which would prevent such Lender from duly completing and delivering any such form with respect to it and such Lender so advises the Borrower and the Administrative Agent.</w:t>
      </w:r>
    </w:p>
    <w:p>
      <w:pPr>
        <w:spacing w:after="0" w:line="189" w:lineRule="exact"/>
        <w:rPr>
          <w:sz w:val="20"/>
          <w:szCs w:val="20"/>
          <w:color w:val="auto"/>
        </w:rPr>
      </w:pPr>
    </w:p>
    <w:p>
      <w:pPr>
        <w:jc w:val="both"/>
        <w:ind w:right="2659" w:firstLine="1132"/>
        <w:spacing w:after="0" w:line="239" w:lineRule="auto"/>
        <w:tabs>
          <w:tab w:leader="none" w:pos="1513" w:val="left"/>
        </w:tabs>
        <w:numPr>
          <w:ilvl w:val="0"/>
          <w:numId w:val="4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Lender that is not incorporated or organized under the laws of the jurisdiction under which a Foreign Subsidiary Borrower is incorporated or organized or is not a resident for taxation purposes of such Foreign Subsidiary Borrower's country of tax residence,</w:t>
      </w:r>
    </w:p>
    <w:p>
      <w:pPr>
        <w:sectPr>
          <w:pgSz w:w="11900" w:h="16838" w:orient="portrait"/>
          <w:cols w:equalWidth="0" w:num="1">
            <w:col w:w="10219"/>
          </w:cols>
          <w:pgMar w:left="240" w:top="477" w:right="1440" w:bottom="1440" w:gutter="0" w:footer="0" w:header="0"/>
        </w:sectPr>
      </w:pPr>
    </w:p>
    <w:bookmarkStart w:id="450" w:name="page451"/>
    <w:bookmarkEnd w:id="450"/>
    <w:p>
      <w:pPr>
        <w:jc w:val="right"/>
        <w:ind w:right="2659"/>
        <w:spacing w:after="0"/>
        <w:rPr>
          <w:sz w:val="20"/>
          <w:szCs w:val="20"/>
          <w:color w:val="auto"/>
        </w:rPr>
      </w:pPr>
      <w:r>
        <w:rPr>
          <w:rFonts w:ascii="Courier New" w:cs="Courier New" w:eastAsia="Courier New" w:hAnsi="Courier New"/>
          <w:sz w:val="16"/>
          <w:szCs w:val="16"/>
          <w:color w:val="auto"/>
        </w:rPr>
        <w:t>51</w:t>
      </w:r>
    </w:p>
    <w:p>
      <w:pPr>
        <w:spacing w:after="0" w:line="368" w:lineRule="exact"/>
        <w:rPr>
          <w:sz w:val="20"/>
          <w:szCs w:val="20"/>
          <w:color w:val="auto"/>
        </w:rPr>
      </w:pPr>
    </w:p>
    <w:p>
      <w:pPr>
        <w:ind w:left="3" w:right="2659"/>
        <w:spacing w:after="0"/>
        <w:rPr>
          <w:sz w:val="20"/>
          <w:szCs w:val="20"/>
          <w:color w:val="auto"/>
        </w:rPr>
      </w:pPr>
      <w:r>
        <w:rPr>
          <w:rFonts w:ascii="Courier New" w:cs="Courier New" w:eastAsia="Courier New" w:hAnsi="Courier New"/>
          <w:sz w:val="16"/>
          <w:szCs w:val="16"/>
          <w:color w:val="auto"/>
        </w:rPr>
        <w:t>shall upon written request by such Foreign Subsidiary Borrower, deliver to such Foreign Subsidiary Borrower or the applicable Governmental Authority or taxing authority, as the case may be, any form or certificate required in order that any payment by such Foreign Subsidiary Borrower under this Agreement or any Notes to such Lender may be made free and clear of, and without deduction or withholding for or on account of any tax (or to allow any such deduction or withholding to be at a reduced rate) imposed on such payment under the laws of the jurisdiction under which such Foreign Subsidiary Borrower is incorporated or organized or is otherwise a resident for taxation purposes, provided that such Lender is legally entitled to complete, execute and deliver such form or certificate and such completion, execution or submission would not materially prejudice the legal position of such Lender.</w:t>
      </w:r>
    </w:p>
    <w:p>
      <w:pPr>
        <w:spacing w:after="0" w:line="189" w:lineRule="exact"/>
        <w:rPr>
          <w:sz w:val="20"/>
          <w:szCs w:val="20"/>
          <w:color w:val="auto"/>
        </w:rPr>
      </w:pPr>
    </w:p>
    <w:p>
      <w:pPr>
        <w:ind w:left="3" w:right="2759" w:firstLine="1135"/>
        <w:spacing w:after="0" w:line="239" w:lineRule="auto"/>
        <w:rPr>
          <w:sz w:val="20"/>
          <w:szCs w:val="20"/>
          <w:color w:val="auto"/>
        </w:rPr>
      </w:pPr>
      <w:r>
        <w:rPr>
          <w:rFonts w:ascii="Courier New" w:cs="Courier New" w:eastAsia="Courier New" w:hAnsi="Courier New"/>
          <w:sz w:val="16"/>
          <w:szCs w:val="16"/>
          <w:color w:val="auto"/>
        </w:rPr>
        <w:t>2.23 Use of Proceeds. (a) The proceeds of the Term Loans on the Closing Date shall be used (i) for the repayment in full of the loans under the Existing Credit Agreement and the payment in full of any and all other amounts owing to the lenders under the Existing Credit Agreement and (ii) to redeem the Existing Senior Subordinated Notes (collectively, and together with any related transactions, the "Refinancing").</w:t>
      </w:r>
    </w:p>
    <w:p>
      <w:pPr>
        <w:spacing w:after="0" w:line="190" w:lineRule="exact"/>
        <w:rPr>
          <w:sz w:val="20"/>
          <w:szCs w:val="20"/>
          <w:color w:val="auto"/>
        </w:rPr>
      </w:pPr>
    </w:p>
    <w:p>
      <w:pPr>
        <w:ind w:left="3" w:right="2759" w:firstLine="1132"/>
        <w:spacing w:after="0" w:line="256" w:lineRule="auto"/>
        <w:tabs>
          <w:tab w:leader="none" w:pos="1516" w:val="left"/>
        </w:tabs>
        <w:numPr>
          <w:ilvl w:val="1"/>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Revolving Facilities and the proceeds of the Revolving Credit Loans shall be used by the Borrower and the Regular Subsidiary Borrowers</w:t>
      </w:r>
    </w:p>
    <w:p>
      <w:pPr>
        <w:spacing w:after="0" w:line="1" w:lineRule="exact"/>
        <w:rPr>
          <w:rFonts w:ascii="Courier New" w:cs="Courier New" w:eastAsia="Courier New" w:hAnsi="Courier New"/>
          <w:sz w:val="15"/>
          <w:szCs w:val="15"/>
          <w:color w:val="auto"/>
        </w:rPr>
      </w:pPr>
    </w:p>
    <w:p>
      <w:pPr>
        <w:ind w:left="3" w:right="2839" w:hanging="3"/>
        <w:spacing w:after="0" w:line="239" w:lineRule="auto"/>
        <w:tabs>
          <w:tab w:leader="none" w:pos="381" w:val="left"/>
        </w:tabs>
        <w:numPr>
          <w:ilvl w:val="0"/>
          <w:numId w:val="5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issuance of Letters of Credit, (ii) for working capital and other general corporate purposes of the Borrower and its Subsidiaries, (iii) for acquisitions in accordance with the terms of subsection 7.3 and (iv) to redeem any Existing Senior Subordinated Notes outstanding after the Closing Date; provided that, notwithstanding the foregoing, none of the proceeds of the Revolving Credit Loans may be used to finance any Hostile Take-Over Bid.</w:t>
      </w:r>
    </w:p>
    <w:p>
      <w:pPr>
        <w:spacing w:after="0" w:line="190" w:lineRule="exact"/>
        <w:rPr>
          <w:sz w:val="20"/>
          <w:szCs w:val="20"/>
          <w:color w:val="auto"/>
        </w:rPr>
      </w:pPr>
    </w:p>
    <w:p>
      <w:pPr>
        <w:ind w:left="3" w:right="2659" w:firstLine="1135"/>
        <w:spacing w:after="0"/>
        <w:rPr>
          <w:sz w:val="20"/>
          <w:szCs w:val="20"/>
          <w:color w:val="auto"/>
        </w:rPr>
      </w:pPr>
      <w:r>
        <w:rPr>
          <w:rFonts w:ascii="Courier New" w:cs="Courier New" w:eastAsia="Courier New" w:hAnsi="Courier New"/>
          <w:sz w:val="16"/>
          <w:szCs w:val="16"/>
          <w:color w:val="auto"/>
        </w:rPr>
        <w:t>2.24 Controls on Prepayment if Aggregate Revolving Extensions of Credit Exceed Aggregate Revolving Credit Commitments. (a) The Borrower will implement and maintain internal controls to monitor the borrowings and repayments of Revolving Credit Loans by both the Borrower and the relevant Regular Subsidiary Borrowers and the issuance of and drawings under Letters of Credit, with the object of preventing any request for an Extension of Credit that would result in the Available Facility A Commitments, the Available Facility B Commitments the Available Facility C Commitments or the Available Facility D Commitments becoming negative by more than 5% of the Revolving Credit Commitments under the relevant Revolving Facility, and, if such Commitments are negative by more than 5%, the Borrower will promptly notify the Administrative Agent.</w:t>
      </w:r>
    </w:p>
    <w:p>
      <w:pPr>
        <w:spacing w:after="0" w:line="189" w:lineRule="exact"/>
        <w:rPr>
          <w:sz w:val="20"/>
          <w:szCs w:val="20"/>
          <w:color w:val="auto"/>
        </w:rPr>
      </w:pPr>
    </w:p>
    <w:p>
      <w:pPr>
        <w:ind w:left="3" w:right="2659" w:firstLine="1132"/>
        <w:spacing w:after="0"/>
        <w:tabs>
          <w:tab w:leader="none" w:pos="1516" w:val="left"/>
        </w:tabs>
        <w:numPr>
          <w:ilvl w:val="0"/>
          <w:numId w:val="5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will calculate the Available Facility A Commitments, the Available Facility B Commitments the Available Facility C Commitments or the Available Facility D Commitments from time to time, and in any event not less frequently than once during each calendar quarter. In making such calculations, the Administrative Agent will rely on the information most recently received by it from the Swing Line Lenders in respect of outstanding Swing Line Loans and from the Issuing Lenders in respect of outstanding L/C Obligations.</w:t>
      </w:r>
    </w:p>
    <w:p>
      <w:pPr>
        <w:spacing w:after="0" w:line="186" w:lineRule="exact"/>
        <w:rPr>
          <w:rFonts w:ascii="Courier New" w:cs="Courier New" w:eastAsia="Courier New" w:hAnsi="Courier New"/>
          <w:sz w:val="16"/>
          <w:szCs w:val="16"/>
          <w:color w:val="auto"/>
        </w:rPr>
      </w:pPr>
    </w:p>
    <w:p>
      <w:pPr>
        <w:ind w:left="3" w:right="2659" w:firstLine="1132"/>
        <w:spacing w:after="0" w:line="239" w:lineRule="auto"/>
        <w:tabs>
          <w:tab w:leader="none" w:pos="1516" w:val="left"/>
        </w:tabs>
        <w:numPr>
          <w:ilvl w:val="0"/>
          <w:numId w:val="5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on any date the Administrative Agent calculates that (i) the Available Facility A Commitments, the Available Facility B Commitments the Available Facility C Commitments or the Available Facility D Commitments have become negative solely as a</w:t>
      </w:r>
    </w:p>
    <w:p>
      <w:pPr>
        <w:sectPr>
          <w:pgSz w:w="11900" w:h="16838" w:orient="portrait"/>
          <w:cols w:equalWidth="0" w:num="1">
            <w:col w:w="10222"/>
          </w:cols>
          <w:pgMar w:left="237" w:top="476" w:right="1440" w:bottom="1440" w:gutter="0" w:footer="0" w:header="0"/>
        </w:sectPr>
      </w:pPr>
    </w:p>
    <w:bookmarkStart w:id="451" w:name="page452"/>
    <w:bookmarkEnd w:id="451"/>
    <w:p>
      <w:pPr>
        <w:jc w:val="right"/>
        <w:ind w:right="2659"/>
        <w:spacing w:after="0"/>
        <w:rPr>
          <w:sz w:val="20"/>
          <w:szCs w:val="20"/>
          <w:color w:val="auto"/>
        </w:rPr>
      </w:pPr>
      <w:r>
        <w:rPr>
          <w:rFonts w:ascii="Courier New" w:cs="Courier New" w:eastAsia="Courier New" w:hAnsi="Courier New"/>
          <w:sz w:val="16"/>
          <w:szCs w:val="16"/>
          <w:color w:val="auto"/>
        </w:rPr>
        <w:t>52</w:t>
      </w:r>
    </w:p>
    <w:p>
      <w:pPr>
        <w:spacing w:after="0" w:line="36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result of a change in the aggregate Dollar Equivalent of the Revolving Credit Loans under such Revolving Facility in euros or in Optional Currencies, by more than 5%, the Administrative Agent will give notice to such effect to the Borrower or any such Regular Subsidiary Borrower and the Lenders. Within five Business Days of receipt of any such notice, the Borrower or any such Regular Subsidiary Borrower will, as soon as practicable but in any event within five Business Days of receipt of such notice, first, make such repayments or prepayments of Revolving Credit Loans under the relevant Revolving Facility (together with interest accrued to the date of such repayment or prepayment), second, pay any Reimbursement Obligations under such Revolving Facility then outstanding and, third, cash collateralize any outstanding L/C Obligations under such Revolving Facility on terms reasonably satisfactory to the Administrative Agent as shall be necessary to cause the Available Facility A Commitments, the Available Facility B Commitments the Available Facility C Commitments or the Available Facility D Commitments, as applicable, not to be negative. If any such repayment or prepayment of a LIBOR Loan pursuant to this subsection occurs on a day which is not the last day of the then current Interest Period with respect thereto, the Borrower shall pay to the Lenders such amounts, if any, as may be required pursuant to subsection 2.21.</w:t>
      </w:r>
    </w:p>
    <w:p>
      <w:pPr>
        <w:spacing w:after="0" w:line="194"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2.25 Lending Installations. (a) Subject to subsection 2.1, 2.4 and 2.6 each Lender may book its Loans at any Lending Installation selected by such Lender and may change its Lending Installation from time to time. All terms of this Agreement shall apply to any such Lending Installation and the Loans made hereunder shall be deemed held by each Lender for the benefit of such Lending Installation. Each Lender may, by written notice to the Administrative Agent and the Borrower in accordance with subsection 10.2 and subject always to subsection 2.1, 2.4 and 2.6 designate replacement or additional Lending Installations through which Loans will be made by it and for whose account Loan payments are to be made.</w:t>
      </w:r>
    </w:p>
    <w:p>
      <w:pPr>
        <w:spacing w:after="0" w:line="188" w:lineRule="exact"/>
        <w:rPr>
          <w:sz w:val="20"/>
          <w:szCs w:val="20"/>
          <w:color w:val="auto"/>
        </w:rPr>
      </w:pPr>
    </w:p>
    <w:p>
      <w:pPr>
        <w:ind w:right="2659" w:firstLine="1132"/>
        <w:spacing w:after="0" w:line="257" w:lineRule="auto"/>
        <w:tabs>
          <w:tab w:leader="none" w:pos="1513" w:val="left"/>
        </w:tabs>
        <w:numPr>
          <w:ilvl w:val="0"/>
          <w:numId w:val="5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agrees that, upon the occurrence of any event giving rise to the operation of subsection 2.20 or 2.22(a) with respect to such Lender, it will, if requested by the Borrower, use reasonable efforts (subject to overall policy considerations of such Lender) to designate another Lending Installation for any Loans affected by such event with the object of avoiding the consequences of such event; provided, that such designation is made on terms that, in the sole judgment of such Lender, cause such Lender and any of its Lending Installations to suffer no economic, legal or regulatory disadvantage, and provided, further, that nothing in this subsection 2.25(b) shall affect or postpone any of the obligations of the Borrower or any Regular Subsidiary Borrower or the rights of any Lender pursuant to subsection 2.20 or 2.22(a).</w:t>
      </w:r>
    </w:p>
    <w:p>
      <w:pPr>
        <w:spacing w:after="0" w:line="181"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2.26 Notices to Lenders. All notices under this Section 2 to Lenders by the Borrower, any Regular Subsidiary Borrower or the Administrative Agent, and all payments by the Administrative Agent to the Lenders, shall be made to the respective Lending Installations of the Lenders maintaining the relevant Loans or Commitments.</w:t>
      </w:r>
    </w:p>
    <w:p>
      <w:pPr>
        <w:spacing w:after="0" w:line="189"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2.27 Revolving Commitment Increases and Changes. (a) From time to time the Borrower may, with the consent of the Administrative Agent and one or more (i) of the Revolving Credit Lenders and/or (ii) banks or other financial institutions arranged by JPMSI in consultation with the Borrower (each such entity a "New Revolving Credit Lender"), increase the Total Revolving Credit Commitments by an aggregate amount of up to $50,000,000, which increase shall be provided by such Revolving Credit Lenders and/or New Revolving Credit</w:t>
      </w:r>
    </w:p>
    <w:p>
      <w:pPr>
        <w:sectPr>
          <w:pgSz w:w="11900" w:h="16838" w:orient="portrait"/>
          <w:cols w:equalWidth="0" w:num="1">
            <w:col w:w="10219"/>
          </w:cols>
          <w:pgMar w:left="240" w:top="477" w:right="1440" w:bottom="1440" w:gutter="0" w:footer="0" w:header="0"/>
        </w:sectPr>
      </w:pPr>
    </w:p>
    <w:bookmarkStart w:id="452" w:name="page453"/>
    <w:bookmarkEnd w:id="452"/>
    <w:p>
      <w:pPr>
        <w:jc w:val="right"/>
        <w:ind w:right="2659"/>
        <w:spacing w:after="0"/>
        <w:rPr>
          <w:sz w:val="20"/>
          <w:szCs w:val="20"/>
          <w:color w:val="auto"/>
        </w:rPr>
      </w:pPr>
      <w:r>
        <w:rPr>
          <w:rFonts w:ascii="Courier New" w:cs="Courier New" w:eastAsia="Courier New" w:hAnsi="Courier New"/>
          <w:sz w:val="16"/>
          <w:szCs w:val="16"/>
          <w:color w:val="auto"/>
        </w:rPr>
        <w:t>53</w:t>
      </w:r>
    </w:p>
    <w:p>
      <w:pPr>
        <w:spacing w:after="0" w:line="36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Lenders and which may be applied to each of or any of the Revolving Facilities as agreed by the Borrower and the Administrative Agent. Any such increase in the Total Revolving Credit Commitments shall be evidenced by (x) in the case of clause (i) above, the execution and delivery by the Borrower, the Regular Subsidiary Borrowers, the Administrative Agent and such Revolving Credit Lender of a Commitment Increase Supplement, substantially in the form of Exhibit E (a "Commitment Increase Supplement") and (y) in the case of clause (ii) above, the execution and delivery by the Borrower, the Subsidiary Borrowers, the Administrative Agent and such New Revolving Credit Lender of a New Lender Supplement, substantially in the form of Exhibit F (a "New Lender Supplement"), and shall be effective as of the date specified for effectiveness in such Commitment Increase Supplement or New Lender Supplement, as the case may be, whereupon such Revolving Credit Lender or New Revolving Credit Lender shall be bound by and entitled to the benefits of this Agreement with respect to the full amount of its Revolving Credit Commitment in respect of each such Revolving Facility as so increased or provided, and Schedule 1 shall be deemed to be amended to so increase the Revolving Credit Commitment under each such Revolving Facility and/or add the name and Revolving Credit Commitment of such New Revolving Credit Lender.</w:t>
      </w:r>
    </w:p>
    <w:p>
      <w:pPr>
        <w:spacing w:after="0" w:line="194" w:lineRule="exact"/>
        <w:rPr>
          <w:sz w:val="20"/>
          <w:szCs w:val="20"/>
          <w:color w:val="auto"/>
        </w:rPr>
      </w:pPr>
    </w:p>
    <w:p>
      <w:pPr>
        <w:ind w:right="2759" w:firstLine="1132"/>
        <w:spacing w:after="0"/>
        <w:tabs>
          <w:tab w:leader="none" w:pos="1513" w:val="left"/>
        </w:tabs>
        <w:numPr>
          <w:ilvl w:val="0"/>
          <w:numId w:val="5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request of the Borrower and with the consent of the Administrative Agent (which consent shall not be unreasonably withheld), a Revolving Credit Lender may from time to time either (i) increase (including from zero) its Facility B Commitment, Facility C Commitment or Facility D Commitment (with a concomitant increase as appropriate in its Sterling Commitment, Canadian Dollar Commitment or Australian Dollar Commitment) or (ii) establish a new Revolving Facility (such as a "Facility E" or "Facility F") and a related local facility with a commitment thereunder and, in either case, equivalently reduce its commitment under one of its other Revolving Facilities which is Facility A, Facility B, Facility C or Facility D (with a concomitant reduction as appropriate in its Sterling Commitment, Canadian Dollar Commitment or Australian Dollar Commitment). Any such increase or establishment and equivalent reduction shall be evidenced by the execution and delivery by the Borrower, the Subsidiary Borrowers, the Administrative Agent and such Revolving Credit Lenders of documentation satisfactory to such parties providing for such increase or establishment and equivalent reduction and any amendments to this Section 2 and to the relevant annexes hereto (including the inclusion of a new annex) as are necessary or appropriate to afford such parties with the benefits of this Agreement and the rights and remedies hereunder for such increase or such new Revolving Facility and any related local facility as are comparable to the benefits hereof and the rights and remedies hereunder for the existing Revolving Facilities.</w:t>
      </w:r>
    </w:p>
    <w:p>
      <w:pPr>
        <w:spacing w:after="0" w:line="195" w:lineRule="exact"/>
        <w:rPr>
          <w:rFonts w:ascii="Courier New" w:cs="Courier New" w:eastAsia="Courier New" w:hAnsi="Courier New"/>
          <w:sz w:val="16"/>
          <w:szCs w:val="16"/>
          <w:color w:val="auto"/>
        </w:rPr>
      </w:pPr>
    </w:p>
    <w:p>
      <w:pPr>
        <w:ind w:right="2659" w:firstLine="1132"/>
        <w:spacing w:after="0" w:line="257" w:lineRule="auto"/>
        <w:tabs>
          <w:tab w:leader="none" w:pos="1513"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on the date upon which the Revolving Credit Commitment of any Revolving Credit Lender under any Revolving Facility is increased pursuant to subsection 2.27(a) or there is an increase in or establishment of a Revolving Facility and an equivalent reduction in any other Revolving Facility pursuant to subsection 2.27(b), there is an unpaid principal amount of Revolving Credit Loans under any Revolving Facility affected thereby the Borrower or any Regular Subsidiary Borrower in which such Revolving Credit Lender has agreed to participate, the principal outstanding amount of all such Revolving Credit Loans shall (A) in the case of such Revolving Credit Loans which are ABR Loans, be immediately prepaid by the Borrower or Subsidiary Borrower (but all such Revolving Credit Loans may, on the terms and conditions hereof, be reborrowed on such date on a ratable basis, based on the revised Revolving Credit Commitments as then in effect under the relevant Revolving Facilities) and (B)</w:t>
      </w:r>
    </w:p>
    <w:p>
      <w:pPr>
        <w:sectPr>
          <w:pgSz w:w="11900" w:h="16838" w:orient="portrait"/>
          <w:cols w:equalWidth="0" w:num="1">
            <w:col w:w="10219"/>
          </w:cols>
          <w:pgMar w:left="240" w:top="477" w:right="1440" w:bottom="1440" w:gutter="0" w:footer="0" w:header="0"/>
        </w:sectPr>
      </w:pPr>
    </w:p>
    <w:bookmarkStart w:id="453" w:name="page454"/>
    <w:bookmarkEnd w:id="453"/>
    <w:p>
      <w:pPr>
        <w:jc w:val="right"/>
        <w:ind w:right="2659"/>
        <w:spacing w:after="0"/>
        <w:rPr>
          <w:sz w:val="20"/>
          <w:szCs w:val="20"/>
          <w:color w:val="auto"/>
        </w:rPr>
      </w:pPr>
      <w:r>
        <w:rPr>
          <w:rFonts w:ascii="Courier New" w:cs="Courier New" w:eastAsia="Courier New" w:hAnsi="Courier New"/>
          <w:sz w:val="16"/>
          <w:szCs w:val="16"/>
          <w:color w:val="auto"/>
        </w:rPr>
        <w:t>54</w:t>
      </w:r>
    </w:p>
    <w:p>
      <w:pPr>
        <w:spacing w:after="0" w:line="368" w:lineRule="exact"/>
        <w:rPr>
          <w:sz w:val="20"/>
          <w:szCs w:val="20"/>
          <w:color w:val="auto"/>
        </w:rPr>
      </w:pPr>
    </w:p>
    <w:p>
      <w:pPr>
        <w:ind w:right="2659"/>
        <w:spacing w:after="0" w:line="258" w:lineRule="auto"/>
        <w:rPr>
          <w:sz w:val="20"/>
          <w:szCs w:val="20"/>
          <w:color w:val="auto"/>
        </w:rPr>
      </w:pPr>
      <w:r>
        <w:rPr>
          <w:rFonts w:ascii="Courier New" w:cs="Courier New" w:eastAsia="Courier New" w:hAnsi="Courier New"/>
          <w:sz w:val="15"/>
          <w:szCs w:val="15"/>
          <w:color w:val="auto"/>
        </w:rPr>
        <w:t>in the case of such Revolving Credit Loans which are LIBOR Loans, continue to remain outstanding (notwithstanding any other requirement in this Agreement that such Revolving Credit Loans be held ratably based on the revised Commitments under the relevant Revolving Facilities as then in effect) until the end of the then current Interest Period therefor, at which time such LIBOR Loans shall be paid by the Borrower or Subsidiary Borrower (but all such Revolving Credit Loans may, on the terms and conditions hereof, be reborrowed on such date on a ratable basis, based on the Revolving Facilities as then in effect).</w:t>
      </w:r>
    </w:p>
    <w:p>
      <w:pPr>
        <w:spacing w:after="0" w:line="17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(d) Notwithstanding anything to the contrary in this subsection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2.27, (i) in no event shall any transaction effected pursuant to this subsection</w:t>
      </w:r>
    </w:p>
    <w:p>
      <w:pPr>
        <w:spacing w:after="0" w:line="12" w:lineRule="exact"/>
        <w:rPr>
          <w:sz w:val="20"/>
          <w:szCs w:val="20"/>
          <w:color w:val="auto"/>
        </w:rPr>
      </w:pPr>
    </w:p>
    <w:p>
      <w:pPr>
        <w:ind w:right="2839"/>
        <w:spacing w:after="0" w:line="258" w:lineRule="auto"/>
        <w:rPr>
          <w:sz w:val="20"/>
          <w:szCs w:val="20"/>
          <w:color w:val="auto"/>
        </w:rPr>
      </w:pPr>
      <w:r>
        <w:rPr>
          <w:rFonts w:ascii="Courier New" w:cs="Courier New" w:eastAsia="Courier New" w:hAnsi="Courier New"/>
          <w:sz w:val="15"/>
          <w:szCs w:val="15"/>
          <w:color w:val="auto"/>
        </w:rPr>
        <w:t>2.27 cause the aggregate Revolving Credit Commitments to exceed $750,000,000, less the aggregate amount of any reduction in the Revolving Credit Commitments pursuant to subsection 2.10 or 2.12, and (ii) no Lender shall have any obligation to increase its Revolving Credit Commitment under any Revolving Facility unless it agrees to do so in its sole discretion. Each Commitment Increase Supplement shall be deemed to be a supplement to this Agreement.</w:t>
      </w:r>
    </w:p>
    <w:p>
      <w:pPr>
        <w:spacing w:after="0" w:line="17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SECTION 3. LETTER OF CREDIT FACILITIES</w:t>
      </w:r>
    </w:p>
    <w:p>
      <w:pPr>
        <w:spacing w:after="0" w:line="186"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3.1 L/C Commitment. (a) Subject to the terms and conditions hereof, the Issuing Lender, in reliance on the agreements of the other Lenders set forth in subsection 3.4(a), agrees to issue letters of credit ("Letters of Credit") under any Revolving Facility for the account of the Borrower or any Regular Subsidiary Borrower on any Business Day during the Revolving Credit Commitment Period in such form as may be approved from time to time by the Issuing Lender; provided that the Issuing Lender shall not have any obligation to issue any Letter of Credit if, after giving effect to such issuance, (i) the L/C Obligations would exceed the L/C Commitment or (ii) the Available Facility A Commitments, the Available Facility B Commitments the Available Facility C Commitments or the Available Facility D Commitments would be negative. Each Letter of Credit shall (i) be denominated in Dollars, euros or in any Optional Currency, (ii) be either (x) a standby letter of credit (a "Standby L/C") issued to support obligations of the Borrower or any Regular Subsidiary Borrower, contingent or otherwise, with an expiry date occurring not later than one year after such standby L/C was issued (which expiry date may be subject to one or more automatic extensions of one year or less unless 60-day notice, or such other notice as is satisfactory to the Borrower and the Issuing Lender, is given that any such extension shall not be effective) or (y) a documentary letter of credit in respect of the purchase of goods or services by the Borrower and its Subsidiaries in the ordinary course of business with an expiry date occurring not later than one year after such documentary letter of credit was issued and, in the case of any such documentary letter of credit which is to be accepted by the Issuing Lender pending payment at a date after presentation of sight drafts, with a payment date no more than one year after such drafts were presented for acceptance (a "Trade L/C") and (iii) expire no later than five days before the Revolving Credit Termination Date.</w:t>
      </w:r>
    </w:p>
    <w:p>
      <w:pPr>
        <w:spacing w:after="0" w:line="362" w:lineRule="exact"/>
        <w:rPr>
          <w:sz w:val="20"/>
          <w:szCs w:val="20"/>
          <w:color w:val="auto"/>
        </w:rPr>
      </w:pPr>
    </w:p>
    <w:p>
      <w:pPr>
        <w:ind w:right="2839" w:firstLine="1132"/>
        <w:spacing w:after="0" w:line="239" w:lineRule="auto"/>
        <w:tabs>
          <w:tab w:leader="none" w:pos="1513" w:val="left"/>
        </w:tabs>
        <w:numPr>
          <w:ilvl w:val="0"/>
          <w:numId w:val="5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Standby L/C shall be subject to the International Standby Practices and each Trade L/C shall be subject to the Uniform Customs and, in each case, to the extent not inconsistent therewith, the laws of the State of New York.</w:t>
      </w:r>
    </w:p>
    <w:p>
      <w:pPr>
        <w:sectPr>
          <w:pgSz w:w="11900" w:h="16838" w:orient="portrait"/>
          <w:cols w:equalWidth="0" w:num="1">
            <w:col w:w="10219"/>
          </w:cols>
          <w:pgMar w:left="240" w:top="477" w:right="1440" w:bottom="1440" w:gutter="0" w:footer="0" w:header="0"/>
        </w:sectPr>
      </w:pPr>
    </w:p>
    <w:bookmarkStart w:id="454" w:name="page455"/>
    <w:bookmarkEnd w:id="454"/>
    <w:p>
      <w:pPr>
        <w:jc w:val="right"/>
        <w:ind w:right="2659"/>
        <w:spacing w:after="0"/>
        <w:rPr>
          <w:sz w:val="20"/>
          <w:szCs w:val="20"/>
          <w:color w:val="auto"/>
        </w:rPr>
      </w:pPr>
      <w:r>
        <w:rPr>
          <w:rFonts w:ascii="Courier New" w:cs="Courier New" w:eastAsia="Courier New" w:hAnsi="Courier New"/>
          <w:sz w:val="16"/>
          <w:szCs w:val="16"/>
          <w:color w:val="auto"/>
        </w:rPr>
        <w:t>55</w:t>
      </w:r>
    </w:p>
    <w:p>
      <w:pPr>
        <w:spacing w:after="0" w:line="368" w:lineRule="exact"/>
        <w:rPr>
          <w:sz w:val="20"/>
          <w:szCs w:val="20"/>
          <w:color w:val="auto"/>
        </w:rPr>
      </w:pPr>
    </w:p>
    <w:p>
      <w:pPr>
        <w:jc w:val="both"/>
        <w:ind w:right="2939" w:firstLine="1132"/>
        <w:spacing w:after="0" w:line="239" w:lineRule="auto"/>
        <w:tabs>
          <w:tab w:leader="none" w:pos="1513" w:val="left"/>
        </w:tabs>
        <w:numPr>
          <w:ilvl w:val="0"/>
          <w:numId w:val="5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Issuing Lender shall at no time be obligated to issue any Letter of Credit hereunder if such issuance would conflict with, or cause the Issuing Lender or any L/C Participant to exceed any limits imposed by, any applicable Requirement of Law.</w:t>
      </w:r>
    </w:p>
    <w:p>
      <w:pPr>
        <w:spacing w:after="0" w:line="187" w:lineRule="exact"/>
        <w:rPr>
          <w:rFonts w:ascii="Courier New" w:cs="Courier New" w:eastAsia="Courier New" w:hAnsi="Courier New"/>
          <w:sz w:val="16"/>
          <w:szCs w:val="16"/>
          <w:color w:val="auto"/>
        </w:rPr>
      </w:pPr>
    </w:p>
    <w:p>
      <w:pPr>
        <w:ind w:right="2659" w:firstLine="1132"/>
        <w:spacing w:after="0" w:line="239" w:lineRule="auto"/>
        <w:tabs>
          <w:tab w:leader="none" w:pos="1513" w:val="left"/>
        </w:tabs>
        <w:numPr>
          <w:ilvl w:val="0"/>
          <w:numId w:val="5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herein, each Letter of Credit outstanding under the Existing Credit Agreement on the Effective Date shall be deemed to be issued and outstanding under this Agreement as of the Effective Date.</w:t>
      </w:r>
    </w:p>
    <w:p>
      <w:pPr>
        <w:spacing w:after="0" w:line="187"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3.2 Procedure for Issuance of Letters of Credit. The Borrower or any Regular Subsidiary Borrower may from time to time request that the Issuing Lender issue a Letter of Credit under any Revolving Facility by delivering to the Issuing Lender (with a copy to the Administrative Agent) at its address for notices specified herein an Application therefor, completed to the satisfaction of the Issuing Lender, and such other certificates, documents and other papers and information as the Issuing Lender may reasonably request. Upon receipt of any Application, the Issuing Lender will process such Application and the certificates, documents and other papers and information delivered to it in connection therewith in accordance with its customary procedures and shall promptly issue the Letter of Credit requested thereby (but in no event shall the Issuing Lender be required to issue any Letter of Credit earlier than four Business Days after its receipt of the Application therefor and all such other certificates, documents and other papers and information relating thereto) by issuing the original of such Letter of Credit to the beneficiary thereof or as otherwise may be agreed by the Issuing Lender and the Borrower or any relevant Regular Subsidiary Borrower. The Issuing Lender shall furnish a copy of such Letter of Credit to the Borrower, to the Administrative Agent and to any relevant Regular Subsidiary Borrower promptly following the issuance thereof.</w:t>
      </w:r>
    </w:p>
    <w:p>
      <w:pPr>
        <w:spacing w:after="0" w:line="180"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3.3 Fees, Commissions and Other Charges. (a) The Borrower or the relevant Regular Subsidiary Borrower shall pay to the Administrative Agent, for the ratable account of the Issuing Lender and the L/C Participants under the relevant Revolving Facility, a letter of credit commission in Dollars with respect to each Trade L/C issued by the Issuing Lender (i) in an amount equal to the Dollar Equivalent of such issuance and payment fees as have been agreed upon by the Borrower and the Issuing Lender and (ii) in an amount equal to the product of, on the date on which such commission is calculated, (A) the rate per annum equal to the Applicable Margin in respect of LIBOR Loans that are Revolving Credit Loans and (B) the Dollar Equivalent of the aggregate amount available to be drawn under each Letter of Credit (plus an additional 1/4 of 1% per annum which shall be payable for the account of the Issuing Lender). Such letter of credit commissions shall be payable in arrears on the last day of each March, June, September and December and shall be nonrefundable.</w:t>
      </w:r>
    </w:p>
    <w:p>
      <w:pPr>
        <w:spacing w:after="0" w:line="191" w:lineRule="exact"/>
        <w:rPr>
          <w:sz w:val="20"/>
          <w:szCs w:val="20"/>
          <w:color w:val="auto"/>
        </w:rPr>
      </w:pPr>
    </w:p>
    <w:p>
      <w:pPr>
        <w:ind w:right="2659" w:firstLine="1132"/>
        <w:spacing w:after="0"/>
        <w:tabs>
          <w:tab w:leader="none" w:pos="1513" w:val="left"/>
        </w:tabs>
        <w:numPr>
          <w:ilvl w:val="0"/>
          <w:numId w:val="5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or the relevant Regular Subsidiary Borrower shall pay to the Administrative Agent, for the ratable account of the Issuing Lender and the L/C Participants under the relevant Revolving Facility, a letter of credit commission in Dollars with respect to each Standby L/C issued by the Issuing Lender, computed for the period from the date of such payment to the date upon which the next such payment is due hereunder in an amount equal to the product of (i) the rate equal to the Applicable Margin in respect of LIBOR Loans that are Revolving Credit Loans in effect on the date on which such commission is calculated and (ii) the Dollar Equivalent of the aggregate amount available to be drawn under such Standby L/C on the date on which such commission is calculated (plus an additional 1/4 of 1% per annum which shall</w:t>
      </w:r>
    </w:p>
    <w:p>
      <w:pPr>
        <w:sectPr>
          <w:pgSz w:w="11900" w:h="16838" w:orient="portrait"/>
          <w:cols w:equalWidth="0" w:num="1">
            <w:col w:w="10219"/>
          </w:cols>
          <w:pgMar w:left="240" w:top="477" w:right="1440" w:bottom="1440" w:gutter="0" w:footer="0" w:header="0"/>
        </w:sectPr>
      </w:pPr>
    </w:p>
    <w:bookmarkStart w:id="455" w:name="page456"/>
    <w:bookmarkEnd w:id="455"/>
    <w:p>
      <w:pPr>
        <w:jc w:val="right"/>
        <w:ind w:right="2659"/>
        <w:spacing w:after="0"/>
        <w:rPr>
          <w:sz w:val="20"/>
          <w:szCs w:val="20"/>
          <w:color w:val="auto"/>
        </w:rPr>
      </w:pPr>
      <w:r>
        <w:rPr>
          <w:rFonts w:ascii="Courier New" w:cs="Courier New" w:eastAsia="Courier New" w:hAnsi="Courier New"/>
          <w:sz w:val="16"/>
          <w:szCs w:val="16"/>
          <w:color w:val="auto"/>
        </w:rPr>
        <w:t>56</w:t>
      </w:r>
    </w:p>
    <w:p>
      <w:pPr>
        <w:spacing w:after="0" w:line="368" w:lineRule="exact"/>
        <w:rPr>
          <w:sz w:val="20"/>
          <w:szCs w:val="20"/>
          <w:color w:val="auto"/>
        </w:rPr>
      </w:pPr>
    </w:p>
    <w:p>
      <w:pPr>
        <w:ind w:right="2659"/>
        <w:spacing w:after="0" w:line="258" w:lineRule="auto"/>
        <w:rPr>
          <w:sz w:val="20"/>
          <w:szCs w:val="20"/>
          <w:color w:val="auto"/>
        </w:rPr>
      </w:pPr>
      <w:r>
        <w:rPr>
          <w:rFonts w:ascii="Courier New" w:cs="Courier New" w:eastAsia="Courier New" w:hAnsi="Courier New"/>
          <w:sz w:val="15"/>
          <w:szCs w:val="15"/>
          <w:color w:val="auto"/>
        </w:rPr>
        <w:t>be payable for the account of the Issuing Lender). The Borrower or the relevant Regular Subsidiary Borrower shall also pay to the Administrative Agent, for the account of the Issuing Lender, such issuance fees as have been agreed upon by the Borrower or the relevant Regular Subsidiary Borrower and the Issuing Lender. Such letter of credit commissions shall be payable in arrears on the last day of each March, June, September and December and shall be nonrefundable.</w:t>
      </w:r>
    </w:p>
    <w:p>
      <w:pPr>
        <w:spacing w:after="0" w:line="177" w:lineRule="exact"/>
        <w:rPr>
          <w:sz w:val="20"/>
          <w:szCs w:val="20"/>
          <w:color w:val="auto"/>
        </w:rPr>
      </w:pPr>
    </w:p>
    <w:p>
      <w:pPr>
        <w:ind w:right="2759" w:firstLine="1132"/>
        <w:spacing w:after="0" w:line="239" w:lineRule="auto"/>
        <w:tabs>
          <w:tab w:leader="none" w:pos="1513" w:val="left"/>
        </w:tabs>
        <w:numPr>
          <w:ilvl w:val="0"/>
          <w:numId w:val="5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foregoing fees and commissions, the Borrower or the relevant Regular Subsidiary Borrower shall pay or reimburse the Issuing Lender for such normal and customary costs and expenses as are incurred or charged by the Issuing Lender in issuing, effecting payment under, amending or otherwise administering any Letter of Credit issued by it.</w:t>
      </w:r>
    </w:p>
    <w:p>
      <w:pPr>
        <w:spacing w:after="0" w:line="188" w:lineRule="exact"/>
        <w:rPr>
          <w:rFonts w:ascii="Courier New" w:cs="Courier New" w:eastAsia="Courier New" w:hAnsi="Courier New"/>
          <w:sz w:val="16"/>
          <w:szCs w:val="16"/>
          <w:color w:val="auto"/>
        </w:rPr>
      </w:pPr>
    </w:p>
    <w:p>
      <w:pPr>
        <w:ind w:right="2839" w:firstLine="1132"/>
        <w:spacing w:after="0" w:line="239" w:lineRule="auto"/>
        <w:tabs>
          <w:tab w:leader="none" w:pos="1513" w:val="left"/>
        </w:tabs>
        <w:numPr>
          <w:ilvl w:val="0"/>
          <w:numId w:val="5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promptly following its receipt thereof, distribute to the Issuing Lender and the L/C Participants under the relevant Revolving Facility all fees and commissions received by the Administrative Agent for their respective accounts pursuant to this subsection 3.3.</w:t>
      </w:r>
    </w:p>
    <w:p>
      <w:pPr>
        <w:spacing w:after="0" w:line="189"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3.4 L/C Participation. (a) The Issuing Lender irrevocably agrees to grant and hereby grants to each L/C Participant under the relevant Revolving Facility, and, to induce the Issuing Lender to issue Letters of Credit hereunder, each such L/C Participant irrevocably agrees to accept and purchase and hereby accepts and purchases from the Issuing Lender, on the terms and conditions hereinafter stated, for such L/C Participant's own account and risk an undivided interest equal to such L/C Participant's ratable share of the Revolving Facility under which such Letter of Credit is to be issued in the Issuing Lender's obligations and rights under each Letter of Credit issued hereunder under such Revolving Facility and the amount of each draft paid by the Issuing Lender thereunder. Each such L/C Participant unconditionally and irrevocably agrees with the Issuing Lender that, if a draft is paid under any such Letter of Credit for which the Issuing Lender is not reimbursed in full by the Borrower or the relevant Regular Subsidiary Borrower in accordance with the terms of this Agreement, such L/C Participant shall pay to the Issuing Lender upon demand at the Issuing Lender's address for notices specified herein an amount equal to such L/C Participant's ratable share of the Revolving Facility under which such Letter of Credit was issued of the amount of such draft, or any part thereof, which is not so reimbursed.</w:t>
      </w:r>
    </w:p>
    <w:p>
      <w:pPr>
        <w:spacing w:after="0" w:line="194" w:lineRule="exact"/>
        <w:rPr>
          <w:sz w:val="20"/>
          <w:szCs w:val="20"/>
          <w:color w:val="auto"/>
        </w:rPr>
      </w:pPr>
    </w:p>
    <w:p>
      <w:pPr>
        <w:ind w:right="2659" w:firstLine="1132"/>
        <w:spacing w:after="0"/>
        <w:tabs>
          <w:tab w:leader="none" w:pos="1513" w:val="left"/>
        </w:tabs>
        <w:numPr>
          <w:ilvl w:val="0"/>
          <w:numId w:val="5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amount required to be paid by any L/C Participant under any Revolving Facility to the Issuing Lender pursuant to subsection 3.4(a) in respect of any unreimbursed portion of any payment made by the Issuing Lender under any Letter of Credit issued under such Revolving Facility is not paid to the Issuing Lender within three Business Days after the date such payment is due, such L/C Participant shall pay to the Issuing Lender on demand an amount equal to the product of (i) such amount, times (ii) the daily average Federal funds rate, as quoted by the Issuing Lender, during the period from and including the date such payment is required to the date on which such payment is immediately available to the Issuing Lender, times (iii) a fraction the numerator of which is the number of days that elapse during such period and the denominator of which is 360. If any such amount required to be paid by any such L/C Participant pursuant to subsection 3.4(a) is not in fact made available to the Issuing Lender by such L/C Participant within three Business Days after the date such payment is due, the Issuing Lender shall be entitled to recover from such L/C Participant, on demand, such</w:t>
      </w:r>
    </w:p>
    <w:p>
      <w:pPr>
        <w:sectPr>
          <w:pgSz w:w="11900" w:h="16838" w:orient="portrait"/>
          <w:cols w:equalWidth="0" w:num="1">
            <w:col w:w="10219"/>
          </w:cols>
          <w:pgMar w:left="240" w:top="477" w:right="1440" w:bottom="1440" w:gutter="0" w:footer="0" w:header="0"/>
        </w:sectPr>
      </w:pPr>
    </w:p>
    <w:bookmarkStart w:id="456" w:name="page457"/>
    <w:bookmarkEnd w:id="456"/>
    <w:p>
      <w:pPr>
        <w:jc w:val="right"/>
        <w:ind w:right="2659"/>
        <w:spacing w:after="0"/>
        <w:rPr>
          <w:sz w:val="20"/>
          <w:szCs w:val="20"/>
          <w:color w:val="auto"/>
        </w:rPr>
      </w:pPr>
      <w:r>
        <w:rPr>
          <w:rFonts w:ascii="Courier New" w:cs="Courier New" w:eastAsia="Courier New" w:hAnsi="Courier New"/>
          <w:sz w:val="16"/>
          <w:szCs w:val="16"/>
          <w:color w:val="auto"/>
        </w:rPr>
        <w:t>57</w:t>
      </w:r>
    </w:p>
    <w:p>
      <w:pPr>
        <w:spacing w:after="0" w:line="368"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amount with interest thereon calculated from such due date at the rate per annum applicable to ABR Loans that are Revolving Credit Loans hereunder. A certificate of the Issuing Lender submitted to any L/C Participant with respect to any amounts owing under this subsection shall be conclusive in the absence of manifest error.</w:t>
      </w:r>
    </w:p>
    <w:p>
      <w:pPr>
        <w:spacing w:after="0" w:line="189" w:lineRule="exact"/>
        <w:rPr>
          <w:sz w:val="20"/>
          <w:szCs w:val="20"/>
          <w:color w:val="auto"/>
        </w:rPr>
      </w:pPr>
    </w:p>
    <w:p>
      <w:pPr>
        <w:ind w:right="2759" w:firstLine="1132"/>
        <w:spacing w:after="0" w:line="257" w:lineRule="auto"/>
        <w:tabs>
          <w:tab w:leader="none" w:pos="1513" w:val="left"/>
        </w:tabs>
        <w:numPr>
          <w:ilvl w:val="0"/>
          <w:numId w:val="5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at any time after the Issuing Lender has made payment under any Letter of Credit issued under any Revolving Facility and has received from any L/C Participant its ratable share of such payment in accordance with subsection 3.4(a), the Issuing Lender receives any payment related to such Letter of Credit (whether directly from the Borrower, the relevant Regular Subsidiary Borrower or otherwise), or any payment of interest on account thereof, the Issuing Lender will distribute to such L/C Participant its ratable share thereof; provided, however, that in the event that any such payment received by the Issuing Lender shall be required to be returned by the Issuing Lender, such L/C Participant shall return to the Issuing Lender the portion thereof previously distributed by the Issuing Lender to it.</w:t>
      </w:r>
    </w:p>
    <w:p>
      <w:pPr>
        <w:spacing w:after="0" w:line="181"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3.5 Reimbursement Obligation of the Borrower. The Borrower or the relevant Regular Subsidiary Borrower agrees to reimburse the Issuing Lender on each date on which the Issuing Lender notifies the Borrower or the relevant Regular Subsidiary Borrower of the date and amount of a draft presented under any Letter of Credit and paid by the Issuing Lender for the amount of (a) such draft so paid and (b) any taxes (other than Excluded Taxes), fees, charges or other costs or expenses incurred by the Issuing Lender in connection with such payment; provided that upon the acceleration of such reimbursement obligations in accordance with Section 8, the Borrower or the relevant Regular Subsidiary Borrower agrees to reimburse the Issuing Lender for the amount equal to the then maximum liability (whether direct or contingent) of the Issuing Lender and the L/C Participants under such Letter of Credit. Each such payment shall be made to the Issuing Lender, at its address for notices specified herein in the currency in which such Letter of Credit is denominated (except that, in the case of any Letter of Credit denominated in euros or any Optional Currency, in the event that such payment is not made to the Issuing Lender within three Business Days of the date of receipt by the Borrower or any relevant Regular Subsidiary Borrower of such notice, upon notice by the Issuing Lender to the Borrower or the relevant Regular Subsidiary Borrower, such payment shall be made in Dollars, in an amount equal to the Dollar Equivalent of the amount of such payment converted on the date of such notice into Dollars at the spot rate of exchange on such date) and in immediately available funds, on the date on which the Borrower or any relevant Regular Subsidiary Borrower (on behalf of itself or such Regular Subsidiary Borrower, as the case may be) receives such notice, if received prior to 11:00 A.M., New York City time, on a Business Day and otherwise on the next succeeding Business Day. Any conversion by the Issuing Lender of any payment to be made by the Borrower or any Regular Subsidiary Borrower in respect of any Letter of Credit denominated in euros or any Optional Currency into Dollars in accordance with this subsection 3.5 shall be conclusive and binding upon such Borrower or such relevant Regular Subsidiary Borrower and the Lenders in the absence of manifest error; provided that upon the request of any Lender, the Issuing Lender shall provide to such Lender a certificate including reasonably detailed information as to the calculation of such conversion.</w:t>
      </w:r>
    </w:p>
    <w:p>
      <w:pPr>
        <w:spacing w:after="0" w:line="203" w:lineRule="exact"/>
        <w:rPr>
          <w:sz w:val="20"/>
          <w:szCs w:val="20"/>
          <w:color w:val="auto"/>
        </w:rPr>
      </w:pPr>
    </w:p>
    <w:p>
      <w:pPr>
        <w:ind w:right="2839" w:firstLine="1135"/>
        <w:spacing w:after="0" w:line="239" w:lineRule="auto"/>
        <w:rPr>
          <w:sz w:val="20"/>
          <w:szCs w:val="20"/>
          <w:color w:val="auto"/>
        </w:rPr>
      </w:pPr>
      <w:r>
        <w:rPr>
          <w:rFonts w:ascii="Courier New" w:cs="Courier New" w:eastAsia="Courier New" w:hAnsi="Courier New"/>
          <w:sz w:val="16"/>
          <w:szCs w:val="16"/>
          <w:color w:val="auto"/>
        </w:rPr>
        <w:t>3.6 Obligations Absolute. The Borrower's and any relevant Regular Subsidiary Borrower's obligations under this Section 3 shall be absolute and unconditional under any and all circumstances and irrespective of any set-off, counterclaim or defense to payment which the</w:t>
      </w:r>
    </w:p>
    <w:p>
      <w:pPr>
        <w:sectPr>
          <w:pgSz w:w="11900" w:h="16838" w:orient="portrait"/>
          <w:cols w:equalWidth="0" w:num="1">
            <w:col w:w="10219"/>
          </w:cols>
          <w:pgMar w:left="240" w:top="477" w:right="1440" w:bottom="1440" w:gutter="0" w:footer="0" w:header="0"/>
        </w:sectPr>
      </w:pPr>
    </w:p>
    <w:bookmarkStart w:id="457" w:name="page458"/>
    <w:bookmarkEnd w:id="457"/>
    <w:p>
      <w:pPr>
        <w:jc w:val="right"/>
        <w:ind w:right="2659"/>
        <w:spacing w:after="0"/>
        <w:rPr>
          <w:sz w:val="20"/>
          <w:szCs w:val="20"/>
          <w:color w:val="auto"/>
        </w:rPr>
      </w:pPr>
      <w:r>
        <w:rPr>
          <w:rFonts w:ascii="Courier New" w:cs="Courier New" w:eastAsia="Courier New" w:hAnsi="Courier New"/>
          <w:sz w:val="16"/>
          <w:szCs w:val="16"/>
          <w:color w:val="auto"/>
        </w:rPr>
        <w:t>58</w:t>
      </w:r>
    </w:p>
    <w:p>
      <w:pPr>
        <w:spacing w:after="0" w:line="368"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Borrower or any relevant Regular Subsidiary Borrower may have or have had against the Issuing Lender or any beneficiary of a Letter of Credit. The Borrower also agrees with the Issuing Lender that the Issuing Lender shall not be responsible for, and the Borrower's or such relevant Regular Subsidiary Borrower's Reimbursement Obligations under subsection 3.5 shall not be affected by, among other things, the validity or genuineness of documents or of any endorsements thereon, even though such documents shall in fact prove to be invalid, fraudulent or forged, or any dispute between or among the Borrower, any relevant Regular Subsidiary Borrower and any beneficiary of any Letter of Credit or any other party to which such Letter of Credit may be transferred or any claims whatsoever of the Borrower or relevant Regular Subsidiary Borrower against any beneficiary of such Letter of Credit or any such transferee. The Issuing Lender shall not be liable for any error, omission, interruption or delay in transmission, dispatch or delivery of any message or advice, however transmitted, in connection with any Letter of Credit issued by it, except for errors or omissions caused by the Issuing Lender's gross negligence or willful misconduct. The Borrower and any relevant Regular Subsidiary Borrower agrees that any action taken or omitted by the Issuing Lender under or in connection with any Letter of Credit issued by it or the related drafts or documents, if done in the absence of gross negligence or willful misconduct and in accordance with the standards of care specified in the Uniform Commercial Code of the State of New York, shall be binding on the Borrower or any relevant Regular Subsidiary Borrower and shall not result in any liability of the Issuing Lender to the Borrower or any relevant Regular Subsidiary Borrower.</w:t>
      </w:r>
    </w:p>
    <w:p>
      <w:pPr>
        <w:spacing w:after="0" w:line="362"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3.7 Increased Costs. If the adoption of or any change in any law or regulation or in the interpretation thereof after the date hereof by any court or administrative or Governmental Authority charged with the administration thereof shall either (i) impose, modify or deem applicable any reserve, special deposit or similar requirement against Letters of Credit issued by the Issuing Lender or participated in by the Lenders or (ii) impose on any Lender any other condition regarding any Letter of Credit, and the result of any event referred to in clauses (i) or (ii) above shall be to increase the cost to the Issuing Lender or any Lender of issuing or maintaining such Letter of Credit (or its participation therein, as the case may be) (which increase in cost shall be the result of the Issuing Lender's or such Lender's reasonable allocation of the aggregate of such cost increases resulting from such events), then, upon notice to it from the Issuing Lender or such Lender (with a copy to the Administrative Agent) certifying that (x) one of the events herein above described has occurred and the nature of such event, (y) the increased cost or reduced amount resulting from such event and (z) the additional amounts demanded by the Issuing Lender or such Lender, as the case may be, and a reasonably detailed explanation of the calculation thereof, the Borrower shall immediately pay to such Issuing Lender or such Lender, as the case may be, from time to time as specified by the Administrative Agent or such Lender, additional amounts which shall be sufficient to compensate such Issuing Lender or such Lender for such increased cost, together with interest on each such amount from the date demanded until payment in full thereof at the rate provided in subsection 3.3. A certificate as to the fact and amount of such increased cost incurred by the Issuing Lender or such Lender as a result of any event mentioned in clauses (i) or (ii) above, submitted by the Issuing Lender or such Lender to the Borrower, shall be conclusive, absent manifest error.</w:t>
      </w:r>
    </w:p>
    <w:p>
      <w:pPr>
        <w:spacing w:after="0" w:line="362"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3.8 Letter of Credit Payments. If any draft in Dollars, euros or in any Optional Currency shall be presented for payment under any Letter of Credit, the Issuing Lender shall promptly notify the Borrower and the Administrative Agent of the date and amount of the</w:t>
      </w:r>
    </w:p>
    <w:p>
      <w:pPr>
        <w:sectPr>
          <w:pgSz w:w="11900" w:h="16838" w:orient="portrait"/>
          <w:cols w:equalWidth="0" w:num="1">
            <w:col w:w="10219"/>
          </w:cols>
          <w:pgMar w:left="240" w:top="477" w:right="1440" w:bottom="1440" w:gutter="0" w:footer="0" w:header="0"/>
        </w:sectPr>
      </w:pPr>
    </w:p>
    <w:bookmarkStart w:id="458" w:name="page459"/>
    <w:bookmarkEnd w:id="458"/>
    <w:p>
      <w:pPr>
        <w:jc w:val="right"/>
        <w:ind w:right="2659"/>
        <w:spacing w:after="0"/>
        <w:rPr>
          <w:sz w:val="20"/>
          <w:szCs w:val="20"/>
          <w:color w:val="auto"/>
        </w:rPr>
      </w:pPr>
      <w:r>
        <w:rPr>
          <w:rFonts w:ascii="Courier New" w:cs="Courier New" w:eastAsia="Courier New" w:hAnsi="Courier New"/>
          <w:sz w:val="16"/>
          <w:szCs w:val="16"/>
          <w:color w:val="auto"/>
        </w:rPr>
        <w:t>59</w:t>
      </w:r>
    </w:p>
    <w:p>
      <w:pPr>
        <w:spacing w:after="0" w:line="368" w:lineRule="exact"/>
        <w:rPr>
          <w:sz w:val="20"/>
          <w:szCs w:val="20"/>
          <w:color w:val="auto"/>
        </w:rPr>
      </w:pPr>
    </w:p>
    <w:p>
      <w:pPr>
        <w:ind w:right="2759"/>
        <w:spacing w:after="0" w:line="258" w:lineRule="auto"/>
        <w:rPr>
          <w:sz w:val="20"/>
          <w:szCs w:val="20"/>
          <w:color w:val="auto"/>
        </w:rPr>
      </w:pPr>
      <w:r>
        <w:rPr>
          <w:rFonts w:ascii="Courier New" w:cs="Courier New" w:eastAsia="Courier New" w:hAnsi="Courier New"/>
          <w:sz w:val="15"/>
          <w:szCs w:val="15"/>
          <w:color w:val="auto"/>
        </w:rPr>
        <w:t>Dollars, euros or the Optional Currency thereof. The responsibility of the Issuing Lender to the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in conformity with such Letter of Credit.</w:t>
      </w:r>
    </w:p>
    <w:p>
      <w:pPr>
        <w:spacing w:after="0" w:line="177" w:lineRule="exact"/>
        <w:rPr>
          <w:sz w:val="20"/>
          <w:szCs w:val="20"/>
          <w:color w:val="auto"/>
        </w:rPr>
      </w:pPr>
    </w:p>
    <w:p>
      <w:pPr>
        <w:ind w:right="2659" w:firstLine="1132"/>
        <w:spacing w:after="0" w:line="238" w:lineRule="auto"/>
        <w:tabs>
          <w:tab w:leader="none" w:pos="1513" w:val="left"/>
        </w:tabs>
        <w:numPr>
          <w:ilvl w:val="0"/>
          <w:numId w:val="5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Application. To the extent that any provision of any Application related to any Letter of Credit is inconsistent with the provisions of this Agreement, the provisions of this Agreement shall apply.</w:t>
      </w:r>
    </w:p>
    <w:p>
      <w:pPr>
        <w:spacing w:after="0" w:line="188" w:lineRule="exact"/>
        <w:rPr>
          <w:rFonts w:ascii="Courier New" w:cs="Courier New" w:eastAsia="Courier New" w:hAnsi="Courier New"/>
          <w:sz w:val="16"/>
          <w:szCs w:val="16"/>
          <w:color w:val="auto"/>
        </w:rPr>
      </w:pPr>
    </w:p>
    <w:p>
      <w:pPr>
        <w:jc w:val="both"/>
        <w:ind w:right="2659" w:firstLine="1132"/>
        <w:spacing w:after="0" w:line="238" w:lineRule="auto"/>
        <w:tabs>
          <w:tab w:leader="none" w:pos="1513" w:val="left"/>
        </w:tabs>
        <w:numPr>
          <w:ilvl w:val="0"/>
          <w:numId w:val="5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of the Letters of Credit. The Letters of Credit shall be used for any lawful purposes requested by the Borrower or any Regular Subsidiary Borrower.</w:t>
      </w:r>
    </w:p>
    <w:p>
      <w:pPr>
        <w:spacing w:after="0" w:line="184"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SECTION 4. REPRESENTATIONS AND WARRANTIES</w:t>
      </w:r>
    </w:p>
    <w:p>
      <w:pPr>
        <w:spacing w:after="0" w:line="186"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In order to induce the Lenders and the Administrative Agent to enter into this Agreement and to make the Loans and issue or participate in the Letters of Credit herein provided for, the Borrower hereby represents and warrants to the Administrative Agent and to each Lender that:</w:t>
      </w:r>
    </w:p>
    <w:p>
      <w:pPr>
        <w:spacing w:after="0" w:line="187"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4.1 Financial Condition. (a) The unaudited pro forma consolidated balance sheet of the Borrower and its consolidated Subsidiaries as at June 30, 2003 (including the notes thereto) (the "Pro Forma Balance Sheet"), copies of which have heretofore been furnished to each Lender, has been prepared giving effect (as if such events had occurred on such date) to (i) the consummation of the Refinancing and (ii) the payment of fees and expenses in connection with the Refinancing. The Pro Forma Balance Sheet has been prepared based on the best information available to the Borrower as of the date of delivery thereof, and presents fairly on a pro forma basis the estimated financial position of Borrower and its consolidated Subsidiaries as at June 30, 2003, assuming that the events specified in the preceding sentence had actually occurred at such date.</w:t>
      </w:r>
    </w:p>
    <w:p>
      <w:pPr>
        <w:spacing w:after="0" w:line="189" w:lineRule="exact"/>
        <w:rPr>
          <w:sz w:val="20"/>
          <w:szCs w:val="20"/>
          <w:color w:val="auto"/>
        </w:rPr>
      </w:pPr>
    </w:p>
    <w:p>
      <w:pPr>
        <w:ind w:right="2659" w:firstLine="1132"/>
        <w:spacing w:after="0"/>
        <w:tabs>
          <w:tab w:leader="none" w:pos="1513" w:val="left"/>
        </w:tabs>
        <w:numPr>
          <w:ilvl w:val="0"/>
          <w:numId w:val="5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balance sheet of the Borrower and its consolidated Subsidiaries as at September 30, 2002 and the related consolidated statements of income and of cash flows for the fiscal year ended on such date, reported on by PriceWaterhouseCoopers LLP and the unaudited consolidated statements of income and of cash flows for the fiscal quarter ended June 30, 2003, copies of which have heretofore been delivered to each of the Lenders, are complete and correct and present fairly in all material respects the consolidated financial condition of the Borrower and its consolidated Subsidiaries as at such respective dates, and the consolidated results of their operations and their consolidated cash flows for the fiscal year or fiscal period then ended. All such financial statements, including the related schedules and notes thereto, have been prepared in accordance with GAAP applied consistently throughout the periods involved (except as approved by such accountants and as disclosed therein). Neither the Borrower nor any of its consolidated Subsidiaries had, at the date of the balance sheet referred to above, any material obligation, contingent liability or liability for taxes, or any long-term lease or unusual forward or long-term commitment, including without limitation, any interest rate or foreign currency swap or exchange transaction, which is not reflected in the foregoing statements</w:t>
      </w:r>
    </w:p>
    <w:p>
      <w:pPr>
        <w:sectPr>
          <w:pgSz w:w="11900" w:h="16838" w:orient="portrait"/>
          <w:cols w:equalWidth="0" w:num="1">
            <w:col w:w="10219"/>
          </w:cols>
          <w:pgMar w:left="240" w:top="477" w:right="1440" w:bottom="1440" w:gutter="0" w:footer="0" w:header="0"/>
        </w:sectPr>
      </w:pPr>
    </w:p>
    <w:bookmarkStart w:id="459" w:name="page460"/>
    <w:bookmarkEnd w:id="459"/>
    <w:p>
      <w:pPr>
        <w:jc w:val="right"/>
        <w:ind w:right="2659"/>
        <w:spacing w:after="0"/>
        <w:rPr>
          <w:sz w:val="20"/>
          <w:szCs w:val="20"/>
          <w:color w:val="auto"/>
        </w:rPr>
      </w:pPr>
      <w:r>
        <w:rPr>
          <w:rFonts w:ascii="Courier New" w:cs="Courier New" w:eastAsia="Courier New" w:hAnsi="Courier New"/>
          <w:sz w:val="16"/>
          <w:szCs w:val="16"/>
          <w:color w:val="auto"/>
        </w:rPr>
        <w:t>60</w:t>
      </w:r>
    </w:p>
    <w:p>
      <w:pPr>
        <w:spacing w:after="0" w:line="368"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6"/>
          <w:szCs w:val="16"/>
          <w:color w:val="auto"/>
        </w:rPr>
        <w:t>or in Schedule 4.1. Since September 30, 2002 there has been no development or event which has had or could reasonably be expected to have a Material Adverse Effect.</w:t>
      </w:r>
    </w:p>
    <w:p>
      <w:pPr>
        <w:spacing w:after="0" w:line="188" w:lineRule="exact"/>
        <w:rPr>
          <w:sz w:val="20"/>
          <w:szCs w:val="20"/>
          <w:color w:val="auto"/>
        </w:rPr>
      </w:pPr>
    </w:p>
    <w:p>
      <w:pPr>
        <w:ind w:right="2759" w:firstLine="1135"/>
        <w:spacing w:after="0" w:line="257" w:lineRule="auto"/>
        <w:rPr>
          <w:sz w:val="20"/>
          <w:szCs w:val="20"/>
          <w:color w:val="auto"/>
        </w:rPr>
      </w:pPr>
      <w:r>
        <w:rPr>
          <w:rFonts w:ascii="Courier New" w:cs="Courier New" w:eastAsia="Courier New" w:hAnsi="Courier New"/>
          <w:sz w:val="15"/>
          <w:szCs w:val="15"/>
          <w:color w:val="auto"/>
        </w:rPr>
        <w:t>4.2 Corporate Existence; Compliance with Law. Each of the Borrower and its Material Subsidiaries (a) is duly organized, validly existing and in good standing under the laws of the jurisdiction of its incorporation, (b) has the corporate or other power and authority and the legal right to own and operate its property, to lease the property it leases and to conduct the business in which it is currently engaged, (c) is duly qualified as a foreign corporation or other applicable entity and in good standing under the laws of any jurisdiction where its ownership, lease or operation of property or the conduct or proposed conduct of its business requires such qualification, except where the failure to so qualify would not, in any instance or in the aggregate, reasonably be expected to have a Material Adverse Effect and (d) is in compliance with all material Requirements of Law applicable to it or its business, provided that the provisions of this clause (d) do not restrict or limit the applicability of any knowledge or other qualification which is given in this Agreement in any other matter which constitutes a "Requirement of Law".</w:t>
      </w:r>
    </w:p>
    <w:p>
      <w:pPr>
        <w:spacing w:after="0" w:line="181"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4.3 Corporate Power; Authorization; Enforceable Obligations. Each of the Borrower and its Subsidiaries has the corporate or other power and authority and the legal right to make, deliver and perform this Agreement and the other Loan Documents to which it is a party and to borrow hereunder (in the case of the Borrower and any Subsidiary Borrower) and has taken all corporate or other action necessary to be taken by it to authorize such actions. No consent, waiver or authorization of, filing with, or other act by or in respect of, any Governmental Authority or any other Person is required to be made or obtained by the Borrower or its Subsidiaries in connection with the borrowings hereunder or the execution, delivery, performance, validity or enforceability of this Agreement and the other Loan Documents to which it is a party. This Agreement constitutes, and the other Loan Documents to which the Borrower or any Subsidiary is a party when executed and delivered hereunder will constitute, a legal, valid and binding obligation of the Borrower and such Subsidiary, enforceable against the Borrower and such Subsidiary in accordance with their respective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362"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4.4 No Legal Bar. The execution, delivery and performance of this Agreement and the other Loan Documents, the borrowings hereunder and the use of the proceeds thereof or of any Subordinated Debt do not violate any usury law applicable to the Borrower or any Subsidiary Borrower or any other Requirement of Law or Contractual Obligation of the Borrower or any of its Material Subsidiaries and do not result in, or require, the creation or imposition of any Lien on any of its or their respective properties or revenues pursuant to any such Requirement of Law or Contractual Obligation which could reasonably be expected to have a Material Adverse Effect except for Liens which may be required by the Existing Subordinated Note Indenture.</w:t>
      </w:r>
    </w:p>
    <w:p>
      <w:pPr>
        <w:spacing w:after="0" w:line="188"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4.5 No Material Litigation. No litigation, investigation or proceeding of or before any arbitrator or Governmental Authority is pending or, to the best knowledge of the Borrower, threatened by or against the Borrower or any of its Subsidiaries or against any of its or</w:t>
      </w:r>
    </w:p>
    <w:p>
      <w:pPr>
        <w:sectPr>
          <w:pgSz w:w="11900" w:h="16838" w:orient="portrait"/>
          <w:cols w:equalWidth="0" w:num="1">
            <w:col w:w="10219"/>
          </w:cols>
          <w:pgMar w:left="240" w:top="477" w:right="1440" w:bottom="1440" w:gutter="0" w:footer="0" w:header="0"/>
        </w:sectPr>
      </w:pPr>
    </w:p>
    <w:bookmarkStart w:id="460" w:name="page461"/>
    <w:bookmarkEnd w:id="460"/>
    <w:p>
      <w:pPr>
        <w:jc w:val="right"/>
        <w:ind w:right="2659"/>
        <w:spacing w:after="0"/>
        <w:rPr>
          <w:sz w:val="20"/>
          <w:szCs w:val="20"/>
          <w:color w:val="auto"/>
        </w:rPr>
      </w:pPr>
      <w:r>
        <w:rPr>
          <w:rFonts w:ascii="Courier New" w:cs="Courier New" w:eastAsia="Courier New" w:hAnsi="Courier New"/>
          <w:sz w:val="16"/>
          <w:szCs w:val="16"/>
          <w:color w:val="auto"/>
        </w:rPr>
        <w:t>61</w:t>
      </w:r>
    </w:p>
    <w:p>
      <w:pPr>
        <w:spacing w:after="0" w:line="368" w:lineRule="exact"/>
        <w:rPr>
          <w:sz w:val="20"/>
          <w:szCs w:val="20"/>
          <w:color w:val="auto"/>
        </w:rPr>
      </w:pPr>
    </w:p>
    <w:p>
      <w:pPr>
        <w:ind w:left="3" w:right="2759"/>
        <w:spacing w:after="0" w:line="239" w:lineRule="auto"/>
        <w:rPr>
          <w:sz w:val="20"/>
          <w:szCs w:val="20"/>
          <w:color w:val="auto"/>
        </w:rPr>
      </w:pPr>
      <w:r>
        <w:rPr>
          <w:rFonts w:ascii="Courier New" w:cs="Courier New" w:eastAsia="Courier New" w:hAnsi="Courier New"/>
          <w:sz w:val="16"/>
          <w:szCs w:val="16"/>
          <w:color w:val="auto"/>
        </w:rPr>
        <w:t>their respective properties or revenues (a) with respect to this Agreement, any of the other Loan Documents or any of the transactions contemplated hereby or thereby except as set forth on Schedule 4.5 or (b) which could reasonably be expected to have a Material Adverse Effect.</w:t>
      </w:r>
    </w:p>
    <w:p>
      <w:pPr>
        <w:spacing w:after="0" w:line="187" w:lineRule="exact"/>
        <w:rPr>
          <w:sz w:val="20"/>
          <w:szCs w:val="20"/>
          <w:color w:val="auto"/>
        </w:rPr>
      </w:pPr>
    </w:p>
    <w:p>
      <w:pPr>
        <w:jc w:val="both"/>
        <w:ind w:left="3" w:right="2659" w:firstLine="1135"/>
        <w:spacing w:after="0" w:line="238" w:lineRule="auto"/>
        <w:rPr>
          <w:sz w:val="20"/>
          <w:szCs w:val="20"/>
          <w:color w:val="auto"/>
        </w:rPr>
      </w:pPr>
      <w:r>
        <w:rPr>
          <w:rFonts w:ascii="Courier New" w:cs="Courier New" w:eastAsia="Courier New" w:hAnsi="Courier New"/>
          <w:sz w:val="16"/>
          <w:szCs w:val="16"/>
          <w:color w:val="auto"/>
        </w:rPr>
        <w:t>4.6 No Burdensome Restrictions. No Requirement of Law or Contractual Obligation of the Borrower or any of its Subsidiaries could reasonably expected to have a Material Adverse Effect.</w:t>
      </w:r>
    </w:p>
    <w:p>
      <w:pPr>
        <w:spacing w:after="0" w:line="188" w:lineRule="exact"/>
        <w:rPr>
          <w:sz w:val="20"/>
          <w:szCs w:val="20"/>
          <w:color w:val="auto"/>
        </w:rPr>
      </w:pPr>
    </w:p>
    <w:p>
      <w:pPr>
        <w:ind w:left="3" w:right="2659" w:firstLine="1135"/>
        <w:spacing w:after="0" w:line="258" w:lineRule="auto"/>
        <w:rPr>
          <w:sz w:val="20"/>
          <w:szCs w:val="20"/>
          <w:color w:val="auto"/>
        </w:rPr>
      </w:pPr>
      <w:r>
        <w:rPr>
          <w:rFonts w:ascii="Courier New" w:cs="Courier New" w:eastAsia="Courier New" w:hAnsi="Courier New"/>
          <w:sz w:val="15"/>
          <w:szCs w:val="15"/>
          <w:color w:val="auto"/>
        </w:rPr>
        <w:t>4.7 No Default. Neither the Borrower nor any of its Subsidiaries is in default under or with respect to any of its Contractual Obligations in any respect which would reasonably be expected to have a Material Adverse Effect. No Default or Event of Default has occurred and is continuing. Neither the Borrower nor any of its Subsidiaries is in default under any order, award or decree of any arbitrator or Governmental Authority binding upon or affecting it or by which any of its properties or assets may be bound or affected, where such default would reasonably be expected to have a Material Adverse Effect.</w:t>
      </w:r>
    </w:p>
    <w:p>
      <w:pPr>
        <w:spacing w:after="0" w:line="176" w:lineRule="exact"/>
        <w:rPr>
          <w:sz w:val="20"/>
          <w:szCs w:val="20"/>
          <w:color w:val="auto"/>
        </w:rPr>
      </w:pPr>
    </w:p>
    <w:p>
      <w:pPr>
        <w:ind w:left="3" w:right="2659" w:firstLine="1135"/>
        <w:spacing w:after="0" w:line="267" w:lineRule="auto"/>
        <w:rPr>
          <w:sz w:val="20"/>
          <w:szCs w:val="20"/>
          <w:color w:val="auto"/>
        </w:rPr>
      </w:pPr>
      <w:r>
        <w:rPr>
          <w:rFonts w:ascii="Courier New" w:cs="Courier New" w:eastAsia="Courier New" w:hAnsi="Courier New"/>
          <w:sz w:val="15"/>
          <w:szCs w:val="15"/>
          <w:color w:val="auto"/>
        </w:rPr>
        <w:t>4.8 Subsidiaries. The Subsidiaries listed on Schedule 4.8 constitute all of the Subsidiaries of the Borrower in existence on the date hereof.</w:t>
      </w:r>
    </w:p>
    <w:p>
      <w:pPr>
        <w:spacing w:after="0" w:line="168" w:lineRule="exact"/>
        <w:rPr>
          <w:sz w:val="20"/>
          <w:szCs w:val="20"/>
          <w:color w:val="auto"/>
        </w:rPr>
      </w:pPr>
    </w:p>
    <w:p>
      <w:pPr>
        <w:ind w:left="3" w:right="2659" w:firstLine="1135"/>
        <w:spacing w:after="0"/>
        <w:rPr>
          <w:sz w:val="20"/>
          <w:szCs w:val="20"/>
          <w:color w:val="auto"/>
        </w:rPr>
      </w:pPr>
      <w:r>
        <w:rPr>
          <w:rFonts w:ascii="Courier New" w:cs="Courier New" w:eastAsia="Courier New" w:hAnsi="Courier New"/>
          <w:sz w:val="16"/>
          <w:szCs w:val="16"/>
          <w:color w:val="auto"/>
        </w:rPr>
        <w:t>4.9 Disclosure. No representations or warranties made by, or information supplied by, the Borrower or any of its Subsidiaries in this Agreement, any other Loan Document or in any other document, including without limitation the Confidential Information Memorandum, furnished to the Lenders from time to time in connection herewith or therewith (as such other documents may be supplemented from time to time) contains or will contain any untrue statement of a material fact or omits or will omit to state any material fact necessary to make the statements herein or therein, in light of the circumstances under which they were made, not misleading. Except as disclosed in the Loan Documents or as otherwise disclosed in writing to the Lenders, there is no fact known to the Borrower or any of its Subsidiaries which has, or which would reasonably be expected to have, in the Borrower's or such Subsidiary's reasonable judgment, a Material Adverse Effect.</w:t>
      </w:r>
    </w:p>
    <w:p>
      <w:pPr>
        <w:spacing w:after="0" w:line="190" w:lineRule="exact"/>
        <w:rPr>
          <w:sz w:val="20"/>
          <w:szCs w:val="20"/>
          <w:color w:val="auto"/>
        </w:rPr>
      </w:pPr>
    </w:p>
    <w:p>
      <w:pPr>
        <w:ind w:left="3" w:right="3039" w:firstLine="1135"/>
        <w:spacing w:after="0" w:line="237" w:lineRule="auto"/>
        <w:rPr>
          <w:sz w:val="20"/>
          <w:szCs w:val="20"/>
          <w:color w:val="auto"/>
        </w:rPr>
      </w:pPr>
      <w:r>
        <w:rPr>
          <w:rFonts w:ascii="Courier New" w:cs="Courier New" w:eastAsia="Courier New" w:hAnsi="Courier New"/>
          <w:sz w:val="16"/>
          <w:szCs w:val="16"/>
          <w:color w:val="auto"/>
        </w:rPr>
        <w:t>4.10 Schedules. Each of the Schedules to this Agreement contains true, complete and correct information in all material respects.</w:t>
      </w:r>
    </w:p>
    <w:p>
      <w:pPr>
        <w:spacing w:after="0" w:line="188" w:lineRule="exact"/>
        <w:rPr>
          <w:sz w:val="20"/>
          <w:szCs w:val="20"/>
          <w:color w:val="auto"/>
        </w:rPr>
      </w:pPr>
    </w:p>
    <w:p>
      <w:pPr>
        <w:ind w:left="3" w:right="2659" w:firstLine="1135"/>
        <w:spacing w:after="0" w:line="256" w:lineRule="auto"/>
        <w:rPr>
          <w:sz w:val="20"/>
          <w:szCs w:val="20"/>
          <w:color w:val="auto"/>
        </w:rPr>
      </w:pPr>
      <w:r>
        <w:rPr>
          <w:rFonts w:ascii="Courier New" w:cs="Courier New" w:eastAsia="Courier New" w:hAnsi="Courier New"/>
          <w:sz w:val="15"/>
          <w:szCs w:val="15"/>
          <w:color w:val="auto"/>
        </w:rPr>
        <w:t>4.11 Federal Regulations. No part of the proceeds of any Loans will be used for (i) any purpose which violates, or which would be inconsistent with, the provisions of the Regulations of the Board of Governors of the Federal Reserve System as now and from time to time hereafter in effect, and if deemed necessary in the reasonable judgment of the Administrative Agent or its counsel, the Borrower will furnish to the Administrative Agent and each Lender a statement to the foregoing effect in conformity with the requirements of FR Form G-3 or FR Form U-1, as applicable, referred to in Regulation U of said Board or</w:t>
      </w:r>
    </w:p>
    <w:p>
      <w:pPr>
        <w:spacing w:after="0" w:line="5" w:lineRule="exact"/>
        <w:rPr>
          <w:sz w:val="20"/>
          <w:szCs w:val="20"/>
          <w:color w:val="auto"/>
        </w:rPr>
      </w:pPr>
    </w:p>
    <w:p>
      <w:pPr>
        <w:ind w:left="3" w:right="2939" w:hanging="3"/>
        <w:spacing w:after="0" w:line="238" w:lineRule="auto"/>
        <w:tabs>
          <w:tab w:leader="none" w:pos="476" w:val="left"/>
        </w:tabs>
        <w:numPr>
          <w:ilvl w:val="0"/>
          <w:numId w:val="5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4.11, purchasing any security in any transaction which is subject to Sections 13 and 14 of the Securities Exchange Act of 1934, as amended.</w:t>
      </w:r>
    </w:p>
    <w:p>
      <w:pPr>
        <w:spacing w:after="0" w:line="188" w:lineRule="exact"/>
        <w:rPr>
          <w:sz w:val="20"/>
          <w:szCs w:val="20"/>
          <w:color w:val="auto"/>
        </w:rPr>
      </w:pPr>
    </w:p>
    <w:p>
      <w:pPr>
        <w:ind w:left="3" w:right="2659" w:firstLine="1135"/>
        <w:spacing w:after="0" w:line="239" w:lineRule="auto"/>
        <w:rPr>
          <w:sz w:val="20"/>
          <w:szCs w:val="20"/>
          <w:color w:val="auto"/>
        </w:rPr>
      </w:pPr>
      <w:r>
        <w:rPr>
          <w:rFonts w:ascii="Courier New" w:cs="Courier New" w:eastAsia="Courier New" w:hAnsi="Courier New"/>
          <w:sz w:val="16"/>
          <w:szCs w:val="16"/>
          <w:color w:val="auto"/>
        </w:rPr>
        <w:t>4.12 Investment Company Act; Other Regulations. Neither the Borrower nor any of its Subsidiaries is an "investment company", or a company "controlled" by an "investment company", within the meaning of the Investment Company Act of 1940, as amended. Neither</w:t>
      </w:r>
    </w:p>
    <w:p>
      <w:pPr>
        <w:sectPr>
          <w:pgSz w:w="11900" w:h="16838" w:orient="portrait"/>
          <w:cols w:equalWidth="0" w:num="1">
            <w:col w:w="10222"/>
          </w:cols>
          <w:pgMar w:left="237" w:top="476" w:right="1440" w:bottom="1440" w:gutter="0" w:footer="0" w:header="0"/>
        </w:sectPr>
      </w:pPr>
    </w:p>
    <w:bookmarkStart w:id="461" w:name="page462"/>
    <w:bookmarkEnd w:id="461"/>
    <w:p>
      <w:pPr>
        <w:jc w:val="right"/>
        <w:ind w:right="2659"/>
        <w:spacing w:after="0"/>
        <w:rPr>
          <w:sz w:val="20"/>
          <w:szCs w:val="20"/>
          <w:color w:val="auto"/>
        </w:rPr>
      </w:pPr>
      <w:r>
        <w:rPr>
          <w:rFonts w:ascii="Courier New" w:cs="Courier New" w:eastAsia="Courier New" w:hAnsi="Courier New"/>
          <w:sz w:val="16"/>
          <w:szCs w:val="16"/>
          <w:color w:val="auto"/>
        </w:rPr>
        <w:t>62</w:t>
      </w:r>
    </w:p>
    <w:p>
      <w:pPr>
        <w:spacing w:after="0" w:line="368"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the Borrower nor any of its Subsidiaries is subject to regulation under any U.S. federal or state statute or regulation which limits its ability to incur indebtedness.</w:t>
      </w:r>
    </w:p>
    <w:p>
      <w:pPr>
        <w:spacing w:after="0" w:line="188"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4.13 Labor Matters. Except as, in the aggregate, could not reasonably be expected to have a Material Adverse Effect: (a) there are no strikes or other labor disputes against the Borrower or any of its Subsidiaries pending or, to the knowledge of the Borrower, threatened; (b) hours worked by and payment made to employees of the Borrower and its Subsidiaries have not been in violation of the Fair Labor Standards Act or any other applicable Requirement of Law dealing with such matters; and (c) all payments due from the Borrower or any of its Subsidiaries on account of employee health and welfare insurance have been paid or accrued as a liability on the books of the Borrower or the relevant Subsidiary.</w:t>
      </w:r>
    </w:p>
    <w:p>
      <w:pPr>
        <w:spacing w:after="0" w:line="188"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4.14 ERISA. No "prohibited transaction" or "accumulated funding deficiency" (each as defined in Section 8 hereof) or Reportable Event has occurred since July 1, 1974 which has not been cured with respect to any Single Employer Plan. The present value of all benefits vested under all Single Employer Plans maintained by the Borrower or a Commonly Controlled Entity (based on those assumptions used to fund such Plans in accordance with Section 412 of the Code) did not, as of the last annual valuation date, exceed the value of the assets of such Plan determined in accordance with Section 412 of the Code allocable to such vested benefits. The liability to which the Borrower or any Commonly Controlled Entity would become subject under ERISA if the Borrower or any such Commonly Controlled Entity were to withdraw completely (as defined in Section 4203 of ERISA) from all Multi-employer Plans as of the valuation date most closely preceding the date hereof is not in excess of $3,000,000. The Borrower does not currently participate in any Multi-employer Plans.</w:t>
      </w:r>
    </w:p>
    <w:p>
      <w:pPr>
        <w:spacing w:after="0" w:line="181"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4.15 Title to Real Property, Etc. Each of the Borrower and its Subsidiaries has good and marketable title in fee simple to, or a valid and subsisting leasehold interest in, all its real property and good title to all its other property, except where the failure to have such good and marketable title would not reasonably be expected to have a Material Adverse Effect, and none of such property is subject to any Lien, except (a) as permitted by subsection 7.1 of this Agreement , (b) Liens granted to the Administrative Agent and the Lenders pursuant to the Existing Credit Agreement and (c) as disclosed in a mortgagee's title insurance policy in respect of any Mortgaged Property under clause (iii) of subsection 5.1(o) herein.</w:t>
      </w:r>
    </w:p>
    <w:p>
      <w:pPr>
        <w:spacing w:after="0" w:line="188"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4.16 Taxes. Each of the Borrower and its Subsidiaries has filed or caused to be filed all tax returns which are required to be filed and has paid all taxes shown to be due and payable on said returns or on any assessments made against it or any of its property and all other taxes, fees or other charges imposed on it or any of its property by any Governmental Authority (other than any the amount or validity of which are currently being contested in good faith by appropriate proceedings and with respect to which reserves in conformity with GAAP have been provided on the books of the Borrower or its Subsidiaries, as the case may be) except where the failure to file such returns or pay such taxes and/or assessments would not reasonably be expected to have a Material Adverse Effect; no tax Lien has been filed, and, to the knowledge of the Borrower, no claim is being asserted, with respect to any such tax, fee or other charge.</w:t>
      </w:r>
    </w:p>
    <w:p>
      <w:pPr>
        <w:sectPr>
          <w:pgSz w:w="11900" w:h="16838" w:orient="portrait"/>
          <w:cols w:equalWidth="0" w:num="1">
            <w:col w:w="10219"/>
          </w:cols>
          <w:pgMar w:left="240" w:top="477" w:right="1440" w:bottom="1440" w:gutter="0" w:footer="0" w:header="0"/>
        </w:sectPr>
      </w:pPr>
    </w:p>
    <w:bookmarkStart w:id="462" w:name="page463"/>
    <w:bookmarkEnd w:id="462"/>
    <w:p>
      <w:pPr>
        <w:jc w:val="right"/>
        <w:ind w:right="2659"/>
        <w:spacing w:after="0"/>
        <w:rPr>
          <w:sz w:val="20"/>
          <w:szCs w:val="20"/>
          <w:color w:val="auto"/>
        </w:rPr>
      </w:pPr>
      <w:r>
        <w:rPr>
          <w:rFonts w:ascii="Courier New" w:cs="Courier New" w:eastAsia="Courier New" w:hAnsi="Courier New"/>
          <w:sz w:val="16"/>
          <w:szCs w:val="16"/>
          <w:color w:val="auto"/>
        </w:rPr>
        <w:t>63</w:t>
      </w:r>
    </w:p>
    <w:p>
      <w:pPr>
        <w:spacing w:after="0" w:line="368"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4.17 Environmental Matters. Each of the following is true and correct as of the date hereof, other than exceptions to any of the following that, in the aggregate, would not reasonably be expected by the Borrower to have a Material Adverse Effect:</w:t>
      </w:r>
    </w:p>
    <w:p>
      <w:pPr>
        <w:spacing w:after="0" w:line="187" w:lineRule="exact"/>
        <w:rPr>
          <w:sz w:val="20"/>
          <w:szCs w:val="20"/>
          <w:color w:val="auto"/>
        </w:rPr>
      </w:pPr>
    </w:p>
    <w:p>
      <w:pPr>
        <w:ind w:left="560" w:right="2759" w:firstLine="572"/>
        <w:spacing w:after="0" w:line="256" w:lineRule="auto"/>
        <w:tabs>
          <w:tab w:leader="none" w:pos="1506" w:val="left"/>
        </w:tabs>
        <w:numPr>
          <w:ilvl w:val="1"/>
          <w:numId w:val="5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properties owned or operated by the Borrower or any of its Subsidiaries does not contain, and has not previously contained, any Materials of Environmental Concern in amounts or concentrations which</w:t>
      </w:r>
    </w:p>
    <w:p>
      <w:pPr>
        <w:spacing w:after="0" w:line="1" w:lineRule="exact"/>
        <w:rPr>
          <w:rFonts w:ascii="Courier New" w:cs="Courier New" w:eastAsia="Courier New" w:hAnsi="Courier New"/>
          <w:sz w:val="15"/>
          <w:szCs w:val="15"/>
          <w:color w:val="auto"/>
        </w:rPr>
      </w:pPr>
    </w:p>
    <w:p>
      <w:pPr>
        <w:ind w:left="560" w:right="3039" w:firstLine="4"/>
        <w:spacing w:after="0" w:line="237" w:lineRule="auto"/>
        <w:tabs>
          <w:tab w:leader="none" w:pos="938" w:val="left"/>
        </w:tabs>
        <w:numPr>
          <w:ilvl w:val="0"/>
          <w:numId w:val="5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constitute or constituted a violation of, or (ii) could reasonably give rise to liability under, Environmental Laws.</w:t>
      </w:r>
    </w:p>
    <w:p>
      <w:pPr>
        <w:spacing w:after="0" w:line="187" w:lineRule="exact"/>
        <w:rPr>
          <w:rFonts w:ascii="Courier New" w:cs="Courier New" w:eastAsia="Courier New" w:hAnsi="Courier New"/>
          <w:sz w:val="16"/>
          <w:szCs w:val="16"/>
          <w:color w:val="auto"/>
        </w:rPr>
      </w:pPr>
    </w:p>
    <w:p>
      <w:pPr>
        <w:ind w:left="560" w:right="2939" w:firstLine="572"/>
        <w:spacing w:after="0" w:line="239" w:lineRule="auto"/>
        <w:tabs>
          <w:tab w:leader="none" w:pos="1506" w:val="left"/>
        </w:tabs>
        <w:numPr>
          <w:ilvl w:val="1"/>
          <w:numId w:val="5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and its Subsidiaries are and have been in compliance with all applicable Environmental Laws, and there is no contamination or violation of any Environmental Law which, in the aggregate with all other contaminations and violations, would interfere with the continued operations or the business of the Borrower and its Subsidiaries, in each case taken as a whole or impair the fair saleable value thereof.</w:t>
      </w:r>
    </w:p>
    <w:p>
      <w:pPr>
        <w:spacing w:after="0" w:line="191" w:lineRule="exact"/>
        <w:rPr>
          <w:rFonts w:ascii="Courier New" w:cs="Courier New" w:eastAsia="Courier New" w:hAnsi="Courier New"/>
          <w:sz w:val="16"/>
          <w:szCs w:val="16"/>
          <w:color w:val="auto"/>
        </w:rPr>
      </w:pPr>
    </w:p>
    <w:p>
      <w:pPr>
        <w:ind w:left="560" w:right="2839" w:firstLine="572"/>
        <w:spacing w:after="0" w:line="259" w:lineRule="auto"/>
        <w:tabs>
          <w:tab w:leader="none" w:pos="1506" w:val="left"/>
        </w:tabs>
        <w:numPr>
          <w:ilvl w:val="1"/>
          <w:numId w:val="5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nor any of its Subsidiaries has received any notice of violation, alleged violation, non-compliance, liability or potential liability regarding environmental matters or compliance with Environmental Laws nor does the Borrower have knowledge or reason to believe that any such notice will be received or is being threatened.</w:t>
      </w:r>
    </w:p>
    <w:p>
      <w:pPr>
        <w:spacing w:after="0" w:line="174" w:lineRule="exact"/>
        <w:rPr>
          <w:rFonts w:ascii="Courier New" w:cs="Courier New" w:eastAsia="Courier New" w:hAnsi="Courier New"/>
          <w:sz w:val="15"/>
          <w:szCs w:val="15"/>
          <w:color w:val="auto"/>
        </w:rPr>
      </w:pPr>
    </w:p>
    <w:p>
      <w:pPr>
        <w:ind w:left="560" w:right="2759" w:firstLine="572"/>
        <w:spacing w:after="0"/>
        <w:tabs>
          <w:tab w:leader="none" w:pos="1506" w:val="left"/>
        </w:tabs>
        <w:numPr>
          <w:ilvl w:val="1"/>
          <w:numId w:val="5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Borrower and its Subsidiaries, Materials of Environmental Concern have not been transported or disposed of in violation of, or in a manner or to a location which would reasonably give rise to liability under, Environmental Laws, nor have any Materials of Environmental Concern been generated, treated, stored or disposed of at, on or under any of the Properties in violation of, or in a manner that would reasonably give rise to liability under, any applicable Environmental Laws.</w:t>
      </w:r>
    </w:p>
    <w:p>
      <w:pPr>
        <w:spacing w:after="0" w:line="186" w:lineRule="exact"/>
        <w:rPr>
          <w:rFonts w:ascii="Courier New" w:cs="Courier New" w:eastAsia="Courier New" w:hAnsi="Courier New"/>
          <w:sz w:val="16"/>
          <w:szCs w:val="16"/>
          <w:color w:val="auto"/>
        </w:rPr>
      </w:pPr>
    </w:p>
    <w:p>
      <w:pPr>
        <w:ind w:left="560" w:right="2659" w:firstLine="572"/>
        <w:spacing w:after="0" w:line="258" w:lineRule="auto"/>
        <w:tabs>
          <w:tab w:leader="none" w:pos="1506" w:val="left"/>
        </w:tabs>
        <w:numPr>
          <w:ilvl w:val="1"/>
          <w:numId w:val="5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judicial proceedings or governmental or administrative action is pending, or, to the knowledge of the Borrower, threatened, under any Environmental Law to which the Borrower or any of its Subsidiaries is or will be named as a party or which will adversely affect the ability of the Borrower or any of its Subsidiaries to conduct any part of their business nor are there any consent decrees or other decrees, consent orders, administrative orders or other orders, or other administrative or judicial requirements outstanding under any Environmental Law with respect to the Borrower or any of its Subsidiaries.</w:t>
      </w:r>
    </w:p>
    <w:p>
      <w:pPr>
        <w:spacing w:after="0" w:line="174" w:lineRule="exact"/>
        <w:rPr>
          <w:rFonts w:ascii="Courier New" w:cs="Courier New" w:eastAsia="Courier New" w:hAnsi="Courier New"/>
          <w:sz w:val="15"/>
          <w:szCs w:val="15"/>
          <w:color w:val="auto"/>
        </w:rPr>
      </w:pPr>
    </w:p>
    <w:p>
      <w:pPr>
        <w:ind w:left="560" w:right="2659" w:firstLine="572"/>
        <w:spacing w:after="0" w:line="239" w:lineRule="auto"/>
        <w:tabs>
          <w:tab w:leader="none" w:pos="1506" w:val="left"/>
        </w:tabs>
        <w:numPr>
          <w:ilvl w:val="1"/>
          <w:numId w:val="5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been no release or threat of release of Materials of Environmental Concern at any location for which the Borrower or any of its Subsidiaries is liable by contract or operation of law, in violation of or in amounts or in a manner that would reasonably give rise to liability under Environmental Laws.</w:t>
      </w:r>
    </w:p>
    <w:p>
      <w:pPr>
        <w:spacing w:after="0" w:line="189"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4.18 Intellectual Property. The Borrower and each of its Subsidiaries owns, or is licensed to use, all trademarks, tradenames, copyrights, technology, know-how and processes necessary for the conduct of its business as currently conducted except for those the failure of which to own or license would not reasonably be expected to have a Material Adverse Effect (the "Intellectual Property"). No claim has been asserted and is pending by any Person challenging</w:t>
      </w:r>
    </w:p>
    <w:p>
      <w:pPr>
        <w:sectPr>
          <w:pgSz w:w="11900" w:h="16838" w:orient="portrait"/>
          <w:cols w:equalWidth="0" w:num="1">
            <w:col w:w="10219"/>
          </w:cols>
          <w:pgMar w:left="240" w:top="477" w:right="1440" w:bottom="1440" w:gutter="0" w:footer="0" w:header="0"/>
        </w:sectPr>
      </w:pPr>
    </w:p>
    <w:bookmarkStart w:id="463" w:name="page464"/>
    <w:bookmarkEnd w:id="463"/>
    <w:p>
      <w:pPr>
        <w:jc w:val="right"/>
        <w:ind w:right="2659"/>
        <w:spacing w:after="0"/>
        <w:rPr>
          <w:sz w:val="20"/>
          <w:szCs w:val="20"/>
          <w:color w:val="auto"/>
        </w:rPr>
      </w:pPr>
      <w:r>
        <w:rPr>
          <w:rFonts w:ascii="Courier New" w:cs="Courier New" w:eastAsia="Courier New" w:hAnsi="Courier New"/>
          <w:sz w:val="16"/>
          <w:szCs w:val="16"/>
          <w:color w:val="auto"/>
        </w:rPr>
        <w:t>64</w:t>
      </w:r>
    </w:p>
    <w:p>
      <w:pPr>
        <w:spacing w:after="0" w:line="36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or questioning the use of any such Intellectual Property or the validity or effectiveness of any such Intellectual Property, and the Borrower does not know of any valid basis for any such claim, except for such claims which have previously been disclosed to the Lenders and would not reasonably be expected to have a Material Adverse Effect. The use of such Intellectual Property by the Borrower and its Subsidiaries does not infringe on the rights of any Person, except for such claims and infringements that, in the aggregate, would not reasonably be expected to have a Material Adverse Effect.</w:t>
      </w:r>
    </w:p>
    <w:p>
      <w:pPr>
        <w:spacing w:after="0" w:line="187"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4.19 Security Documents. (a) Except to the extent otherwise noted therein, each Guarantee and Collateral Agreement is effective to create in favor of the Administrative Agent, for the benefit of the Lenders (or, where required by law, in favor of each Lender), a legal, valid and enforceable security interest in the Collateral described therein and proceeds thereof. In the case of the Pledged Stock described and defined in each Guarantee and Collateral Agreement, except to the extent otherwise noted therein, when stock certificates representing such Pledged Stock are delivered to the Administrative Agent, and in the case of the other Collateral described and defined in each Guarantee and Collateral Agreement, except to the extent otherwise noted therein, when financing statements and other filings specified on Schedule 4.19(a) in appropriate form are filed in the offices specified on Schedule 4.19(a), each Guarantee and Collateral Agreement shall constitute a fully perfected Lien on, and security interest in, all right, title and interest of the Loan Parties in such Collateral and the proceeds thereof, as security for the Obligations (as defined in the Guarantee and Collateral Agreements), in each case prior and superior in right to any other Person (except, in the case of Collateral other than Pledged Stock, Liens permitted by subsection 7.1). The pledge of the Capital Stock of any Excluded Foreign Subsidiary will be limited to 65% of the Capital Stock of such Excluded Foreign Subsidiary. The obligations of a Foreign Subsidiary Borrower (other than Scotts Treasury EEIG) shall be secured by 100% of the Capital Stock of such Foreign Subsidiary Borrower, 100% of the Capital Stock of each first-tier Subsidiary of such Foreign Subsidiary Borrower that is not an Excluded Foreign Subsidiary and 65% of the Capital Stock of the each first-tier Subsidiary of such Foreign Subsidiary Borrower that is an Excluded Foreign Subsidiary, but no other assets of Foreign Subsidiaries of the Borrower shall be pledged as collateral security.</w:t>
      </w:r>
    </w:p>
    <w:p>
      <w:pPr>
        <w:spacing w:after="0" w:line="362" w:lineRule="exact"/>
        <w:rPr>
          <w:sz w:val="20"/>
          <w:szCs w:val="20"/>
          <w:color w:val="auto"/>
        </w:rPr>
      </w:pPr>
    </w:p>
    <w:p>
      <w:pPr>
        <w:ind w:right="2659" w:firstLine="1132"/>
        <w:spacing w:after="0" w:line="258" w:lineRule="auto"/>
        <w:tabs>
          <w:tab w:leader="none" w:pos="1513" w:val="left"/>
        </w:tabs>
        <w:numPr>
          <w:ilvl w:val="0"/>
          <w:numId w:val="5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Mortgages is or upon execution and delivery will be effective to create in favor of the Administrative Agent, for the benefit of the Lenders, a legal, valid and enforceable Lien on the Mortgaged Properties described therein and proceeds thereof, and when the Mortgages are filed in the offices specified on Schedule 4.19(b), each such Mortgage shall constitute a fully perfected Lien on, and security interest in, all right, title and interest of the Loan Parties in the Mortgaged Properties and the proceeds thereof, as security for the Obligations (as defined in the relevant Mortgage).</w:t>
      </w:r>
    </w:p>
    <w:p>
      <w:pPr>
        <w:spacing w:after="0" w:line="176"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4.20 Regulation H. No Mortgage encumbers improved real property that is located in an area that has been identified by the Secretary of Housing and Urban Development as an area having special flood hazards and in which flood insurance has been made available under the National Flood Insurance Act of 1968.</w:t>
      </w:r>
    </w:p>
    <w:p>
      <w:pPr>
        <w:spacing w:after="0" w:line="189"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4.21 Solvency. (a) The Borrower and each of its Subsidiaries is, and after giving effect to the Refinancing and the incurrence of all Indebtedness and obligations being incurred in connection herewith and therewith will be and will continue to be, Solvent.</w:t>
      </w:r>
    </w:p>
    <w:p>
      <w:pPr>
        <w:sectPr>
          <w:pgSz w:w="11900" w:h="16838" w:orient="portrait"/>
          <w:cols w:equalWidth="0" w:num="1">
            <w:col w:w="10219"/>
          </w:cols>
          <w:pgMar w:left="240" w:top="477" w:right="1440" w:bottom="1440" w:gutter="0" w:footer="0" w:header="0"/>
        </w:sectPr>
      </w:pPr>
    </w:p>
    <w:bookmarkStart w:id="464" w:name="page465"/>
    <w:bookmarkEnd w:id="464"/>
    <w:p>
      <w:pPr>
        <w:jc w:val="right"/>
        <w:ind w:right="2659"/>
        <w:spacing w:after="0"/>
        <w:rPr>
          <w:sz w:val="20"/>
          <w:szCs w:val="20"/>
          <w:color w:val="auto"/>
        </w:rPr>
      </w:pPr>
      <w:r>
        <w:rPr>
          <w:rFonts w:ascii="Courier New" w:cs="Courier New" w:eastAsia="Courier New" w:hAnsi="Courier New"/>
          <w:sz w:val="16"/>
          <w:szCs w:val="16"/>
          <w:color w:val="auto"/>
        </w:rPr>
        <w:t>65</w:t>
      </w:r>
    </w:p>
    <w:p>
      <w:pPr>
        <w:spacing w:after="0" w:line="368" w:lineRule="exact"/>
        <w:rPr>
          <w:sz w:val="20"/>
          <w:szCs w:val="20"/>
          <w:color w:val="auto"/>
        </w:rPr>
      </w:pPr>
    </w:p>
    <w:p>
      <w:pPr>
        <w:ind w:right="2659" w:firstLine="1132"/>
        <w:spacing w:after="0"/>
        <w:tabs>
          <w:tab w:leader="none" w:pos="1513" w:val="left"/>
        </w:tabs>
        <w:numPr>
          <w:ilvl w:val="0"/>
          <w:numId w:val="5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Subsidiary Borrower is in compliance with all material Requirements of Law applicable to it with respect to capitalization and, to the knowledge of the Borrower or such Subsidiary Borrower, has sufficient capital with which to conduct its business in accordance with past practice. No Subsidiary Borrower is undercapitalized to such an extent that, solely as a result of such undercapitalization, any Lender would be deemed under the laws of the relevant jurisdiction to owe a fiduciary duty to any other creditor of such Subsidiary Borrower or the Loans made by relevant Lenders to such Subsidiary Borrower would be subordinated to any obligations of such Subsidiary Borrower owing to any other Person.</w:t>
      </w:r>
    </w:p>
    <w:p>
      <w:pPr>
        <w:spacing w:after="0" w:line="188" w:lineRule="exact"/>
        <w:rPr>
          <w:sz w:val="20"/>
          <w:szCs w:val="20"/>
          <w:color w:val="auto"/>
        </w:rPr>
      </w:pPr>
    </w:p>
    <w:p>
      <w:pPr>
        <w:ind w:right="2659" w:firstLine="1135"/>
        <w:spacing w:after="0" w:line="258" w:lineRule="auto"/>
        <w:rPr>
          <w:sz w:val="20"/>
          <w:szCs w:val="20"/>
          <w:color w:val="auto"/>
        </w:rPr>
      </w:pPr>
      <w:r>
        <w:rPr>
          <w:rFonts w:ascii="Courier New" w:cs="Courier New" w:eastAsia="Courier New" w:hAnsi="Courier New"/>
          <w:sz w:val="15"/>
          <w:szCs w:val="15"/>
          <w:color w:val="auto"/>
        </w:rPr>
        <w:t>4.22 Senior Indebtedness. The Obligations constitute "Senior Indebtedness" or "Senior Debt" of the Borrower and each Subsidiary Borrower under and as defined in the Existing Senior Subordinated Note Indenture and the Senior Subordinated Note Indenture. The obligations of each Subsidiary Guarantor under the applicable Guarantee and Collateral Agreement constitute "Guarantor Senior Indebtedness" of such Subsidiary Guarantor under and as defined in the Existing Subordinated Note Indenture and the Senior Subordinated Note Indenture.</w:t>
      </w:r>
    </w:p>
    <w:p>
      <w:pPr>
        <w:spacing w:after="0" w:line="17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SECTION 5. CONDITIONS PRECEDENT</w:t>
      </w:r>
    </w:p>
    <w:p>
      <w:pPr>
        <w:spacing w:after="0" w:line="186"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5.1 Conditions to Effectiveness of this Agreement. This Agreement shall become effective on the Closing Date. The obligation of each Lender to make its initial Loan and of the Issuing Lender to issue any Letter of Credit requested to be issued by it hereunder is subject to the satisfaction or waiver by the Administrative Agent and each of the Lenders of the following conditions precedent on or prior to November 28, 2003:</w:t>
      </w:r>
    </w:p>
    <w:p>
      <w:pPr>
        <w:spacing w:after="0" w:line="190" w:lineRule="exact"/>
        <w:rPr>
          <w:sz w:val="20"/>
          <w:szCs w:val="20"/>
          <w:color w:val="auto"/>
        </w:rPr>
      </w:pPr>
    </w:p>
    <w:p>
      <w:pPr>
        <w:ind w:left="560" w:right="2659" w:firstLine="572"/>
        <w:spacing w:after="0" w:line="239" w:lineRule="auto"/>
        <w:tabs>
          <w:tab w:leader="none" w:pos="1506" w:val="left"/>
        </w:tabs>
        <w:numPr>
          <w:ilvl w:val="0"/>
          <w:numId w:val="5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of Agreement. The Administrative Agent shall have received this Agreement, executed and delivered by the Borrower and each of the Subsidiary Borrowers party to this Agreement as of the Closing Date and by Lenders having Commitments in the aggregate as contemplated by Schedule 1.</w:t>
      </w:r>
    </w:p>
    <w:p>
      <w:pPr>
        <w:spacing w:after="0" w:line="188" w:lineRule="exact"/>
        <w:rPr>
          <w:rFonts w:ascii="Courier New" w:cs="Courier New" w:eastAsia="Courier New" w:hAnsi="Courier New"/>
          <w:sz w:val="16"/>
          <w:szCs w:val="16"/>
          <w:color w:val="auto"/>
        </w:rPr>
      </w:pPr>
    </w:p>
    <w:p>
      <w:pPr>
        <w:ind w:left="560" w:right="2659" w:firstLine="572"/>
        <w:spacing w:after="0" w:line="259" w:lineRule="auto"/>
        <w:tabs>
          <w:tab w:leader="none" w:pos="1506" w:val="left"/>
        </w:tabs>
        <w:numPr>
          <w:ilvl w:val="0"/>
          <w:numId w:val="5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 and Confirmation of Guarantee and Collateral Agreements and Mortgages. The Administrative Agent shall have received the Acknowledgment and Confirmation of Guarantee and Collateral Agreements and Mortgages (substantially in the form of Exhibit G to this Agreement), duly executed and delivered by duly authorized officers of the parties thereto.</w:t>
      </w:r>
    </w:p>
    <w:p>
      <w:pPr>
        <w:spacing w:after="0" w:line="174" w:lineRule="exact"/>
        <w:rPr>
          <w:rFonts w:ascii="Courier New" w:cs="Courier New" w:eastAsia="Courier New" w:hAnsi="Courier New"/>
          <w:sz w:val="15"/>
          <w:szCs w:val="15"/>
          <w:color w:val="auto"/>
        </w:rPr>
      </w:pPr>
    </w:p>
    <w:p>
      <w:pPr>
        <w:ind w:left="560" w:right="2659" w:firstLine="572"/>
        <w:spacing w:after="0"/>
        <w:tabs>
          <w:tab w:leader="none" w:pos="1506" w:val="left"/>
        </w:tabs>
        <w:numPr>
          <w:ilvl w:val="0"/>
          <w:numId w:val="5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Balance Sheet; Financial Statements. The Lenders shall have received the Pro Forma Balance Sheet of the Borrower and its Subsidiaries as of June 30, 2003, adjusted to reflect the consummation of the Refinancing as if such Refinancing had occurred on such date, and such financial statements shall not, in the reasonable judgment of the Lenders, reflect any material adverse change in the consolidated financial condition of the Borrower or its Subsidiaries, as reflected in the financial statements or projections contained in the Confidential Information Memorandum.</w:t>
      </w:r>
    </w:p>
    <w:p>
      <w:pPr>
        <w:spacing w:after="0" w:line="187" w:lineRule="exact"/>
        <w:rPr>
          <w:rFonts w:ascii="Courier New" w:cs="Courier New" w:eastAsia="Courier New" w:hAnsi="Courier New"/>
          <w:sz w:val="16"/>
          <w:szCs w:val="16"/>
          <w:color w:val="auto"/>
        </w:rPr>
      </w:pPr>
    </w:p>
    <w:p>
      <w:pPr>
        <w:ind w:left="560" w:right="2659" w:firstLine="572"/>
        <w:spacing w:after="0" w:line="238" w:lineRule="auto"/>
        <w:tabs>
          <w:tab w:leader="none" w:pos="1506" w:val="left"/>
        </w:tabs>
        <w:numPr>
          <w:ilvl w:val="0"/>
          <w:numId w:val="5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Fees. JPMCB, JPMSI and the Lenders each shall have received for its own account all fees and any other amounts payable on the Closing Date pursuant to the Fee</w:t>
      </w:r>
    </w:p>
    <w:p>
      <w:pPr>
        <w:sectPr>
          <w:pgSz w:w="11900" w:h="16838" w:orient="portrait"/>
          <w:cols w:equalWidth="0" w:num="1">
            <w:col w:w="10219"/>
          </w:cols>
          <w:pgMar w:left="240" w:top="477" w:right="1440" w:bottom="1440" w:gutter="0" w:footer="0" w:header="0"/>
        </w:sectPr>
      </w:pPr>
    </w:p>
    <w:bookmarkStart w:id="465" w:name="page466"/>
    <w:bookmarkEnd w:id="465"/>
    <w:p>
      <w:pPr>
        <w:jc w:val="right"/>
        <w:ind w:right="2659"/>
        <w:spacing w:after="0"/>
        <w:rPr>
          <w:sz w:val="20"/>
          <w:szCs w:val="20"/>
          <w:color w:val="auto"/>
        </w:rPr>
      </w:pPr>
      <w:r>
        <w:rPr>
          <w:rFonts w:ascii="Courier New" w:cs="Courier New" w:eastAsia="Courier New" w:hAnsi="Courier New"/>
          <w:sz w:val="16"/>
          <w:szCs w:val="16"/>
          <w:color w:val="auto"/>
        </w:rPr>
        <w:t>66</w:t>
      </w:r>
    </w:p>
    <w:p>
      <w:pPr>
        <w:spacing w:after="0" w:line="368"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6"/>
          <w:szCs w:val="16"/>
          <w:color w:val="auto"/>
        </w:rPr>
        <w:t>Letter or pursuant to this Agreement and all expenses for which invoices have been presented on or before the Closing Date.</w:t>
      </w:r>
    </w:p>
    <w:p>
      <w:pPr>
        <w:spacing w:after="0" w:line="188" w:lineRule="exact"/>
        <w:rPr>
          <w:sz w:val="20"/>
          <w:szCs w:val="20"/>
          <w:color w:val="auto"/>
        </w:rPr>
      </w:pPr>
    </w:p>
    <w:p>
      <w:pPr>
        <w:ind w:right="2659" w:firstLine="572"/>
        <w:spacing w:after="0"/>
        <w:tabs>
          <w:tab w:leader="none" w:pos="946" w:val="left"/>
        </w:tabs>
        <w:numPr>
          <w:ilvl w:val="1"/>
          <w:numId w:val="5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Opinion of Counsel to the Borrower and the Subsidiary Borrowers. The Administrative Agent and each Lender shall have received an executed legal opinion of Vorys, Sater, Seymour and Pease LLP, special counsel to the Borrower, dated the Closing Date and addressed to the Administrative Agent and the Lenders substantially in the form of Exhibit H. The Administrative Agent and each Lender shall have received an executed legal opinion of Vorys, Sater, Seymour and Pease LLP, or such other counsel reasonably satisfactory to the Administrative Agent, as counsel to each Domestic Subsidiary Borrower, dated the Closing Date and addressed to the Administrative Agent and the Lenders. The Administrative Agent and each Lender shall have received an executed legal opinion of Clifford Chance, as counsel to each Foreign Subsidiary Borrower (or such other counsel to any Foreign Subsidiary Borrower as may be selected by the Borrower and reasonably satisfactory to the Administrative Agent), dated the Closing Date and addressed to the Administrative Agent and the Lenders substantially in the form required by subsection 5.3. Such legal opinions shall cover such other matters incident to the transactions contemplated by this Agreement as the Lenders may reasonably require in form and substance satisfactory to the Administrative Agent. The Administrative Agent and each Lender shall have received an executed legal opinion from such special or local counsel as the Administrative Agent shall reasonably request.</w:t>
      </w:r>
    </w:p>
    <w:p>
      <w:pPr>
        <w:spacing w:after="0" w:line="195" w:lineRule="exact"/>
        <w:rPr>
          <w:rFonts w:ascii="Courier New" w:cs="Courier New" w:eastAsia="Courier New" w:hAnsi="Courier New"/>
          <w:sz w:val="16"/>
          <w:szCs w:val="16"/>
          <w:color w:val="auto"/>
        </w:rPr>
      </w:pPr>
    </w:p>
    <w:p>
      <w:pPr>
        <w:ind w:right="2659" w:firstLine="572"/>
        <w:spacing w:after="0"/>
        <w:tabs>
          <w:tab w:leader="none" w:pos="946" w:val="left"/>
        </w:tabs>
        <w:numPr>
          <w:ilvl w:val="1"/>
          <w:numId w:val="5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Proceedings of the Borrower and its Subsidiaries. The Administrative Agent shall have received a copy of the resolutions (in form and substance reasonably satisfactory to the Administrative Agent and its counsel) of the Board of Directors of each of the Borrower and each of its Subsidiaries executing any Loan Document authorizing on or within 30 days prior to the Closing Date (i) the execution, delivery and performance of each of the Loan Documents to which it is a party, (ii) the consummation of the transactions contemplated hereby and thereby and (iii) the borrowings herein provided for, all certified by the Secretary or the Assistant Secretary (or equivalent Person for Subsidiaries which are not corporations) of the Borrower or such Subsidiary, as the case may be. Each such certificate shall (A) state that the resolutions set forth therein have not been amended, modified, revoked or rescinded as of the date of such certificate, (B) specify the names and titles of the officers of the Borrower or such Subsidiary, as the case may be, authorized to sign the Loan Documents to which it is a party and (C) contain specimens of the signatures of such officers.</w:t>
      </w:r>
    </w:p>
    <w:p>
      <w:pPr>
        <w:spacing w:after="0" w:line="192" w:lineRule="exact"/>
        <w:rPr>
          <w:rFonts w:ascii="Courier New" w:cs="Courier New" w:eastAsia="Courier New" w:hAnsi="Courier New"/>
          <w:sz w:val="16"/>
          <w:szCs w:val="16"/>
          <w:color w:val="auto"/>
        </w:rPr>
      </w:pPr>
    </w:p>
    <w:p>
      <w:pPr>
        <w:ind w:right="2659" w:firstLine="572"/>
        <w:spacing w:after="0" w:line="258" w:lineRule="auto"/>
        <w:tabs>
          <w:tab w:leader="none" w:pos="946" w:val="left"/>
        </w:tabs>
        <w:numPr>
          <w:ilvl w:val="1"/>
          <w:numId w:val="5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Proceeding or Litigation; No Injunctive Relief. No action, suit, investigation or other proceeding (including, without limitation, the enactment or promulgation of a statute or rule) by or before any arbitrator or any Governmental Authority shall be threatened or pending and no preliminary or permanent injunction or order by a state or federal court shall have been entered (i) in connection with this Agreement or any transaction contemplated hereby except as set forth in Schedule 5.1(g) or (ii) which, in any case, in the reasonable judgment of the Administrative Agent, could reasonably be expected to have a Material Adverse Effect.</w:t>
      </w:r>
    </w:p>
    <w:p>
      <w:pPr>
        <w:sectPr>
          <w:pgSz w:w="11900" w:h="16838" w:orient="portrait"/>
          <w:cols w:equalWidth="0" w:num="1">
            <w:col w:w="9659"/>
          </w:cols>
          <w:pgMar w:left="800" w:top="477" w:right="1440" w:bottom="1440" w:gutter="0" w:footer="0" w:header="0"/>
        </w:sectPr>
      </w:pPr>
    </w:p>
    <w:bookmarkStart w:id="466" w:name="page467"/>
    <w:bookmarkEnd w:id="466"/>
    <w:p>
      <w:pPr>
        <w:jc w:val="right"/>
        <w:ind w:right="2659"/>
        <w:spacing w:after="0"/>
        <w:rPr>
          <w:sz w:val="20"/>
          <w:szCs w:val="20"/>
          <w:color w:val="auto"/>
        </w:rPr>
      </w:pPr>
      <w:r>
        <w:rPr>
          <w:rFonts w:ascii="Courier New" w:cs="Courier New" w:eastAsia="Courier New" w:hAnsi="Courier New"/>
          <w:sz w:val="16"/>
          <w:szCs w:val="16"/>
          <w:color w:val="auto"/>
        </w:rPr>
        <w:t>67</w:t>
      </w:r>
    </w:p>
    <w:p>
      <w:pPr>
        <w:spacing w:after="0" w:line="368" w:lineRule="exact"/>
        <w:rPr>
          <w:sz w:val="20"/>
          <w:szCs w:val="20"/>
          <w:color w:val="auto"/>
        </w:rPr>
      </w:pPr>
    </w:p>
    <w:p>
      <w:pPr>
        <w:ind w:right="2759" w:firstLine="572"/>
        <w:spacing w:after="0" w:line="257" w:lineRule="auto"/>
        <w:tabs>
          <w:tab w:leader="none" w:pos="946" w:val="left"/>
        </w:tabs>
        <w:numPr>
          <w:ilvl w:val="0"/>
          <w:numId w:val="5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Licenses, Approvals, etc. The Administrative Agent shall have received true copies (certified to be such by the Borrower or other appropriate party) of all material consents, licenses and approvals required in accordance with applicable law in connection with the execution, delivery, performance, validity and enforceability of this Agreement, the other Loan Documents and the other Refinancing Agreements to be delivered on or before the Closing Date, and the Borrower and its Material Subsidiaries shall have all such material consents, licenses and approvals required in connection with the continued operation of the Borrower and its Material Subsidiaries, and such approvals shall be in full force and effect, and all applicable waiting periods shall have expired without any action being taken or threatened by any competent authority which would restrain, prevent or otherwise impose adverse conditions on this Agreement and the actions contemplated hereby.</w:t>
      </w:r>
    </w:p>
    <w:p>
      <w:pPr>
        <w:spacing w:after="0" w:line="180" w:lineRule="exact"/>
        <w:rPr>
          <w:rFonts w:ascii="Courier New" w:cs="Courier New" w:eastAsia="Courier New" w:hAnsi="Courier New"/>
          <w:sz w:val="15"/>
          <w:szCs w:val="15"/>
          <w:color w:val="auto"/>
        </w:rPr>
      </w:pPr>
    </w:p>
    <w:p>
      <w:pPr>
        <w:ind w:right="2659" w:firstLine="572"/>
        <w:spacing w:after="0" w:line="258" w:lineRule="auto"/>
        <w:tabs>
          <w:tab w:leader="none" w:pos="946" w:val="left"/>
        </w:tabs>
        <w:numPr>
          <w:ilvl w:val="0"/>
          <w:numId w:val="5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Each of the representations and warranties made by the Borrower and its Subsidiaries in or pursuant to this Agreement, any other Loan Document or the other Refinancing Agreements to which it is a party and the representations of the Borrower and its Subsidiaries which are contained in any certificate, document or financial or other statement furnished pursuant hereto or thereto on or before the Closing Date shall be true and correct in all material respects on and as of the Closing Date as if made on and as of such date both before and after giving effect to the making of the Loans hereunder.</w:t>
      </w:r>
    </w:p>
    <w:p>
      <w:pPr>
        <w:spacing w:after="0" w:line="174" w:lineRule="exact"/>
        <w:rPr>
          <w:rFonts w:ascii="Courier New" w:cs="Courier New" w:eastAsia="Courier New" w:hAnsi="Courier New"/>
          <w:sz w:val="15"/>
          <w:szCs w:val="15"/>
          <w:color w:val="auto"/>
        </w:rPr>
      </w:pPr>
    </w:p>
    <w:p>
      <w:pPr>
        <w:ind w:right="2659" w:firstLine="572"/>
        <w:spacing w:after="0" w:line="238" w:lineRule="auto"/>
        <w:tabs>
          <w:tab w:leader="none" w:pos="946" w:val="left"/>
        </w:tabs>
        <w:numPr>
          <w:ilvl w:val="0"/>
          <w:numId w:val="5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No Default or Event of Default shall have occurred and be continuing hereunder after giving effect to the making of any Extension of Credit hereunder.</w:t>
      </w:r>
    </w:p>
    <w:p>
      <w:pPr>
        <w:spacing w:after="0" w:line="188" w:lineRule="exact"/>
        <w:rPr>
          <w:rFonts w:ascii="Courier New" w:cs="Courier New" w:eastAsia="Courier New" w:hAnsi="Courier New"/>
          <w:sz w:val="16"/>
          <w:szCs w:val="16"/>
          <w:color w:val="auto"/>
        </w:rPr>
      </w:pPr>
    </w:p>
    <w:p>
      <w:pPr>
        <w:ind w:right="3039" w:firstLine="572"/>
        <w:spacing w:after="0" w:line="239" w:lineRule="auto"/>
        <w:tabs>
          <w:tab w:leader="none" w:pos="946" w:val="left"/>
        </w:tabs>
        <w:numPr>
          <w:ilvl w:val="0"/>
          <w:numId w:val="5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Borrowing Certificate. The Administrative Agent shall have received, with a counterpart for each Lender, a Borrowing Certificate, dated the Closing Date, substantially in the form of Exhibit J hereto, with appropriate insertions, executed by a duly authorized Responsible Officer of the Borrower.</w:t>
      </w:r>
    </w:p>
    <w:p>
      <w:pPr>
        <w:spacing w:after="0" w:line="188" w:lineRule="exact"/>
        <w:rPr>
          <w:rFonts w:ascii="Courier New" w:cs="Courier New" w:eastAsia="Courier New" w:hAnsi="Courier New"/>
          <w:sz w:val="16"/>
          <w:szCs w:val="16"/>
          <w:color w:val="auto"/>
        </w:rPr>
      </w:pPr>
    </w:p>
    <w:p>
      <w:pPr>
        <w:ind w:right="2659" w:firstLine="572"/>
        <w:spacing w:after="0"/>
        <w:tabs>
          <w:tab w:leader="none" w:pos="946" w:val="left"/>
        </w:tabs>
        <w:numPr>
          <w:ilvl w:val="0"/>
          <w:numId w:val="5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 Searches. The Administrative Agent shall have received the results of a recent lien search (or, where not available, such other equivalent information available and reasonably satisfactory to the Administrative Agent) in each of the material domestic jurisdictions where assets of the Loan Parties are located, and such search (or equivalent information) shall reveal no liens on any of the assets of the Borrower or its Subsidiaries except for liens permitted by subsection 7.1 or discharged on or prior to the Closing Date pursuant to documentation satisfactory to the Administrative Agent.</w:t>
      </w:r>
    </w:p>
    <w:p>
      <w:pPr>
        <w:spacing w:after="0" w:line="187" w:lineRule="exact"/>
        <w:rPr>
          <w:rFonts w:ascii="Courier New" w:cs="Courier New" w:eastAsia="Courier New" w:hAnsi="Courier New"/>
          <w:sz w:val="16"/>
          <w:szCs w:val="16"/>
          <w:color w:val="auto"/>
        </w:rPr>
      </w:pPr>
    </w:p>
    <w:p>
      <w:pPr>
        <w:ind w:right="2659" w:firstLine="572"/>
        <w:spacing w:after="0"/>
        <w:tabs>
          <w:tab w:leader="none" w:pos="946" w:val="left"/>
        </w:tabs>
        <w:numPr>
          <w:ilvl w:val="0"/>
          <w:numId w:val="5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Pledged Stock; Stock Powers; Pledged Notes. Except as set forth on Schedule 5.1(b) or contemplated in subsection 6.11(a), the Administrative Agent shall have received (i) the certificates representing the shares of Capital Stock pledged pursuant to each Guarantee and Collateral Agreement or any other pledge agreement, charge or foreign equivalent in respect of any Foreign Subsidiary, together with an undated stock power for each such certificate executed in blank by a duly authorized officer of the pledgor thereof or, if no such certificates exist in respect of any Foreign Subsidiary, evidence satisfactory to the Administrative Agent that such shares have been</w:t>
      </w:r>
    </w:p>
    <w:p>
      <w:pPr>
        <w:sectPr>
          <w:pgSz w:w="11900" w:h="16838" w:orient="portrait"/>
          <w:cols w:equalWidth="0" w:num="1">
            <w:col w:w="9659"/>
          </w:cols>
          <w:pgMar w:left="800" w:top="477" w:right="1440" w:bottom="1440" w:gutter="0" w:footer="0" w:header="0"/>
        </w:sectPr>
      </w:pPr>
    </w:p>
    <w:bookmarkStart w:id="467" w:name="page468"/>
    <w:bookmarkEnd w:id="467"/>
    <w:p>
      <w:pPr>
        <w:jc w:val="right"/>
        <w:ind w:right="2659"/>
        <w:spacing w:after="0"/>
        <w:rPr>
          <w:sz w:val="20"/>
          <w:szCs w:val="20"/>
          <w:color w:val="auto"/>
        </w:rPr>
      </w:pPr>
      <w:r>
        <w:rPr>
          <w:rFonts w:ascii="Courier New" w:cs="Courier New" w:eastAsia="Courier New" w:hAnsi="Courier New"/>
          <w:sz w:val="16"/>
          <w:szCs w:val="16"/>
          <w:color w:val="auto"/>
        </w:rPr>
        <w:t>68</w:t>
      </w:r>
    </w:p>
    <w:p>
      <w:pPr>
        <w:spacing w:after="0" w:line="368"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pledged, and such pledge has been perfected, in accordance with the steps taken in connection with the Existing Credit Agreement and (ii) each promissory note (if any) pledged to the Administrative Agent pursuant to each Guarantee and Collateral Agreement or any other pledge agreement, charge or foreign equivalent in respect of any Foreign Subsidiary, endorsed (without recourse) in blank (or accompanied by an executed transfer form in blank) by the pledgor thereof.</w:t>
      </w:r>
    </w:p>
    <w:p>
      <w:pPr>
        <w:spacing w:after="0" w:line="192" w:lineRule="exact"/>
        <w:rPr>
          <w:sz w:val="20"/>
          <w:szCs w:val="20"/>
          <w:color w:val="auto"/>
        </w:rPr>
      </w:pPr>
    </w:p>
    <w:p>
      <w:pPr>
        <w:ind w:right="2659" w:firstLine="572"/>
        <w:spacing w:after="0"/>
        <w:tabs>
          <w:tab w:leader="none" w:pos="946" w:val="left"/>
        </w:tabs>
        <w:numPr>
          <w:ilvl w:val="0"/>
          <w:numId w:val="5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Filings, Registrations and Recordings. Each document (including any Uniform Commercial Code financing statement or foreign equivalent) required by the Loan Documents or under law or reasonably requested by the Administrative Agent to be filed, registered or recorded in order to create in favor of the Administrative Agent, for the benefit of the Lenders, a perfected Lien on the Collateral described therein, prior and superior in right to any other Person (other than with respect to Liens expressly permitted by subsection 7.1), shall be in proper form for filing, registration or recordation in the applicable jurisdiction.</w:t>
      </w:r>
    </w:p>
    <w:p>
      <w:pPr>
        <w:spacing w:after="0" w:line="183" w:lineRule="exact"/>
        <w:rPr>
          <w:rFonts w:ascii="Courier New" w:cs="Courier New" w:eastAsia="Courier New" w:hAnsi="Courier New"/>
          <w:sz w:val="16"/>
          <w:szCs w:val="16"/>
          <w:color w:val="auto"/>
        </w:rPr>
      </w:pPr>
    </w:p>
    <w:p>
      <w:pPr>
        <w:ind w:left="960" w:hanging="388"/>
        <w:spacing w:after="0"/>
        <w:tabs>
          <w:tab w:leader="none" w:pos="960" w:val="left"/>
        </w:tabs>
        <w:numPr>
          <w:ilvl w:val="0"/>
          <w:numId w:val="5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etc. (i) Except as contemplated by subsection</w:t>
      </w:r>
    </w:p>
    <w:p>
      <w:pPr>
        <w:spacing w:after="0" w:line="5"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6.11(a), the Administrative Agent shall have received a Mortgage with respect to each Mortgaged Property, or an amendment to any such Mortgages previously delivered to the Administrative Agent, executed and delivered by a duly authorized officer of each party thereto.</w:t>
      </w:r>
    </w:p>
    <w:p>
      <w:pPr>
        <w:spacing w:after="0" w:line="187" w:lineRule="exact"/>
        <w:rPr>
          <w:sz w:val="20"/>
          <w:szCs w:val="20"/>
          <w:color w:val="auto"/>
        </w:rPr>
      </w:pPr>
    </w:p>
    <w:p>
      <w:pPr>
        <w:ind w:right="2659" w:firstLine="572"/>
        <w:spacing w:after="0" w:line="256" w:lineRule="auto"/>
        <w:tabs>
          <w:tab w:leader="none" w:pos="1040" w:val="left"/>
        </w:tabs>
        <w:numPr>
          <w:ilvl w:val="1"/>
          <w:numId w:val="5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contemplated in Schedule 5.1(o), the Administrative Agent shall have received in respect of each Mortgaged Property referred to in clause (i) of this paragraph (o) a mortgagee's title insurance policy (or policies) or marked up unconditional binder for such insurance. Each such policy shall (A) be in an amount satisfactory to the Administrative Agent; (B) be issued at ordinary rates; (C) insure that the Mortgage insured thereby creates a valid first Lien on such Mortgaged Property free and clear of all defects and encumbrances, except as disclosed therein; (D) name the Administrative Agent for the benefit of the Lenders as the insured thereunder; (E) be in the form of ALTA Loan Policy - 1970 (Amended 10/17/70 and 10/17/84) (or equivalent policies);</w:t>
      </w:r>
    </w:p>
    <w:p>
      <w:pPr>
        <w:spacing w:after="0" w:line="6" w:lineRule="exact"/>
        <w:rPr>
          <w:rFonts w:ascii="Courier New" w:cs="Courier New" w:eastAsia="Courier New" w:hAnsi="Courier New"/>
          <w:sz w:val="15"/>
          <w:szCs w:val="15"/>
          <w:color w:val="auto"/>
        </w:rPr>
      </w:pPr>
    </w:p>
    <w:p>
      <w:pPr>
        <w:ind w:right="2759" w:firstLine="4"/>
        <w:spacing w:after="0"/>
        <w:tabs>
          <w:tab w:leader="none" w:pos="378" w:val="left"/>
        </w:tabs>
        <w:numPr>
          <w:ilvl w:val="0"/>
          <w:numId w:val="5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contain such endorsements and affirmative coverage as the Administrative Agent may reasonably request and (G) be issued by title companies satisfactory to the Administrative Agent (including any such title companies acting as co-insurers or reinsurers, at the option of the Administrative Agent). The Administrative Agent shall have received evidence satisfactory to it that all premiums in respect of each such policy, all charges for mortgage recording tax, and all related expenses, if any, have been paid.</w:t>
      </w:r>
    </w:p>
    <w:p>
      <w:pPr>
        <w:spacing w:after="0" w:line="186" w:lineRule="exact"/>
        <w:rPr>
          <w:rFonts w:ascii="Courier New" w:cs="Courier New" w:eastAsia="Courier New" w:hAnsi="Courier New"/>
          <w:sz w:val="16"/>
          <w:szCs w:val="16"/>
          <w:color w:val="auto"/>
        </w:rPr>
      </w:pPr>
    </w:p>
    <w:p>
      <w:pPr>
        <w:ind w:right="2759" w:firstLine="572"/>
        <w:spacing w:after="0" w:line="258" w:lineRule="auto"/>
        <w:tabs>
          <w:tab w:leader="none" w:pos="1135" w:val="left"/>
        </w:tabs>
        <w:numPr>
          <w:ilvl w:val="1"/>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requested by the Administrative Agent, the Administrative Agent shall have received (A) a policy of flood insurance that (1) covers any parcel of improved real property that is encumbered by any Mortgage referred to in clause (i) of this paragraph (o), (2) is written in an amount not less than the outstanding principal amount of the indebtedness secured by such Mortgage that is reasonably allocable to such real property or the maximum limit of coverage made available with respect to the particular type of property under the National Flood Insurance Act of 1968, whichever is less, and (3) has a term ending not later than the maturity of the Indebtedness secured by such Mortgage and</w:t>
      </w:r>
    </w:p>
    <w:p>
      <w:pPr>
        <w:sectPr>
          <w:pgSz w:w="11900" w:h="16838" w:orient="portrait"/>
          <w:cols w:equalWidth="0" w:num="1">
            <w:col w:w="9659"/>
          </w:cols>
          <w:pgMar w:left="800" w:top="477" w:right="1440" w:bottom="1440" w:gutter="0" w:footer="0" w:header="0"/>
        </w:sectPr>
      </w:pPr>
    </w:p>
    <w:bookmarkStart w:id="468" w:name="page469"/>
    <w:bookmarkEnd w:id="468"/>
    <w:p>
      <w:pPr>
        <w:jc w:val="right"/>
        <w:ind w:right="2659"/>
        <w:spacing w:after="0"/>
        <w:rPr>
          <w:sz w:val="20"/>
          <w:szCs w:val="20"/>
          <w:color w:val="auto"/>
        </w:rPr>
      </w:pPr>
      <w:r>
        <w:rPr>
          <w:rFonts w:ascii="Courier New" w:cs="Courier New" w:eastAsia="Courier New" w:hAnsi="Courier New"/>
          <w:sz w:val="16"/>
          <w:szCs w:val="16"/>
          <w:color w:val="auto"/>
        </w:rPr>
        <w:t>69</w:t>
      </w:r>
    </w:p>
    <w:p>
      <w:pPr>
        <w:spacing w:after="0" w:line="368" w:lineRule="exact"/>
        <w:rPr>
          <w:sz w:val="20"/>
          <w:szCs w:val="20"/>
          <w:color w:val="auto"/>
        </w:rPr>
      </w:pPr>
    </w:p>
    <w:p>
      <w:pPr>
        <w:ind w:left="560" w:right="3319" w:firstLine="4"/>
        <w:spacing w:after="0" w:line="267" w:lineRule="auto"/>
        <w:tabs>
          <w:tab w:leader="none" w:pos="938" w:val="left"/>
        </w:tabs>
        <w:numPr>
          <w:ilvl w:val="0"/>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confirmation that the Borrower has received the notice required pursuant to Section 208(e)(3) of Regulation H of the Board.</w:t>
      </w:r>
    </w:p>
    <w:p>
      <w:pPr>
        <w:spacing w:after="0" w:line="167" w:lineRule="exact"/>
        <w:rPr>
          <w:rFonts w:ascii="Courier New" w:cs="Courier New" w:eastAsia="Courier New" w:hAnsi="Courier New"/>
          <w:sz w:val="15"/>
          <w:szCs w:val="15"/>
          <w:color w:val="auto"/>
        </w:rPr>
      </w:pPr>
    </w:p>
    <w:p>
      <w:pPr>
        <w:ind w:left="560" w:right="2659" w:firstLine="572"/>
        <w:spacing w:after="0" w:line="239" w:lineRule="auto"/>
        <w:tabs>
          <w:tab w:leader="none" w:pos="1600" w:val="left"/>
        </w:tabs>
        <w:numPr>
          <w:ilvl w:val="1"/>
          <w:numId w:val="5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contemplated in Schedule 5.1(o), the Administrative Agent shall have received a copy of all recorded documents referred to, or listed as exceptions to title in, the title policy or policies referred to in clause (iii) above and a copy of all other material documents affecting the Mortgaged Properties.</w:t>
      </w:r>
    </w:p>
    <w:p>
      <w:pPr>
        <w:spacing w:after="0" w:line="189" w:lineRule="exact"/>
        <w:rPr>
          <w:sz w:val="20"/>
          <w:szCs w:val="20"/>
          <w:color w:val="auto"/>
        </w:rPr>
      </w:pPr>
    </w:p>
    <w:p>
      <w:pPr>
        <w:ind w:left="560" w:right="2659" w:firstLine="572"/>
        <w:spacing w:after="0" w:line="238" w:lineRule="auto"/>
        <w:tabs>
          <w:tab w:leader="none" w:pos="1506" w:val="left"/>
        </w:tabs>
        <w:numPr>
          <w:ilvl w:val="0"/>
          <w:numId w:val="5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The Administrative Agent shall have received insurance certificates satisfying the requirements of subsection 6.2(b) of each Guarantee and Collateral Agreement.</w:t>
      </w:r>
    </w:p>
    <w:p>
      <w:pPr>
        <w:spacing w:after="0" w:line="188" w:lineRule="exact"/>
        <w:rPr>
          <w:rFonts w:ascii="Courier New" w:cs="Courier New" w:eastAsia="Courier New" w:hAnsi="Courier New"/>
          <w:sz w:val="16"/>
          <w:szCs w:val="16"/>
          <w:color w:val="auto"/>
        </w:rPr>
      </w:pPr>
    </w:p>
    <w:p>
      <w:pPr>
        <w:ind w:left="560" w:right="2939" w:firstLine="572"/>
        <w:spacing w:after="0"/>
        <w:tabs>
          <w:tab w:leader="none" w:pos="1506" w:val="left"/>
        </w:tabs>
        <w:numPr>
          <w:ilvl w:val="0"/>
          <w:numId w:val="5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Repayment and Termination of Existing Credit Agreement. The loans under the Existing Credit Agreement shall have been repaid, or arrangements satisfactory to the Administrative Agent for the repayment thereof, the letters of credit outstanding thereunder shall have been returned or shall be deemed to be outstanding hereunder pursuant to subsection 3.1(d), the commitments under the Existing Credit Agreement shall have been terminated and all accrued interest and fees thereunder shall have been paid.</w:t>
      </w:r>
    </w:p>
    <w:p>
      <w:pPr>
        <w:spacing w:after="0" w:line="186" w:lineRule="exact"/>
        <w:rPr>
          <w:rFonts w:ascii="Courier New" w:cs="Courier New" w:eastAsia="Courier New" w:hAnsi="Courier New"/>
          <w:sz w:val="16"/>
          <w:szCs w:val="16"/>
          <w:color w:val="auto"/>
        </w:rPr>
      </w:pPr>
    </w:p>
    <w:p>
      <w:pPr>
        <w:ind w:left="560" w:right="2759" w:firstLine="572"/>
        <w:spacing w:after="0" w:line="259" w:lineRule="auto"/>
        <w:tabs>
          <w:tab w:leader="none" w:pos="1506" w:val="left"/>
        </w:tabs>
        <w:numPr>
          <w:ilvl w:val="0"/>
          <w:numId w:val="5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Plan; Projections. The Administrative Agent and the Lenders shall have received a satisfactory business plan and projections for fiscal years 2003 through 2007 and a satisfactory written analysis of the business and prospects of the Borrower and its Subsidiaries for the period from the Closing Date through the Termination Date.</w:t>
      </w:r>
    </w:p>
    <w:p>
      <w:pPr>
        <w:spacing w:after="0" w:line="174" w:lineRule="exact"/>
        <w:rPr>
          <w:rFonts w:ascii="Courier New" w:cs="Courier New" w:eastAsia="Courier New" w:hAnsi="Courier New"/>
          <w:sz w:val="15"/>
          <w:szCs w:val="15"/>
          <w:color w:val="auto"/>
        </w:rPr>
      </w:pPr>
    </w:p>
    <w:p>
      <w:pPr>
        <w:ind w:left="560" w:right="2659" w:firstLine="572"/>
        <w:spacing w:after="0" w:line="239" w:lineRule="auto"/>
        <w:tabs>
          <w:tab w:leader="none" w:pos="1506" w:val="left"/>
        </w:tabs>
        <w:numPr>
          <w:ilvl w:val="0"/>
          <w:numId w:val="5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Matters. All corporate and other proceedings and all other documents and legal matters in connection with the transactions contemplated by this Agreement and the other Loan Documents, including, without limitation, documentation concerning the status of all labor, tax, employee benefit and health and safety matters involving the Borrower and its Subsidiaries shall be reasonably satisfactory in form and substance to the Administrative Agent and its counsel.</w:t>
      </w:r>
    </w:p>
    <w:p>
      <w:pPr>
        <w:spacing w:after="0" w:line="191" w:lineRule="exact"/>
        <w:rPr>
          <w:rFonts w:ascii="Courier New" w:cs="Courier New" w:eastAsia="Courier New" w:hAnsi="Courier New"/>
          <w:sz w:val="16"/>
          <w:szCs w:val="16"/>
          <w:color w:val="auto"/>
        </w:rPr>
      </w:pPr>
    </w:p>
    <w:p>
      <w:pPr>
        <w:ind w:left="560" w:right="2659" w:firstLine="572"/>
        <w:spacing w:after="0"/>
        <w:tabs>
          <w:tab w:leader="none" w:pos="1506" w:val="left"/>
        </w:tabs>
        <w:numPr>
          <w:ilvl w:val="0"/>
          <w:numId w:val="5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Information. The Administrative Agent shall have received such additional information which the Administrative Agent shall have reasonably requested, including, without limitation, copies of any debt agreements, security agreements, tax sharing agreements, employment agreements, management compensation arrangements, financing arrangements and other material contracts, and such agreements or arrangements shall be reasonably satisfactory in form and substance to the Administrative Agent and its counsel.</w:t>
      </w:r>
    </w:p>
    <w:p>
      <w:pPr>
        <w:spacing w:after="0" w:line="187"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5.2 Conditions to All Extensions of Credit. The obligation of each Lender to make any Loan (other than any Loan the proceeds of which are to be used exclusively to repay Refunded Swing Line Loans) or of the Issuing Lender to issue, increase or extend any Letter of Credit requested to be issued, increased or extended by it hereunder on any date (including, without limitation, the Closing Date) is subject to the satisfaction of the following conditions precedent as of such date:</w:t>
      </w:r>
    </w:p>
    <w:p>
      <w:pPr>
        <w:sectPr>
          <w:pgSz w:w="11900" w:h="16838" w:orient="portrait"/>
          <w:cols w:equalWidth="0" w:num="1">
            <w:col w:w="10219"/>
          </w:cols>
          <w:pgMar w:left="240" w:top="477" w:right="1440" w:bottom="1440" w:gutter="0" w:footer="0" w:header="0"/>
        </w:sectPr>
      </w:pPr>
    </w:p>
    <w:bookmarkStart w:id="469" w:name="page470"/>
    <w:bookmarkEnd w:id="469"/>
    <w:p>
      <w:pPr>
        <w:jc w:val="right"/>
        <w:ind w:right="2659"/>
        <w:spacing w:after="0"/>
        <w:rPr>
          <w:sz w:val="20"/>
          <w:szCs w:val="20"/>
          <w:color w:val="auto"/>
        </w:rPr>
      </w:pPr>
      <w:r>
        <w:rPr>
          <w:rFonts w:ascii="Courier New" w:cs="Courier New" w:eastAsia="Courier New" w:hAnsi="Courier New"/>
          <w:sz w:val="16"/>
          <w:szCs w:val="16"/>
          <w:color w:val="auto"/>
        </w:rPr>
        <w:t>70</w:t>
      </w:r>
    </w:p>
    <w:p>
      <w:pPr>
        <w:spacing w:after="0" w:line="368" w:lineRule="exact"/>
        <w:rPr>
          <w:sz w:val="20"/>
          <w:szCs w:val="20"/>
          <w:color w:val="auto"/>
        </w:rPr>
      </w:pPr>
    </w:p>
    <w:p>
      <w:pPr>
        <w:ind w:left="560" w:right="2659" w:firstLine="572"/>
        <w:spacing w:after="0"/>
        <w:tabs>
          <w:tab w:leader="none" w:pos="1506" w:val="left"/>
        </w:tabs>
        <w:numPr>
          <w:ilvl w:val="0"/>
          <w:numId w:val="5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representations and warranties made by the Borrower or any of its Subsidiaries in the Loan Documents to which it is a party and any representations and warranties made by the Borrower or any of its Subsidiaries which are contained in any certificate, document or financial or other statement furnished at any time pursuant hereto or thereto shall be true and correct in all material respects on and as of the date thereof as if made on and as of such date unless stated to relate to a specific earlier date (in which case the same shall be true and correct in all material respects on and as of such specific earlier date).</w:t>
      </w:r>
    </w:p>
    <w:p>
      <w:pPr>
        <w:spacing w:after="0" w:line="188" w:lineRule="exact"/>
        <w:rPr>
          <w:rFonts w:ascii="Courier New" w:cs="Courier New" w:eastAsia="Courier New" w:hAnsi="Courier New"/>
          <w:sz w:val="16"/>
          <w:szCs w:val="16"/>
          <w:color w:val="auto"/>
        </w:rPr>
      </w:pPr>
    </w:p>
    <w:p>
      <w:pPr>
        <w:ind w:left="560" w:right="2759" w:firstLine="572"/>
        <w:spacing w:after="0" w:line="238" w:lineRule="auto"/>
        <w:tabs>
          <w:tab w:leader="none" w:pos="1506" w:val="left"/>
        </w:tabs>
        <w:numPr>
          <w:ilvl w:val="0"/>
          <w:numId w:val="5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No Default or Event of Default shall have occurred and be continuing on such date or after giving effect to the Extension of Credit to be made on such date.</w:t>
      </w:r>
    </w:p>
    <w:p>
      <w:pPr>
        <w:spacing w:after="0" w:line="188" w:lineRule="exact"/>
        <w:rPr>
          <w:rFonts w:ascii="Courier New" w:cs="Courier New" w:eastAsia="Courier New" w:hAnsi="Courier New"/>
          <w:sz w:val="16"/>
          <w:szCs w:val="16"/>
          <w:color w:val="auto"/>
        </w:rPr>
      </w:pPr>
    </w:p>
    <w:p>
      <w:pPr>
        <w:ind w:left="560" w:right="2659" w:firstLine="572"/>
        <w:spacing w:after="0" w:line="239" w:lineRule="auto"/>
        <w:tabs>
          <w:tab w:leader="none" w:pos="1506" w:val="left"/>
        </w:tabs>
        <w:numPr>
          <w:ilvl w:val="0"/>
          <w:numId w:val="5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Borrower Borrowing. With respect to any borrowing made by any Subsidiary Borrower, a certificate of the Borrower to the effect that such borrowing will not give rise to an Event of Default under the Senior Subordinated Note Indenture or under any other Subordinated Debt permitted hereunder and dated as of the date of such borrowing shall have been delivered to the Administrative Agent.</w:t>
      </w:r>
    </w:p>
    <w:p>
      <w:pPr>
        <w:spacing w:after="0" w:line="190" w:lineRule="exact"/>
        <w:rPr>
          <w:sz w:val="20"/>
          <w:szCs w:val="20"/>
          <w:color w:val="auto"/>
        </w:rPr>
      </w:pPr>
    </w:p>
    <w:p>
      <w:pPr>
        <w:ind w:right="2659" w:firstLine="1135"/>
        <w:spacing w:after="0" w:line="258" w:lineRule="auto"/>
        <w:rPr>
          <w:sz w:val="20"/>
          <w:szCs w:val="20"/>
          <w:color w:val="auto"/>
        </w:rPr>
      </w:pPr>
      <w:r>
        <w:rPr>
          <w:rFonts w:ascii="Courier New" w:cs="Courier New" w:eastAsia="Courier New" w:hAnsi="Courier New"/>
          <w:sz w:val="15"/>
          <w:szCs w:val="15"/>
          <w:color w:val="auto"/>
        </w:rPr>
        <w:t>Each borrowing by the Borrower under this Agreement, each conversion of any Loan pursuant to subsection 2.14 of this Agreement and each issuance, increase or extension of any Letter of Credit hereunder shall constitute a representation and warranty by the Borrower as of the date of such borrowing, conversion or issuance, increase or extension that the conditions contained in the foregoing paragraphs (a) and (b) of this subsection 5.2 have been satisfied.</w:t>
      </w:r>
    </w:p>
    <w:p>
      <w:pPr>
        <w:spacing w:after="0" w:line="177" w:lineRule="exact"/>
        <w:rPr>
          <w:sz w:val="20"/>
          <w:szCs w:val="20"/>
          <w:color w:val="auto"/>
        </w:rPr>
      </w:pPr>
    </w:p>
    <w:p>
      <w:pPr>
        <w:ind w:right="2759" w:firstLine="1135"/>
        <w:spacing w:after="0"/>
        <w:rPr>
          <w:sz w:val="20"/>
          <w:szCs w:val="20"/>
          <w:color w:val="auto"/>
        </w:rPr>
      </w:pPr>
      <w:r>
        <w:rPr>
          <w:rFonts w:ascii="Courier New" w:cs="Courier New" w:eastAsia="Courier New" w:hAnsi="Courier New"/>
          <w:sz w:val="16"/>
          <w:szCs w:val="16"/>
          <w:color w:val="auto"/>
        </w:rPr>
        <w:t>5.3 Additional Conditions Applicable to Foreign Subsidiary Borrowers. The agreement of each Lender to make any Extension of Credit requested to be made by it to any Foreign Subsidiary Borrower on any date (including, without limitation, the initial Extension of Credit and each Swing Line Loan, if requested to be made to any Foreign Subsidiary Borrower) is subject to satisfaction or waiver of, in addition to the conditions precedent set forth in subsections 5.1 (in the case of the initial Extension of Credit) and 5.2, the following conditions precedent: (a) in the case of the making of any Extension of Credit to any Foreign Subsidiary Borrower for the first time, the delivery to the Administrative Agent, with a copy for each Lender, of the executed legal opinion of counsel to such Foreign Subsidiary Borrower addressed to the Administrative Agent and the Lenders, as to the matters set forth in Exhibit I and otherwise in form and substance reasonably satisfactory to the Administrative Agent and (b) the truthfulness and correctness in all material respects on and as of such date of the following additional representations and warranties:</w:t>
      </w:r>
    </w:p>
    <w:p>
      <w:pPr>
        <w:spacing w:after="0" w:line="192" w:lineRule="exact"/>
        <w:rPr>
          <w:sz w:val="20"/>
          <w:szCs w:val="20"/>
          <w:color w:val="auto"/>
        </w:rPr>
      </w:pPr>
    </w:p>
    <w:p>
      <w:pPr>
        <w:ind w:left="560" w:right="2659" w:firstLine="1139"/>
        <w:spacing w:after="0" w:line="239" w:lineRule="auto"/>
        <w:tabs>
          <w:tab w:leader="none" w:pos="2073" w:val="left"/>
        </w:tabs>
        <w:numPr>
          <w:ilvl w:val="0"/>
          <w:numId w:val="5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Pari Passu. The obligations of such Foreign Subsidiary Borrower under this Agreement, when executed and delivered by such Foreign Subsidiary Borrower, will rank at least pari passu with all unsecured Indebtedness of such Foreign Subsidiary Borrower.</w:t>
      </w:r>
    </w:p>
    <w:p>
      <w:pPr>
        <w:spacing w:after="0" w:line="187" w:lineRule="exact"/>
        <w:rPr>
          <w:rFonts w:ascii="Courier New" w:cs="Courier New" w:eastAsia="Courier New" w:hAnsi="Courier New"/>
          <w:sz w:val="16"/>
          <w:szCs w:val="16"/>
          <w:color w:val="auto"/>
        </w:rPr>
      </w:pPr>
    </w:p>
    <w:p>
      <w:pPr>
        <w:ind w:left="560" w:right="2759" w:firstLine="1139"/>
        <w:spacing w:after="0" w:line="239" w:lineRule="auto"/>
        <w:tabs>
          <w:tab w:leader="none" w:pos="2168" w:val="left"/>
        </w:tabs>
        <w:numPr>
          <w:ilvl w:val="0"/>
          <w:numId w:val="5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Immunities, etc. Such Foreign Subsidiary Borrower is subject to civil and commercial law with respect to its obligations under this Agreement and any Note, and the execution, delivery and performance by such Foreign Subsidiary Borrower</w:t>
      </w:r>
    </w:p>
    <w:p>
      <w:pPr>
        <w:sectPr>
          <w:pgSz w:w="11900" w:h="16838" w:orient="portrait"/>
          <w:cols w:equalWidth="0" w:num="1">
            <w:col w:w="10219"/>
          </w:cols>
          <w:pgMar w:left="240" w:top="477" w:right="1440" w:bottom="1440" w:gutter="0" w:footer="0" w:header="0"/>
        </w:sectPr>
      </w:pPr>
    </w:p>
    <w:bookmarkStart w:id="470" w:name="page471"/>
    <w:bookmarkEnd w:id="470"/>
    <w:p>
      <w:pPr>
        <w:jc w:val="right"/>
        <w:ind w:right="2659"/>
        <w:spacing w:after="0"/>
        <w:rPr>
          <w:sz w:val="20"/>
          <w:szCs w:val="20"/>
          <w:color w:val="auto"/>
        </w:rPr>
      </w:pPr>
      <w:r>
        <w:rPr>
          <w:rFonts w:ascii="Courier New" w:cs="Courier New" w:eastAsia="Courier New" w:hAnsi="Courier New"/>
          <w:sz w:val="16"/>
          <w:szCs w:val="16"/>
          <w:color w:val="auto"/>
        </w:rPr>
        <w:t>71</w:t>
      </w:r>
    </w:p>
    <w:p>
      <w:pPr>
        <w:spacing w:after="0" w:line="368" w:lineRule="exact"/>
        <w:rPr>
          <w:sz w:val="20"/>
          <w:szCs w:val="20"/>
          <w:color w:val="auto"/>
        </w:rPr>
      </w:pPr>
    </w:p>
    <w:p>
      <w:pPr>
        <w:ind w:left="560" w:right="2659"/>
        <w:spacing w:after="0" w:line="257" w:lineRule="auto"/>
        <w:rPr>
          <w:sz w:val="20"/>
          <w:szCs w:val="20"/>
          <w:color w:val="auto"/>
        </w:rPr>
      </w:pPr>
      <w:r>
        <w:rPr>
          <w:rFonts w:ascii="Courier New" w:cs="Courier New" w:eastAsia="Courier New" w:hAnsi="Courier New"/>
          <w:sz w:val="15"/>
          <w:szCs w:val="15"/>
          <w:color w:val="auto"/>
        </w:rPr>
        <w:t>of this Agreement constitute and will constitute private and commercial acts and not public or governmental acts. Neither such Foreign Subsidiary Borrower nor any of its property, whether or not held for its own account, has any immunity (sovereign or other similar immunity) from any suit or proceeding, from jurisdiction of any court or from set-off or any legal process (whether service or notice, attachment prior to judgment, attachment in aid of execution of judgment, execution of judgment or other similar immunity) under laws of the jurisdiction in which such Foreign Subsidiary Borrower is organized and existing in respect of its obligations under this Agreement or any Note. Such Foreign Subsidiary Borrower has waived every immunity (sovereign or otherwise) to which it or any of its properties would otherwise be entitled from any legal action, suit or proceeding, from jurisdiction of any court and from set-off or any legal process (whether service or notice, attachment prior to judgment, attachment in aid of execution of judgment, execution of judgment or otherwise) under the laws of the jurisdiction in which such Foreign Subsidiary Borrower is organized and existing in respect of its obligations under this Agreement and any Note. The waiver by such Foreign Subsidiary Borrower described in the immediately preceding sentence is the legal, valid and binding obligation of such Foreign Subsidiary Borrower.</w:t>
      </w:r>
    </w:p>
    <w:p>
      <w:pPr>
        <w:spacing w:after="0" w:line="180" w:lineRule="exact"/>
        <w:rPr>
          <w:sz w:val="20"/>
          <w:szCs w:val="20"/>
          <w:color w:val="auto"/>
        </w:rPr>
      </w:pPr>
    </w:p>
    <w:p>
      <w:pPr>
        <w:ind w:left="560" w:right="2659" w:firstLine="1139"/>
        <w:spacing w:after="0" w:line="257" w:lineRule="auto"/>
        <w:tabs>
          <w:tab w:leader="none" w:pos="2262" w:val="left"/>
        </w:tabs>
        <w:numPr>
          <w:ilvl w:val="1"/>
          <w:numId w:val="5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Recordation Necessary. Except as otherwise noted on Schedule 5.3(iii), this Agreement and each Note, if any, is in proper legal form under the law of the jurisdiction in which such Foreign Subsidiary Borrower is organized and existing for the enforcement hereof or thereof against such Foreign Subsidiary Borrower under the law of such jurisdiction, and to ensure the legality, validity, enforceability, priority or admissibility in evidence of this Agreement and any such Note. It is not necessary to ensure the legality, validity, enforceability, priority or admissibility in evidence of this Agreement and any such Note that this Agreement, any Note or any other document be filed, registered or recorded with, or executed or notarized before, any court or other authority in the jurisdiction in which such Foreign Subsidiary Borrower is organized and existing or that any registration charge or stamp or similar tax be paid on or in respect of this Agreement, any Note or any other document, except for any such filing, registration or recording, or execution or notarization, as has been made or is not required to be made until this Agreement, any Note or any other document is sought to be enforced and for any charge or tax as has been timely paid.</w:t>
      </w:r>
    </w:p>
    <w:p>
      <w:pPr>
        <w:spacing w:after="0" w:line="180" w:lineRule="exact"/>
        <w:rPr>
          <w:rFonts w:ascii="Courier New" w:cs="Courier New" w:eastAsia="Courier New" w:hAnsi="Courier New"/>
          <w:sz w:val="15"/>
          <w:szCs w:val="15"/>
          <w:color w:val="auto"/>
        </w:rPr>
      </w:pPr>
    </w:p>
    <w:p>
      <w:pPr>
        <w:ind w:left="560" w:right="2839" w:firstLine="1139"/>
        <w:spacing w:after="0" w:line="256" w:lineRule="auto"/>
        <w:tabs>
          <w:tab w:leader="none" w:pos="2168" w:val="left"/>
        </w:tabs>
        <w:numPr>
          <w:ilvl w:val="1"/>
          <w:numId w:val="5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Controls. The execution, delivery and performance by such Foreign Subsidiary Borrower of this Agreement, any Note or the other Loan Documents is, under applicable foreign exchange control regulations of the jurisdiction in which such Foreign Subsidiary Borrower is organized and existing, not subject to any notification or authorization except (i) such as have been made or obtained or (ii) such as cannot be made or obtained until a later date (provided any notification or authorization described in immediately preceding clause</w:t>
      </w:r>
    </w:p>
    <w:p>
      <w:pPr>
        <w:spacing w:after="0" w:line="1" w:lineRule="exact"/>
        <w:rPr>
          <w:rFonts w:ascii="Courier New" w:cs="Courier New" w:eastAsia="Courier New" w:hAnsi="Courier New"/>
          <w:sz w:val="15"/>
          <w:szCs w:val="15"/>
          <w:color w:val="auto"/>
        </w:rPr>
      </w:pPr>
    </w:p>
    <w:p>
      <w:pPr>
        <w:ind w:left="1040" w:hanging="476"/>
        <w:spacing w:after="0"/>
        <w:tabs>
          <w:tab w:leader="none" w:pos="1040" w:val="left"/>
        </w:tabs>
        <w:numPr>
          <w:ilvl w:val="0"/>
          <w:numId w:val="5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be made or obtained as soon as is reasonably practicable).</w:t>
      </w:r>
    </w:p>
    <w:p>
      <w:pPr>
        <w:spacing w:after="0" w:line="186"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Each borrowing by, and Letter of Credit issued for the account of, any Foreign Subsidiary Borrower hereunder shall constitute a representation and warranty by each of the Borrower and such Foreign Subsidiary Borrower as of the date of such borrowing or such issuance that the conditions contained in this subsection 5.3 have been satisfied.</w:t>
      </w:r>
    </w:p>
    <w:p>
      <w:pPr>
        <w:sectPr>
          <w:pgSz w:w="11900" w:h="16838" w:orient="portrait"/>
          <w:cols w:equalWidth="0" w:num="1">
            <w:col w:w="10219"/>
          </w:cols>
          <w:pgMar w:left="240" w:top="477" w:right="1440" w:bottom="1440" w:gutter="0" w:footer="0" w:header="0"/>
        </w:sectPr>
      </w:pPr>
    </w:p>
    <w:bookmarkStart w:id="471" w:name="page472"/>
    <w:bookmarkEnd w:id="471"/>
    <w:p>
      <w:pPr>
        <w:jc w:val="right"/>
        <w:ind w:right="2659"/>
        <w:spacing w:after="0"/>
        <w:rPr>
          <w:sz w:val="20"/>
          <w:szCs w:val="20"/>
          <w:color w:val="auto"/>
        </w:rPr>
      </w:pPr>
      <w:r>
        <w:rPr>
          <w:rFonts w:ascii="Courier New" w:cs="Courier New" w:eastAsia="Courier New" w:hAnsi="Courier New"/>
          <w:sz w:val="16"/>
          <w:szCs w:val="16"/>
          <w:color w:val="auto"/>
        </w:rPr>
        <w:t>72</w:t>
      </w:r>
    </w:p>
    <w:p>
      <w:pPr>
        <w:spacing w:after="0" w:line="364"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SECTION 6. AFFIRMATIVE COVENANTS</w:t>
      </w:r>
    </w:p>
    <w:p>
      <w:pPr>
        <w:spacing w:after="0" w:line="186"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The Borrower hereby agrees that, so long as the Revolving Credit Commitments remain in effect, any Letter of Credit is outstanding or any amount is owing to any Lender or the Administrative Agent hereunder or under any other Loan Document, the Borrower shall, and in the case of the agreements set forth in subsections 6.3, 6.4, 6.5, 6.6, 6.7, 6.11 and 6.12, shall cause each of its Material Subsidiaries to:</w:t>
      </w:r>
    </w:p>
    <w:p>
      <w:pPr>
        <w:spacing w:after="0" w:line="190" w:lineRule="exact"/>
        <w:rPr>
          <w:sz w:val="20"/>
          <w:szCs w:val="20"/>
          <w:color w:val="auto"/>
        </w:rPr>
      </w:pPr>
    </w:p>
    <w:p>
      <w:pPr>
        <w:ind w:left="560" w:right="2939" w:firstLine="568"/>
        <w:spacing w:after="0" w:line="237" w:lineRule="auto"/>
        <w:rPr>
          <w:sz w:val="20"/>
          <w:szCs w:val="20"/>
          <w:color w:val="auto"/>
        </w:rPr>
      </w:pPr>
      <w:r>
        <w:rPr>
          <w:rFonts w:ascii="Courier New" w:cs="Courier New" w:eastAsia="Courier New" w:hAnsi="Courier New"/>
          <w:sz w:val="16"/>
          <w:szCs w:val="16"/>
          <w:color w:val="auto"/>
        </w:rPr>
        <w:t>6.1 Financial Statements. Furnish to the Administrative Agent and each Lender:</w:t>
      </w:r>
    </w:p>
    <w:p>
      <w:pPr>
        <w:spacing w:after="0" w:line="188" w:lineRule="exact"/>
        <w:rPr>
          <w:sz w:val="20"/>
          <w:szCs w:val="20"/>
          <w:color w:val="auto"/>
        </w:rPr>
      </w:pPr>
    </w:p>
    <w:p>
      <w:pPr>
        <w:ind w:left="560" w:right="2759" w:firstLine="572"/>
        <w:spacing w:after="0"/>
        <w:tabs>
          <w:tab w:leader="none" w:pos="1506" w:val="left"/>
        </w:tabs>
        <w:numPr>
          <w:ilvl w:val="0"/>
          <w:numId w:val="5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but in any event within ninety days after the end of each fiscal year of the Borrower, a copy of the consolidated balance sheet of the Borrower and its Subsidiaries as at the end of such year and the related statements of consolidated income and retained earnings and of cash flows for such year, setting forth in each case in comparative form the figures for the previous year; provided that the consolidated statements shall be certified without a "going concern" or like qualification or exception or qualification arising out of the scope of the audit by independent certified public accountants of nationally recognized standing; and</w:t>
      </w:r>
    </w:p>
    <w:p>
      <w:pPr>
        <w:spacing w:after="0" w:line="188" w:lineRule="exact"/>
        <w:rPr>
          <w:rFonts w:ascii="Courier New" w:cs="Courier New" w:eastAsia="Courier New" w:hAnsi="Courier New"/>
          <w:sz w:val="16"/>
          <w:szCs w:val="16"/>
          <w:color w:val="auto"/>
        </w:rPr>
      </w:pPr>
    </w:p>
    <w:p>
      <w:pPr>
        <w:ind w:left="560" w:right="2659" w:firstLine="572"/>
        <w:spacing w:after="0"/>
        <w:tabs>
          <w:tab w:leader="none" w:pos="1506" w:val="left"/>
        </w:tabs>
        <w:numPr>
          <w:ilvl w:val="0"/>
          <w:numId w:val="5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but in any event not later than forty-five days after the end of each of the first three quarterly periods of each fiscal year of the Borrower, a copy of the unaudited consolidated balance sheet of the Borrower and its Subsidiaries as at the end of each such quarter and the related unaudited statements of consolidated income and retained earnings and of cash flows for such quarter and the portion of the fiscal year through such date setting forth in each case in comparative form the figures for the previous year, certified by a Responsible Officer as being fairly stated in all material respects;</w:t>
      </w:r>
    </w:p>
    <w:p>
      <w:pPr>
        <w:spacing w:after="0" w:line="188" w:lineRule="exact"/>
        <w:rPr>
          <w:sz w:val="20"/>
          <w:szCs w:val="20"/>
          <w:color w:val="auto"/>
        </w:rPr>
      </w:pPr>
    </w:p>
    <w:p>
      <w:pPr>
        <w:ind w:right="2759"/>
        <w:spacing w:after="0" w:line="258" w:lineRule="auto"/>
        <w:rPr>
          <w:sz w:val="20"/>
          <w:szCs w:val="20"/>
          <w:color w:val="auto"/>
        </w:rPr>
      </w:pPr>
      <w:r>
        <w:rPr>
          <w:rFonts w:ascii="Courier New" w:cs="Courier New" w:eastAsia="Courier New" w:hAnsi="Courier New"/>
          <w:sz w:val="15"/>
          <w:szCs w:val="15"/>
          <w:color w:val="auto"/>
        </w:rPr>
        <w:t>all such financial statements to be complete and correct in all material respects and prepared in reasonable detail and in accordance with GAAP (except, in the case of the financial statements referred to in subparagraph (b), such financial statements need not contain notes and shall be prepared substantially in accordance with GAAP) applied consistently throughout the periods reflected therein, except as otherwise disclosed in the notes thereto.</w:t>
      </w:r>
    </w:p>
    <w:p>
      <w:pPr>
        <w:spacing w:after="0" w:line="177"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Any financial statement required to be delivered pursuant to this Section 6.1 shall be deemed to have been delivered on the date on which the Borrower posts such financial statement on its website on the Internet at www.scotts.com or when such financial statement is posted on the SEC's website on the Internet at www.sec.gov; provided that the Borrower shall give notice of any such posting to the Administrative Agent (who shall then give notice of any such posting to the Lenders); provided, further, that the Borrower shall deliver paper copies of any financial statement referred to in this Section 6.1 to the Administrative Agent if the Administrative Agent or any Lender requests the Borrower to deliver such paper copies until written notice to cease delivering such paper copies is given by the Administrative Agent.</w:t>
      </w:r>
    </w:p>
    <w:p>
      <w:pPr>
        <w:spacing w:after="0" w:line="189" w:lineRule="exact"/>
        <w:rPr>
          <w:sz w:val="20"/>
          <w:szCs w:val="20"/>
          <w:color w:val="auto"/>
        </w:rPr>
      </w:pPr>
    </w:p>
    <w:p>
      <w:pPr>
        <w:ind w:right="2839" w:firstLine="1135"/>
        <w:spacing w:after="0" w:line="237" w:lineRule="auto"/>
        <w:rPr>
          <w:sz w:val="20"/>
          <w:szCs w:val="20"/>
          <w:color w:val="auto"/>
        </w:rPr>
      </w:pPr>
      <w:r>
        <w:rPr>
          <w:rFonts w:ascii="Courier New" w:cs="Courier New" w:eastAsia="Courier New" w:hAnsi="Courier New"/>
          <w:sz w:val="16"/>
          <w:szCs w:val="16"/>
          <w:color w:val="auto"/>
        </w:rPr>
        <w:t>6.2 Certificates; Other Information. Furnish to the Administrative Agent and each Lender:</w:t>
      </w:r>
    </w:p>
    <w:p>
      <w:pPr>
        <w:sectPr>
          <w:pgSz w:w="11900" w:h="16838" w:orient="portrait"/>
          <w:cols w:equalWidth="0" w:num="1">
            <w:col w:w="10219"/>
          </w:cols>
          <w:pgMar w:left="240" w:top="477" w:right="1440" w:bottom="1440" w:gutter="0" w:footer="0" w:header="0"/>
        </w:sectPr>
      </w:pPr>
    </w:p>
    <w:bookmarkStart w:id="472" w:name="page473"/>
    <w:bookmarkEnd w:id="472"/>
    <w:p>
      <w:pPr>
        <w:jc w:val="right"/>
        <w:ind w:right="2659"/>
        <w:spacing w:after="0"/>
        <w:rPr>
          <w:sz w:val="20"/>
          <w:szCs w:val="20"/>
          <w:color w:val="auto"/>
        </w:rPr>
      </w:pPr>
      <w:r>
        <w:rPr>
          <w:rFonts w:ascii="Courier New" w:cs="Courier New" w:eastAsia="Courier New" w:hAnsi="Courier New"/>
          <w:sz w:val="16"/>
          <w:szCs w:val="16"/>
          <w:color w:val="auto"/>
        </w:rPr>
        <w:t>73</w:t>
      </w:r>
    </w:p>
    <w:p>
      <w:pPr>
        <w:spacing w:after="0" w:line="368" w:lineRule="exact"/>
        <w:rPr>
          <w:sz w:val="20"/>
          <w:szCs w:val="20"/>
          <w:color w:val="auto"/>
        </w:rPr>
      </w:pPr>
    </w:p>
    <w:p>
      <w:pPr>
        <w:ind w:right="2659" w:firstLine="572"/>
        <w:spacing w:after="0" w:line="256" w:lineRule="auto"/>
        <w:tabs>
          <w:tab w:leader="none" w:pos="946" w:val="left"/>
        </w:tabs>
        <w:numPr>
          <w:ilvl w:val="1"/>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the delivery of the financial statements referred to in subsection 6.1(a) above, a certificate of the independent certified public accountants certifying such financial statements (i) stating that in making the examination necessary therefor no knowledge was obtained of any Default or Event of Default, except as specified in such certificate, (ii) showing in detail the calculations supporting such statement in respect of subsections 6.9, 6.10, 7.4, 7.5 and 7.6 and (iii) to the extent not previously disclosed to the Administrative Agent, a listing of any county or state within the United States where any Loan Party keeps inventory or equipment and of any Intellectual Property (as defined in the Guarantee and Collateral Agreement referred to in clause</w:t>
      </w:r>
    </w:p>
    <w:p>
      <w:pPr>
        <w:spacing w:after="0" w:line="6" w:lineRule="exact"/>
        <w:rPr>
          <w:rFonts w:ascii="Courier New" w:cs="Courier New" w:eastAsia="Courier New" w:hAnsi="Courier New"/>
          <w:sz w:val="15"/>
          <w:szCs w:val="15"/>
          <w:color w:val="auto"/>
        </w:rPr>
      </w:pPr>
    </w:p>
    <w:p>
      <w:pPr>
        <w:ind w:right="2939" w:firstLine="4"/>
        <w:spacing w:after="0" w:line="239" w:lineRule="auto"/>
        <w:tabs>
          <w:tab w:leader="none" w:pos="378" w:val="left"/>
        </w:tabs>
        <w:numPr>
          <w:ilvl w:val="0"/>
          <w:numId w:val="5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definition of "Guarantee and Collateral Agreement" in subsection 1.1) acquired by any Loan Party since the date of the most recent list delivered pursuant to this clause (iii) (or, in the case of the first such list so delivered, since the Closing Date);</w:t>
      </w:r>
    </w:p>
    <w:p>
      <w:pPr>
        <w:spacing w:after="0" w:line="187" w:lineRule="exact"/>
        <w:rPr>
          <w:rFonts w:ascii="Courier New" w:cs="Courier New" w:eastAsia="Courier New" w:hAnsi="Courier New"/>
          <w:sz w:val="16"/>
          <w:szCs w:val="16"/>
          <w:color w:val="auto"/>
        </w:rPr>
      </w:pPr>
    </w:p>
    <w:p>
      <w:pPr>
        <w:ind w:right="2759" w:firstLine="572"/>
        <w:spacing w:after="0"/>
        <w:tabs>
          <w:tab w:leader="none" w:pos="946" w:val="left"/>
        </w:tabs>
        <w:numPr>
          <w:ilvl w:val="1"/>
          <w:numId w:val="5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delivery of the financial statements referred to above, a certificate from the auditing accountants (for the year-end statements) or a Responsible Officer of the Borrower (for all statements) stating that, to the best of such Responsible Officer's knowledge, the Borrower and each of its Material Subsidiaries during such period has observed or performed in all material respects all of its material covenants and other agreements, and satisfied every condition contained in this Agreement, any Notes and the Guarantee and Collateral Agreements to be observed, performed or satisfied by it, and that such Officer has obtained no knowledge of any Default or Event of Default except as specified in such certificate, and showing in detail the calculations supporting such statement in respect of subsections 6.9, 6.10, 7.4, 7.5 and 7.6;</w:t>
      </w:r>
    </w:p>
    <w:p>
      <w:pPr>
        <w:spacing w:after="0" w:line="190" w:lineRule="exact"/>
        <w:rPr>
          <w:rFonts w:ascii="Courier New" w:cs="Courier New" w:eastAsia="Courier New" w:hAnsi="Courier New"/>
          <w:sz w:val="16"/>
          <w:szCs w:val="16"/>
          <w:color w:val="auto"/>
        </w:rPr>
      </w:pPr>
    </w:p>
    <w:p>
      <w:pPr>
        <w:ind w:right="2659" w:firstLine="572"/>
        <w:spacing w:after="0" w:line="257" w:lineRule="auto"/>
        <w:tabs>
          <w:tab w:leader="none" w:pos="946" w:val="left"/>
        </w:tabs>
        <w:numPr>
          <w:ilvl w:val="1"/>
          <w:numId w:val="5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no later than 90 days after the end of each fiscal year of the Borrower, a detailed consolidated budget for the following fiscal year (including a projected consolidated balance sheet of the Borrower and its Subsidiaries as of the end of the following fiscal year, the related consolidated statements of projected cash flow, projected changes in financial position and projected income and a description of the underlying assumptions applicable thereto), and, as soon as available, significant revisions, if any, of such budget and projections with respect to such fiscal year (collectively, the "Projections"), which Projections shall in each case be accompanied by a certificate of a Responsible Officer stating that such Projections are based on reasonable estimates, information and assumptions and that such Responsible Officer has no reason to believe that such Projections are incorrect or misleading in any material respect;</w:t>
      </w:r>
    </w:p>
    <w:p>
      <w:pPr>
        <w:spacing w:after="0" w:line="180" w:lineRule="exact"/>
        <w:rPr>
          <w:rFonts w:ascii="Courier New" w:cs="Courier New" w:eastAsia="Courier New" w:hAnsi="Courier New"/>
          <w:sz w:val="15"/>
          <w:szCs w:val="15"/>
          <w:color w:val="auto"/>
        </w:rPr>
      </w:pPr>
    </w:p>
    <w:p>
      <w:pPr>
        <w:ind w:right="2839" w:firstLine="572"/>
        <w:spacing w:after="0" w:line="239" w:lineRule="auto"/>
        <w:tabs>
          <w:tab w:leader="none" w:pos="946" w:val="left"/>
        </w:tabs>
        <w:numPr>
          <w:ilvl w:val="1"/>
          <w:numId w:val="5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later than 5 Business Days prior to the effectiveness thereof, copies of substantially final drafts of any proposed amendment, supplement, waiver or other modification with respect to the Refinancing Agreements;</w:t>
      </w:r>
    </w:p>
    <w:p>
      <w:pPr>
        <w:spacing w:after="0" w:line="187" w:lineRule="exact"/>
        <w:rPr>
          <w:rFonts w:ascii="Courier New" w:cs="Courier New" w:eastAsia="Courier New" w:hAnsi="Courier New"/>
          <w:sz w:val="16"/>
          <w:szCs w:val="16"/>
          <w:color w:val="auto"/>
        </w:rPr>
      </w:pPr>
    </w:p>
    <w:p>
      <w:pPr>
        <w:ind w:right="2759" w:firstLine="572"/>
        <w:spacing w:after="0" w:line="239" w:lineRule="auto"/>
        <w:tabs>
          <w:tab w:leader="none" w:pos="946" w:val="left"/>
        </w:tabs>
        <w:numPr>
          <w:ilvl w:val="1"/>
          <w:numId w:val="5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delivery of the financial statements referred to in subsection 6.1(a) and (b) above, a written discussion and analysis (in a form and detail substantially similar to that contained in the Form 10-K or Form 10-Q filed by the Borrower with the Securities and Exchange Commission for the period covered by such financial statements) by the Borrower with respect to the period covered by such financial statements;</w:t>
      </w:r>
    </w:p>
    <w:p>
      <w:pPr>
        <w:sectPr>
          <w:pgSz w:w="11900" w:h="16838" w:orient="portrait"/>
          <w:cols w:equalWidth="0" w:num="1">
            <w:col w:w="9659"/>
          </w:cols>
          <w:pgMar w:left="800" w:top="476" w:right="1440" w:bottom="1440" w:gutter="0" w:footer="0" w:header="0"/>
        </w:sectPr>
      </w:pPr>
    </w:p>
    <w:bookmarkStart w:id="473" w:name="page474"/>
    <w:bookmarkEnd w:id="473"/>
    <w:p>
      <w:pPr>
        <w:jc w:val="right"/>
        <w:ind w:right="2659"/>
        <w:spacing w:after="0"/>
        <w:rPr>
          <w:sz w:val="20"/>
          <w:szCs w:val="20"/>
          <w:color w:val="auto"/>
        </w:rPr>
      </w:pPr>
      <w:r>
        <w:rPr>
          <w:rFonts w:ascii="Courier New" w:cs="Courier New" w:eastAsia="Courier New" w:hAnsi="Courier New"/>
          <w:sz w:val="16"/>
          <w:szCs w:val="16"/>
          <w:color w:val="auto"/>
        </w:rPr>
        <w:t>74</w:t>
      </w:r>
    </w:p>
    <w:p>
      <w:pPr>
        <w:spacing w:after="0" w:line="186" w:lineRule="exact"/>
        <w:rPr>
          <w:sz w:val="20"/>
          <w:szCs w:val="20"/>
          <w:color w:val="auto"/>
        </w:rPr>
      </w:pPr>
    </w:p>
    <w:p>
      <w:pPr>
        <w:ind w:left="560" w:right="2659" w:firstLine="572"/>
        <w:spacing w:after="0"/>
        <w:tabs>
          <w:tab w:leader="none" w:pos="1506" w:val="left"/>
        </w:tabs>
        <w:numPr>
          <w:ilvl w:val="0"/>
          <w:numId w:val="5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same are sent and received, copies of all financial statements, reports and notices which the Borrower or any of its Subsidiaries sends to its shareholders and promptly after the same are filed and received, copies of all financial statements and reports which the Borrower or any of its Subsidiaries may make to, or file with, and copies of all material notices the Borrower or any such Subsidiary receives from, the Securities and Exchange Commission or any public body succeeding to any or all of the functions of the Securities and Exchange Commission;</w:t>
      </w:r>
    </w:p>
    <w:p>
      <w:pPr>
        <w:spacing w:after="0" w:line="187" w:lineRule="exact"/>
        <w:rPr>
          <w:rFonts w:ascii="Courier New" w:cs="Courier New" w:eastAsia="Courier New" w:hAnsi="Courier New"/>
          <w:sz w:val="16"/>
          <w:szCs w:val="16"/>
          <w:color w:val="auto"/>
        </w:rPr>
      </w:pPr>
    </w:p>
    <w:p>
      <w:pPr>
        <w:ind w:left="560" w:right="2659" w:firstLine="572"/>
        <w:spacing w:after="0" w:line="258" w:lineRule="auto"/>
        <w:tabs>
          <w:tab w:leader="none" w:pos="1506" w:val="left"/>
        </w:tabs>
        <w:numPr>
          <w:ilvl w:val="0"/>
          <w:numId w:val="5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receipt thereof, copies of all final reports submitted to the Borrower by independent certified public accountants in connection with each annual, interim or special audit of the books of the Borrower or any of its Subsidiaries made by such accountants, including, without limitation, any final comment letter submitted by such accountants to management in connection with their annual audit; and</w:t>
      </w:r>
    </w:p>
    <w:p>
      <w:pPr>
        <w:spacing w:after="0" w:line="177" w:lineRule="exact"/>
        <w:rPr>
          <w:rFonts w:ascii="Courier New" w:cs="Courier New" w:eastAsia="Courier New" w:hAnsi="Courier New"/>
          <w:sz w:val="15"/>
          <w:szCs w:val="15"/>
          <w:color w:val="auto"/>
        </w:rPr>
      </w:pPr>
    </w:p>
    <w:p>
      <w:pPr>
        <w:jc w:val="both"/>
        <w:ind w:left="560" w:right="2759" w:firstLine="572"/>
        <w:spacing w:after="0" w:line="238" w:lineRule="auto"/>
        <w:tabs>
          <w:tab w:leader="none" w:pos="1506" w:val="left"/>
        </w:tabs>
        <w:numPr>
          <w:ilvl w:val="0"/>
          <w:numId w:val="5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on reasonable notice to the Borrower, such additional financial and other information as the Administrative Agent or any Lender may from time to time reasonably request.</w:t>
      </w:r>
    </w:p>
    <w:p>
      <w:pPr>
        <w:spacing w:after="0" w:line="188" w:lineRule="exact"/>
        <w:rPr>
          <w:sz w:val="20"/>
          <w:szCs w:val="20"/>
          <w:color w:val="auto"/>
        </w:rPr>
      </w:pPr>
    </w:p>
    <w:p>
      <w:pPr>
        <w:ind w:right="2659" w:firstLine="1135"/>
        <w:spacing w:after="0" w:line="258" w:lineRule="auto"/>
        <w:rPr>
          <w:sz w:val="20"/>
          <w:szCs w:val="20"/>
          <w:color w:val="auto"/>
        </w:rPr>
      </w:pPr>
      <w:r>
        <w:rPr>
          <w:rFonts w:ascii="Courier New" w:cs="Courier New" w:eastAsia="Courier New" w:hAnsi="Courier New"/>
          <w:sz w:val="15"/>
          <w:szCs w:val="15"/>
          <w:color w:val="auto"/>
        </w:rPr>
        <w:t>6.3 Payment of Obligations. Pay, discharge or otherwise satisfy at or before maturity or before they become delinquent, as the case may be, all its Indebtedness and other material obligations of whatever nature, except, without prejudice to the effectiveness of paragraph (e) of Section 8 hereof for any Indebtedness or other obligations (including any obligations for taxes), when the amount or validity thereof is currently being contested in good faith by appropriate proceedings and reserves in conformity with GAAP with respect thereto have been provided on the books of the Borrower or its Subsidiaries, as the case may be, and except for trade accounts payable incurred in the ordinary course of business which are paid in accordance with normal industry practice.</w:t>
      </w:r>
    </w:p>
    <w:p>
      <w:pPr>
        <w:spacing w:after="0" w:line="174"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6.4 Compliance with Laws. Comply with all laws, rules, regulations and orders of any Governmental Authority and any Contractual Obligations applicable to it or its property, except where the failure to do so, individually or in the aggregate, could not reasonably be expected to result in a Material Adverse Effect.</w:t>
      </w:r>
    </w:p>
    <w:p>
      <w:pPr>
        <w:spacing w:after="0" w:line="189" w:lineRule="exact"/>
        <w:rPr>
          <w:sz w:val="20"/>
          <w:szCs w:val="20"/>
          <w:color w:val="auto"/>
        </w:rPr>
      </w:pPr>
    </w:p>
    <w:p>
      <w:pPr>
        <w:ind w:right="2659" w:firstLine="1135"/>
        <w:spacing w:after="0" w:line="258" w:lineRule="auto"/>
        <w:rPr>
          <w:sz w:val="20"/>
          <w:szCs w:val="20"/>
          <w:color w:val="auto"/>
        </w:rPr>
      </w:pPr>
      <w:r>
        <w:rPr>
          <w:rFonts w:ascii="Courier New" w:cs="Courier New" w:eastAsia="Courier New" w:hAnsi="Courier New"/>
          <w:sz w:val="15"/>
          <w:szCs w:val="15"/>
          <w:color w:val="auto"/>
        </w:rPr>
        <w:t>6.5 Conduct of Business and Maintenance of Existence. Continue to engage in business of the same general type as now conducted by it and, except as may be permitted under subsection 7.3, preserve, renew and keep in full force and effect its corporate existence and take all reasonable action to maintain all material rights, privileges, contracts, copyrights, patents, trademarks, tradenames and franchises necessary or desirable in the normal conduct of its business; and comply with all of its Contractual Obligations and Requirements of Law except to the extent that the failure to comply therewith could not, in the aggregate, reasonably be expected to have a Material Adverse Effect.</w:t>
      </w:r>
    </w:p>
    <w:p>
      <w:pPr>
        <w:spacing w:after="0" w:line="175" w:lineRule="exact"/>
        <w:rPr>
          <w:sz w:val="20"/>
          <w:szCs w:val="20"/>
          <w:color w:val="auto"/>
        </w:rPr>
      </w:pPr>
    </w:p>
    <w:p>
      <w:pPr>
        <w:ind w:right="2659" w:firstLine="1135"/>
        <w:spacing w:after="0" w:line="258" w:lineRule="auto"/>
        <w:rPr>
          <w:sz w:val="20"/>
          <w:szCs w:val="20"/>
          <w:color w:val="auto"/>
        </w:rPr>
      </w:pPr>
      <w:r>
        <w:rPr>
          <w:rFonts w:ascii="Courier New" w:cs="Courier New" w:eastAsia="Courier New" w:hAnsi="Courier New"/>
          <w:sz w:val="15"/>
          <w:szCs w:val="15"/>
          <w:color w:val="auto"/>
        </w:rPr>
        <w:t>6.6 Maintenance of Property, Insurance. Keep all property useful and necessary in its business in good working order and condition; maintain with financially sound and reputable insurance companies insurance on all its property in at least such amounts and against at least such risks (but including in any event public liability, product liability and business interruption insurance) as are usually insured against in the same general area by companies</w:t>
      </w:r>
    </w:p>
    <w:p>
      <w:pPr>
        <w:sectPr>
          <w:pgSz w:w="11900" w:h="16838" w:orient="portrait"/>
          <w:cols w:equalWidth="0" w:num="1">
            <w:col w:w="10219"/>
          </w:cols>
          <w:pgMar w:left="240" w:top="658" w:right="1440" w:bottom="1440" w:gutter="0" w:footer="0" w:header="0"/>
        </w:sectPr>
      </w:pPr>
    </w:p>
    <w:bookmarkStart w:id="474" w:name="page475"/>
    <w:bookmarkEnd w:id="474"/>
    <w:p>
      <w:pPr>
        <w:jc w:val="right"/>
        <w:ind w:right="2659"/>
        <w:spacing w:after="0"/>
        <w:rPr>
          <w:sz w:val="20"/>
          <w:szCs w:val="20"/>
          <w:color w:val="auto"/>
        </w:rPr>
      </w:pPr>
      <w:r>
        <w:rPr>
          <w:rFonts w:ascii="Courier New" w:cs="Courier New" w:eastAsia="Courier New" w:hAnsi="Courier New"/>
          <w:sz w:val="16"/>
          <w:szCs w:val="16"/>
          <w:color w:val="auto"/>
        </w:rPr>
        <w:t>75</w:t>
      </w:r>
    </w:p>
    <w:p>
      <w:pPr>
        <w:spacing w:after="0" w:line="368" w:lineRule="exact"/>
        <w:rPr>
          <w:sz w:val="20"/>
          <w:szCs w:val="20"/>
          <w:color w:val="auto"/>
        </w:rPr>
      </w:pPr>
    </w:p>
    <w:p>
      <w:pPr>
        <w:ind w:right="3119"/>
        <w:spacing w:after="0" w:line="237" w:lineRule="auto"/>
        <w:rPr>
          <w:sz w:val="20"/>
          <w:szCs w:val="20"/>
          <w:color w:val="auto"/>
        </w:rPr>
      </w:pPr>
      <w:r>
        <w:rPr>
          <w:rFonts w:ascii="Courier New" w:cs="Courier New" w:eastAsia="Courier New" w:hAnsi="Courier New"/>
          <w:sz w:val="16"/>
          <w:szCs w:val="16"/>
          <w:color w:val="auto"/>
        </w:rPr>
        <w:t>engaged in the same or a similar business; and furnish to each Lender, upon written request, reasonable information as to the insurance carried.</w:t>
      </w:r>
    </w:p>
    <w:p>
      <w:pPr>
        <w:spacing w:after="0" w:line="188"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6.7 Inspection of Property; Books and Records; Discussions. Keep proper books of record and account in which full, true and correct entries in conformity with GAAP and all Requirements of Law shall be made of all dealings and transactions in relation to its business and activities; and permit representatives of the Administrative Agent or upon the occurrence and during the continuance of an Event of Default, the Lenders to visit and inspect any of its properties, and examine and make abstracts from any of its books and records at the Borrower's expense, at any reasonable time and as often as may reasonably be requested, and to discuss the business, operations, properties and financial and other condition of the Borrower and its Subsidiaries with officers and employees of the Borrower and its Subsidiaries and with its independent certified public accountants.</w:t>
      </w:r>
    </w:p>
    <w:p>
      <w:pPr>
        <w:spacing w:after="0" w:line="189" w:lineRule="exact"/>
        <w:rPr>
          <w:sz w:val="20"/>
          <w:szCs w:val="20"/>
          <w:color w:val="auto"/>
        </w:rPr>
      </w:pPr>
    </w:p>
    <w:p>
      <w:pPr>
        <w:ind w:right="2839" w:firstLine="1135"/>
        <w:spacing w:after="0" w:line="238" w:lineRule="auto"/>
        <w:rPr>
          <w:sz w:val="20"/>
          <w:szCs w:val="20"/>
          <w:color w:val="auto"/>
        </w:rPr>
      </w:pPr>
      <w:r>
        <w:rPr>
          <w:rFonts w:ascii="Courier New" w:cs="Courier New" w:eastAsia="Courier New" w:hAnsi="Courier New"/>
          <w:sz w:val="16"/>
          <w:szCs w:val="16"/>
          <w:color w:val="auto"/>
        </w:rPr>
        <w:t>6.8 Notices. Promptly give notice to the Administrative Agent and each Lender (and, in the case of clauses (a), (b) and (c), in any event within five Business Days after learning thereof):</w:t>
      </w:r>
    </w:p>
    <w:p>
      <w:pPr>
        <w:spacing w:after="0" w:line="366" w:lineRule="exact"/>
        <w:rPr>
          <w:sz w:val="20"/>
          <w:szCs w:val="20"/>
          <w:color w:val="auto"/>
        </w:rPr>
      </w:pPr>
    </w:p>
    <w:p>
      <w:pPr>
        <w:ind w:left="1520" w:hanging="388"/>
        <w:spacing w:after="0"/>
        <w:tabs>
          <w:tab w:leader="none" w:pos="1520" w:val="left"/>
        </w:tabs>
        <w:numPr>
          <w:ilvl w:val="0"/>
          <w:numId w:val="5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occurrence of any Default or Event of Default;</w:t>
      </w:r>
    </w:p>
    <w:p>
      <w:pPr>
        <w:spacing w:after="0" w:line="186" w:lineRule="exact"/>
        <w:rPr>
          <w:rFonts w:ascii="Courier New" w:cs="Courier New" w:eastAsia="Courier New" w:hAnsi="Courier New"/>
          <w:sz w:val="16"/>
          <w:szCs w:val="16"/>
          <w:color w:val="auto"/>
        </w:rPr>
      </w:pPr>
    </w:p>
    <w:p>
      <w:pPr>
        <w:ind w:left="560" w:right="2659" w:firstLine="572"/>
        <w:spacing w:after="0" w:line="239" w:lineRule="auto"/>
        <w:tabs>
          <w:tab w:leader="none" w:pos="1506" w:val="left"/>
        </w:tabs>
        <w:numPr>
          <w:ilvl w:val="0"/>
          <w:numId w:val="5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any (i) default or event of default under any material Contractual Obligation of the Borrower or any of its Material Subsidiaries or (ii) litigation, investigation or proceeding which may exist at any time between the Borrower or any of its Subsidiaries and any Governmental Authority, which, if adversely determined, would reasonably be expected to have a Material Adverse Effect;</w:t>
      </w:r>
    </w:p>
    <w:p>
      <w:pPr>
        <w:spacing w:after="0" w:line="190" w:lineRule="exact"/>
        <w:rPr>
          <w:rFonts w:ascii="Courier New" w:cs="Courier New" w:eastAsia="Courier New" w:hAnsi="Courier New"/>
          <w:sz w:val="16"/>
          <w:szCs w:val="16"/>
          <w:color w:val="auto"/>
        </w:rPr>
      </w:pPr>
    </w:p>
    <w:p>
      <w:pPr>
        <w:ind w:left="560" w:right="2659" w:firstLine="572"/>
        <w:spacing w:after="0" w:line="258" w:lineRule="auto"/>
        <w:tabs>
          <w:tab w:leader="none" w:pos="1506" w:val="left"/>
        </w:tabs>
        <w:numPr>
          <w:ilvl w:val="0"/>
          <w:numId w:val="5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litigation or proceeding affecting the Borrower or any of its Subsidiaries (i) (A) in which the amount of liability asserted against the Borrower and its Subsidiaries is $5,000,000 or more and not covered by insurance and (B) which, in the reasonable opinion of a Responsible Officer of the Borrower, if adversely determined, would reasonably be expected to have a Material Adverse Effect or (ii) in which injunctive or similar relief is sought and which, in the reasonable opinion of a Responsible Officer of the Borrower, if adversely determined, would reasonably be expected to have a Material Adverse Effect;</w:t>
      </w:r>
    </w:p>
    <w:p>
      <w:pPr>
        <w:spacing w:after="0" w:line="174" w:lineRule="exact"/>
        <w:rPr>
          <w:rFonts w:ascii="Courier New" w:cs="Courier New" w:eastAsia="Courier New" w:hAnsi="Courier New"/>
          <w:sz w:val="15"/>
          <w:szCs w:val="15"/>
          <w:color w:val="auto"/>
        </w:rPr>
      </w:pPr>
    </w:p>
    <w:p>
      <w:pPr>
        <w:ind w:left="560" w:right="2659" w:firstLine="572"/>
        <w:spacing w:after="0" w:line="257" w:lineRule="auto"/>
        <w:tabs>
          <w:tab w:leader="none" w:pos="1506" w:val="left"/>
        </w:tabs>
        <w:numPr>
          <w:ilvl w:val="0"/>
          <w:numId w:val="5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following events, as soon as possible and in any event within 30 days after the Borrower knows or has reason to know thereof: (i) the occurrence of any Reportable Event with respect to any Plan, or (ii) the institution of proceedings or the taking or expected taking of any other action by PBGC or the Borrower or any Commonly Controlled Entity to terminate or withdraw or partially withdraw from any Plan under circumstances which could lead to material liability to the PBGC or, with respect to a Multi-employer Plan, the Reorganization or Insolvency (as each such term is defined in ERISA) of the Plan and in addition to such notice, deliver to the Administrative Agent and each Lender whichever of the following may be applicable: (A) a certificate of a Responsible Officer of the Borrower setting forth details as to such Reportable Event and the action that the Borrower or a Commonly Controlled Entity proposes to take with respect thereto, together with a copy of any notice of such</w:t>
      </w:r>
    </w:p>
    <w:p>
      <w:pPr>
        <w:sectPr>
          <w:pgSz w:w="11900" w:h="16838" w:orient="portrait"/>
          <w:cols w:equalWidth="0" w:num="1">
            <w:col w:w="10219"/>
          </w:cols>
          <w:pgMar w:left="240" w:top="477" w:right="1440" w:bottom="1440" w:gutter="0" w:footer="0" w:header="0"/>
        </w:sectPr>
      </w:pPr>
    </w:p>
    <w:bookmarkStart w:id="475" w:name="page476"/>
    <w:bookmarkEnd w:id="475"/>
    <w:p>
      <w:pPr>
        <w:jc w:val="right"/>
        <w:ind w:right="2659"/>
        <w:spacing w:after="0"/>
        <w:rPr>
          <w:sz w:val="20"/>
          <w:szCs w:val="20"/>
          <w:color w:val="auto"/>
        </w:rPr>
      </w:pPr>
      <w:r>
        <w:rPr>
          <w:rFonts w:ascii="Courier New" w:cs="Courier New" w:eastAsia="Courier New" w:hAnsi="Courier New"/>
          <w:sz w:val="16"/>
          <w:szCs w:val="16"/>
          <w:color w:val="auto"/>
        </w:rPr>
        <w:t>76</w:t>
      </w:r>
    </w:p>
    <w:p>
      <w:pPr>
        <w:spacing w:after="0" w:line="368" w:lineRule="exact"/>
        <w:rPr>
          <w:sz w:val="20"/>
          <w:szCs w:val="20"/>
          <w:color w:val="auto"/>
        </w:rPr>
      </w:pPr>
    </w:p>
    <w:p>
      <w:pPr>
        <w:ind w:left="560" w:right="2839"/>
        <w:spacing w:after="0" w:line="239" w:lineRule="auto"/>
        <w:rPr>
          <w:sz w:val="20"/>
          <w:szCs w:val="20"/>
          <w:color w:val="auto"/>
        </w:rPr>
      </w:pPr>
      <w:r>
        <w:rPr>
          <w:rFonts w:ascii="Courier New" w:cs="Courier New" w:eastAsia="Courier New" w:hAnsi="Courier New"/>
          <w:sz w:val="16"/>
          <w:szCs w:val="16"/>
          <w:color w:val="auto"/>
        </w:rPr>
        <w:t>Reportable Event that may be required to be filed with PBGC, or (B) any notice delivered by PBGC evidencing its intent to institute such proceedings or any notice to PBGC that such Plan is to be terminated, as the case may be; and</w:t>
      </w:r>
    </w:p>
    <w:p>
      <w:pPr>
        <w:spacing w:after="0" w:line="187" w:lineRule="exact"/>
        <w:rPr>
          <w:sz w:val="20"/>
          <w:szCs w:val="20"/>
          <w:color w:val="auto"/>
        </w:rPr>
      </w:pPr>
    </w:p>
    <w:p>
      <w:pPr>
        <w:ind w:right="2659" w:firstLine="1132"/>
        <w:spacing w:after="0" w:line="239" w:lineRule="auto"/>
        <w:tabs>
          <w:tab w:leader="none" w:pos="1513" w:val="left"/>
        </w:tabs>
        <w:numPr>
          <w:ilvl w:val="0"/>
          <w:numId w:val="5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decision or other action of any Governmental Authority which cancels, limits, or otherwise restricts the use or sale of any of the products (including any of the material active ingredients in any of the products) of the Borrower or any of its Subsidiaries; and</w:t>
      </w:r>
    </w:p>
    <w:p>
      <w:pPr>
        <w:spacing w:after="0" w:line="187" w:lineRule="exact"/>
        <w:rPr>
          <w:rFonts w:ascii="Courier New" w:cs="Courier New" w:eastAsia="Courier New" w:hAnsi="Courier New"/>
          <w:sz w:val="16"/>
          <w:szCs w:val="16"/>
          <w:color w:val="auto"/>
        </w:rPr>
      </w:pPr>
    </w:p>
    <w:p>
      <w:pPr>
        <w:ind w:right="2659" w:firstLine="1132"/>
        <w:spacing w:after="0" w:line="237" w:lineRule="auto"/>
        <w:tabs>
          <w:tab w:leader="none" w:pos="1513" w:val="left"/>
        </w:tabs>
        <w:numPr>
          <w:ilvl w:val="0"/>
          <w:numId w:val="5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any event, act or omission which would reasonably be expected to have a Material Adverse Effect.</w:t>
      </w:r>
    </w:p>
    <w:p>
      <w:pPr>
        <w:spacing w:after="0" w:line="188"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Each notice pursuant to subsections (a) through (e) of this subsection 6.7 shall be accompanied by a statement of the Chief Executive Officer or Chief Financial Officer or other Responsible Officer of the Borrower setting forth details of the occurrence referred to therein and stating what action the Borrower proposes to take with respect thereto. For all purposes of clause (d) of this subsection 6.7, the Borrower shall be deemed to have knowledge of all facts attributable to the administrator of such Plan.</w:t>
      </w:r>
    </w:p>
    <w:p>
      <w:pPr>
        <w:spacing w:after="0" w:line="192" w:lineRule="exact"/>
        <w:rPr>
          <w:sz w:val="20"/>
          <w:szCs w:val="20"/>
          <w:color w:val="auto"/>
        </w:rPr>
      </w:pPr>
    </w:p>
    <w:p>
      <w:pPr>
        <w:ind w:right="2839" w:firstLine="1135"/>
        <w:spacing w:after="0" w:line="239" w:lineRule="auto"/>
        <w:rPr>
          <w:sz w:val="20"/>
          <w:szCs w:val="20"/>
          <w:color w:val="auto"/>
        </w:rPr>
      </w:pPr>
      <w:r>
        <w:rPr>
          <w:rFonts w:ascii="Courier New" w:cs="Courier New" w:eastAsia="Courier New" w:hAnsi="Courier New"/>
          <w:sz w:val="16"/>
          <w:szCs w:val="16"/>
          <w:color w:val="auto"/>
        </w:rPr>
        <w:t>6.9 Interest Coverage. At each quarterly date set forth below with respect to the fiscal quarter of the Borrower then ending maintain the Minimum Interest Coverage of the Borrower at not less than the applicable ratio set forth opposite each such date: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20" w:type="dxa"/>
            <w:vAlign w:val="bottom"/>
          </w:tcPr>
          <w:p>
            <w:pPr>
              <w:spacing w:after="0"/>
              <w:rPr>
                <w:sz w:val="20"/>
                <w:szCs w:val="20"/>
                <w:color w:val="auto"/>
              </w:rPr>
            </w:pPr>
            <w:r>
              <w:rPr>
                <w:rFonts w:ascii="Courier New" w:cs="Courier New" w:eastAsia="Courier New" w:hAnsi="Courier New"/>
                <w:sz w:val="16"/>
                <w:szCs w:val="16"/>
                <w:color w:val="auto"/>
              </w:rPr>
              <w:t>Date</w:t>
            </w:r>
          </w:p>
        </w:tc>
        <w:tc>
          <w:tcPr>
            <w:tcW w:w="76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Courier New" w:cs="Courier New" w:eastAsia="Courier New" w:hAnsi="Courier New"/>
                <w:sz w:val="16"/>
                <w:szCs w:val="16"/>
                <w:color w:val="auto"/>
              </w:rPr>
              <w:t>Ratio</w:t>
            </w:r>
          </w:p>
        </w:tc>
      </w:tr>
      <w:tr>
        <w:trPr>
          <w:trHeight w:val="182"/>
        </w:trPr>
        <w:tc>
          <w:tcPr>
            <w:tcW w:w="31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760" w:type="dxa"/>
            <w:vAlign w:val="bottom"/>
          </w:tcPr>
          <w:p>
            <w:pPr>
              <w:spacing w:after="0"/>
              <w:rPr>
                <w:sz w:val="15"/>
                <w:szCs w:val="15"/>
                <w:color w:val="auto"/>
              </w:rPr>
            </w:pPr>
          </w:p>
        </w:tc>
        <w:tc>
          <w:tcPr>
            <w:tcW w:w="760" w:type="dxa"/>
            <w:vAlign w:val="bottom"/>
          </w:tcPr>
          <w:p>
            <w:pPr>
              <w:jc w:val="center"/>
              <w:ind w:left="1"/>
              <w:spacing w:after="0"/>
              <w:rPr>
                <w:sz w:val="20"/>
                <w:szCs w:val="20"/>
                <w:color w:val="auto"/>
              </w:rPr>
            </w:pPr>
            <w:r>
              <w:rPr>
                <w:rFonts w:ascii="Courier New" w:cs="Courier New" w:eastAsia="Courier New" w:hAnsi="Courier New"/>
                <w:sz w:val="16"/>
                <w:szCs w:val="16"/>
                <w:color w:val="auto"/>
                <w:w w:val="99"/>
              </w:rPr>
              <w:t>-----</w:t>
            </w:r>
          </w:p>
        </w:tc>
      </w:tr>
      <w:tr>
        <w:trPr>
          <w:trHeight w:val="364"/>
        </w:trPr>
        <w:tc>
          <w:tcPr>
            <w:tcW w:w="3120" w:type="dxa"/>
            <w:vAlign w:val="bottom"/>
          </w:tcPr>
          <w:p>
            <w:pPr>
              <w:spacing w:after="0"/>
              <w:rPr>
                <w:sz w:val="20"/>
                <w:szCs w:val="20"/>
                <w:color w:val="auto"/>
              </w:rPr>
            </w:pPr>
            <w:r>
              <w:rPr>
                <w:rFonts w:ascii="Courier New" w:cs="Courier New" w:eastAsia="Courier New" w:hAnsi="Courier New"/>
                <w:sz w:val="16"/>
                <w:szCs w:val="16"/>
                <w:color w:val="auto"/>
              </w:rPr>
              <w:t>December 31, 2003</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3.00</w:t>
            </w:r>
          </w:p>
        </w:tc>
        <w:tc>
          <w:tcPr>
            <w:tcW w:w="760" w:type="dxa"/>
            <w:vAlign w:val="bottom"/>
          </w:tcPr>
          <w:p>
            <w:pPr>
              <w:jc w:val="center"/>
              <w:ind w:left="1"/>
              <w:spacing w:after="0"/>
              <w:rPr>
                <w:sz w:val="20"/>
                <w:szCs w:val="20"/>
                <w:color w:val="auto"/>
              </w:rPr>
            </w:pPr>
            <w:r>
              <w:rPr>
                <w:rFonts w:ascii="Courier New" w:cs="Courier New" w:eastAsia="Courier New" w:hAnsi="Courier New"/>
                <w:sz w:val="16"/>
                <w:szCs w:val="16"/>
                <w:color w:val="auto"/>
              </w:rPr>
              <w:t>to 1.00</w:t>
            </w:r>
          </w:p>
        </w:tc>
      </w:tr>
      <w:tr>
        <w:trPr>
          <w:trHeight w:val="364"/>
        </w:trPr>
        <w:tc>
          <w:tcPr>
            <w:tcW w:w="3120" w:type="dxa"/>
            <w:vAlign w:val="bottom"/>
          </w:tcPr>
          <w:p>
            <w:pPr>
              <w:spacing w:after="0"/>
              <w:rPr>
                <w:sz w:val="20"/>
                <w:szCs w:val="20"/>
                <w:color w:val="auto"/>
              </w:rPr>
            </w:pPr>
            <w:r>
              <w:rPr>
                <w:rFonts w:ascii="Courier New" w:cs="Courier New" w:eastAsia="Courier New" w:hAnsi="Courier New"/>
                <w:sz w:val="16"/>
                <w:szCs w:val="16"/>
                <w:color w:val="auto"/>
              </w:rPr>
              <w:t>March 31, 2004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3.00</w:t>
            </w:r>
          </w:p>
        </w:tc>
        <w:tc>
          <w:tcPr>
            <w:tcW w:w="760" w:type="dxa"/>
            <w:vAlign w:val="bottom"/>
          </w:tcPr>
          <w:p>
            <w:pPr>
              <w:jc w:val="center"/>
              <w:ind w:left="1"/>
              <w:spacing w:after="0"/>
              <w:rPr>
                <w:sz w:val="20"/>
                <w:szCs w:val="20"/>
                <w:color w:val="auto"/>
              </w:rPr>
            </w:pPr>
            <w:r>
              <w:rPr>
                <w:rFonts w:ascii="Courier New" w:cs="Courier New" w:eastAsia="Courier New" w:hAnsi="Courier New"/>
                <w:sz w:val="16"/>
                <w:szCs w:val="16"/>
                <w:color w:val="auto"/>
              </w:rPr>
              <w:t>to 1.00</w:t>
            </w:r>
          </w:p>
        </w:tc>
      </w:tr>
      <w:tr>
        <w:trPr>
          <w:trHeight w:val="182"/>
        </w:trPr>
        <w:tc>
          <w:tcPr>
            <w:tcW w:w="3120" w:type="dxa"/>
            <w:vAlign w:val="bottom"/>
          </w:tcPr>
          <w:p>
            <w:pPr>
              <w:spacing w:after="0"/>
              <w:rPr>
                <w:sz w:val="20"/>
                <w:szCs w:val="20"/>
                <w:color w:val="auto"/>
              </w:rPr>
            </w:pPr>
            <w:r>
              <w:rPr>
                <w:rFonts w:ascii="Courier New" w:cs="Courier New" w:eastAsia="Courier New" w:hAnsi="Courier New"/>
                <w:sz w:val="16"/>
                <w:szCs w:val="16"/>
                <w:color w:val="auto"/>
              </w:rPr>
              <w:t>June 30, 2004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3.00</w:t>
            </w:r>
          </w:p>
        </w:tc>
        <w:tc>
          <w:tcPr>
            <w:tcW w:w="760" w:type="dxa"/>
            <w:vAlign w:val="bottom"/>
          </w:tcPr>
          <w:p>
            <w:pPr>
              <w:jc w:val="center"/>
              <w:ind w:left="1"/>
              <w:spacing w:after="0"/>
              <w:rPr>
                <w:sz w:val="20"/>
                <w:szCs w:val="20"/>
                <w:color w:val="auto"/>
              </w:rPr>
            </w:pPr>
            <w:r>
              <w:rPr>
                <w:rFonts w:ascii="Courier New" w:cs="Courier New" w:eastAsia="Courier New" w:hAnsi="Courier New"/>
                <w:sz w:val="16"/>
                <w:szCs w:val="16"/>
                <w:color w:val="auto"/>
              </w:rPr>
              <w:t>to 1.00</w:t>
            </w:r>
          </w:p>
        </w:tc>
      </w:tr>
      <w:tr>
        <w:trPr>
          <w:trHeight w:val="182"/>
        </w:trPr>
        <w:tc>
          <w:tcPr>
            <w:tcW w:w="3120" w:type="dxa"/>
            <w:vAlign w:val="bottom"/>
          </w:tcPr>
          <w:p>
            <w:pPr>
              <w:spacing w:after="0"/>
              <w:rPr>
                <w:sz w:val="20"/>
                <w:szCs w:val="20"/>
                <w:color w:val="auto"/>
              </w:rPr>
            </w:pPr>
            <w:r>
              <w:rPr>
                <w:rFonts w:ascii="Courier New" w:cs="Courier New" w:eastAsia="Courier New" w:hAnsi="Courier New"/>
                <w:sz w:val="16"/>
                <w:szCs w:val="16"/>
                <w:color w:val="auto"/>
              </w:rPr>
              <w:t>September 30, 2004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3.00</w:t>
            </w:r>
          </w:p>
        </w:tc>
        <w:tc>
          <w:tcPr>
            <w:tcW w:w="760" w:type="dxa"/>
            <w:vAlign w:val="bottom"/>
          </w:tcPr>
          <w:p>
            <w:pPr>
              <w:jc w:val="center"/>
              <w:ind w:left="1"/>
              <w:spacing w:after="0"/>
              <w:rPr>
                <w:sz w:val="20"/>
                <w:szCs w:val="20"/>
                <w:color w:val="auto"/>
              </w:rPr>
            </w:pPr>
            <w:r>
              <w:rPr>
                <w:rFonts w:ascii="Courier New" w:cs="Courier New" w:eastAsia="Courier New" w:hAnsi="Courier New"/>
                <w:sz w:val="16"/>
                <w:szCs w:val="16"/>
                <w:color w:val="auto"/>
              </w:rPr>
              <w:t>to 1.00</w:t>
            </w:r>
          </w:p>
        </w:tc>
      </w:tr>
      <w:tr>
        <w:trPr>
          <w:trHeight w:val="182"/>
        </w:trPr>
        <w:tc>
          <w:tcPr>
            <w:tcW w:w="3120" w:type="dxa"/>
            <w:vAlign w:val="bottom"/>
          </w:tcPr>
          <w:p>
            <w:pPr>
              <w:spacing w:after="0"/>
              <w:rPr>
                <w:sz w:val="20"/>
                <w:szCs w:val="20"/>
                <w:color w:val="auto"/>
              </w:rPr>
            </w:pPr>
            <w:r>
              <w:rPr>
                <w:rFonts w:ascii="Courier New" w:cs="Courier New" w:eastAsia="Courier New" w:hAnsi="Courier New"/>
                <w:sz w:val="16"/>
                <w:szCs w:val="16"/>
                <w:color w:val="auto"/>
              </w:rPr>
              <w:t>December 31, 2004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3.00</w:t>
            </w:r>
          </w:p>
        </w:tc>
        <w:tc>
          <w:tcPr>
            <w:tcW w:w="760" w:type="dxa"/>
            <w:vAlign w:val="bottom"/>
          </w:tcPr>
          <w:p>
            <w:pPr>
              <w:jc w:val="center"/>
              <w:ind w:left="1"/>
              <w:spacing w:after="0"/>
              <w:rPr>
                <w:sz w:val="20"/>
                <w:szCs w:val="20"/>
                <w:color w:val="auto"/>
              </w:rPr>
            </w:pPr>
            <w:r>
              <w:rPr>
                <w:rFonts w:ascii="Courier New" w:cs="Courier New" w:eastAsia="Courier New" w:hAnsi="Courier New"/>
                <w:sz w:val="16"/>
                <w:szCs w:val="16"/>
                <w:color w:val="auto"/>
              </w:rPr>
              <w:t>to 1.00</w:t>
            </w:r>
          </w:p>
        </w:tc>
      </w:tr>
      <w:tr>
        <w:trPr>
          <w:trHeight w:val="364"/>
        </w:trPr>
        <w:tc>
          <w:tcPr>
            <w:tcW w:w="3120" w:type="dxa"/>
            <w:vAlign w:val="bottom"/>
          </w:tcPr>
          <w:p>
            <w:pPr>
              <w:spacing w:after="0"/>
              <w:rPr>
                <w:sz w:val="20"/>
                <w:szCs w:val="20"/>
                <w:color w:val="auto"/>
              </w:rPr>
            </w:pPr>
            <w:r>
              <w:rPr>
                <w:rFonts w:ascii="Courier New" w:cs="Courier New" w:eastAsia="Courier New" w:hAnsi="Courier New"/>
                <w:sz w:val="16"/>
                <w:szCs w:val="16"/>
                <w:color w:val="auto"/>
              </w:rPr>
              <w:t>March 31, 2005</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3.25</w:t>
            </w:r>
          </w:p>
        </w:tc>
        <w:tc>
          <w:tcPr>
            <w:tcW w:w="760" w:type="dxa"/>
            <w:vAlign w:val="bottom"/>
          </w:tcPr>
          <w:p>
            <w:pPr>
              <w:jc w:val="center"/>
              <w:ind w:left="1"/>
              <w:spacing w:after="0"/>
              <w:rPr>
                <w:sz w:val="20"/>
                <w:szCs w:val="20"/>
                <w:color w:val="auto"/>
              </w:rPr>
            </w:pPr>
            <w:r>
              <w:rPr>
                <w:rFonts w:ascii="Courier New" w:cs="Courier New" w:eastAsia="Courier New" w:hAnsi="Courier New"/>
                <w:sz w:val="16"/>
                <w:szCs w:val="16"/>
                <w:color w:val="auto"/>
              </w:rPr>
              <w:t>to 1.00</w:t>
            </w:r>
          </w:p>
        </w:tc>
      </w:tr>
      <w:tr>
        <w:trPr>
          <w:trHeight w:val="182"/>
        </w:trPr>
        <w:tc>
          <w:tcPr>
            <w:tcW w:w="3120" w:type="dxa"/>
            <w:vAlign w:val="bottom"/>
          </w:tcPr>
          <w:p>
            <w:pPr>
              <w:spacing w:after="0"/>
              <w:rPr>
                <w:sz w:val="20"/>
                <w:szCs w:val="20"/>
                <w:color w:val="auto"/>
              </w:rPr>
            </w:pPr>
            <w:r>
              <w:rPr>
                <w:rFonts w:ascii="Courier New" w:cs="Courier New" w:eastAsia="Courier New" w:hAnsi="Courier New"/>
                <w:sz w:val="16"/>
                <w:szCs w:val="16"/>
                <w:color w:val="auto"/>
              </w:rPr>
              <w:t>June 30, 2005</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3.25</w:t>
            </w:r>
          </w:p>
        </w:tc>
        <w:tc>
          <w:tcPr>
            <w:tcW w:w="760" w:type="dxa"/>
            <w:vAlign w:val="bottom"/>
          </w:tcPr>
          <w:p>
            <w:pPr>
              <w:jc w:val="center"/>
              <w:ind w:left="1"/>
              <w:spacing w:after="0"/>
              <w:rPr>
                <w:sz w:val="20"/>
                <w:szCs w:val="20"/>
                <w:color w:val="auto"/>
              </w:rPr>
            </w:pPr>
            <w:r>
              <w:rPr>
                <w:rFonts w:ascii="Courier New" w:cs="Courier New" w:eastAsia="Courier New" w:hAnsi="Courier New"/>
                <w:sz w:val="16"/>
                <w:szCs w:val="16"/>
                <w:color w:val="auto"/>
              </w:rPr>
              <w:t>to 1.00</w:t>
            </w:r>
          </w:p>
        </w:tc>
      </w:tr>
      <w:tr>
        <w:trPr>
          <w:trHeight w:val="182"/>
        </w:trPr>
        <w:tc>
          <w:tcPr>
            <w:tcW w:w="3120" w:type="dxa"/>
            <w:vAlign w:val="bottom"/>
          </w:tcPr>
          <w:p>
            <w:pPr>
              <w:spacing w:after="0"/>
              <w:rPr>
                <w:sz w:val="20"/>
                <w:szCs w:val="20"/>
                <w:color w:val="auto"/>
              </w:rPr>
            </w:pPr>
            <w:r>
              <w:rPr>
                <w:rFonts w:ascii="Courier New" w:cs="Courier New" w:eastAsia="Courier New" w:hAnsi="Courier New"/>
                <w:sz w:val="16"/>
                <w:szCs w:val="16"/>
                <w:color w:val="auto"/>
              </w:rPr>
              <w:t>September 30, 2005</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3.25</w:t>
            </w:r>
          </w:p>
        </w:tc>
        <w:tc>
          <w:tcPr>
            <w:tcW w:w="760" w:type="dxa"/>
            <w:vAlign w:val="bottom"/>
          </w:tcPr>
          <w:p>
            <w:pPr>
              <w:jc w:val="center"/>
              <w:ind w:left="1"/>
              <w:spacing w:after="0"/>
              <w:rPr>
                <w:sz w:val="20"/>
                <w:szCs w:val="20"/>
                <w:color w:val="auto"/>
              </w:rPr>
            </w:pPr>
            <w:r>
              <w:rPr>
                <w:rFonts w:ascii="Courier New" w:cs="Courier New" w:eastAsia="Courier New" w:hAnsi="Courier New"/>
                <w:sz w:val="16"/>
                <w:szCs w:val="16"/>
                <w:color w:val="auto"/>
              </w:rPr>
              <w:t>to 1.00</w:t>
            </w:r>
          </w:p>
        </w:tc>
      </w:tr>
      <w:tr>
        <w:trPr>
          <w:trHeight w:val="182"/>
        </w:trPr>
        <w:tc>
          <w:tcPr>
            <w:tcW w:w="3120" w:type="dxa"/>
            <w:vAlign w:val="bottom"/>
          </w:tcPr>
          <w:p>
            <w:pPr>
              <w:spacing w:after="0"/>
              <w:rPr>
                <w:sz w:val="20"/>
                <w:szCs w:val="20"/>
                <w:color w:val="auto"/>
              </w:rPr>
            </w:pPr>
            <w:r>
              <w:rPr>
                <w:rFonts w:ascii="Courier New" w:cs="Courier New" w:eastAsia="Courier New" w:hAnsi="Courier New"/>
                <w:sz w:val="16"/>
                <w:szCs w:val="16"/>
                <w:color w:val="auto"/>
              </w:rPr>
              <w:t>December 31, 2005</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3.25</w:t>
            </w:r>
          </w:p>
        </w:tc>
        <w:tc>
          <w:tcPr>
            <w:tcW w:w="760" w:type="dxa"/>
            <w:vAlign w:val="bottom"/>
          </w:tcPr>
          <w:p>
            <w:pPr>
              <w:jc w:val="center"/>
              <w:ind w:left="1"/>
              <w:spacing w:after="0"/>
              <w:rPr>
                <w:sz w:val="20"/>
                <w:szCs w:val="20"/>
                <w:color w:val="auto"/>
              </w:rPr>
            </w:pPr>
            <w:r>
              <w:rPr>
                <w:rFonts w:ascii="Courier New" w:cs="Courier New" w:eastAsia="Courier New" w:hAnsi="Courier New"/>
                <w:sz w:val="16"/>
                <w:szCs w:val="16"/>
                <w:color w:val="auto"/>
              </w:rPr>
              <w:t>to 1.00</w:t>
            </w:r>
          </w:p>
        </w:tc>
      </w:tr>
      <w:tr>
        <w:trPr>
          <w:trHeight w:val="364"/>
        </w:trPr>
        <w:tc>
          <w:tcPr>
            <w:tcW w:w="3120" w:type="dxa"/>
            <w:vAlign w:val="bottom"/>
          </w:tcPr>
          <w:p>
            <w:pPr>
              <w:spacing w:after="0"/>
              <w:rPr>
                <w:sz w:val="20"/>
                <w:szCs w:val="20"/>
                <w:color w:val="auto"/>
              </w:rPr>
            </w:pPr>
            <w:r>
              <w:rPr>
                <w:rFonts w:ascii="Courier New" w:cs="Courier New" w:eastAsia="Courier New" w:hAnsi="Courier New"/>
                <w:sz w:val="16"/>
                <w:szCs w:val="16"/>
                <w:color w:val="auto"/>
              </w:rPr>
              <w:t>March 31, 2006 and thereafter</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c>
          <w:tcPr>
            <w:tcW w:w="760" w:type="dxa"/>
            <w:vAlign w:val="bottom"/>
          </w:tcPr>
          <w:p>
            <w:pPr>
              <w:jc w:val="center"/>
              <w:ind w:left="1"/>
              <w:spacing w:after="0"/>
              <w:rPr>
                <w:sz w:val="20"/>
                <w:szCs w:val="20"/>
                <w:color w:val="auto"/>
              </w:rPr>
            </w:pPr>
            <w:r>
              <w:rPr>
                <w:rFonts w:ascii="Courier New" w:cs="Courier New" w:eastAsia="Courier New" w:hAnsi="Courier New"/>
                <w:sz w:val="16"/>
                <w:szCs w:val="16"/>
                <w:color w:val="auto"/>
              </w:rPr>
              <w:t>to 1.00</w:t>
            </w:r>
          </w:p>
        </w:tc>
      </w:tr>
    </w:tbl>
    <w:p>
      <w:pPr>
        <w:spacing w:after="0" w:line="368"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6.10 Maintenance of Leverage Ratio. At each quarterly date set forth below with respect to the fiscal quarter of the Borrower then ending maintain the Leverage Ratio of the Borrower at not greater than the applicable ratio set forth opposite each such date:</w:t>
      </w:r>
    </w:p>
    <w:p>
      <w:pPr>
        <w:sectPr>
          <w:pgSz w:w="11900" w:h="16838" w:orient="portrait"/>
          <w:cols w:equalWidth="0" w:num="1">
            <w:col w:w="10219"/>
          </w:cols>
          <w:pgMar w:left="240" w:top="477" w:right="1440" w:bottom="1440" w:gutter="0" w:footer="0" w:header="0"/>
        </w:sectPr>
      </w:pPr>
    </w:p>
    <w:bookmarkStart w:id="476" w:name="page477"/>
    <w:bookmarkEnd w:id="476"/>
    <w:p>
      <w:pPr>
        <w:jc w:val="right"/>
        <w:ind w:right="2659"/>
        <w:spacing w:after="0"/>
        <w:rPr>
          <w:sz w:val="20"/>
          <w:szCs w:val="20"/>
          <w:color w:val="auto"/>
        </w:rPr>
      </w:pPr>
      <w:r>
        <w:rPr>
          <w:rFonts w:ascii="Courier New" w:cs="Courier New" w:eastAsia="Courier New" w:hAnsi="Courier New"/>
          <w:sz w:val="16"/>
          <w:szCs w:val="16"/>
          <w:color w:val="auto"/>
        </w:rPr>
        <w:t>77</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980" w:type="dxa"/>
            <w:vAlign w:val="bottom"/>
          </w:tcPr>
          <w:p>
            <w:pPr>
              <w:spacing w:after="0"/>
              <w:rPr>
                <w:sz w:val="20"/>
                <w:szCs w:val="20"/>
                <w:color w:val="auto"/>
              </w:rPr>
            </w:pPr>
            <w:r>
              <w:rPr>
                <w:rFonts w:ascii="Courier New" w:cs="Courier New" w:eastAsia="Courier New" w:hAnsi="Courier New"/>
                <w:sz w:val="16"/>
                <w:szCs w:val="16"/>
                <w:color w:val="auto"/>
              </w:rPr>
              <w:t>Date</w:t>
            </w:r>
          </w:p>
        </w:tc>
        <w:tc>
          <w:tcPr>
            <w:tcW w:w="62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6"/>
                <w:szCs w:val="16"/>
                <w:color w:val="auto"/>
              </w:rPr>
              <w:t>Ratio</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20" w:type="dxa"/>
            <w:vAlign w:val="bottom"/>
          </w:tcPr>
          <w:p>
            <w:pPr>
              <w:spacing w:after="0"/>
              <w:rPr>
                <w:sz w:val="15"/>
                <w:szCs w:val="15"/>
                <w:color w:val="auto"/>
              </w:rPr>
            </w:pPr>
          </w:p>
        </w:tc>
        <w:tc>
          <w:tcPr>
            <w:tcW w:w="74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9"/>
              </w:rPr>
              <w:t>-----</w:t>
            </w:r>
          </w:p>
        </w:tc>
      </w:tr>
      <w:tr>
        <w:trPr>
          <w:trHeight w:val="364"/>
        </w:trPr>
        <w:tc>
          <w:tcPr>
            <w:tcW w:w="2980" w:type="dxa"/>
            <w:vAlign w:val="bottom"/>
          </w:tcPr>
          <w:p>
            <w:pPr>
              <w:spacing w:after="0"/>
              <w:rPr>
                <w:sz w:val="20"/>
                <w:szCs w:val="20"/>
                <w:color w:val="auto"/>
              </w:rPr>
            </w:pPr>
            <w:r>
              <w:rPr>
                <w:rFonts w:ascii="Courier New" w:cs="Courier New" w:eastAsia="Courier New" w:hAnsi="Courier New"/>
                <w:sz w:val="16"/>
                <w:szCs w:val="16"/>
                <w:color w:val="auto"/>
              </w:rPr>
              <w:t>December 31, 2003</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4.00</w:t>
            </w:r>
          </w:p>
        </w:tc>
        <w:tc>
          <w:tcPr>
            <w:tcW w:w="74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to 1.00</w:t>
            </w:r>
          </w:p>
        </w:tc>
      </w:tr>
      <w:tr>
        <w:trPr>
          <w:trHeight w:val="364"/>
        </w:trPr>
        <w:tc>
          <w:tcPr>
            <w:tcW w:w="2980" w:type="dxa"/>
            <w:vAlign w:val="bottom"/>
          </w:tcPr>
          <w:p>
            <w:pPr>
              <w:spacing w:after="0"/>
              <w:rPr>
                <w:sz w:val="20"/>
                <w:szCs w:val="20"/>
                <w:color w:val="auto"/>
              </w:rPr>
            </w:pPr>
            <w:r>
              <w:rPr>
                <w:rFonts w:ascii="Courier New" w:cs="Courier New" w:eastAsia="Courier New" w:hAnsi="Courier New"/>
                <w:sz w:val="16"/>
                <w:szCs w:val="16"/>
                <w:color w:val="auto"/>
              </w:rPr>
              <w:t>March 31, 2004</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4.00</w:t>
            </w:r>
          </w:p>
        </w:tc>
        <w:tc>
          <w:tcPr>
            <w:tcW w:w="74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to 1.00</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June 30, 2004</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4.00</w:t>
            </w:r>
          </w:p>
        </w:tc>
        <w:tc>
          <w:tcPr>
            <w:tcW w:w="74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to 1.00</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September 30, 2004</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4.00</w:t>
            </w:r>
          </w:p>
        </w:tc>
        <w:tc>
          <w:tcPr>
            <w:tcW w:w="74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to 1.00</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December 31, 2004</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4.00</w:t>
            </w:r>
          </w:p>
        </w:tc>
        <w:tc>
          <w:tcPr>
            <w:tcW w:w="74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to 1.00</w:t>
            </w:r>
          </w:p>
        </w:tc>
      </w:tr>
      <w:tr>
        <w:trPr>
          <w:trHeight w:val="364"/>
        </w:trPr>
        <w:tc>
          <w:tcPr>
            <w:tcW w:w="2980" w:type="dxa"/>
            <w:vAlign w:val="bottom"/>
          </w:tcPr>
          <w:p>
            <w:pPr>
              <w:spacing w:after="0"/>
              <w:rPr>
                <w:sz w:val="20"/>
                <w:szCs w:val="20"/>
                <w:color w:val="auto"/>
              </w:rPr>
            </w:pPr>
            <w:r>
              <w:rPr>
                <w:rFonts w:ascii="Courier New" w:cs="Courier New" w:eastAsia="Courier New" w:hAnsi="Courier New"/>
                <w:sz w:val="16"/>
                <w:szCs w:val="16"/>
                <w:color w:val="auto"/>
              </w:rPr>
              <w:t>March 31, 2005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3.75</w:t>
            </w:r>
          </w:p>
        </w:tc>
        <w:tc>
          <w:tcPr>
            <w:tcW w:w="74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to 1.00</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June 30, 2005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3.75</w:t>
            </w:r>
          </w:p>
        </w:tc>
        <w:tc>
          <w:tcPr>
            <w:tcW w:w="74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to 1.00</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September 30, 2005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3.75</w:t>
            </w:r>
          </w:p>
        </w:tc>
        <w:tc>
          <w:tcPr>
            <w:tcW w:w="74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to 1.00</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December 31, 2005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3.75</w:t>
            </w:r>
          </w:p>
        </w:tc>
        <w:tc>
          <w:tcPr>
            <w:tcW w:w="74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to 1.00</w:t>
            </w:r>
          </w:p>
        </w:tc>
      </w:tr>
      <w:tr>
        <w:trPr>
          <w:trHeight w:val="364"/>
        </w:trPr>
        <w:tc>
          <w:tcPr>
            <w:tcW w:w="2980" w:type="dxa"/>
            <w:vAlign w:val="bottom"/>
          </w:tcPr>
          <w:p>
            <w:pPr>
              <w:spacing w:after="0"/>
              <w:rPr>
                <w:sz w:val="20"/>
                <w:szCs w:val="20"/>
                <w:color w:val="auto"/>
              </w:rPr>
            </w:pPr>
            <w:r>
              <w:rPr>
                <w:rFonts w:ascii="Courier New" w:cs="Courier New" w:eastAsia="Courier New" w:hAnsi="Courier New"/>
                <w:sz w:val="16"/>
                <w:szCs w:val="16"/>
                <w:color w:val="auto"/>
              </w:rPr>
              <w:t>March 31, 2006</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c>
          <w:tcPr>
            <w:tcW w:w="74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to 1.00</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June 30, 2006</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c>
          <w:tcPr>
            <w:tcW w:w="74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to 1.00</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September 30, 2006</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c>
          <w:tcPr>
            <w:tcW w:w="74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to 1.00</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December 31, 2006</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c>
          <w:tcPr>
            <w:tcW w:w="74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to 1.00</w:t>
            </w:r>
          </w:p>
        </w:tc>
      </w:tr>
      <w:tr>
        <w:trPr>
          <w:trHeight w:val="364"/>
        </w:trPr>
        <w:tc>
          <w:tcPr>
            <w:tcW w:w="2980" w:type="dxa"/>
            <w:vAlign w:val="bottom"/>
          </w:tcPr>
          <w:p>
            <w:pPr>
              <w:spacing w:after="0"/>
              <w:rPr>
                <w:sz w:val="20"/>
                <w:szCs w:val="20"/>
                <w:color w:val="auto"/>
              </w:rPr>
            </w:pPr>
            <w:r>
              <w:rPr>
                <w:rFonts w:ascii="Courier New" w:cs="Courier New" w:eastAsia="Courier New" w:hAnsi="Courier New"/>
                <w:sz w:val="16"/>
                <w:szCs w:val="16"/>
                <w:color w:val="auto"/>
              </w:rPr>
              <w:t>March 31, 2007</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3.25</w:t>
            </w:r>
          </w:p>
        </w:tc>
        <w:tc>
          <w:tcPr>
            <w:tcW w:w="74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to 1.00</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June 30, 2007</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3.25</w:t>
            </w:r>
          </w:p>
        </w:tc>
        <w:tc>
          <w:tcPr>
            <w:tcW w:w="74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to 1.00</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September 30, 2007</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3.25</w:t>
            </w:r>
          </w:p>
        </w:tc>
        <w:tc>
          <w:tcPr>
            <w:tcW w:w="74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to 1.00</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December 31, 2007</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3.25</w:t>
            </w:r>
          </w:p>
        </w:tc>
        <w:tc>
          <w:tcPr>
            <w:tcW w:w="74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to 1.00</w:t>
            </w:r>
          </w:p>
        </w:tc>
      </w:tr>
      <w:tr>
        <w:trPr>
          <w:trHeight w:val="364"/>
        </w:trPr>
        <w:tc>
          <w:tcPr>
            <w:tcW w:w="2980" w:type="dxa"/>
            <w:vAlign w:val="bottom"/>
          </w:tcPr>
          <w:p>
            <w:pPr>
              <w:spacing w:after="0"/>
              <w:rPr>
                <w:sz w:val="20"/>
                <w:szCs w:val="20"/>
                <w:color w:val="auto"/>
              </w:rPr>
            </w:pPr>
            <w:r>
              <w:rPr>
                <w:rFonts w:ascii="Courier New" w:cs="Courier New" w:eastAsia="Courier New" w:hAnsi="Courier New"/>
                <w:sz w:val="16"/>
                <w:szCs w:val="16"/>
                <w:color w:val="auto"/>
              </w:rPr>
              <w:t>March 31, 2008 and thereafter</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3.00</w:t>
            </w:r>
          </w:p>
        </w:tc>
        <w:tc>
          <w:tcPr>
            <w:tcW w:w="74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to 1.00</w:t>
            </w:r>
          </w:p>
        </w:tc>
      </w:tr>
    </w:tbl>
    <w:p>
      <w:pPr>
        <w:spacing w:after="0" w:line="368" w:lineRule="exact"/>
        <w:rPr>
          <w:sz w:val="20"/>
          <w:szCs w:val="20"/>
          <w:color w:val="auto"/>
        </w:rPr>
      </w:pPr>
    </w:p>
    <w:p>
      <w:pPr>
        <w:ind w:left="3" w:right="2759" w:firstLine="1135"/>
        <w:spacing w:after="0" w:line="256" w:lineRule="auto"/>
        <w:rPr>
          <w:sz w:val="20"/>
          <w:szCs w:val="20"/>
          <w:color w:val="auto"/>
        </w:rPr>
      </w:pPr>
      <w:r>
        <w:rPr>
          <w:rFonts w:ascii="Courier New" w:cs="Courier New" w:eastAsia="Courier New" w:hAnsi="Courier New"/>
          <w:sz w:val="15"/>
          <w:szCs w:val="15"/>
          <w:color w:val="auto"/>
        </w:rPr>
        <w:t>6.11 Additional Collateral, etc. (a) With respect to any property acquired after the Closing Date by the Borrower or any of its Subsidiaries (other than (x) any property described in paragraph (b), (c), (d) or (e) below,</w:t>
      </w:r>
    </w:p>
    <w:p>
      <w:pPr>
        <w:spacing w:after="0" w:line="2" w:lineRule="exact"/>
        <w:rPr>
          <w:sz w:val="20"/>
          <w:szCs w:val="20"/>
          <w:color w:val="auto"/>
        </w:rPr>
      </w:pPr>
    </w:p>
    <w:p>
      <w:pPr>
        <w:ind w:left="3" w:right="2659" w:hanging="3"/>
        <w:spacing w:after="0"/>
        <w:tabs>
          <w:tab w:leader="none" w:pos="381" w:val="left"/>
        </w:tabs>
        <w:numPr>
          <w:ilvl w:val="0"/>
          <w:numId w:val="5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property subject to a Lien expressly permitted by subsection 7.1(a) or 7.1(l) and (z) property acquired by any Excluded Foreign Subsidiary or by any other Foreign Subsidiary other than Capital Stock of, or acquired by, any Foreign Subsidiary Borrower) as to which the Administrative Agent, for the benefit of the Lenders, does not have a perfected Lien, promptly (i) execute and deliver to the Administrative Agent such amendments to the applicable Guarantee and Collateral Agreement or such other documents as the Administrative Agent deems necessary or advisable to grant to the Administrative Agent, for the benefit of the Lenders, a security interest in such property and (ii) take all actions necessary or advisable to grant to the Administrative Agent, for the benefit of the Lenders, a perfected first priority security interest in such property, including the filing of Uniform Commercial Code financing statements in such jurisdictions as may be required by the applicable Guarantee and Collateral Agreement or by law or as may be requested by the Administrative Agent.</w:t>
      </w:r>
    </w:p>
    <w:p>
      <w:pPr>
        <w:spacing w:after="0" w:line="191" w:lineRule="exact"/>
        <w:rPr>
          <w:rFonts w:ascii="Courier New" w:cs="Courier New" w:eastAsia="Courier New" w:hAnsi="Courier New"/>
          <w:sz w:val="16"/>
          <w:szCs w:val="16"/>
          <w:color w:val="auto"/>
        </w:rPr>
      </w:pPr>
    </w:p>
    <w:p>
      <w:pPr>
        <w:jc w:val="both"/>
        <w:ind w:left="3" w:right="2659" w:firstLine="1132"/>
        <w:spacing w:after="0" w:line="256" w:lineRule="auto"/>
        <w:tabs>
          <w:tab w:leader="none" w:pos="1516" w:val="left"/>
        </w:tabs>
        <w:numPr>
          <w:ilvl w:val="1"/>
          <w:numId w:val="5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fee interest in any real property having a value (together with improvements thereof) of at least $500,000 acquired after the Closing Date by the Borrower or any of its Domestic Subsidiaries (other than any such real property subject to a Lien expressly permitted by subsection</w:t>
      </w:r>
    </w:p>
    <w:p>
      <w:pPr>
        <w:spacing w:after="0" w:line="2" w:lineRule="exact"/>
        <w:rPr>
          <w:rFonts w:ascii="Courier New" w:cs="Courier New" w:eastAsia="Courier New" w:hAnsi="Courier New"/>
          <w:sz w:val="15"/>
          <w:szCs w:val="15"/>
          <w:color w:val="auto"/>
        </w:rPr>
      </w:pPr>
    </w:p>
    <w:p>
      <w:pPr>
        <w:ind w:left="3" w:right="2659"/>
        <w:spacing w:after="0" w:line="238"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7.1(a)), promptly (i) execute and deliver a first priority Mortgage, in favor of the Administrative Agent, for the benefit of the Lenders, covering such real property, (ii)</w:t>
      </w:r>
    </w:p>
    <w:p>
      <w:pPr>
        <w:sectPr>
          <w:pgSz w:w="11900" w:h="16838" w:orient="portrait"/>
          <w:cols w:equalWidth="0" w:num="1">
            <w:col w:w="10222"/>
          </w:cols>
          <w:pgMar w:left="237" w:top="477" w:right="1440" w:bottom="1440" w:gutter="0" w:footer="0" w:header="0"/>
        </w:sectPr>
      </w:pPr>
    </w:p>
    <w:bookmarkStart w:id="477" w:name="page478"/>
    <w:bookmarkEnd w:id="477"/>
    <w:p>
      <w:pPr>
        <w:jc w:val="right"/>
        <w:ind w:right="2659"/>
        <w:spacing w:after="0"/>
        <w:rPr>
          <w:sz w:val="20"/>
          <w:szCs w:val="20"/>
          <w:color w:val="auto"/>
        </w:rPr>
      </w:pPr>
      <w:r>
        <w:rPr>
          <w:rFonts w:ascii="Courier New" w:cs="Courier New" w:eastAsia="Courier New" w:hAnsi="Courier New"/>
          <w:sz w:val="16"/>
          <w:szCs w:val="16"/>
          <w:color w:val="auto"/>
        </w:rPr>
        <w:t>78</w:t>
      </w:r>
    </w:p>
    <w:p>
      <w:pPr>
        <w:spacing w:after="0" w:line="36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if requested by the Administrative Agent, provide the Lenders with (x) title and extended coverage insurance covering such real property in an amount at least equal to the purchase price of such real property (or such other amount as shall be reasonably specified by the Administrative Agent) as well as a current ALTA survey thereof, together with a surveyor's certificate and (y) any consents or estoppels reasonably deemed necessary or advisable by the Administrative Agent in connection with such mortgage or deed of trust, each of the foregoing in form and substance reasonably satisfactory to the Administrative Agent and (iii) if 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189" w:lineRule="exact"/>
        <w:rPr>
          <w:sz w:val="20"/>
          <w:szCs w:val="20"/>
          <w:color w:val="auto"/>
        </w:rPr>
      </w:pPr>
    </w:p>
    <w:p>
      <w:pPr>
        <w:ind w:right="2659" w:firstLine="1132"/>
        <w:spacing w:after="0" w:line="257" w:lineRule="auto"/>
        <w:tabs>
          <w:tab w:leader="none" w:pos="1513" w:val="left"/>
        </w:tabs>
        <w:numPr>
          <w:ilvl w:val="0"/>
          <w:numId w:val="5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new Domestic Subsidiary created or acquired after the Closing Date by the Borrower or any of its Subsidiaries, promptly (i) execute and deliver to the Administrative Agent such amendments to the applicable Guarantee and Collateral Agreement as the Administrative Agent deems necessary or advisable to grant to the Administrative Agent, for the benefit of the Lenders, a perfected first priority security interest in the Capital Stock of such new Domestic Subsidiary that is owned by the Borrower or any of its Subsidiaries, (ii) deliver to the Administrative Agent the certificates representing such Capital Stock, together with undated stock powers, in blank, executed and delivered by a duly authorized officer of the Borrower or such Subsidiary, as the case may be, (iii) cause such new Domestic Subsidiary (A) to become a party to the applicable Guarantee and Collateral Agreement, (B) to take such actions necessary or advisable to grant to the Administrative Agent for the benefit of the Lenders a perfected first priority security interest in the Collateral described in the applicable Guarantee and Collateral Agreement with respect to such new Domestic Subsidiary (however, in the case of a pledge by the new Domestic Subsidiary of Capital Stock of an Excluded Foreign Subsidiary, such pledge shall be limited to 65% of voting Capital Stock of such Excluded Foreign Subsidiary), including the filing of Uniform Commercial Code financing statements in such jurisdictions as may be required by the applicable Guarantee and Collateral Agreement or by law or as may be requested by the Administrative Agent and (C) to deliver to the Administrative Agent a certificate of such new Domestic Subsidiary, substantially in the form of Exhibit K, with appropriate insertions and attachments, and (iv) if requested by the Administrative Agent, deliver to the Administrative Agent legal opinions relating to the matters described above, which opinions shall be in form and substance, and from counsel, reasonably satisfactory to the Administrative Agent, provided that, if the initial investment in or purchase price of such new Domestic Subsidiary is less than $1,000,000, the obligations of the Borrower discussed in clauses (i) through (iv) of this subsection 6.11(c) shall not take effect unless and until the financial statements delivered to the Administrative Agent following each fiscal year of the Borrower pursuant to subsection 6.1(a) show the tangible net worth of such new Domestic Subsidiary to be more than $1,000,000.</w:t>
      </w:r>
    </w:p>
    <w:p>
      <w:pPr>
        <w:spacing w:after="0" w:line="361" w:lineRule="exact"/>
        <w:rPr>
          <w:rFonts w:ascii="Courier New" w:cs="Courier New" w:eastAsia="Courier New" w:hAnsi="Courier New"/>
          <w:sz w:val="15"/>
          <w:szCs w:val="15"/>
          <w:color w:val="auto"/>
        </w:rPr>
      </w:pPr>
    </w:p>
    <w:p>
      <w:pPr>
        <w:ind w:right="2659" w:firstLine="1132"/>
        <w:spacing w:after="0"/>
        <w:tabs>
          <w:tab w:leader="none" w:pos="1513" w:val="left"/>
        </w:tabs>
        <w:numPr>
          <w:ilvl w:val="0"/>
          <w:numId w:val="5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new Foreign Subsidiary (other than an Excluded Foreign Subsidiary) created or acquired after the Closing Date by the Borrower or any of its Subsidiaries and with respect to each new Foreign Subsidiary Borrower, promptly (i) execute and deliver to the Administrative Agent such amendments to the applicable Guarantee and Collateral Agreement or execute such additional Guarantee and Collateral Agreements as the Administrative Agent deems necessary or advisable to grant to the Administrative Agent, for the benefit of the Lenders, a perfected first priority security interest in the Capital Stock of such new Foreign Subsidiary or Foreign Subsidiary Borrower that is owned by the Borrower or any of its</w:t>
      </w:r>
    </w:p>
    <w:p>
      <w:pPr>
        <w:sectPr>
          <w:pgSz w:w="11900" w:h="16838" w:orient="portrait"/>
          <w:cols w:equalWidth="0" w:num="1">
            <w:col w:w="10219"/>
          </w:cols>
          <w:pgMar w:left="240" w:top="477" w:right="1440" w:bottom="1440" w:gutter="0" w:footer="0" w:header="0"/>
        </w:sectPr>
      </w:pPr>
    </w:p>
    <w:bookmarkStart w:id="478" w:name="page479"/>
    <w:bookmarkEnd w:id="478"/>
    <w:p>
      <w:pPr>
        <w:jc w:val="right"/>
        <w:ind w:right="2659"/>
        <w:spacing w:after="0"/>
        <w:rPr>
          <w:sz w:val="20"/>
          <w:szCs w:val="20"/>
          <w:color w:val="auto"/>
        </w:rPr>
      </w:pPr>
      <w:r>
        <w:rPr>
          <w:rFonts w:ascii="Courier New" w:cs="Courier New" w:eastAsia="Courier New" w:hAnsi="Courier New"/>
          <w:sz w:val="16"/>
          <w:szCs w:val="16"/>
          <w:color w:val="auto"/>
        </w:rPr>
        <w:t>79</w:t>
      </w:r>
    </w:p>
    <w:p>
      <w:pPr>
        <w:spacing w:after="0" w:line="368"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Domestic Subsidiaries or any Foreign Subsidiary Borrower (in the case of such Foreign Subsidiary Borrower or first-tier Subsidiaries of any Foreign Subsidiary Borrower, to secure the obligations of such Foreign Subsidiary Borrower hereunder), (ii) deliver to the Administrative Agent the certificates representing such Capital Stock, together with undated stock powers, in blank, executed and delivered by a duly authorized officer of the Borrower or such Subsidiary, as the case may be, (iii) in the case of a new Foreign Subsidiary Borrower, cause such new Foreign Subsidiary Borrower (A) to become a party to the applicable Guarantee and Collateral Agreement, and (B) to take such actions necessary or advisable to grant to the Administrative Agent for the benefit of the Lenders a perfected first priority security interest in the Capital Stock of its Subsidiaries (other than Excluded Foreign Subsidiaries) if such Foreign Subsidiary Borrower is a check the box entity or a similar pass through entity, and (iv) if requested by the Administrative Agent, deliver to the Administrative Agent legal opinions relating to the matters described above, which opinions shall be in form and substance, and from counsel, reasonably satisfactory to the Administrative Agent, provided that, if the initial investment in or purchase price of such new Foreign Subsidiary or Foreign Subsidiary Borrower (as applicable) is less than $1,000,000, the obligations of the Borrower discussed in clauses (i) through (iv) of this subsection 6.11(d) shall not take effect unless and until the financial statements delivered to the Administrative Agent following the end of each fiscal year of the Borrower pursuant to subsection 6.1(a) show the tangible net worth of such new Foreign Subsidiary or Foreign Subsidiary Borrower (as applicable) to be more than $1,000,000. For purposes of this Agreement, (i) a check the box entity shall mean an entity that has elected to be, or is by default, an entity that is disregarded as a separate entity from its U.S. parent or owner for U.S. federal income tax consequences, and (ii) a "pass through entity" shall mean an entity that has elected to be, or is by default, treated as a partnership for U.S. federal income tax consequences.</w:t>
      </w:r>
    </w:p>
    <w:p>
      <w:pPr>
        <w:spacing w:after="0" w:line="180" w:lineRule="exact"/>
        <w:rPr>
          <w:sz w:val="20"/>
          <w:szCs w:val="20"/>
          <w:color w:val="auto"/>
        </w:rPr>
      </w:pPr>
    </w:p>
    <w:p>
      <w:pPr>
        <w:ind w:right="2659" w:firstLine="1132"/>
        <w:spacing w:after="0"/>
        <w:tabs>
          <w:tab w:leader="none" w:pos="1513" w:val="left"/>
        </w:tabs>
        <w:numPr>
          <w:ilvl w:val="0"/>
          <w:numId w:val="5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new Excluded Foreign Subsidiary owned by the Borrower or any of its Domestic Subsidiaries or by any Foreign Subsidiary Borrower that is a check the box entity or a pass through entity created or acquired after the Closing Date by the Borrower or any of its Subsidiaries, promptly (i) execute and deliver to the Administrative Agent such amendments to the applicable Guarantee and Collateral Agreement as the Administrative Agent deems necessary or advisable to grant to the Administrative Agent, for the benefit of the Lenders, a perfected first priority security interest in the Capital Stock of such new Subsidiary that is owned by the Borrower or any of its Domestic Subsidiaries or by such a Foreign Subsidiary Borrower (provided that in no event shall more than 65% of the total outstanding voting Capital Stock of any such new Subsidiary be required to be so pledged), (ii) deliver to the Administrative Agent the certificates representing such voting Capital Stock, together with undated stock powers, in blank, executed and delivered by a duly authorized officer of the Borrower or such Subsidiary, as the case may be, and take such other action as may be necessary or, in the opinion of the Administrative Agent, desirable to perfect the Administrative Agent's security interest therein, and (iii) if requested by the Administrative Agent, deliver to the Administrative Agent legal opinions relating to the matters described above, which opinions shall be in form and substance, and from counsel, reasonably satisfactory to the Administrative Agent, provided that, if the initial investment in or purchase price of such new Excluded Foreign Subsidiary is less than $1,000,000, the obligations of the Borrower discussed in clauses (i) through (iii) of this subsection 6.11(e) shall not take effect unless and until the financial statements delivered to the Administrative Agent following the end of each fiscal year of the</w:t>
      </w:r>
    </w:p>
    <w:p>
      <w:pPr>
        <w:sectPr>
          <w:pgSz w:w="11900" w:h="16838" w:orient="portrait"/>
          <w:cols w:equalWidth="0" w:num="1">
            <w:col w:w="10219"/>
          </w:cols>
          <w:pgMar w:left="240" w:top="477" w:right="1440" w:bottom="1440" w:gutter="0" w:footer="0" w:header="0"/>
        </w:sectPr>
      </w:pPr>
    </w:p>
    <w:bookmarkStart w:id="479" w:name="page480"/>
    <w:bookmarkEnd w:id="479"/>
    <w:p>
      <w:pPr>
        <w:jc w:val="right"/>
        <w:ind w:right="2659"/>
        <w:spacing w:after="0"/>
        <w:rPr>
          <w:sz w:val="20"/>
          <w:szCs w:val="20"/>
          <w:color w:val="auto"/>
        </w:rPr>
      </w:pPr>
      <w:r>
        <w:rPr>
          <w:rFonts w:ascii="Courier New" w:cs="Courier New" w:eastAsia="Courier New" w:hAnsi="Courier New"/>
          <w:sz w:val="16"/>
          <w:szCs w:val="16"/>
          <w:color w:val="auto"/>
        </w:rPr>
        <w:t>80</w:t>
      </w:r>
    </w:p>
    <w:p>
      <w:pPr>
        <w:spacing w:after="0" w:line="368"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6"/>
          <w:szCs w:val="16"/>
          <w:color w:val="auto"/>
        </w:rPr>
        <w:t>Borrower pursuant to subsection 6.1(a) show the tangible net worth of such new Excluded Foreign Subsidiary to be more than $1,000,000.</w:t>
      </w:r>
    </w:p>
    <w:p>
      <w:pPr>
        <w:spacing w:after="0" w:line="188"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6.12 Environmental, Health and Safety Matters. (a) Comply with, and ensure compliance by all tenants and subtenants, if any, with, all applicable Environmental Laws, including, without limitation, obtaining and complying with and maintaining, and ensuring that all tenants and subtenants obtain and comply with and maintain, any and all licenses, approvals, notifications, registrations or permits required by applicable Environmental Laws. For purposes of this 6.12 (a), noncompliance by the Borrower or any of its Subsidiaries with any applicable Environmental Law shall be deemed not to constitute a breach of this covenant provided that, upon learning of any actual or suspected noncompliance, the Borrower and the relevant Subsidiaries shall promptly undertake all reasonable efforts to achieve compliance (or contest in good faith by appropriate proceedings the applicable Environmental Law at issue and (to the extent required by GAAP) provide on the books of the Borrower or any of its Subsidiaries, as the case may be, reserves in conformity with GAAP with respect thereto), and provided further that, in any case, such non-compliance, and any other noncompliance with Environmental Law, individually or in the aggregate, could not reasonably be expected to result in a Material Environmental Amount.</w:t>
      </w:r>
    </w:p>
    <w:p>
      <w:pPr>
        <w:spacing w:after="0" w:line="181" w:lineRule="exact"/>
        <w:rPr>
          <w:sz w:val="20"/>
          <w:szCs w:val="20"/>
          <w:color w:val="auto"/>
        </w:rPr>
      </w:pPr>
    </w:p>
    <w:p>
      <w:pPr>
        <w:ind w:right="2659" w:firstLine="1132"/>
        <w:spacing w:after="0"/>
        <w:tabs>
          <w:tab w:leader="none" w:pos="1513" w:val="left"/>
        </w:tabs>
        <w:numPr>
          <w:ilvl w:val="0"/>
          <w:numId w:val="5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and complete all investigations, studies, sampling and testing, and all remedial, removal and other actions required under Environmental Laws and promptly comply with all lawful orders and directives of all Governmental Authorities regarding Environmental Laws, except to the extent that the amount or validity thereof is currently being contested in good faith by appropriate proceedings and (to the extent required by GAAP) reserves in conformity with GAAP with respect thereto have been provided on the books of the Borrower or any of its Subsidiaries, as the case may be.</w:t>
      </w:r>
    </w:p>
    <w:p>
      <w:pPr>
        <w:spacing w:after="0" w:line="186" w:lineRule="exact"/>
        <w:rPr>
          <w:rFonts w:ascii="Courier New" w:cs="Courier New" w:eastAsia="Courier New" w:hAnsi="Courier New"/>
          <w:sz w:val="16"/>
          <w:szCs w:val="16"/>
          <w:color w:val="auto"/>
        </w:rPr>
      </w:pPr>
    </w:p>
    <w:p>
      <w:pPr>
        <w:ind w:right="2659" w:firstLine="1132"/>
        <w:spacing w:after="0" w:line="257" w:lineRule="auto"/>
        <w:tabs>
          <w:tab w:leader="none" w:pos="1513" w:val="left"/>
        </w:tabs>
        <w:numPr>
          <w:ilvl w:val="0"/>
          <w:numId w:val="5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Defend, indemnify and hold harmless the Administrative Agent and the Lenders, and their respective parents, subsidiaries, affiliates, employees, agents, officers and directors, from and against any claims, demands, penalties, fines, liabilities, settlements, damages, costs and expenses of whatever kind or nature known or unknown, contingent or otherwise, arising out of, or in any way relating to the violation of, noncompliance with or liability under any Environmental Laws applicable to the Borrower or any of its Subsidiaries or any of their respective operations or Properties, or any orders, requirements or demands of Governmental Authorities related thereto, including, without limitation, attorney's and consultant's fees, investigation and laboratory fees, response costs, court costs and litigation expenses, except to the extent that any of the foregoing arise out of the gross negligence or willful misconduct of the party seeking indemnification therefor. This indemnity shall continue in full force and effect regardless of the termination of this Agreement.</w:t>
      </w:r>
    </w:p>
    <w:p>
      <w:pPr>
        <w:spacing w:after="0" w:line="177"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Section 7. NEGATIVE COVENANTS</w:t>
      </w:r>
    </w:p>
    <w:p>
      <w:pPr>
        <w:spacing w:after="0" w:line="186"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The Borrower hereby agrees that, from the Closing Date and so long as the Revolving Credit Commitments remain in effect, any Letter of Credit is outstanding or any amount is owing to any Lender or the Administrative Agent hereunder or under any other Loan Document, the Borrower shall not, nor shall it permit any of its Subsidiaries to, directly or indirectly:</w:t>
      </w:r>
    </w:p>
    <w:p>
      <w:pPr>
        <w:sectPr>
          <w:pgSz w:w="11900" w:h="16838" w:orient="portrait"/>
          <w:cols w:equalWidth="0" w:num="1">
            <w:col w:w="10219"/>
          </w:cols>
          <w:pgMar w:left="240" w:top="477" w:right="1440" w:bottom="1440" w:gutter="0" w:footer="0" w:header="0"/>
        </w:sectPr>
      </w:pPr>
    </w:p>
    <w:bookmarkStart w:id="480" w:name="page481"/>
    <w:bookmarkEnd w:id="480"/>
    <w:p>
      <w:pPr>
        <w:jc w:val="right"/>
        <w:ind w:right="2659"/>
        <w:spacing w:after="0"/>
        <w:rPr>
          <w:sz w:val="20"/>
          <w:szCs w:val="20"/>
          <w:color w:val="auto"/>
        </w:rPr>
      </w:pPr>
      <w:r>
        <w:rPr>
          <w:rFonts w:ascii="Courier New" w:cs="Courier New" w:eastAsia="Courier New" w:hAnsi="Courier New"/>
          <w:sz w:val="16"/>
          <w:szCs w:val="16"/>
          <w:color w:val="auto"/>
        </w:rPr>
        <w:t>81</w:t>
      </w:r>
    </w:p>
    <w:p>
      <w:pPr>
        <w:spacing w:after="0" w:line="368" w:lineRule="exact"/>
        <w:rPr>
          <w:sz w:val="20"/>
          <w:szCs w:val="20"/>
          <w:color w:val="auto"/>
        </w:rPr>
      </w:pPr>
    </w:p>
    <w:p>
      <w:pPr>
        <w:ind w:right="2939" w:firstLine="1135"/>
        <w:spacing w:after="0" w:line="238" w:lineRule="auto"/>
        <w:rPr>
          <w:sz w:val="20"/>
          <w:szCs w:val="20"/>
          <w:color w:val="auto"/>
        </w:rPr>
      </w:pPr>
      <w:r>
        <w:rPr>
          <w:rFonts w:ascii="Courier New" w:cs="Courier New" w:eastAsia="Courier New" w:hAnsi="Courier New"/>
          <w:sz w:val="16"/>
          <w:szCs w:val="16"/>
          <w:color w:val="auto"/>
        </w:rPr>
        <w:t>7.1 Limitation on Liens. Create, incur, assume or suffer to exist any Lien upon any of its property, assets or revenues, whether now owned or hereafter acquired, except:</w:t>
      </w:r>
    </w:p>
    <w:p>
      <w:pPr>
        <w:spacing w:after="0" w:line="188" w:lineRule="exact"/>
        <w:rPr>
          <w:sz w:val="20"/>
          <w:szCs w:val="20"/>
          <w:color w:val="auto"/>
        </w:rPr>
      </w:pPr>
    </w:p>
    <w:p>
      <w:pPr>
        <w:ind w:right="2659" w:firstLine="1132"/>
        <w:spacing w:after="0" w:line="239" w:lineRule="auto"/>
        <w:tabs>
          <w:tab w:leader="none" w:pos="1513" w:val="left"/>
        </w:tabs>
        <w:numPr>
          <w:ilvl w:val="0"/>
          <w:numId w:val="5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securing Indebtedness in an aggregate amount not exceeding $75,000,000 at any time outstanding in respect of capitalized lease obligations and purchase money obligations for fixed or capital assets; provided that (i) such Liens do not at any time encumber any property other than the property financed by such Indebtedness and (ii) the Indebtedness secured thereby shall not exceed the cost or fair market value, whichever is lower, of the property being acquired on the date of acquisition;</w:t>
      </w:r>
    </w:p>
    <w:p>
      <w:pPr>
        <w:spacing w:after="0" w:line="191" w:lineRule="exact"/>
        <w:rPr>
          <w:rFonts w:ascii="Courier New" w:cs="Courier New" w:eastAsia="Courier New" w:hAnsi="Courier New"/>
          <w:sz w:val="16"/>
          <w:szCs w:val="16"/>
          <w:color w:val="auto"/>
        </w:rPr>
      </w:pPr>
    </w:p>
    <w:p>
      <w:pPr>
        <w:ind w:right="2759" w:firstLine="1132"/>
        <w:spacing w:after="0" w:line="262" w:lineRule="auto"/>
        <w:tabs>
          <w:tab w:leader="none" w:pos="1513" w:val="left"/>
        </w:tabs>
        <w:numPr>
          <w:ilvl w:val="0"/>
          <w:numId w:val="5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assets of a Foreign Subsidiary which is not a Foreign Subsidiary Borrower to secure Permitted Foreign Debt of such Foreign Subsidiary provided that such Permitted Foreign Debt is not guaranteed by Scotts;</w:t>
      </w:r>
    </w:p>
    <w:p>
      <w:pPr>
        <w:spacing w:after="0" w:line="171" w:lineRule="exact"/>
        <w:rPr>
          <w:rFonts w:ascii="Courier New" w:cs="Courier New" w:eastAsia="Courier New" w:hAnsi="Courier New"/>
          <w:sz w:val="15"/>
          <w:szCs w:val="15"/>
          <w:color w:val="auto"/>
        </w:rPr>
      </w:pPr>
    </w:p>
    <w:p>
      <w:pPr>
        <w:ind w:right="2659" w:firstLine="1132"/>
        <w:spacing w:after="0" w:line="239" w:lineRule="auto"/>
        <w:tabs>
          <w:tab w:leader="none" w:pos="1513" w:val="left"/>
        </w:tabs>
        <w:numPr>
          <w:ilvl w:val="0"/>
          <w:numId w:val="5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for taxes and special assessments not yet due or which are being contested in good faith and by appropriate proceedings if adequate reserves with respect thereto are maintained on the books of the Borrower and its Subsidiaries in accordance with GAAP;</w:t>
      </w:r>
    </w:p>
    <w:p>
      <w:pPr>
        <w:spacing w:after="0" w:line="187" w:lineRule="exact"/>
        <w:rPr>
          <w:rFonts w:ascii="Courier New" w:cs="Courier New" w:eastAsia="Courier New" w:hAnsi="Courier New"/>
          <w:sz w:val="16"/>
          <w:szCs w:val="16"/>
          <w:color w:val="auto"/>
        </w:rPr>
      </w:pPr>
    </w:p>
    <w:p>
      <w:pPr>
        <w:ind w:right="3119" w:firstLine="1132"/>
        <w:spacing w:after="0" w:line="239" w:lineRule="auto"/>
        <w:tabs>
          <w:tab w:leader="none" w:pos="1513" w:val="left"/>
        </w:tabs>
        <w:numPr>
          <w:ilvl w:val="0"/>
          <w:numId w:val="5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carriers', warehousemen's, mechanics', materialmen's, repairmen's, or other like Liens arising in the ordinary course of business which are not overdue for a period of more than 30 days or which are being contested in good faith and by appropriate proceedings;</w:t>
      </w:r>
    </w:p>
    <w:p>
      <w:pPr>
        <w:spacing w:after="0" w:line="187" w:lineRule="exact"/>
        <w:rPr>
          <w:rFonts w:ascii="Courier New" w:cs="Courier New" w:eastAsia="Courier New" w:hAnsi="Courier New"/>
          <w:sz w:val="16"/>
          <w:szCs w:val="16"/>
          <w:color w:val="auto"/>
        </w:rPr>
      </w:pPr>
    </w:p>
    <w:p>
      <w:pPr>
        <w:ind w:right="2839" w:firstLine="1132"/>
        <w:spacing w:after="0" w:line="237" w:lineRule="auto"/>
        <w:tabs>
          <w:tab w:leader="none" w:pos="1513" w:val="left"/>
        </w:tabs>
        <w:numPr>
          <w:ilvl w:val="0"/>
          <w:numId w:val="5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pledges or deposits in connection with workmen's compensation, unemployment insurance and other social security legislation;</w:t>
      </w:r>
    </w:p>
    <w:p>
      <w:pPr>
        <w:spacing w:after="0" w:line="187" w:lineRule="exact"/>
        <w:rPr>
          <w:rFonts w:ascii="Courier New" w:cs="Courier New" w:eastAsia="Courier New" w:hAnsi="Courier New"/>
          <w:sz w:val="16"/>
          <w:szCs w:val="16"/>
          <w:color w:val="auto"/>
        </w:rPr>
      </w:pPr>
    </w:p>
    <w:p>
      <w:pPr>
        <w:ind w:right="3119" w:firstLine="1132"/>
        <w:spacing w:after="0" w:line="260" w:lineRule="auto"/>
        <w:tabs>
          <w:tab w:leader="none" w:pos="1513" w:val="left"/>
        </w:tabs>
        <w:numPr>
          <w:ilvl w:val="0"/>
          <w:numId w:val="5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to secure the performance of bids, trade contracts (other than for borrowed money), leases, statutory and other obligations required by law, surety and appeal bonds, performance bonds and other obligations of a like nature incurred in the ordinary course of business;</w:t>
      </w:r>
    </w:p>
    <w:p>
      <w:pPr>
        <w:spacing w:after="0" w:line="173" w:lineRule="exact"/>
        <w:rPr>
          <w:rFonts w:ascii="Courier New" w:cs="Courier New" w:eastAsia="Courier New" w:hAnsi="Courier New"/>
          <w:sz w:val="15"/>
          <w:szCs w:val="15"/>
          <w:color w:val="auto"/>
        </w:rPr>
      </w:pPr>
    </w:p>
    <w:p>
      <w:pPr>
        <w:ind w:right="2759" w:firstLine="1132"/>
        <w:spacing w:after="0" w:line="239" w:lineRule="auto"/>
        <w:tabs>
          <w:tab w:leader="none" w:pos="1513" w:val="left"/>
        </w:tabs>
        <w:numPr>
          <w:ilvl w:val="0"/>
          <w:numId w:val="5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easements, rights-of-way, restrictions and other similar encumbrances incurred in the ordinary course of business and other Liens incurred in the ordinary course of business which, in the aggregate, are not substantial in amount, and which do not in any case materially detract from the value of the property subject thereto or interfere with the ordinary conduct of the business of the Borrower or its Subsidiaries;</w:t>
      </w:r>
    </w:p>
    <w:p>
      <w:pPr>
        <w:spacing w:after="0" w:line="190" w:lineRule="exact"/>
        <w:rPr>
          <w:rFonts w:ascii="Courier New" w:cs="Courier New" w:eastAsia="Courier New" w:hAnsi="Courier New"/>
          <w:sz w:val="16"/>
          <w:szCs w:val="16"/>
          <w:color w:val="auto"/>
        </w:rPr>
      </w:pPr>
    </w:p>
    <w:p>
      <w:pPr>
        <w:ind w:right="2839" w:firstLine="1132"/>
        <w:spacing w:after="0" w:line="238" w:lineRule="auto"/>
        <w:tabs>
          <w:tab w:leader="none" w:pos="1513" w:val="left"/>
        </w:tabs>
        <w:numPr>
          <w:ilvl w:val="0"/>
          <w:numId w:val="5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resulting from judgments of any court or governmental proceeding, provided such Liens in the aggregate do not constitute an Event of Default under subsection 8(h);</w:t>
      </w:r>
    </w:p>
    <w:p>
      <w:pPr>
        <w:spacing w:after="0" w:line="184" w:lineRule="exact"/>
        <w:rPr>
          <w:rFonts w:ascii="Courier New" w:cs="Courier New" w:eastAsia="Courier New" w:hAnsi="Courier New"/>
          <w:sz w:val="16"/>
          <w:szCs w:val="16"/>
          <w:color w:val="auto"/>
        </w:rPr>
      </w:pPr>
    </w:p>
    <w:p>
      <w:pPr>
        <w:ind w:left="1520" w:hanging="388"/>
        <w:spacing w:after="0"/>
        <w:tabs>
          <w:tab w:leader="none" w:pos="1520" w:val="left"/>
        </w:tabs>
        <w:numPr>
          <w:ilvl w:val="0"/>
          <w:numId w:val="5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 existence on the Closing Date described in Schedule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7.1(i);</w:t>
      </w:r>
    </w:p>
    <w:p>
      <w:pPr>
        <w:spacing w:after="0" w:line="186" w:lineRule="exact"/>
        <w:rPr>
          <w:sz w:val="20"/>
          <w:szCs w:val="20"/>
          <w:color w:val="auto"/>
        </w:rPr>
      </w:pPr>
    </w:p>
    <w:p>
      <w:pPr>
        <w:ind w:right="2659" w:firstLine="1132"/>
        <w:spacing w:after="0" w:line="239" w:lineRule="auto"/>
        <w:tabs>
          <w:tab w:leader="none" w:pos="1513" w:val="left"/>
        </w:tabs>
        <w:numPr>
          <w:ilvl w:val="0"/>
          <w:numId w:val="5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of landlords or of mortgagees of landlords, arising solely by operation of law, on fixtures located on premises leased in the ordinary course of business, provided that the rental payments secured thereby are not yet due;</w:t>
      </w:r>
    </w:p>
    <w:p>
      <w:pPr>
        <w:spacing w:after="0" w:line="187" w:lineRule="exact"/>
        <w:rPr>
          <w:rFonts w:ascii="Courier New" w:cs="Courier New" w:eastAsia="Courier New" w:hAnsi="Courier New"/>
          <w:sz w:val="16"/>
          <w:szCs w:val="16"/>
          <w:color w:val="auto"/>
        </w:rPr>
      </w:pPr>
    </w:p>
    <w:p>
      <w:pPr>
        <w:ind w:right="3039" w:firstLine="1132"/>
        <w:spacing w:after="0" w:line="237" w:lineRule="auto"/>
        <w:tabs>
          <w:tab w:leader="none" w:pos="1513" w:val="left"/>
        </w:tabs>
        <w:numPr>
          <w:ilvl w:val="0"/>
          <w:numId w:val="5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contemplated under Section 4.12 of the Existing Senior Subordinated Note Indenture;</w:t>
      </w:r>
    </w:p>
    <w:p>
      <w:pPr>
        <w:sectPr>
          <w:pgSz w:w="11900" w:h="16838" w:orient="portrait"/>
          <w:cols w:equalWidth="0" w:num="1">
            <w:col w:w="10219"/>
          </w:cols>
          <w:pgMar w:left="240" w:top="477" w:right="1440" w:bottom="1440" w:gutter="0" w:footer="0" w:header="0"/>
        </w:sectPr>
      </w:pPr>
    </w:p>
    <w:bookmarkStart w:id="481" w:name="page482"/>
    <w:bookmarkEnd w:id="481"/>
    <w:p>
      <w:pPr>
        <w:jc w:val="right"/>
        <w:ind w:right="2659"/>
        <w:spacing w:after="0"/>
        <w:rPr>
          <w:sz w:val="20"/>
          <w:szCs w:val="20"/>
          <w:color w:val="auto"/>
        </w:rPr>
      </w:pPr>
      <w:r>
        <w:rPr>
          <w:rFonts w:ascii="Courier New" w:cs="Courier New" w:eastAsia="Courier New" w:hAnsi="Courier New"/>
          <w:sz w:val="16"/>
          <w:szCs w:val="16"/>
          <w:color w:val="auto"/>
        </w:rPr>
        <w:t>82</w:t>
      </w:r>
    </w:p>
    <w:p>
      <w:pPr>
        <w:spacing w:after="0" w:line="364"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(l) Liens on Sold Receivables created under any Receivables Purchase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Facility;</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(m) Liens created by or pursuant to this Agreement or the other Loan</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Documents;</w:t>
      </w:r>
    </w:p>
    <w:p>
      <w:pPr>
        <w:spacing w:after="0" w:line="186" w:lineRule="exact"/>
        <w:rPr>
          <w:sz w:val="20"/>
          <w:szCs w:val="20"/>
          <w:color w:val="auto"/>
        </w:rPr>
      </w:pPr>
    </w:p>
    <w:p>
      <w:pPr>
        <w:jc w:val="both"/>
        <w:ind w:left="3" w:right="2759" w:firstLine="1132"/>
        <w:spacing w:after="0" w:line="238" w:lineRule="auto"/>
        <w:tabs>
          <w:tab w:leader="none" w:pos="1516" w:val="left"/>
        </w:tabs>
        <w:numPr>
          <w:ilvl w:val="0"/>
          <w:numId w:val="5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assets of Foreign Subsidiaries arising by operation of law or pursuant to customary business practice and not known to the Borrower to materially affect the value of such assets; and</w:t>
      </w:r>
    </w:p>
    <w:p>
      <w:pPr>
        <w:spacing w:after="0" w:line="188" w:lineRule="exact"/>
        <w:rPr>
          <w:rFonts w:ascii="Courier New" w:cs="Courier New" w:eastAsia="Courier New" w:hAnsi="Courier New"/>
          <w:sz w:val="16"/>
          <w:szCs w:val="16"/>
          <w:color w:val="auto"/>
        </w:rPr>
      </w:pPr>
    </w:p>
    <w:p>
      <w:pPr>
        <w:ind w:left="3" w:right="2759" w:firstLine="1132"/>
        <w:spacing w:after="0" w:line="239" w:lineRule="auto"/>
        <w:tabs>
          <w:tab w:leader="none" w:pos="1516" w:val="left"/>
        </w:tabs>
        <w:numPr>
          <w:ilvl w:val="0"/>
          <w:numId w:val="5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money Liens on assets acquired with seller-financed Indebtedness permitted pursuant to subsection 7.6(o), so long as such Liens encumber only assets (and proceeds thereof) acquired with such Indebtedness and do not secure any other Indebtedness.</w:t>
      </w:r>
    </w:p>
    <w:p>
      <w:pPr>
        <w:spacing w:after="0" w:line="187" w:lineRule="exact"/>
        <w:rPr>
          <w:sz w:val="20"/>
          <w:szCs w:val="20"/>
          <w:color w:val="auto"/>
        </w:rPr>
      </w:pPr>
    </w:p>
    <w:p>
      <w:pPr>
        <w:ind w:left="3" w:right="2659" w:firstLine="1135"/>
        <w:spacing w:after="0" w:line="256" w:lineRule="auto"/>
        <w:rPr>
          <w:sz w:val="20"/>
          <w:szCs w:val="20"/>
          <w:color w:val="auto"/>
        </w:rPr>
      </w:pPr>
      <w:r>
        <w:rPr>
          <w:rFonts w:ascii="Courier New" w:cs="Courier New" w:eastAsia="Courier New" w:hAnsi="Courier New"/>
          <w:sz w:val="15"/>
          <w:szCs w:val="15"/>
          <w:color w:val="auto"/>
        </w:rPr>
        <w:t>7.2 Limitation on Contingent Obligations. Agree to or assume, guarantee, indorse or otherwise in any way be or become responsible or liable for, directly or indirectly, any Contingent Obligation except for (i) the guarantees contemplated by the Guarantee and Collateral Agreements, (ii)(x) guarantees by the Borrower of Indebtedness of Foreign Subsidiary Borrowers in an aggregate amount not to exceed $50,000,000 at any one time outstanding, (y) guarantees by the Borrower of Permitted Foreign Debt of any Foreign Subsidiary, provided that such Permitted Foreign Debt is not secured by any Liens, and (z) guarantees by Foreign Subsidiaries of Permitted Foreign Debt and other obligations of other Foreign Subsidiaries, the Dollar Equivalent of which Permitted Foreign Debt and other such obligations shall not exceed $50,000,000 in aggregate principal outstanding at any time, (iii) guarantees in existence on the Closing Date as described in Schedule 7.2(iii), (iv) Contingent Obligations in an aggregate amount not to exceed $40,000,000 at any one time outstanding,</w:t>
      </w:r>
    </w:p>
    <w:p>
      <w:pPr>
        <w:spacing w:after="0" w:line="9" w:lineRule="exact"/>
        <w:rPr>
          <w:sz w:val="20"/>
          <w:szCs w:val="20"/>
          <w:color w:val="auto"/>
        </w:rPr>
      </w:pPr>
    </w:p>
    <w:p>
      <w:pPr>
        <w:ind w:left="3" w:right="2659" w:hanging="3"/>
        <w:spacing w:after="0"/>
        <w:tabs>
          <w:tab w:leader="none" w:pos="381" w:val="left"/>
        </w:tabs>
        <w:numPr>
          <w:ilvl w:val="0"/>
          <w:numId w:val="5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Contingent Obligations of any Subsidiary Guarantor in respect of Indebtedness permitted under subsections 7.6(e)-(g), provided that such Contingent Obligations are subordinated to the same extent as the obligations of the Borrower in respect of the related Indebtedness, (vi) any guarantees of the Borrower or any of its Subsidiaries under subsection 5.1(b) or (vii) any guarantee of the obligations of the Borrower by its Subsidiaries of Indebtedness in respect of the Senior Subordinated Notes provided that such Contingent Obligations are subordinated to the same extent as the obligations of the Borrower in respect of the related Indebtedness.</w:t>
      </w:r>
    </w:p>
    <w:p>
      <w:pPr>
        <w:spacing w:after="0" w:line="188" w:lineRule="exact"/>
        <w:rPr>
          <w:sz w:val="20"/>
          <w:szCs w:val="20"/>
          <w:color w:val="auto"/>
        </w:rPr>
      </w:pPr>
    </w:p>
    <w:p>
      <w:pPr>
        <w:ind w:left="3" w:right="2659" w:firstLine="1135"/>
        <w:spacing w:after="0"/>
        <w:rPr>
          <w:sz w:val="20"/>
          <w:szCs w:val="20"/>
          <w:color w:val="auto"/>
        </w:rPr>
      </w:pPr>
      <w:r>
        <w:rPr>
          <w:rFonts w:ascii="Courier New" w:cs="Courier New" w:eastAsia="Courier New" w:hAnsi="Courier New"/>
          <w:sz w:val="16"/>
          <w:szCs w:val="16"/>
          <w:color w:val="auto"/>
        </w:rPr>
        <w:t>7.3 Limitation on Fundamental Changes. Except as permitted or contemplated by this Agreement or any other Loan Document, enter into any transaction of merger or consolidation or amalgamation, or liquidate, wind up or dissolve itself (or suffer any liquidation or dissolution), convey, sell, lease, transfer or otherwise dispose of, in one transaction or a series of transactions, all or any material part of its business or assets, whether now owned or hereafter acquired, or acquire by purchase or otherwise all or substantially all the business or assets of, or stock or other evidence of beneficial ownership of, any Person, or make any material change in the method by which it conducts business, except as provided on Schedule 7.3 and that:</w:t>
      </w:r>
    </w:p>
    <w:p>
      <w:pPr>
        <w:spacing w:after="0" w:line="188" w:lineRule="exact"/>
        <w:rPr>
          <w:sz w:val="20"/>
          <w:szCs w:val="20"/>
          <w:color w:val="auto"/>
        </w:rPr>
      </w:pPr>
    </w:p>
    <w:p>
      <w:pPr>
        <w:ind w:left="3" w:right="2939" w:firstLine="1132"/>
        <w:spacing w:after="0" w:line="239" w:lineRule="auto"/>
        <w:tabs>
          <w:tab w:leader="none" w:pos="1516" w:val="left"/>
        </w:tabs>
        <w:numPr>
          <w:ilvl w:val="0"/>
          <w:numId w:val="5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Subsidiary of the Borrower may be merged, amalgamated or consolidated with or into the Borrower or any wholly owned Subsidiary of the Borrower (provided that in the case of each such merger or consolidation, the Borrower or such wholly owned Subsidiary, as the case may be, shall be the continuing or surviving corporation);</w:t>
      </w:r>
    </w:p>
    <w:p>
      <w:pPr>
        <w:sectPr>
          <w:pgSz w:w="11900" w:h="16838" w:orient="portrait"/>
          <w:cols w:equalWidth="0" w:num="1">
            <w:col w:w="10222"/>
          </w:cols>
          <w:pgMar w:left="237" w:top="476" w:right="1440" w:bottom="1440" w:gutter="0" w:footer="0" w:header="0"/>
        </w:sectPr>
      </w:pPr>
    </w:p>
    <w:bookmarkStart w:id="482" w:name="page483"/>
    <w:bookmarkEnd w:id="482"/>
    <w:p>
      <w:pPr>
        <w:jc w:val="right"/>
        <w:ind w:right="2659"/>
        <w:spacing w:after="0"/>
        <w:rPr>
          <w:sz w:val="20"/>
          <w:szCs w:val="20"/>
          <w:color w:val="auto"/>
        </w:rPr>
      </w:pPr>
      <w:r>
        <w:rPr>
          <w:rFonts w:ascii="Courier New" w:cs="Courier New" w:eastAsia="Courier New" w:hAnsi="Courier New"/>
          <w:sz w:val="16"/>
          <w:szCs w:val="16"/>
          <w:color w:val="auto"/>
        </w:rPr>
        <w:t>83</w:t>
      </w:r>
    </w:p>
    <w:p>
      <w:pPr>
        <w:spacing w:after="0" w:line="368" w:lineRule="exact"/>
        <w:rPr>
          <w:sz w:val="20"/>
          <w:szCs w:val="20"/>
          <w:color w:val="auto"/>
        </w:rPr>
      </w:pPr>
    </w:p>
    <w:p>
      <w:pPr>
        <w:ind w:right="2659" w:firstLine="1132"/>
        <w:spacing w:after="0"/>
        <w:tabs>
          <w:tab w:leader="none" w:pos="1513" w:val="left"/>
        </w:tabs>
        <w:numPr>
          <w:ilvl w:val="0"/>
          <w:numId w:val="5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Subsidiary of the Borrower may be liquidated, wound up or dissolved into, or all or substantially all, or such lesser amount thereof as the Borrower shall determine, of its business, property or assets may be conveyed, sold, leased, transferred or otherwise disposed of, in one transaction or a series of transactions, to, (i) the Borrower or any wholly owned Subsidiary of the Borrower (provided that such wholly owned Subsidiary shall be a Subsidiary Guarantor) or (ii) to any other Person in compliance with subsection 7.9;</w:t>
      </w:r>
    </w:p>
    <w:p>
      <w:pPr>
        <w:spacing w:after="0" w:line="186" w:lineRule="exact"/>
        <w:rPr>
          <w:rFonts w:ascii="Courier New" w:cs="Courier New" w:eastAsia="Courier New" w:hAnsi="Courier New"/>
          <w:sz w:val="16"/>
          <w:szCs w:val="16"/>
          <w:color w:val="auto"/>
        </w:rPr>
      </w:pPr>
    </w:p>
    <w:p>
      <w:pPr>
        <w:ind w:right="2939" w:firstLine="1132"/>
        <w:spacing w:after="0" w:line="239" w:lineRule="auto"/>
        <w:tabs>
          <w:tab w:leader="none" w:pos="1513" w:val="left"/>
        </w:tabs>
        <w:numPr>
          <w:ilvl w:val="0"/>
          <w:numId w:val="5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or any Subsidiary of the Borrower may acquire by purchase or otherwise all or substantially all the business or assets of, or stock or other evidence of beneficial ownership of, any Person (including, without limitation, any Affiliate of the Borrower), provided that such acquisition shall be a Permitted Acquisition; and</w:t>
      </w:r>
    </w:p>
    <w:p>
      <w:pPr>
        <w:spacing w:after="0" w:line="188" w:lineRule="exact"/>
        <w:rPr>
          <w:rFonts w:ascii="Courier New" w:cs="Courier New" w:eastAsia="Courier New" w:hAnsi="Courier New"/>
          <w:sz w:val="16"/>
          <w:szCs w:val="16"/>
          <w:color w:val="auto"/>
        </w:rPr>
      </w:pPr>
    </w:p>
    <w:p>
      <w:pPr>
        <w:ind w:right="2659" w:firstLine="1132"/>
        <w:spacing w:after="0" w:line="257" w:lineRule="auto"/>
        <w:tabs>
          <w:tab w:leader="none" w:pos="1513" w:val="left"/>
        </w:tabs>
        <w:numPr>
          <w:ilvl w:val="0"/>
          <w:numId w:val="5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no Default or Event of Default has occurred and is continuing, the Borrower may effect a reorganization whereby the common stock of the Borrower shall become owned by a Person organized or existing under the laws of the United States of America, any state thereof or the District of Columbia ("Holdco"), provided, at the Borrower's election, either (i)(A) Holdco shall assume and agree to perform all covenants, agreements, rights, obligations and liabilities of the Borrower under this Agreement and the other Loan Documents and become for all purposes thereof, the "Borrower" under this Agreement pursuant to documentation in form and substance reasonably satisfactory to the Administrative Agent, (B) the Borrower shall thereafter be a Domestic Subsidiary for all purposes under this Agreement (and shall no longer be the "Borrower"), and (C) the Borrower and Holdco shall comply with subsection 6.11(c) (it being understood that a pledge of the Capital Stock of Holdco shall not be required), or (ii) (A) the Borrower shall remain liable for all of its Obligations, (B) the provisions of Sections 4, 6, 7 and 8 applicable to the Borrower shall also be applicable to Holdco and (C) Holdco shall execute and deliver to the Administrative Agent a Guarantee and Collateral Agreement and such other documents as the Administrative Agent shall reasonably request in form and substance reasonably acceptable to the Administrative Agent; provided further, that in the event of the assumption by Holdco of such covenants, agreements, rights, obligations and liabilities of the Borrower, Holdco shall become concurrently with such assumption the primary obligor on the Senior Subordinated Notes and any other subordinated or unsecured Indebtedness of the Borrower permitted pursuant to subsection 7.6 of this Agreement that are outstanding (other than the Existing Senior Subordinated Notes).</w:t>
      </w:r>
    </w:p>
    <w:p>
      <w:pPr>
        <w:spacing w:after="0" w:line="362"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7.4 Limitation on Capital Expenditures. Directly or indirectly (by way of the acquisition of the securities of a Person or otherwise) make any expenditure in respect of the purchase or other acquisition of any fixed or capital asset (excluding normal replacements and maintenance which are properly charged to current operations or replacements and maintenance which are payable from the proceeds of insurance received by the Borrower or any of its Subsidiaries) by the expenditure of cash or the incurrence of Indebtedness, except for the purchase or other acquisition in any fiscal year of any such asset the cost of which (or, in the case of any acquisition not in the nature of an ordinary purchase, the book value of the consideration given for which), when aggregated with the costs of all other such assets purchased or otherwise acquired by the Borrower and its Subsidiaries taken as a whole during such fiscal year, does not exceed the amounts set forth below opposite each fiscal year, provided that any such amount referred to above, if not so expended in the fiscal year for which it is permitted, may be carried over for expenditure in the next succeeding fiscal year, but not in any subsequent fiscal year.</w:t>
      </w:r>
    </w:p>
    <w:p>
      <w:pPr>
        <w:sectPr>
          <w:pgSz w:w="11900" w:h="16838" w:orient="portrait"/>
          <w:cols w:equalWidth="0" w:num="1">
            <w:col w:w="10219"/>
          </w:cols>
          <w:pgMar w:left="240" w:top="477" w:right="1440" w:bottom="1440" w:gutter="0" w:footer="0" w:header="0"/>
        </w:sectPr>
      </w:pPr>
    </w:p>
    <w:bookmarkStart w:id="483" w:name="page484"/>
    <w:bookmarkEnd w:id="483"/>
    <w:p>
      <w:pPr>
        <w:jc w:val="right"/>
        <w:ind w:right="2659"/>
        <w:spacing w:after="0"/>
        <w:rPr>
          <w:sz w:val="20"/>
          <w:szCs w:val="20"/>
          <w:color w:val="auto"/>
        </w:rPr>
      </w:pPr>
      <w:r>
        <w:rPr>
          <w:rFonts w:ascii="Courier New" w:cs="Courier New" w:eastAsia="Courier New" w:hAnsi="Courier New"/>
          <w:sz w:val="16"/>
          <w:szCs w:val="16"/>
          <w:color w:val="auto"/>
        </w:rPr>
        <w:t>84</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563" w:type="dxa"/>
        <w:tblCellMar>
          <w:top w:w="0" w:type="dxa"/>
          <w:left w:w="0" w:type="dxa"/>
          <w:bottom w:w="0" w:type="dxa"/>
          <w:right w:w="0" w:type="dxa"/>
        </w:tblCellMar>
      </w:tblPr>
      <w:tr>
        <w:trPr>
          <w:trHeight w:val="181"/>
        </w:trPr>
        <w:tc>
          <w:tcPr>
            <w:tcW w:w="162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6"/>
              </w:rPr>
              <w:t>Fiscal Year</w:t>
            </w:r>
          </w:p>
        </w:tc>
        <w:tc>
          <w:tcPr>
            <w:tcW w:w="3120" w:type="dxa"/>
            <w:vAlign w:val="bottom"/>
          </w:tcPr>
          <w:p>
            <w:pPr>
              <w:jc w:val="right"/>
              <w:spacing w:after="0"/>
              <w:rPr>
                <w:sz w:val="20"/>
                <w:szCs w:val="20"/>
                <w:color w:val="auto"/>
              </w:rPr>
            </w:pPr>
            <w:r>
              <w:rPr>
                <w:rFonts w:ascii="Courier New" w:cs="Courier New" w:eastAsia="Courier New" w:hAnsi="Courier New"/>
                <w:sz w:val="16"/>
                <w:szCs w:val="16"/>
                <w:color w:val="auto"/>
              </w:rPr>
              <w:t>Capital Expenditures Amount</w:t>
            </w:r>
          </w:p>
        </w:tc>
      </w:tr>
      <w:tr>
        <w:trPr>
          <w:trHeight w:val="182"/>
        </w:trPr>
        <w:tc>
          <w:tcPr>
            <w:tcW w:w="162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6"/>
              </w:rPr>
              <w:t>-----------</w:t>
            </w:r>
          </w:p>
        </w:tc>
        <w:tc>
          <w:tcPr>
            <w:tcW w:w="3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16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2004</w:t>
            </w:r>
          </w:p>
        </w:tc>
        <w:tc>
          <w:tcPr>
            <w:tcW w:w="31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85,000,000</w:t>
            </w:r>
          </w:p>
        </w:tc>
      </w:tr>
      <w:tr>
        <w:trPr>
          <w:trHeight w:val="182"/>
        </w:trPr>
        <w:tc>
          <w:tcPr>
            <w:tcW w:w="16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2005</w:t>
            </w:r>
          </w:p>
        </w:tc>
        <w:tc>
          <w:tcPr>
            <w:tcW w:w="31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90,000,000</w:t>
            </w:r>
          </w:p>
        </w:tc>
      </w:tr>
      <w:tr>
        <w:trPr>
          <w:trHeight w:val="182"/>
        </w:trPr>
        <w:tc>
          <w:tcPr>
            <w:tcW w:w="16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2006</w:t>
            </w:r>
          </w:p>
        </w:tc>
        <w:tc>
          <w:tcPr>
            <w:tcW w:w="31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95,000,000</w:t>
            </w:r>
          </w:p>
        </w:tc>
      </w:tr>
      <w:tr>
        <w:trPr>
          <w:trHeight w:val="182"/>
        </w:trPr>
        <w:tc>
          <w:tcPr>
            <w:tcW w:w="16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2007</w:t>
            </w:r>
          </w:p>
        </w:tc>
        <w:tc>
          <w:tcPr>
            <w:tcW w:w="31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100,000,000</w:t>
            </w:r>
          </w:p>
        </w:tc>
      </w:tr>
      <w:tr>
        <w:trPr>
          <w:trHeight w:val="182"/>
        </w:trPr>
        <w:tc>
          <w:tcPr>
            <w:tcW w:w="16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2008</w:t>
            </w:r>
          </w:p>
        </w:tc>
        <w:tc>
          <w:tcPr>
            <w:tcW w:w="31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105,000,000</w:t>
            </w:r>
          </w:p>
        </w:tc>
      </w:tr>
      <w:tr>
        <w:trPr>
          <w:trHeight w:val="182"/>
        </w:trPr>
        <w:tc>
          <w:tcPr>
            <w:tcW w:w="16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2009</w:t>
            </w:r>
          </w:p>
        </w:tc>
        <w:tc>
          <w:tcPr>
            <w:tcW w:w="31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110,000,000</w:t>
            </w:r>
          </w:p>
        </w:tc>
      </w:tr>
      <w:tr>
        <w:trPr>
          <w:trHeight w:val="182"/>
        </w:trPr>
        <w:tc>
          <w:tcPr>
            <w:tcW w:w="16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2010</w:t>
            </w:r>
          </w:p>
        </w:tc>
        <w:tc>
          <w:tcPr>
            <w:tcW w:w="31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115,000,000</w:t>
            </w:r>
          </w:p>
        </w:tc>
      </w:tr>
    </w:tbl>
    <w:p>
      <w:pPr>
        <w:spacing w:after="0" w:line="368" w:lineRule="exact"/>
        <w:rPr>
          <w:sz w:val="20"/>
          <w:szCs w:val="20"/>
          <w:color w:val="auto"/>
        </w:rPr>
      </w:pPr>
    </w:p>
    <w:p>
      <w:pPr>
        <w:ind w:left="3" w:right="2939" w:firstLine="1135"/>
        <w:spacing w:after="0" w:line="260" w:lineRule="auto"/>
        <w:rPr>
          <w:sz w:val="20"/>
          <w:szCs w:val="20"/>
          <w:color w:val="auto"/>
        </w:rPr>
      </w:pPr>
      <w:r>
        <w:rPr>
          <w:rFonts w:ascii="Courier New" w:cs="Courier New" w:eastAsia="Courier New" w:hAnsi="Courier New"/>
          <w:sz w:val="15"/>
          <w:szCs w:val="15"/>
          <w:color w:val="auto"/>
        </w:rPr>
        <w:t>7.5 Limitation on Acquisitions, Investments, Loans and Advances. Make or commit to make any advance, loan, extension of credit or capital contribution to, or purchase of stock, bonds, notes, debentures or other securities of any Person, or make any other investment in any Person, except:</w:t>
      </w:r>
    </w:p>
    <w:p>
      <w:pPr>
        <w:spacing w:after="0" w:line="351" w:lineRule="exact"/>
        <w:rPr>
          <w:sz w:val="20"/>
          <w:szCs w:val="20"/>
          <w:color w:val="auto"/>
        </w:rPr>
      </w:pPr>
    </w:p>
    <w:p>
      <w:pPr>
        <w:ind w:left="1523" w:hanging="388"/>
        <w:spacing w:after="0"/>
        <w:tabs>
          <w:tab w:leader="none" w:pos="1523" w:val="left"/>
        </w:tabs>
        <w:numPr>
          <w:ilvl w:val="1"/>
          <w:numId w:val="5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Cash Equivalents and Foreign Cash Equivalents;</w:t>
      </w:r>
    </w:p>
    <w:p>
      <w:pPr>
        <w:spacing w:after="0" w:line="186" w:lineRule="exact"/>
        <w:rPr>
          <w:rFonts w:ascii="Courier New" w:cs="Courier New" w:eastAsia="Courier New" w:hAnsi="Courier New"/>
          <w:sz w:val="16"/>
          <w:szCs w:val="16"/>
          <w:color w:val="auto"/>
        </w:rPr>
      </w:pPr>
    </w:p>
    <w:p>
      <w:pPr>
        <w:ind w:left="3" w:right="2659" w:firstLine="1132"/>
        <w:spacing w:after="0" w:line="239" w:lineRule="auto"/>
        <w:tabs>
          <w:tab w:leader="none" w:pos="1516" w:val="left"/>
        </w:tabs>
        <w:numPr>
          <w:ilvl w:val="1"/>
          <w:numId w:val="5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and advances to officers and directors of the Borrower or any of its Subsidiaries (or employees thereof or manufacturers' representatives provided such loans and advances are approved by an officer of the Borrower) for travel, entertainment and relocation expenses in the ordinary course of business which do not exceed at any time outstanding an aggregate amount in excess of $5,000,000;</w:t>
      </w:r>
    </w:p>
    <w:p>
      <w:pPr>
        <w:spacing w:after="0" w:line="190" w:lineRule="exact"/>
        <w:rPr>
          <w:rFonts w:ascii="Courier New" w:cs="Courier New" w:eastAsia="Courier New" w:hAnsi="Courier New"/>
          <w:sz w:val="16"/>
          <w:szCs w:val="16"/>
          <w:color w:val="auto"/>
        </w:rPr>
      </w:pPr>
    </w:p>
    <w:p>
      <w:pPr>
        <w:ind w:left="3" w:right="3039" w:firstLine="1132"/>
        <w:spacing w:after="0" w:line="238" w:lineRule="auto"/>
        <w:tabs>
          <w:tab w:leader="none" w:pos="1516" w:val="left"/>
        </w:tabs>
        <w:numPr>
          <w:ilvl w:val="1"/>
          <w:numId w:val="5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and advances to and investments in the Borrower or its Subsidiaries including loans made by Scotts Treasury EEIG to any Foreign Subsidiary;</w:t>
      </w:r>
    </w:p>
    <w:p>
      <w:pPr>
        <w:spacing w:after="0" w:line="188" w:lineRule="exact"/>
        <w:rPr>
          <w:rFonts w:ascii="Courier New" w:cs="Courier New" w:eastAsia="Courier New" w:hAnsi="Courier New"/>
          <w:sz w:val="16"/>
          <w:szCs w:val="16"/>
          <w:color w:val="auto"/>
        </w:rPr>
      </w:pPr>
    </w:p>
    <w:p>
      <w:pPr>
        <w:ind w:left="3" w:right="3219" w:firstLine="1132"/>
        <w:spacing w:after="0" w:line="239" w:lineRule="auto"/>
        <w:tabs>
          <w:tab w:leader="none" w:pos="1516" w:val="left"/>
        </w:tabs>
        <w:numPr>
          <w:ilvl w:val="1"/>
          <w:numId w:val="5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notes and other securities received in the settlement of overdue debts and accounts payable in the ordinary course of business and for amounts which, individually or in the aggregate, are not material to the Borrower and its Subsidiaries taken as a whole;</w:t>
      </w:r>
    </w:p>
    <w:p>
      <w:pPr>
        <w:spacing w:after="0" w:line="183" w:lineRule="exact"/>
        <w:rPr>
          <w:rFonts w:ascii="Courier New" w:cs="Courier New" w:eastAsia="Courier New" w:hAnsi="Courier New"/>
          <w:sz w:val="16"/>
          <w:szCs w:val="16"/>
          <w:color w:val="auto"/>
        </w:rPr>
      </w:pPr>
    </w:p>
    <w:p>
      <w:pPr>
        <w:ind w:left="1523" w:hanging="388"/>
        <w:spacing w:after="0"/>
        <w:tabs>
          <w:tab w:leader="none" w:pos="1523" w:val="left"/>
        </w:tabs>
        <w:numPr>
          <w:ilvl w:val="1"/>
          <w:numId w:val="5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otherwise provided pursuant to subsection 7.4;</w:t>
      </w:r>
    </w:p>
    <w:p>
      <w:pPr>
        <w:spacing w:after="0" w:line="182" w:lineRule="exact"/>
        <w:rPr>
          <w:rFonts w:ascii="Courier New" w:cs="Courier New" w:eastAsia="Courier New" w:hAnsi="Courier New"/>
          <w:sz w:val="16"/>
          <w:szCs w:val="16"/>
          <w:color w:val="auto"/>
        </w:rPr>
      </w:pPr>
    </w:p>
    <w:p>
      <w:pPr>
        <w:ind w:left="1523" w:hanging="388"/>
        <w:spacing w:after="0"/>
        <w:tabs>
          <w:tab w:leader="none" w:pos="1523" w:val="left"/>
        </w:tabs>
        <w:numPr>
          <w:ilvl w:val="1"/>
          <w:numId w:val="5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Acquisitions;</w:t>
      </w:r>
    </w:p>
    <w:p>
      <w:pPr>
        <w:spacing w:after="0" w:line="186" w:lineRule="exact"/>
        <w:rPr>
          <w:rFonts w:ascii="Courier New" w:cs="Courier New" w:eastAsia="Courier New" w:hAnsi="Courier New"/>
          <w:sz w:val="16"/>
          <w:szCs w:val="16"/>
          <w:color w:val="auto"/>
        </w:rPr>
      </w:pPr>
    </w:p>
    <w:p>
      <w:pPr>
        <w:ind w:left="1523" w:hanging="388"/>
        <w:spacing w:after="0"/>
        <w:tabs>
          <w:tab w:leader="none" w:pos="1523" w:val="left"/>
        </w:tabs>
        <w:numPr>
          <w:ilvl w:val="1"/>
          <w:numId w:val="5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not otherwise permitted pursuant to preceding clauses</w:t>
      </w:r>
    </w:p>
    <w:p>
      <w:pPr>
        <w:spacing w:after="0" w:line="11" w:lineRule="exact"/>
        <w:rPr>
          <w:rFonts w:ascii="Courier New" w:cs="Courier New" w:eastAsia="Courier New" w:hAnsi="Courier New"/>
          <w:sz w:val="15"/>
          <w:szCs w:val="15"/>
          <w:color w:val="auto"/>
        </w:rPr>
      </w:pPr>
    </w:p>
    <w:p>
      <w:pPr>
        <w:ind w:left="3" w:right="2939" w:hanging="3"/>
        <w:spacing w:after="0" w:line="237" w:lineRule="auto"/>
        <w:tabs>
          <w:tab w:leader="none" w:pos="381" w:val="left"/>
        </w:tabs>
        <w:numPr>
          <w:ilvl w:val="0"/>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(f), loans to or investments in Affiliates in an aggregate amount not in excess of $20,000,000;</w:t>
      </w:r>
    </w:p>
    <w:p>
      <w:pPr>
        <w:spacing w:after="0" w:line="187" w:lineRule="exact"/>
        <w:rPr>
          <w:rFonts w:ascii="Courier New" w:cs="Courier New" w:eastAsia="Courier New" w:hAnsi="Courier New"/>
          <w:sz w:val="16"/>
          <w:szCs w:val="16"/>
          <w:color w:val="auto"/>
        </w:rPr>
      </w:pPr>
    </w:p>
    <w:p>
      <w:pPr>
        <w:ind w:left="3" w:right="2659" w:firstLine="1132"/>
        <w:spacing w:after="0" w:line="239" w:lineRule="auto"/>
        <w:tabs>
          <w:tab w:leader="none" w:pos="1516"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the Capital Stock of a joint venture entity in an aggregate amount not to exceed $50,000,000; provided that the amount of such investments permitted pursuant to this subsection 7.5(h) shall be reduced by the aggregate amount of non-cash consideration received in respect of Dispositions permitted pursuant to subsection 7.9;</w:t>
      </w:r>
    </w:p>
    <w:p>
      <w:pPr>
        <w:spacing w:after="0" w:line="188" w:lineRule="exact"/>
        <w:rPr>
          <w:rFonts w:ascii="Courier New" w:cs="Courier New" w:eastAsia="Courier New" w:hAnsi="Courier New"/>
          <w:sz w:val="16"/>
          <w:szCs w:val="16"/>
          <w:color w:val="auto"/>
        </w:rPr>
      </w:pPr>
    </w:p>
    <w:p>
      <w:pPr>
        <w:ind w:left="3" w:right="3319" w:firstLine="1132"/>
        <w:spacing w:after="0" w:line="238" w:lineRule="auto"/>
        <w:tabs>
          <w:tab w:leader="none" w:pos="1516"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the nature of seller financing of or other consideration received in any Disposition by the Borrower or any of its Subsidiaries of any assets permitted by subsection 7.9;</w:t>
      </w:r>
    </w:p>
    <w:p>
      <w:pPr>
        <w:sectPr>
          <w:pgSz w:w="11900" w:h="16838" w:orient="portrait"/>
          <w:cols w:equalWidth="0" w:num="1">
            <w:col w:w="10222"/>
          </w:cols>
          <w:pgMar w:left="237" w:top="477" w:right="1440" w:bottom="1440" w:gutter="0" w:footer="0" w:header="0"/>
        </w:sectPr>
      </w:pPr>
    </w:p>
    <w:bookmarkStart w:id="484" w:name="page485"/>
    <w:bookmarkEnd w:id="484"/>
    <w:p>
      <w:pPr>
        <w:jc w:val="right"/>
        <w:ind w:right="2659"/>
        <w:spacing w:after="0"/>
        <w:rPr>
          <w:sz w:val="20"/>
          <w:szCs w:val="20"/>
          <w:color w:val="auto"/>
        </w:rPr>
      </w:pPr>
      <w:r>
        <w:rPr>
          <w:rFonts w:ascii="Courier New" w:cs="Courier New" w:eastAsia="Courier New" w:hAnsi="Courier New"/>
          <w:sz w:val="16"/>
          <w:szCs w:val="16"/>
          <w:color w:val="auto"/>
        </w:rPr>
        <w:t>85</w:t>
      </w:r>
    </w:p>
    <w:p>
      <w:pPr>
        <w:spacing w:after="0" w:line="368" w:lineRule="exact"/>
        <w:rPr>
          <w:sz w:val="20"/>
          <w:szCs w:val="20"/>
          <w:color w:val="auto"/>
        </w:rPr>
      </w:pPr>
    </w:p>
    <w:p>
      <w:pPr>
        <w:ind w:left="3" w:right="2659" w:firstLine="1132"/>
        <w:spacing w:after="0" w:line="238" w:lineRule="auto"/>
        <w:tabs>
          <w:tab w:leader="none" w:pos="1516" w:val="left"/>
        </w:tabs>
        <w:numPr>
          <w:ilvl w:val="1"/>
          <w:numId w:val="5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and advances to and investments in the Borrower or any Subsidiary Borrower to the extent required to facilitate the making of mandatory prepayments under subsection 2.12; and</w:t>
      </w:r>
    </w:p>
    <w:p>
      <w:pPr>
        <w:spacing w:after="0" w:line="188" w:lineRule="exact"/>
        <w:rPr>
          <w:rFonts w:ascii="Courier New" w:cs="Courier New" w:eastAsia="Courier New" w:hAnsi="Courier New"/>
          <w:sz w:val="16"/>
          <w:szCs w:val="16"/>
          <w:color w:val="auto"/>
        </w:rPr>
      </w:pPr>
    </w:p>
    <w:p>
      <w:pPr>
        <w:ind w:left="1523" w:hanging="388"/>
        <w:spacing w:after="0"/>
        <w:tabs>
          <w:tab w:leader="none" w:pos="1523" w:val="left"/>
        </w:tabs>
        <w:numPr>
          <w:ilvl w:val="1"/>
          <w:numId w:val="5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not otherwise permitted pursuant to preceding clauses</w:t>
      </w:r>
    </w:p>
    <w:p>
      <w:pPr>
        <w:spacing w:after="0" w:line="8" w:lineRule="exact"/>
        <w:rPr>
          <w:rFonts w:ascii="Courier New" w:cs="Courier New" w:eastAsia="Courier New" w:hAnsi="Courier New"/>
          <w:sz w:val="15"/>
          <w:szCs w:val="15"/>
          <w:color w:val="auto"/>
        </w:rPr>
      </w:pPr>
    </w:p>
    <w:p>
      <w:pPr>
        <w:ind w:left="383" w:hanging="383"/>
        <w:spacing w:after="0"/>
        <w:tabs>
          <w:tab w:leader="none" w:pos="383" w:val="left"/>
        </w:tabs>
        <w:numPr>
          <w:ilvl w:val="0"/>
          <w:numId w:val="5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(i), investments in an aggregate amount not in excess of</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$25,000,000.</w:t>
      </w:r>
    </w:p>
    <w:p>
      <w:pPr>
        <w:spacing w:after="0" w:line="186" w:lineRule="exact"/>
        <w:rPr>
          <w:sz w:val="20"/>
          <w:szCs w:val="20"/>
          <w:color w:val="auto"/>
        </w:rPr>
      </w:pPr>
    </w:p>
    <w:p>
      <w:pPr>
        <w:ind w:left="3" w:right="2839" w:firstLine="1135"/>
        <w:spacing w:after="0" w:line="237" w:lineRule="auto"/>
        <w:rPr>
          <w:sz w:val="20"/>
          <w:szCs w:val="20"/>
          <w:color w:val="auto"/>
        </w:rPr>
      </w:pPr>
      <w:r>
        <w:rPr>
          <w:rFonts w:ascii="Courier New" w:cs="Courier New" w:eastAsia="Courier New" w:hAnsi="Courier New"/>
          <w:sz w:val="16"/>
          <w:szCs w:val="16"/>
          <w:color w:val="auto"/>
        </w:rPr>
        <w:t>7.6 Limitation on Indebtedness. Create, incur, assume or suffer to exist any Indebtedness except:</w:t>
      </w:r>
    </w:p>
    <w:p>
      <w:pPr>
        <w:spacing w:after="0" w:line="366" w:lineRule="exact"/>
        <w:rPr>
          <w:sz w:val="20"/>
          <w:szCs w:val="20"/>
          <w:color w:val="auto"/>
        </w:rPr>
      </w:pPr>
    </w:p>
    <w:p>
      <w:pPr>
        <w:ind w:left="1523" w:hanging="388"/>
        <w:spacing w:after="0"/>
        <w:tabs>
          <w:tab w:leader="none" w:pos="1523" w:val="left"/>
        </w:tabs>
        <w:numPr>
          <w:ilvl w:val="0"/>
          <w:numId w:val="5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any Loan Party pursuant to any Loan Document;</w:t>
      </w:r>
    </w:p>
    <w:p>
      <w:pPr>
        <w:spacing w:after="0" w:line="186" w:lineRule="exact"/>
        <w:rPr>
          <w:rFonts w:ascii="Courier New" w:cs="Courier New" w:eastAsia="Courier New" w:hAnsi="Courier New"/>
          <w:sz w:val="16"/>
          <w:szCs w:val="16"/>
          <w:color w:val="auto"/>
        </w:rPr>
      </w:pPr>
    </w:p>
    <w:p>
      <w:pPr>
        <w:ind w:left="3" w:right="3319" w:firstLine="1132"/>
        <w:spacing w:after="0" w:line="237" w:lineRule="auto"/>
        <w:tabs>
          <w:tab w:leader="none" w:pos="1516" w:val="left"/>
        </w:tabs>
        <w:numPr>
          <w:ilvl w:val="0"/>
          <w:numId w:val="5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the Borrower to any Subsidiary and of any Subsidiary to the Borrower or any other Subsidiary;</w:t>
      </w:r>
    </w:p>
    <w:p>
      <w:pPr>
        <w:spacing w:after="0" w:line="187" w:lineRule="exact"/>
        <w:rPr>
          <w:rFonts w:ascii="Courier New" w:cs="Courier New" w:eastAsia="Courier New" w:hAnsi="Courier New"/>
          <w:sz w:val="16"/>
          <w:szCs w:val="16"/>
          <w:color w:val="auto"/>
        </w:rPr>
      </w:pPr>
    </w:p>
    <w:p>
      <w:pPr>
        <w:ind w:left="3" w:right="2659" w:firstLine="1132"/>
        <w:spacing w:after="0" w:line="239" w:lineRule="auto"/>
        <w:tabs>
          <w:tab w:leader="none" w:pos="1516" w:val="left"/>
        </w:tabs>
        <w:numPr>
          <w:ilvl w:val="0"/>
          <w:numId w:val="5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outstanding on the date hereof and listed on Schedule 7.6(c) (including the Existing Senior Subordinated Notes and the Senior Subordinated Notes) and any refinancings, refundings, renewals or extensions thereof (without increasing, or shortening the maturity of, the principal amount thereof);</w:t>
      </w:r>
    </w:p>
    <w:p>
      <w:pPr>
        <w:spacing w:after="0" w:line="188" w:lineRule="exact"/>
        <w:rPr>
          <w:rFonts w:ascii="Courier New" w:cs="Courier New" w:eastAsia="Courier New" w:hAnsi="Courier New"/>
          <w:sz w:val="16"/>
          <w:szCs w:val="16"/>
          <w:color w:val="auto"/>
        </w:rPr>
      </w:pPr>
    </w:p>
    <w:p>
      <w:pPr>
        <w:ind w:left="3" w:right="3039" w:firstLine="1132"/>
        <w:spacing w:after="0" w:line="262" w:lineRule="auto"/>
        <w:tabs>
          <w:tab w:leader="none" w:pos="1516" w:val="left"/>
        </w:tabs>
        <w:numPr>
          <w:ilvl w:val="0"/>
          <w:numId w:val="5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(including, without limitation, Capital Lease Obligations) secured by Liens permitted by subsection 7.1(a) in an aggregate principal amount not to exceed $75,000,000 at any one time outstanding;</w:t>
      </w:r>
    </w:p>
    <w:p>
      <w:pPr>
        <w:spacing w:after="0" w:line="171" w:lineRule="exact"/>
        <w:rPr>
          <w:rFonts w:ascii="Courier New" w:cs="Courier New" w:eastAsia="Courier New" w:hAnsi="Courier New"/>
          <w:sz w:val="15"/>
          <w:szCs w:val="15"/>
          <w:color w:val="auto"/>
        </w:rPr>
      </w:pPr>
    </w:p>
    <w:p>
      <w:pPr>
        <w:ind w:left="3" w:right="2659" w:firstLine="1132"/>
        <w:spacing w:after="0" w:line="257" w:lineRule="auto"/>
        <w:tabs>
          <w:tab w:leader="none" w:pos="1516" w:val="left"/>
        </w:tabs>
        <w:numPr>
          <w:ilvl w:val="0"/>
          <w:numId w:val="5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Indebtedness of the Borrower under subordinated notes pursuant to one or more subordinated note indentures having subordination provisions as favorable to the Lenders as those in the Senior Subordinated Note Indenture and having no scheduled principal payments or prepayments prior to September 30, 2011 which may be used (i) to prepay the Term Loans, (ii) to repurchase or redeem the Existing Senior Subordinated Notes, (iii) to repurchase or redeem the Senior Subordinated Notes or (iv) for Permitted Acquisitions; provided any such Indebtedness under subparagraph (iv) of this subsection 7.6(e) that is used for Permitted Acquisitions may be incurred only when after giving effect to the incurrence of such Indebtedness, the Leverage Ratio is at least 0.25 to 1.00 less than the covenant contained in subsection 6.10;</w:t>
      </w:r>
    </w:p>
    <w:p>
      <w:pPr>
        <w:spacing w:after="0" w:line="181" w:lineRule="exact"/>
        <w:rPr>
          <w:rFonts w:ascii="Courier New" w:cs="Courier New" w:eastAsia="Courier New" w:hAnsi="Courier New"/>
          <w:sz w:val="15"/>
          <w:szCs w:val="15"/>
          <w:color w:val="auto"/>
        </w:rPr>
      </w:pPr>
    </w:p>
    <w:p>
      <w:pPr>
        <w:ind w:left="3" w:right="2659" w:firstLine="1132"/>
        <w:spacing w:after="0" w:line="239" w:lineRule="auto"/>
        <w:tabs>
          <w:tab w:leader="none" w:pos="1516" w:val="left"/>
        </w:tabs>
        <w:numPr>
          <w:ilvl w:val="0"/>
          <w:numId w:val="5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unsecured Indebtedness of the Borrower in an aggregate principal amount of $100,000,000 under subordinated notes pursuant to one or more subordinated note indentures having subordination provisions as favorable to the Lenders as those in the Senior Subordinated Note Indenture and having no scheduled principal payments or prepayments prior to September 30, 2011;</w:t>
      </w:r>
    </w:p>
    <w:p>
      <w:pPr>
        <w:spacing w:after="0" w:line="188" w:lineRule="exact"/>
        <w:rPr>
          <w:rFonts w:ascii="Courier New" w:cs="Courier New" w:eastAsia="Courier New" w:hAnsi="Courier New"/>
          <w:sz w:val="16"/>
          <w:szCs w:val="16"/>
          <w:color w:val="auto"/>
        </w:rPr>
      </w:pPr>
    </w:p>
    <w:p>
      <w:pPr>
        <w:ind w:left="3" w:right="2659" w:firstLine="1132"/>
        <w:spacing w:after="0"/>
        <w:tabs>
          <w:tab w:leader="none" w:pos="1516" w:val="left"/>
        </w:tabs>
        <w:numPr>
          <w:ilvl w:val="0"/>
          <w:numId w:val="5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unsecured or subordinated Indebtedness of the Borrower in an aggregate principal amount of $200,000,000 having no scheduled principal payments or prepayments prior to September 30, 2011 and which subordinated Indebtedness which may be used for Permitted Acquisitions; provided any such Indebtedness under this subsection 7.6(g) may be incurred only when after giving effect to the incurrence of such Indebtedness, the Senior Leverage Ratio is at least 2.5 to 1.0; provided further that any such subordinated Indebtedness permitted under this subsection 7.6(g) shall be under subordinated notes pursuant to one or more subordinated note</w:t>
      </w:r>
    </w:p>
    <w:p>
      <w:pPr>
        <w:sectPr>
          <w:pgSz w:w="11900" w:h="16838" w:orient="portrait"/>
          <w:cols w:equalWidth="0" w:num="1">
            <w:col w:w="10222"/>
          </w:cols>
          <w:pgMar w:left="237" w:top="476" w:right="1440" w:bottom="1440" w:gutter="0" w:footer="0" w:header="0"/>
        </w:sectPr>
      </w:pPr>
    </w:p>
    <w:bookmarkStart w:id="485" w:name="page486"/>
    <w:bookmarkEnd w:id="485"/>
    <w:p>
      <w:pPr>
        <w:jc w:val="right"/>
        <w:ind w:right="2659"/>
        <w:spacing w:after="0"/>
        <w:rPr>
          <w:sz w:val="20"/>
          <w:szCs w:val="20"/>
          <w:color w:val="auto"/>
        </w:rPr>
      </w:pPr>
      <w:r>
        <w:rPr>
          <w:rFonts w:ascii="Courier New" w:cs="Courier New" w:eastAsia="Courier New" w:hAnsi="Courier New"/>
          <w:sz w:val="16"/>
          <w:szCs w:val="16"/>
          <w:color w:val="auto"/>
        </w:rPr>
        <w:t>86</w:t>
      </w:r>
    </w:p>
    <w:p>
      <w:pPr>
        <w:spacing w:after="0" w:line="368"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indentures having subordination provisions as favorable to the Lenders as those in the Senior Subordinated Note Indenture of the Borrower;</w:t>
      </w:r>
    </w:p>
    <w:p>
      <w:pPr>
        <w:spacing w:after="0" w:line="188" w:lineRule="exact"/>
        <w:rPr>
          <w:sz w:val="20"/>
          <w:szCs w:val="20"/>
          <w:color w:val="auto"/>
        </w:rPr>
      </w:pPr>
    </w:p>
    <w:p>
      <w:pPr>
        <w:ind w:right="3499" w:firstLine="1132"/>
        <w:spacing w:after="0" w:line="262" w:lineRule="auto"/>
        <w:tabs>
          <w:tab w:leader="none" w:pos="1513" w:val="left"/>
        </w:tabs>
        <w:numPr>
          <w:ilvl w:val="0"/>
          <w:numId w:val="5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Indebtedness of the Borrower or any of its Subsidiaries in an aggregate principal amount (for the Borrower and all Subsidiaries) not to exceed $25,000,000 at any one time outstanding;</w:t>
      </w:r>
    </w:p>
    <w:p>
      <w:pPr>
        <w:spacing w:after="0" w:line="171" w:lineRule="exact"/>
        <w:rPr>
          <w:rFonts w:ascii="Courier New" w:cs="Courier New" w:eastAsia="Courier New" w:hAnsi="Courier New"/>
          <w:sz w:val="15"/>
          <w:szCs w:val="15"/>
          <w:color w:val="auto"/>
        </w:rPr>
      </w:pPr>
    </w:p>
    <w:p>
      <w:pPr>
        <w:ind w:right="2839" w:firstLine="1132"/>
        <w:spacing w:after="0" w:line="239" w:lineRule="auto"/>
        <w:tabs>
          <w:tab w:leader="none" w:pos="1513" w:val="left"/>
        </w:tabs>
        <w:numPr>
          <w:ilvl w:val="0"/>
          <w:numId w:val="5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under Hedging Agreements entered into with any Hedging Lender in the ordinary course of business, provided that such Hedging Agreements are entered into in the ordinary course of business to hedge or mitigate risks as to which the Borrower or any of its Subsidiaries reasonably believes it is exposed in the conduct of its business or the management of its liabilities;</w:t>
      </w:r>
    </w:p>
    <w:p>
      <w:pPr>
        <w:spacing w:after="0" w:line="186" w:lineRule="exact"/>
        <w:rPr>
          <w:rFonts w:ascii="Courier New" w:cs="Courier New" w:eastAsia="Courier New" w:hAnsi="Courier New"/>
          <w:sz w:val="16"/>
          <w:szCs w:val="16"/>
          <w:color w:val="auto"/>
        </w:rPr>
      </w:pPr>
    </w:p>
    <w:p>
      <w:pPr>
        <w:ind w:left="1520" w:hanging="388"/>
        <w:spacing w:after="0"/>
        <w:tabs>
          <w:tab w:leader="none" w:pos="1520" w:val="left"/>
        </w:tabs>
        <w:numPr>
          <w:ilvl w:val="0"/>
          <w:numId w:val="5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contemplated by subsection 7.5(c);</w:t>
      </w:r>
    </w:p>
    <w:p>
      <w:pPr>
        <w:spacing w:after="0" w:line="186" w:lineRule="exact"/>
        <w:rPr>
          <w:rFonts w:ascii="Courier New" w:cs="Courier New" w:eastAsia="Courier New" w:hAnsi="Courier New"/>
          <w:sz w:val="16"/>
          <w:szCs w:val="16"/>
          <w:color w:val="auto"/>
        </w:rPr>
      </w:pPr>
    </w:p>
    <w:p>
      <w:pPr>
        <w:ind w:right="2659" w:firstLine="1132"/>
        <w:spacing w:after="0" w:line="239" w:lineRule="auto"/>
        <w:tabs>
          <w:tab w:leader="none" w:pos="1513" w:val="left"/>
        </w:tabs>
        <w:numPr>
          <w:ilvl w:val="0"/>
          <w:numId w:val="5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incurred by any Foreign Subsidiary, provided that the aggregate principal amount of all such Indebtedness of all Foreign Subsidiaries which are not Subsidiary Guarantors or Foreign Subsidiary Borrowers shall not exceed $60,000,000 or the equivalent thereof at any one time outstanding (any Indebtedness incurred pursuant to this subsection 7.6(k), "Permitted Foreign Debt"); and</w:t>
      </w:r>
    </w:p>
    <w:p>
      <w:pPr>
        <w:spacing w:after="0" w:line="190" w:lineRule="exact"/>
        <w:rPr>
          <w:rFonts w:ascii="Courier New" w:cs="Courier New" w:eastAsia="Courier New" w:hAnsi="Courier New"/>
          <w:sz w:val="16"/>
          <w:szCs w:val="16"/>
          <w:color w:val="auto"/>
        </w:rPr>
      </w:pPr>
    </w:p>
    <w:p>
      <w:pPr>
        <w:ind w:right="2839" w:firstLine="1132"/>
        <w:spacing w:after="0" w:line="239" w:lineRule="auto"/>
        <w:tabs>
          <w:tab w:leader="none" w:pos="1513" w:val="left"/>
        </w:tabs>
        <w:numPr>
          <w:ilvl w:val="0"/>
          <w:numId w:val="5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any Person that becomes a Subsidiary of the Borrower in a Permitted Acquisition or Indebtedness otherwise assumed by the Borrower or any of its subsidiaries in connection with a Permitted Acquisition in an aggregate principal amount for all such Indebtedness at any time outstanding of up to $30,000,000;</w:t>
      </w:r>
    </w:p>
    <w:p>
      <w:pPr>
        <w:spacing w:after="0" w:line="188" w:lineRule="exact"/>
        <w:rPr>
          <w:rFonts w:ascii="Courier New" w:cs="Courier New" w:eastAsia="Courier New" w:hAnsi="Courier New"/>
          <w:sz w:val="16"/>
          <w:szCs w:val="16"/>
          <w:color w:val="auto"/>
        </w:rPr>
      </w:pPr>
    </w:p>
    <w:p>
      <w:pPr>
        <w:ind w:right="2659" w:firstLine="1132"/>
        <w:spacing w:after="0" w:line="239" w:lineRule="auto"/>
        <w:tabs>
          <w:tab w:leader="none" w:pos="1513" w:val="left"/>
        </w:tabs>
        <w:numPr>
          <w:ilvl w:val="0"/>
          <w:numId w:val="5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incurred by any Foreign Subsidiary supported by a Letter of Credit ("Supported Foreign Indebtedness"), provided that the aggregate principal amount of all such Indebtedness shall not exceed $65,000,000 at any one time outstanding;</w:t>
      </w:r>
    </w:p>
    <w:p>
      <w:pPr>
        <w:spacing w:after="0" w:line="187" w:lineRule="exact"/>
        <w:rPr>
          <w:rFonts w:ascii="Courier New" w:cs="Courier New" w:eastAsia="Courier New" w:hAnsi="Courier New"/>
          <w:sz w:val="16"/>
          <w:szCs w:val="16"/>
          <w:color w:val="auto"/>
        </w:rPr>
      </w:pPr>
    </w:p>
    <w:p>
      <w:pPr>
        <w:ind w:right="2659" w:firstLine="1132"/>
        <w:spacing w:after="0" w:line="239" w:lineRule="auto"/>
        <w:tabs>
          <w:tab w:leader="none" w:pos="1513" w:val="left"/>
        </w:tabs>
        <w:numPr>
          <w:ilvl w:val="0"/>
          <w:numId w:val="5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the Receivables Subsidiary's or any other Person's obligation to purchase or acquire Sold Receivables under the Receivables Purchase Facility is deemed to be an obligation to lend money to the Borrower, any Indebtedness of the Borrower under the Receivables Purchase Facility; and</w:t>
      </w:r>
    </w:p>
    <w:p>
      <w:pPr>
        <w:spacing w:after="0" w:line="188" w:lineRule="exact"/>
        <w:rPr>
          <w:rFonts w:ascii="Courier New" w:cs="Courier New" w:eastAsia="Courier New" w:hAnsi="Courier New"/>
          <w:sz w:val="16"/>
          <w:szCs w:val="16"/>
          <w:color w:val="auto"/>
        </w:rPr>
      </w:pPr>
    </w:p>
    <w:p>
      <w:pPr>
        <w:jc w:val="both"/>
        <w:ind w:right="2759" w:firstLine="1132"/>
        <w:spacing w:after="0" w:line="238" w:lineRule="auto"/>
        <w:tabs>
          <w:tab w:leader="none" w:pos="1513" w:val="left"/>
        </w:tabs>
        <w:numPr>
          <w:ilvl w:val="0"/>
          <w:numId w:val="5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seller-financed Indebtedness incurred by the Borrower or any of its Subsidiaries in an aggregate principal amount not to exceed $100,000,000 at any one time outstanding.</w:t>
      </w:r>
    </w:p>
    <w:p>
      <w:pPr>
        <w:spacing w:after="0" w:line="188"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7.7 Limitation on Restrictions on Subsidiary Distributions. Enter into or suffer to exist or become effective any consensual encumbrance or restriction on the ability of any Subsidiary of the Borrower which is not a Subsidiary Guarantor to (a) pay dividends or make any other distributions in respect of any Capital Stock of such Subsidiary held by, or pay any Indebtedness owed to, the Borrower or any other Subsidiary of the Borrower, (b) pay dividends or make any other distributions from a Foreign Subsidiary which is not a Subsidiary Guarantor or a Subsidiary Borrower except in agreements governing Permitted Foreign Debt, (c) make loans or advances to the Borrower or any other Subsidiary of the Borrower or (d) transfer any of its assets to the Borrower or any other Subsidiary of the Borrower, except for such encumbrances</w:t>
      </w:r>
    </w:p>
    <w:p>
      <w:pPr>
        <w:sectPr>
          <w:pgSz w:w="11900" w:h="16838" w:orient="portrait"/>
          <w:cols w:equalWidth="0" w:num="1">
            <w:col w:w="10219"/>
          </w:cols>
          <w:pgMar w:left="240" w:top="477" w:right="1440" w:bottom="1440" w:gutter="0" w:footer="0" w:header="0"/>
        </w:sectPr>
      </w:pPr>
    </w:p>
    <w:bookmarkStart w:id="486" w:name="page487"/>
    <w:bookmarkEnd w:id="486"/>
    <w:p>
      <w:pPr>
        <w:jc w:val="right"/>
        <w:ind w:right="2659"/>
        <w:spacing w:after="0"/>
        <w:rPr>
          <w:sz w:val="20"/>
          <w:szCs w:val="20"/>
          <w:color w:val="auto"/>
        </w:rPr>
      </w:pPr>
      <w:r>
        <w:rPr>
          <w:rFonts w:ascii="Courier New" w:cs="Courier New" w:eastAsia="Courier New" w:hAnsi="Courier New"/>
          <w:sz w:val="16"/>
          <w:szCs w:val="16"/>
          <w:color w:val="auto"/>
        </w:rPr>
        <w:t>87</w:t>
      </w:r>
    </w:p>
    <w:p>
      <w:pPr>
        <w:spacing w:after="0" w:line="368"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or restrictions existing under or by reason of any restrictions with respect to such Subsidiary imposed pursuant to an agreement which has been entered into in connection with the sale or disposition of all or substantially all of the Capital Stock or assets of such Subsidiary.</w:t>
      </w:r>
    </w:p>
    <w:p>
      <w:pPr>
        <w:spacing w:after="0" w:line="187"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7.8 Transactions with Affiliates and Officers. Except for transactions associated with the relocation expenses of officers of the Borrower in the ordinary course of business, (a) enter into any transaction, including, without limitation, the purchase, sale or exchange of property or the rendering of any services, with any Affiliate or any executive officer or director thereof, or enter into, assume or suffer to exist any employment or consulting contract with any Affiliate or any executive officer or director thereof, except any transaction or contract which is in the ordinary course of the Borrower's or such Subsidiary's business and which is upon fair and reasonable terms no less favorable to the Borrower or such Subsidiary than it would obtain in a comparable arm's length transaction with a Person not an Affiliate, (b) make any advance or loan to any Affiliate (except as otherwise made pursuant to subsection 7.5) or any director or executive officer thereof or to any trust of which any of the foregoing is a beneficiary, or to any Person on the guarantee of any of the foregoing or (c) pay any fees (other than reasonable directors' fees or expenses) or expenses to, or reimburse or assume any obligation for the reimbursement of any expenses incurred by, any Affiliate or any executive officer or director thereof.</w:t>
      </w:r>
    </w:p>
    <w:p>
      <w:pPr>
        <w:spacing w:after="0" w:line="193" w:lineRule="exact"/>
        <w:rPr>
          <w:sz w:val="20"/>
          <w:szCs w:val="20"/>
          <w:color w:val="auto"/>
        </w:rPr>
      </w:pPr>
    </w:p>
    <w:p>
      <w:pPr>
        <w:ind w:right="2659" w:firstLine="1135"/>
        <w:spacing w:after="0" w:line="256" w:lineRule="auto"/>
        <w:rPr>
          <w:sz w:val="20"/>
          <w:szCs w:val="20"/>
          <w:color w:val="auto"/>
        </w:rPr>
      </w:pPr>
      <w:r>
        <w:rPr>
          <w:rFonts w:ascii="Courier New" w:cs="Courier New" w:eastAsia="Courier New" w:hAnsi="Courier New"/>
          <w:sz w:val="15"/>
          <w:szCs w:val="15"/>
          <w:color w:val="auto"/>
        </w:rPr>
        <w:t>7.9 Limitation on Sale of Assets. Except as permitted or contemplated by this Agreement or any other Loan Document, Dispose of any of its assets (including, without limitation, receivables and leasehold interests, but excluding obsolete or worn out property or property (including inventory)</w:t>
      </w:r>
    </w:p>
    <w:p>
      <w:pPr>
        <w:spacing w:after="0" w:line="3" w:lineRule="exact"/>
        <w:rPr>
          <w:sz w:val="20"/>
          <w:szCs w:val="20"/>
          <w:color w:val="auto"/>
        </w:rPr>
      </w:pPr>
    </w:p>
    <w:p>
      <w:pPr>
        <w:ind w:right="2839"/>
        <w:spacing w:after="0" w:line="260" w:lineRule="auto"/>
        <w:rPr>
          <w:sz w:val="20"/>
          <w:szCs w:val="20"/>
          <w:color w:val="auto"/>
        </w:rPr>
      </w:pPr>
      <w:r>
        <w:rPr>
          <w:rFonts w:ascii="Courier New" w:cs="Courier New" w:eastAsia="Courier New" w:hAnsi="Courier New"/>
          <w:sz w:val="15"/>
          <w:szCs w:val="15"/>
          <w:color w:val="auto"/>
        </w:rPr>
        <w:t>Disposed of in the ordinary course of business) with a fair market value (in combination with any other assets sold in the same or any related transaction) in excess of $5,000,000, whether now owned or hereafter acquired, except that the Borrower or any of its Subsidiaries may Dispose of:</w:t>
      </w:r>
    </w:p>
    <w:p>
      <w:pPr>
        <w:spacing w:after="0" w:line="173" w:lineRule="exact"/>
        <w:rPr>
          <w:sz w:val="20"/>
          <w:szCs w:val="20"/>
          <w:color w:val="auto"/>
        </w:rPr>
      </w:pPr>
    </w:p>
    <w:p>
      <w:pPr>
        <w:ind w:right="2759" w:firstLine="1132"/>
        <w:spacing w:after="0" w:line="238" w:lineRule="auto"/>
        <w:tabs>
          <w:tab w:leader="none" w:pos="1513" w:val="left"/>
        </w:tabs>
        <w:numPr>
          <w:ilvl w:val="0"/>
          <w:numId w:val="5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provided that the aggregate fair market value of all such assets in all such transactions shall not exceed 35% of Consolidated Total Assets as at September 30, 2003;</w:t>
      </w:r>
    </w:p>
    <w:p>
      <w:pPr>
        <w:spacing w:after="0" w:line="370" w:lineRule="exact"/>
        <w:rPr>
          <w:rFonts w:ascii="Courier New" w:cs="Courier New" w:eastAsia="Courier New" w:hAnsi="Courier New"/>
          <w:sz w:val="16"/>
          <w:szCs w:val="16"/>
          <w:color w:val="auto"/>
        </w:rPr>
      </w:pPr>
    </w:p>
    <w:p>
      <w:pPr>
        <w:ind w:right="2759" w:firstLine="1132"/>
        <w:spacing w:after="0" w:line="259" w:lineRule="auto"/>
        <w:tabs>
          <w:tab w:leader="none" w:pos="1513" w:val="left"/>
        </w:tabs>
        <w:numPr>
          <w:ilvl w:val="0"/>
          <w:numId w:val="5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provided that the fair market value of all such assets disposed of in any fiscal year shall not exceed 10% in the aggregate of Consolidated Total Assets as at the last day of the prior fiscal year (which amount shall be inclusive of amounts in respect of transactions pursuant to subsection 7.3(b)(ii), but exclusive of transactions permitted under 7.10); and</w:t>
      </w:r>
    </w:p>
    <w:p>
      <w:pPr>
        <w:spacing w:after="0" w:line="174" w:lineRule="exact"/>
        <w:rPr>
          <w:rFonts w:ascii="Courier New" w:cs="Courier New" w:eastAsia="Courier New" w:hAnsi="Courier New"/>
          <w:sz w:val="15"/>
          <w:szCs w:val="15"/>
          <w:color w:val="auto"/>
        </w:rPr>
      </w:pPr>
    </w:p>
    <w:p>
      <w:pPr>
        <w:ind w:right="2839" w:firstLine="1132"/>
        <w:spacing w:after="0" w:line="237" w:lineRule="auto"/>
        <w:tabs>
          <w:tab w:leader="none" w:pos="1513" w:val="left"/>
        </w:tabs>
        <w:numPr>
          <w:ilvl w:val="0"/>
          <w:numId w:val="5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transfer or discount of Sold Receivables pursuant to any Receivables Purchase Facility;</w:t>
      </w:r>
    </w:p>
    <w:p>
      <w:pPr>
        <w:spacing w:after="0" w:line="18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provided that, in the case of any such Disposition (including, without limitation, any Disposition for which the Borrower received as consideration the Capital Stock of a joint venture entity), the Borrower shall receive cash consideration equal to at least 80% of the fair market value of the Disposed assets except to the extent that the non-cash consideration received in such Disposition in excess of 20% of the aggregate consideration received in such Disposition, together with the aggregate value of the non-cash consideration received in any prior Disposition in excess of 20% of the consideration therefor and the aggregate amount of other investments in joint venture</w:t>
      </w:r>
    </w:p>
    <w:p>
      <w:pPr>
        <w:sectPr>
          <w:pgSz w:w="11900" w:h="16838" w:orient="portrait"/>
          <w:cols w:equalWidth="0" w:num="1">
            <w:col w:w="10219"/>
          </w:cols>
          <w:pgMar w:left="240" w:top="477" w:right="1440" w:bottom="1440" w:gutter="0" w:footer="0" w:header="0"/>
        </w:sectPr>
      </w:pPr>
    </w:p>
    <w:bookmarkStart w:id="487" w:name="page488"/>
    <w:bookmarkEnd w:id="487"/>
    <w:p>
      <w:pPr>
        <w:jc w:val="right"/>
        <w:ind w:right="2659"/>
        <w:spacing w:after="0"/>
        <w:rPr>
          <w:sz w:val="20"/>
          <w:szCs w:val="20"/>
          <w:color w:val="auto"/>
        </w:rPr>
      </w:pPr>
      <w:r>
        <w:rPr>
          <w:rFonts w:ascii="Courier New" w:cs="Courier New" w:eastAsia="Courier New" w:hAnsi="Courier New"/>
          <w:sz w:val="16"/>
          <w:szCs w:val="16"/>
          <w:color w:val="auto"/>
        </w:rPr>
        <w:t>88</w:t>
      </w:r>
    </w:p>
    <w:p>
      <w:pPr>
        <w:spacing w:after="0" w:line="368"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interests permitted pursuant to subsection 7.5(h) since the date hereof (valued as of the date of receipt thereof) shall not exceed $50,000,000.</w:t>
      </w:r>
    </w:p>
    <w:p>
      <w:pPr>
        <w:spacing w:after="0" w:line="188" w:lineRule="exact"/>
        <w:rPr>
          <w:sz w:val="20"/>
          <w:szCs w:val="20"/>
          <w:color w:val="auto"/>
        </w:rPr>
      </w:pPr>
    </w:p>
    <w:p>
      <w:pPr>
        <w:ind w:right="2759" w:firstLine="1135"/>
        <w:spacing w:after="0" w:line="238" w:lineRule="auto"/>
        <w:rPr>
          <w:sz w:val="20"/>
          <w:szCs w:val="20"/>
          <w:color w:val="auto"/>
        </w:rPr>
      </w:pPr>
      <w:r>
        <w:rPr>
          <w:rFonts w:ascii="Courier New" w:cs="Courier New" w:eastAsia="Courier New" w:hAnsi="Courier New"/>
          <w:sz w:val="16"/>
          <w:szCs w:val="16"/>
          <w:color w:val="auto"/>
        </w:rPr>
        <w:t>For the avoidance of doubt, any Disposition of assets may utilize the then-unused permitted basket amounts specified in clauses (a) and (b) above in any order that the Borrower may elect.</w:t>
      </w:r>
    </w:p>
    <w:p>
      <w:pPr>
        <w:spacing w:after="0" w:line="188"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7.10 Sale and Leaseback. Enter into any arrangement with any Person providing for the leasing by the Borrower or any of its Subsidiaries of real or personal property which has been or is to be sold or transferred by the Borrower or any such Subsidiary to such Person or to any other Person to whom funds have been or are to be advanced by such Person on the security of such property or rental obligations of the Borrower or any such Subsidiary, except with respect to (i) such transactions described on Schedule 7.10 hereto and (ii) any other such transactions which in any fiscal year shall not have an aggregate fair market value in excess of $15,000,000.</w:t>
      </w:r>
    </w:p>
    <w:p>
      <w:pPr>
        <w:spacing w:after="0" w:line="188" w:lineRule="exact"/>
        <w:rPr>
          <w:sz w:val="20"/>
          <w:szCs w:val="20"/>
          <w:color w:val="auto"/>
        </w:rPr>
      </w:pPr>
    </w:p>
    <w:p>
      <w:pPr>
        <w:ind w:right="3039" w:firstLine="1135"/>
        <w:spacing w:after="0" w:line="237" w:lineRule="auto"/>
        <w:rPr>
          <w:sz w:val="20"/>
          <w:szCs w:val="20"/>
          <w:color w:val="auto"/>
        </w:rPr>
      </w:pPr>
      <w:r>
        <w:rPr>
          <w:rFonts w:ascii="Courier New" w:cs="Courier New" w:eastAsia="Courier New" w:hAnsi="Courier New"/>
          <w:sz w:val="16"/>
          <w:szCs w:val="16"/>
          <w:color w:val="auto"/>
        </w:rPr>
        <w:t>7.11 Fiscal Year. Permit the fiscal year of the Borrower and its Subsidiaries to end on a day other than September 30.</w:t>
      </w:r>
    </w:p>
    <w:p>
      <w:pPr>
        <w:spacing w:after="0" w:line="370"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7.12 Modifications of Certain Debt Instruments. (a) Amend, modify, waive or otherwise change, or consent or agree to any amendment, modification, waiver or other change to, any of the terms of the Existing Senior Subordinated Notes, the Senior Subordinated Notes or any other subordinated notes (or any refinancing thereof) issued pursuant to subsections 7.6(e) or (f) (other than any such amendment, modification, waiver or other change that (i)(x) would extend the maturity or reduce the amount of any payment of principal thereof or reduce the rate or extend any date for payment of interest thereon and (y) does not involve the payment of a consent fee material in proportion to the outstanding principal amount thereof or (ii) provides for actions which (x) are expressly permitted under this Agreement and (y) do not require the consent of any of the holders of the applicable Existing Senior Subordinated Notes, Senior Subordinated Notes or subordinated notes (or refinancing thereof) issued pursuant to subsections 7.6(e) or (f)); or (c) designate any Indebtedness (other than obligations of the Loan Parties pursuant to the Loan Documents) as "Designated Senior Indebtedness" for the purposes of the Existing Senior Subordinated Note Indenture or the Senior Subordinated Note Indenture.</w:t>
      </w:r>
    </w:p>
    <w:p>
      <w:pPr>
        <w:spacing w:after="0" w:line="181" w:lineRule="exact"/>
        <w:rPr>
          <w:sz w:val="20"/>
          <w:szCs w:val="20"/>
          <w:color w:val="auto"/>
        </w:rPr>
      </w:pPr>
    </w:p>
    <w:p>
      <w:pPr>
        <w:ind w:right="2759" w:firstLine="1135"/>
        <w:spacing w:after="0"/>
        <w:rPr>
          <w:sz w:val="20"/>
          <w:szCs w:val="20"/>
          <w:color w:val="auto"/>
        </w:rPr>
      </w:pPr>
      <w:r>
        <w:rPr>
          <w:rFonts w:ascii="Courier New" w:cs="Courier New" w:eastAsia="Courier New" w:hAnsi="Courier New"/>
          <w:sz w:val="16"/>
          <w:szCs w:val="16"/>
          <w:color w:val="auto"/>
        </w:rPr>
        <w:t>7.13 Negative Pledge Clauses. Enter into or suffer to exist or become effective any agreement that prohibits or limits the ability of the Borrower or any of its Subsidiaries to create, incur, assume or suffer to exist any Lien upon any of its property or revenues,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and (c) any agreements governing any Receivables Purchase Facility provided that such limitation shall only be effective against the Sold Receivables.</w:t>
      </w:r>
    </w:p>
    <w:p>
      <w:pPr>
        <w:spacing w:after="0" w:line="189"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7.14 Lines of Business. Enter into any business, either directly or through any Subsidiary, except for those businesses in which the Borrower and its Subsidiaries are engaged on the date of this Agreement or that are reasonably related thereto.</w:t>
      </w:r>
    </w:p>
    <w:p>
      <w:pPr>
        <w:sectPr>
          <w:pgSz w:w="11900" w:h="16838" w:orient="portrait"/>
          <w:cols w:equalWidth="0" w:num="1">
            <w:col w:w="10219"/>
          </w:cols>
          <w:pgMar w:left="240" w:top="477" w:right="1440" w:bottom="1440" w:gutter="0" w:footer="0" w:header="0"/>
        </w:sectPr>
      </w:pPr>
    </w:p>
    <w:bookmarkStart w:id="488" w:name="page489"/>
    <w:bookmarkEnd w:id="488"/>
    <w:p>
      <w:pPr>
        <w:jc w:val="right"/>
        <w:ind w:right="2659"/>
        <w:spacing w:after="0"/>
        <w:rPr>
          <w:sz w:val="20"/>
          <w:szCs w:val="20"/>
          <w:color w:val="auto"/>
        </w:rPr>
      </w:pPr>
      <w:r>
        <w:rPr>
          <w:rFonts w:ascii="Courier New" w:cs="Courier New" w:eastAsia="Courier New" w:hAnsi="Courier New"/>
          <w:sz w:val="16"/>
          <w:szCs w:val="16"/>
          <w:color w:val="auto"/>
        </w:rPr>
        <w:t>89</w:t>
      </w:r>
    </w:p>
    <w:p>
      <w:pPr>
        <w:spacing w:after="0" w:line="368" w:lineRule="exact"/>
        <w:rPr>
          <w:sz w:val="20"/>
          <w:szCs w:val="20"/>
          <w:color w:val="auto"/>
        </w:rPr>
      </w:pPr>
    </w:p>
    <w:p>
      <w:pPr>
        <w:ind w:right="2659" w:firstLine="1135"/>
        <w:spacing w:after="0" w:line="258" w:lineRule="auto"/>
        <w:rPr>
          <w:sz w:val="20"/>
          <w:szCs w:val="20"/>
          <w:color w:val="auto"/>
        </w:rPr>
      </w:pPr>
      <w:r>
        <w:rPr>
          <w:rFonts w:ascii="Courier New" w:cs="Courier New" w:eastAsia="Courier New" w:hAnsi="Courier New"/>
          <w:sz w:val="15"/>
          <w:szCs w:val="15"/>
          <w:color w:val="auto"/>
        </w:rPr>
        <w:t>7.15 Restricted Payments. Declare or pay any dividend (other than dividends payable solely in common stock of the Person making such dividend) on, or make any payment on account of, or set apart assets for a sinking or other analogous fund for, the purchase, redemption, defeasance, retirement or other acquisition of, any of its Capital Stock, whether now or hereafter outstanding, or make any other distribution in respect thereof, either directly or indirectly, whether in cash or property or in obligations (collectively, "Restricted Payments"), except that any Subsidiary may make Restricted Payments to the Borrower or any Subsidiary and that, so long as no Default or Event of Default has occurred and is continuing or would result therefrom:</w:t>
      </w:r>
    </w:p>
    <w:p>
      <w:pPr>
        <w:spacing w:after="0" w:line="174" w:lineRule="exact"/>
        <w:rPr>
          <w:sz w:val="20"/>
          <w:szCs w:val="20"/>
          <w:color w:val="auto"/>
        </w:rPr>
      </w:pPr>
    </w:p>
    <w:p>
      <w:pPr>
        <w:ind w:right="2659" w:firstLine="1132"/>
        <w:spacing w:after="0"/>
        <w:tabs>
          <w:tab w:leader="none" w:pos="1513" w:val="left"/>
        </w:tabs>
        <w:numPr>
          <w:ilvl w:val="0"/>
          <w:numId w:val="5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may declare and pay dividends on its Capital Stock (including its preferred stock) in an aggregate amount of up to $25,000,000 in each fiscal year of the Borrower; provided, that, if after giving effect to any such dividend the Leverage Ratio (calculated on a pro forma basis as of the last day of the most recently completed fiscal quarter, but including in the calculation thereof the Indebtedness of the Borrower and its consolidated Subsidiaries after giving effect to the payment of such dividends) is not greater than 2.5 to 1.0, the Borrower may declare and pay dividends on its Capital Stock in an aggregate amount of up to $50,000,000 in each fiscal year, and</w:t>
      </w:r>
    </w:p>
    <w:p>
      <w:pPr>
        <w:spacing w:after="0" w:line="188" w:lineRule="exact"/>
        <w:rPr>
          <w:rFonts w:ascii="Courier New" w:cs="Courier New" w:eastAsia="Courier New" w:hAnsi="Courier New"/>
          <w:sz w:val="16"/>
          <w:szCs w:val="16"/>
          <w:color w:val="auto"/>
        </w:rPr>
      </w:pPr>
    </w:p>
    <w:p>
      <w:pPr>
        <w:ind w:right="2839" w:firstLine="1132"/>
        <w:spacing w:after="0" w:line="239" w:lineRule="auto"/>
        <w:tabs>
          <w:tab w:leader="none" w:pos="1513" w:val="left"/>
        </w:tabs>
        <w:numPr>
          <w:ilvl w:val="0"/>
          <w:numId w:val="5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may make a repurchase or redemption of shares of its Capital Stock, so long as after giving effect to such repurchase or redemption the aggregate cost of all such repurchases and redemptions from the date hereof is not greater than the amount set forth below opposite the fiscal year during which such purchase or redemption is to occur: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Fiscal Year</w:t>
            </w:r>
          </w:p>
        </w:tc>
        <w:tc>
          <w:tcPr>
            <w:tcW w:w="3220" w:type="dxa"/>
            <w:vAlign w:val="bottom"/>
          </w:tcPr>
          <w:p>
            <w:pPr>
              <w:ind w:left="1700"/>
              <w:spacing w:after="0"/>
              <w:rPr>
                <w:sz w:val="20"/>
                <w:szCs w:val="20"/>
                <w:color w:val="auto"/>
              </w:rPr>
            </w:pPr>
            <w:r>
              <w:rPr>
                <w:rFonts w:ascii="Courier New" w:cs="Courier New" w:eastAsia="Courier New" w:hAnsi="Courier New"/>
                <w:sz w:val="16"/>
                <w:szCs w:val="16"/>
                <w:color w:val="auto"/>
                <w:w w:val="97"/>
              </w:rPr>
              <w:t>Aggregate Amount</w:t>
            </w:r>
          </w:p>
        </w:tc>
      </w:tr>
      <w:tr>
        <w:trPr>
          <w:trHeight w:val="364"/>
        </w:trPr>
        <w:tc>
          <w:tcPr>
            <w:tcW w:w="420" w:type="dxa"/>
            <w:vAlign w:val="bottom"/>
          </w:tcPr>
          <w:p>
            <w:pPr>
              <w:spacing w:after="0"/>
              <w:rPr>
                <w:sz w:val="20"/>
                <w:szCs w:val="20"/>
                <w:color w:val="auto"/>
              </w:rPr>
            </w:pPr>
            <w:r>
              <w:rPr>
                <w:rFonts w:ascii="Courier New" w:cs="Courier New" w:eastAsia="Courier New" w:hAnsi="Courier New"/>
                <w:sz w:val="16"/>
                <w:szCs w:val="16"/>
                <w:color w:val="auto"/>
              </w:rPr>
              <w:t>2004</w:t>
            </w:r>
          </w:p>
        </w:tc>
        <w:tc>
          <w:tcPr>
            <w:tcW w:w="3080" w:type="dxa"/>
            <w:vAlign w:val="bottom"/>
          </w:tcPr>
          <w:p>
            <w:pPr>
              <w:spacing w:after="0"/>
              <w:rPr>
                <w:sz w:val="24"/>
                <w:szCs w:val="24"/>
                <w:color w:val="auto"/>
              </w:rPr>
            </w:pPr>
          </w:p>
        </w:tc>
        <w:tc>
          <w:tcPr>
            <w:tcW w:w="3220" w:type="dxa"/>
            <w:vAlign w:val="bottom"/>
          </w:tcPr>
          <w:p>
            <w:pPr>
              <w:ind w:left="1700"/>
              <w:spacing w:after="0"/>
              <w:rPr>
                <w:sz w:val="20"/>
                <w:szCs w:val="20"/>
                <w:color w:val="auto"/>
              </w:rPr>
            </w:pPr>
            <w:r>
              <w:rPr>
                <w:rFonts w:ascii="Courier New" w:cs="Courier New" w:eastAsia="Courier New" w:hAnsi="Courier New"/>
                <w:sz w:val="16"/>
                <w:szCs w:val="16"/>
                <w:color w:val="auto"/>
              </w:rPr>
              <w:t>$100,000,000</w:t>
            </w:r>
          </w:p>
        </w:tc>
      </w:tr>
      <w:tr>
        <w:trPr>
          <w:trHeight w:val="182"/>
        </w:trPr>
        <w:tc>
          <w:tcPr>
            <w:tcW w:w="420" w:type="dxa"/>
            <w:vAlign w:val="bottom"/>
          </w:tcPr>
          <w:p>
            <w:pPr>
              <w:spacing w:after="0"/>
              <w:rPr>
                <w:sz w:val="20"/>
                <w:szCs w:val="20"/>
                <w:color w:val="auto"/>
              </w:rPr>
            </w:pPr>
            <w:r>
              <w:rPr>
                <w:rFonts w:ascii="Courier New" w:cs="Courier New" w:eastAsia="Courier New" w:hAnsi="Courier New"/>
                <w:sz w:val="16"/>
                <w:szCs w:val="16"/>
                <w:color w:val="auto"/>
              </w:rPr>
              <w:t>2005</w:t>
            </w:r>
          </w:p>
        </w:tc>
        <w:tc>
          <w:tcPr>
            <w:tcW w:w="3080" w:type="dxa"/>
            <w:vAlign w:val="bottom"/>
          </w:tcPr>
          <w:p>
            <w:pPr>
              <w:spacing w:after="0"/>
              <w:rPr>
                <w:sz w:val="15"/>
                <w:szCs w:val="15"/>
                <w:color w:val="auto"/>
              </w:rPr>
            </w:pPr>
          </w:p>
        </w:tc>
        <w:tc>
          <w:tcPr>
            <w:tcW w:w="3220" w:type="dxa"/>
            <w:vAlign w:val="bottom"/>
          </w:tcPr>
          <w:p>
            <w:pPr>
              <w:ind w:left="1700"/>
              <w:spacing w:after="0"/>
              <w:rPr>
                <w:sz w:val="20"/>
                <w:szCs w:val="20"/>
                <w:color w:val="auto"/>
              </w:rPr>
            </w:pPr>
            <w:r>
              <w:rPr>
                <w:rFonts w:ascii="Courier New" w:cs="Courier New" w:eastAsia="Courier New" w:hAnsi="Courier New"/>
                <w:sz w:val="16"/>
                <w:szCs w:val="16"/>
                <w:color w:val="auto"/>
              </w:rPr>
              <w:t>$100,000,000</w:t>
            </w:r>
          </w:p>
        </w:tc>
      </w:tr>
      <w:tr>
        <w:trPr>
          <w:trHeight w:val="182"/>
        </w:trPr>
        <w:tc>
          <w:tcPr>
            <w:tcW w:w="420" w:type="dxa"/>
            <w:vAlign w:val="bottom"/>
          </w:tcPr>
          <w:p>
            <w:pPr>
              <w:spacing w:after="0"/>
              <w:rPr>
                <w:sz w:val="20"/>
                <w:szCs w:val="20"/>
                <w:color w:val="auto"/>
              </w:rPr>
            </w:pPr>
            <w:r>
              <w:rPr>
                <w:rFonts w:ascii="Courier New" w:cs="Courier New" w:eastAsia="Courier New" w:hAnsi="Courier New"/>
                <w:sz w:val="16"/>
                <w:szCs w:val="16"/>
                <w:color w:val="auto"/>
              </w:rPr>
              <w:t>2006</w:t>
            </w:r>
          </w:p>
        </w:tc>
        <w:tc>
          <w:tcPr>
            <w:tcW w:w="3080" w:type="dxa"/>
            <w:vAlign w:val="bottom"/>
          </w:tcPr>
          <w:p>
            <w:pPr>
              <w:spacing w:after="0"/>
              <w:rPr>
                <w:sz w:val="15"/>
                <w:szCs w:val="15"/>
                <w:color w:val="auto"/>
              </w:rPr>
            </w:pPr>
          </w:p>
        </w:tc>
        <w:tc>
          <w:tcPr>
            <w:tcW w:w="3220" w:type="dxa"/>
            <w:vAlign w:val="bottom"/>
          </w:tcPr>
          <w:p>
            <w:pPr>
              <w:ind w:left="1700"/>
              <w:spacing w:after="0"/>
              <w:rPr>
                <w:sz w:val="20"/>
                <w:szCs w:val="20"/>
                <w:color w:val="auto"/>
              </w:rPr>
            </w:pPr>
            <w:r>
              <w:rPr>
                <w:rFonts w:ascii="Courier New" w:cs="Courier New" w:eastAsia="Courier New" w:hAnsi="Courier New"/>
                <w:sz w:val="16"/>
                <w:szCs w:val="16"/>
                <w:color w:val="auto"/>
              </w:rPr>
              <w:t>$100,000,000</w:t>
            </w:r>
          </w:p>
        </w:tc>
      </w:tr>
      <w:tr>
        <w:trPr>
          <w:trHeight w:val="182"/>
        </w:trPr>
        <w:tc>
          <w:tcPr>
            <w:tcW w:w="420" w:type="dxa"/>
            <w:vAlign w:val="bottom"/>
          </w:tcPr>
          <w:p>
            <w:pPr>
              <w:spacing w:after="0"/>
              <w:rPr>
                <w:sz w:val="20"/>
                <w:szCs w:val="20"/>
                <w:color w:val="auto"/>
              </w:rPr>
            </w:pPr>
            <w:r>
              <w:rPr>
                <w:rFonts w:ascii="Courier New" w:cs="Courier New" w:eastAsia="Courier New" w:hAnsi="Courier New"/>
                <w:sz w:val="16"/>
                <w:szCs w:val="16"/>
                <w:color w:val="auto"/>
              </w:rPr>
              <w:t>2007</w:t>
            </w:r>
          </w:p>
        </w:tc>
        <w:tc>
          <w:tcPr>
            <w:tcW w:w="3080" w:type="dxa"/>
            <w:vAlign w:val="bottom"/>
          </w:tcPr>
          <w:p>
            <w:pPr>
              <w:ind w:left="40"/>
              <w:spacing w:after="0"/>
              <w:rPr>
                <w:sz w:val="20"/>
                <w:szCs w:val="20"/>
                <w:color w:val="auto"/>
              </w:rPr>
            </w:pPr>
            <w:r>
              <w:rPr>
                <w:rFonts w:ascii="Courier New" w:cs="Courier New" w:eastAsia="Courier New" w:hAnsi="Courier New"/>
                <w:sz w:val="16"/>
                <w:szCs w:val="16"/>
                <w:color w:val="auto"/>
              </w:rPr>
              <w:t>and thereafter</w:t>
            </w:r>
          </w:p>
        </w:tc>
        <w:tc>
          <w:tcPr>
            <w:tcW w:w="3220" w:type="dxa"/>
            <w:vAlign w:val="bottom"/>
          </w:tcPr>
          <w:p>
            <w:pPr>
              <w:ind w:left="1700"/>
              <w:spacing w:after="0"/>
              <w:rPr>
                <w:sz w:val="20"/>
                <w:szCs w:val="20"/>
                <w:color w:val="auto"/>
              </w:rPr>
            </w:pPr>
            <w:r>
              <w:rPr>
                <w:rFonts w:ascii="Courier New" w:cs="Courier New" w:eastAsia="Courier New" w:hAnsi="Courier New"/>
                <w:sz w:val="16"/>
                <w:szCs w:val="16"/>
                <w:color w:val="auto"/>
              </w:rPr>
              <w:t>$175,000,000</w:t>
            </w:r>
          </w:p>
        </w:tc>
      </w:tr>
    </w:tbl>
    <w:p>
      <w:pPr>
        <w:spacing w:after="0" w:line="368"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The amounts listed under clause (b) of this subsection 7.15 shall be increased by the proceeds from the issuance of any Capital Stock or other equity by the Borrower or any of its Subsidiaries (other than to the Borrower or any Domestic Subsidiary Borrower) not applied to repay the Term Loans pursuant to subsection 2.12(b) or used for Permitted Acquisitions.</w:t>
      </w:r>
    </w:p>
    <w:p>
      <w:pPr>
        <w:spacing w:after="0" w:line="185"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Section 8. EVENTS OF DEFAULT</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Upon the occurrence of any of the following events:</w:t>
      </w:r>
    </w:p>
    <w:p>
      <w:pPr>
        <w:spacing w:after="0" w:line="186" w:lineRule="exact"/>
        <w:rPr>
          <w:sz w:val="20"/>
          <w:szCs w:val="20"/>
          <w:color w:val="auto"/>
        </w:rPr>
      </w:pPr>
    </w:p>
    <w:p>
      <w:pPr>
        <w:jc w:val="both"/>
        <w:ind w:left="560" w:right="2659" w:firstLine="572"/>
        <w:spacing w:after="0" w:line="239" w:lineRule="auto"/>
        <w:tabs>
          <w:tab w:leader="none" w:pos="1506" w:val="left"/>
        </w:tabs>
        <w:numPr>
          <w:ilvl w:val="0"/>
          <w:numId w:val="5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The Borrower or the relevant Subsidiary Borrower shall fail to pay any principal of any Loan or any Reimbursement Obligation when any such amount becomes due in accordance with the terms thereof or hereof (including, without limitation, all amounts of L/C Obligations, whether or not the beneficiaries of the then</w:t>
      </w:r>
    </w:p>
    <w:p>
      <w:pPr>
        <w:sectPr>
          <w:pgSz w:w="11900" w:h="16838" w:orient="portrait"/>
          <w:cols w:equalWidth="0" w:num="1">
            <w:col w:w="10219"/>
          </w:cols>
          <w:pgMar w:left="240" w:top="476" w:right="1440" w:bottom="1440" w:gutter="0" w:footer="0" w:header="0"/>
        </w:sectPr>
      </w:pPr>
    </w:p>
    <w:bookmarkStart w:id="489" w:name="page490"/>
    <w:bookmarkEnd w:id="489"/>
    <w:p>
      <w:pPr>
        <w:jc w:val="right"/>
        <w:ind w:right="2659"/>
        <w:spacing w:after="0"/>
        <w:rPr>
          <w:sz w:val="20"/>
          <w:szCs w:val="20"/>
          <w:color w:val="auto"/>
        </w:rPr>
      </w:pPr>
      <w:r>
        <w:rPr>
          <w:rFonts w:ascii="Courier New" w:cs="Courier New" w:eastAsia="Courier New" w:hAnsi="Courier New"/>
          <w:sz w:val="16"/>
          <w:szCs w:val="16"/>
          <w:color w:val="auto"/>
        </w:rPr>
        <w:t>90</w:t>
      </w:r>
    </w:p>
    <w:p>
      <w:pPr>
        <w:spacing w:after="0" w:line="36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outstanding Letters of Credit shall have presented the documents required thereunder); or the Borrower or the relevant Subsidiary Borrower shall fail to pay any interest on any Loan or any fee or other amount payable hereunder, within five days after any such interest, fee or amount becomes due in accordance with the terms thereof or hereof (including, without limitation, all amounts of L/C Obligations, whether or not the beneficiaries of the then outstanding Letters of Credit shall have presented the documents required thereunder); or</w:t>
      </w:r>
    </w:p>
    <w:p>
      <w:pPr>
        <w:spacing w:after="0" w:line="187" w:lineRule="exact"/>
        <w:rPr>
          <w:sz w:val="20"/>
          <w:szCs w:val="20"/>
          <w:color w:val="auto"/>
        </w:rPr>
      </w:pPr>
    </w:p>
    <w:p>
      <w:pPr>
        <w:ind w:right="2659" w:firstLine="572"/>
        <w:spacing w:after="0" w:line="239" w:lineRule="auto"/>
        <w:tabs>
          <w:tab w:leader="none" w:pos="946" w:val="left"/>
        </w:tabs>
        <w:numPr>
          <w:ilvl w:val="0"/>
          <w:numId w:val="5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Any representation or warranty made or deemed made by the Borrower or any of its Subsidiaries in any of the Loan Documents to which it is a party or which is contained in any certificate, document or financial or other statement furnished at any time under or in connection herewith or therewith shall prove to have been incorrect in any material respect on or as of the date made or deemed made; or</w:t>
      </w:r>
    </w:p>
    <w:p>
      <w:pPr>
        <w:spacing w:after="0" w:line="191" w:lineRule="exact"/>
        <w:rPr>
          <w:rFonts w:ascii="Courier New" w:cs="Courier New" w:eastAsia="Courier New" w:hAnsi="Courier New"/>
          <w:sz w:val="16"/>
          <w:szCs w:val="16"/>
          <w:color w:val="auto"/>
        </w:rPr>
      </w:pPr>
    </w:p>
    <w:p>
      <w:pPr>
        <w:ind w:right="2659" w:firstLine="572"/>
        <w:spacing w:after="0" w:line="238" w:lineRule="auto"/>
        <w:tabs>
          <w:tab w:leader="none" w:pos="946" w:val="left"/>
        </w:tabs>
        <w:numPr>
          <w:ilvl w:val="0"/>
          <w:numId w:val="5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Covenants. The Borrower shall default in the observance or performance of any covenant or agreement contained in subsection 6.9 or 6.10; or</w:t>
      </w:r>
    </w:p>
    <w:p>
      <w:pPr>
        <w:spacing w:after="0" w:line="370" w:lineRule="exact"/>
        <w:rPr>
          <w:rFonts w:ascii="Courier New" w:cs="Courier New" w:eastAsia="Courier New" w:hAnsi="Courier New"/>
          <w:sz w:val="16"/>
          <w:szCs w:val="16"/>
          <w:color w:val="auto"/>
        </w:rPr>
      </w:pPr>
    </w:p>
    <w:p>
      <w:pPr>
        <w:ind w:right="2659" w:firstLine="572"/>
        <w:spacing w:after="0" w:line="239" w:lineRule="auto"/>
        <w:tabs>
          <w:tab w:leader="none" w:pos="946" w:val="left"/>
        </w:tabs>
        <w:numPr>
          <w:ilvl w:val="0"/>
          <w:numId w:val="5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Covenants. The Borrower or any of its Subsidiaries shall default in the observance or performance of any covenant or agreement (i) contained in subsections 7.3, 7.4, 7.6, 7.9, 7.10 or 7.15 and such default shall continue unremedied for a period of 10 days or (ii) contained in this Agreement or in any other Loan Document not referred to in preceding clause (i) or subsection 8(c) and such default shall continue unremedied for a period of 30 days; or</w:t>
      </w:r>
    </w:p>
    <w:p>
      <w:pPr>
        <w:spacing w:after="0" w:line="191" w:lineRule="exact"/>
        <w:rPr>
          <w:rFonts w:ascii="Courier New" w:cs="Courier New" w:eastAsia="Courier New" w:hAnsi="Courier New"/>
          <w:sz w:val="16"/>
          <w:szCs w:val="16"/>
          <w:color w:val="auto"/>
        </w:rPr>
      </w:pPr>
    </w:p>
    <w:p>
      <w:pPr>
        <w:ind w:right="2659" w:firstLine="572"/>
        <w:spacing w:after="0"/>
        <w:tabs>
          <w:tab w:leader="none" w:pos="946" w:val="left"/>
        </w:tabs>
        <w:numPr>
          <w:ilvl w:val="0"/>
          <w:numId w:val="5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Cross-Default. The Borrower or any of its Material Subsidiaries shall (i) default in any payment of principal of or interest on any Indebtedness (other than the Loans) or in the payment of any Contingent Obligation, the aggregate principal amount of which exceeds $15,000,000, beyond the period of grace (not to exceed 30 days), if any, provided in the instrument or agreement under which such Indebtedness or Contingent Obligation was created; or (ii) default in the observance or performance of any other agreement or condition relating to any such Indebtedness or Contingent Obligation or contained in any instrument or agreement evidencing, securing or relating thereto, or any other event shall occur or condition exist, the effect of which default or other event or condition is to cause, or to permit the holder or holders of such Indebtedness or beneficiary or beneficiaries of such Contingent Obligation (or a trustee or agent on behalf of such holder or holders or beneficiary or beneficiaries) to cause, with the giving of notice if required, such Indebtedness to become due prior to its stated maturity or such Contingent Obligation to become payable; or (iii) any such Indebtedness or Contingent Obligation shall be declared to be due and payable, or required to be prepaid (other than by a regularly scheduled required prepayment) prior to the stated maturity thereof; or</w:t>
      </w:r>
    </w:p>
    <w:p>
      <w:pPr>
        <w:spacing w:after="0" w:line="194" w:lineRule="exact"/>
        <w:rPr>
          <w:rFonts w:ascii="Courier New" w:cs="Courier New" w:eastAsia="Courier New" w:hAnsi="Courier New"/>
          <w:sz w:val="16"/>
          <w:szCs w:val="16"/>
          <w:color w:val="auto"/>
        </w:rPr>
      </w:pPr>
    </w:p>
    <w:p>
      <w:pPr>
        <w:ind w:right="2759" w:firstLine="572"/>
        <w:spacing w:after="0" w:line="239" w:lineRule="auto"/>
        <w:tabs>
          <w:tab w:leader="none" w:pos="946" w:val="left"/>
        </w:tabs>
        <w:numPr>
          <w:ilvl w:val="0"/>
          <w:numId w:val="5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Commencement of Bankruptcy or Reorganization Proceedings. (i) The Borrower or any of its Material Subsidiaries shall commence any case, proceeding or other action (A) under any existing or future law of any jurisdiction, domestic or foreign, relating to bankruptcy, insolvency, reorganization or relief of debtors, seeking to have an</w:t>
      </w:r>
    </w:p>
    <w:p>
      <w:pPr>
        <w:sectPr>
          <w:pgSz w:w="11900" w:h="16838" w:orient="portrait"/>
          <w:cols w:equalWidth="0" w:num="1">
            <w:col w:w="9659"/>
          </w:cols>
          <w:pgMar w:left="800" w:top="477" w:right="1440" w:bottom="1440" w:gutter="0" w:footer="0" w:header="0"/>
        </w:sectPr>
      </w:pPr>
    </w:p>
    <w:bookmarkStart w:id="490" w:name="page491"/>
    <w:bookmarkEnd w:id="490"/>
    <w:p>
      <w:pPr>
        <w:jc w:val="right"/>
        <w:ind w:right="2659"/>
        <w:spacing w:after="0"/>
        <w:rPr>
          <w:sz w:val="20"/>
          <w:szCs w:val="20"/>
          <w:color w:val="auto"/>
        </w:rPr>
      </w:pPr>
      <w:r>
        <w:rPr>
          <w:rFonts w:ascii="Courier New" w:cs="Courier New" w:eastAsia="Courier New" w:hAnsi="Courier New"/>
          <w:sz w:val="16"/>
          <w:szCs w:val="16"/>
          <w:color w:val="auto"/>
        </w:rPr>
        <w:t>91</w:t>
      </w:r>
    </w:p>
    <w:p>
      <w:pPr>
        <w:spacing w:after="0" w:line="368"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or other similar official for it or for all or any substantial part of its assets, or the Borrower or any of its Subsidiaries shall make a general assignment for the benefit of its creditors; or (ii) there shall be commenced against the Borrower or any of its Material Subsidiaries any case, proceeding or other action of a nature referred to in clause (i) above which (A) results in the entry of an order for relief or any such adjudication or appointment or (B) remains undismissed, undischarged or unbonded for a period of 60 days; or (iii) there shall be commenced against the Borrower or any of its Material Subsidiaries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60 days from the entry thereof; or (iv) the Borrower or any of its Material Subsidiaries shall take any action in furtherance of, or indicating its consent to, approval of, or acquiescence in, any of the acts set forth in clause (i), (ii) or (iii) above; or (v) the Borrower or any of its Material Subsidiaries shall generally not, or shall be unable to, or shall admit in writing its inability to, pay its debts as they become due; or</w:t>
      </w:r>
    </w:p>
    <w:p>
      <w:pPr>
        <w:spacing w:after="0" w:line="362" w:lineRule="exact"/>
        <w:rPr>
          <w:sz w:val="20"/>
          <w:szCs w:val="20"/>
          <w:color w:val="auto"/>
        </w:rPr>
      </w:pPr>
    </w:p>
    <w:p>
      <w:pPr>
        <w:ind w:right="2659" w:firstLine="572"/>
        <w:spacing w:after="0" w:line="257" w:lineRule="auto"/>
        <w:tabs>
          <w:tab w:leader="none" w:pos="946" w:val="left"/>
        </w:tabs>
        <w:numPr>
          <w:ilvl w:val="1"/>
          <w:numId w:val="5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ERISA. (i) Any Person shall engage in any "prohibited transaction" (as defined in Section 406 of ERISA or Section 4975 of the Code) involving any Plan, (ii) any "accumulated funding deficiency" (as defined in Section 302 of ERISA), whether or not waived, shall exist with respect to any Plan, (iii) a Reportable Event shall occur with respect to, or proceedings shall commence to have a trustee appointed, or a trustee shall be appointed, to administer or to terminate, any Single Employer Plan, which Reportable Event or institution of proceedings is, in the reasonable opinion of the Required Lenders, likely to result in the termination of such Plan for purposes of Title IV of ERISA in a "distress termination" (within the meaning of Section 4041(c) of ERISA), and, in the case of a Reportable Event, the continuance of such Reportable Event unremedied for ten days after notice of such Reportable Event pursuant to Section 4043(a), (c) or (d) of ERISA is given or, in the case of institution of proceedings, the continuance of such proceedings for ten days after commencement thereof, (iv) any Single Employer Plan shall terminate for purposes of Title IV of ERISA in a "distress termination" (within the meaning of Section 4041(c) of ERISA), (v) the Borrower or any Commonly Controlled Entity shall, or is, in the reasonable opinion of the Required Lenders, likely to, incur any liability in connection with a withdrawal from, or the Insolvency or Reorganization of, a Multiemployer Plan or (vi) any other event or condition shall occur or exist with respect to a Single Employer Plan; and in each case in clauses (i) through</w:t>
      </w:r>
    </w:p>
    <w:p>
      <w:pPr>
        <w:spacing w:after="0" w:line="180" w:lineRule="exact"/>
        <w:rPr>
          <w:rFonts w:ascii="Courier New" w:cs="Courier New" w:eastAsia="Courier New" w:hAnsi="Courier New"/>
          <w:sz w:val="15"/>
          <w:szCs w:val="15"/>
          <w:color w:val="auto"/>
        </w:rPr>
      </w:pPr>
    </w:p>
    <w:p>
      <w:pPr>
        <w:ind w:right="2659" w:firstLine="4"/>
        <w:spacing w:after="0" w:line="239" w:lineRule="auto"/>
        <w:tabs>
          <w:tab w:leader="none" w:pos="473" w:val="left"/>
        </w:tabs>
        <w:numPr>
          <w:ilvl w:val="0"/>
          <w:numId w:val="5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such event or condition, together with all other such events or conditions, if any, is reasonably likely to subject the Borrower or any of its Subsidiaries to any tax, penalty or other liabilities in the aggregate material in relation to the business, operations, property or financial or other condition of the Borrower and its Subsidiaries taken as a whole; or</w:t>
      </w:r>
    </w:p>
    <w:p>
      <w:pPr>
        <w:spacing w:after="0" w:line="190" w:lineRule="exact"/>
        <w:rPr>
          <w:rFonts w:ascii="Courier New" w:cs="Courier New" w:eastAsia="Courier New" w:hAnsi="Courier New"/>
          <w:sz w:val="16"/>
          <w:szCs w:val="16"/>
          <w:color w:val="auto"/>
        </w:rPr>
      </w:pPr>
    </w:p>
    <w:p>
      <w:pPr>
        <w:ind w:right="2659" w:firstLine="572"/>
        <w:spacing w:after="0" w:line="239" w:lineRule="auto"/>
        <w:tabs>
          <w:tab w:leader="none" w:pos="946" w:val="left"/>
        </w:tabs>
        <w:numPr>
          <w:ilvl w:val="1"/>
          <w:numId w:val="5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Judgments. One or more judgments or decrees shall be entered against the Borrower or any of its Material Subsidiaries involving in the aggregate a liability (not covered by insurance) of $20,000,000 or more and all such judgments or</w:t>
      </w:r>
    </w:p>
    <w:p>
      <w:pPr>
        <w:sectPr>
          <w:pgSz w:w="11900" w:h="16838" w:orient="portrait"/>
          <w:cols w:equalWidth="0" w:num="1">
            <w:col w:w="9659"/>
          </w:cols>
          <w:pgMar w:left="800" w:top="476" w:right="1440" w:bottom="1440" w:gutter="0" w:footer="0" w:header="0"/>
        </w:sectPr>
      </w:pPr>
    </w:p>
    <w:bookmarkStart w:id="491" w:name="page492"/>
    <w:bookmarkEnd w:id="491"/>
    <w:p>
      <w:pPr>
        <w:jc w:val="right"/>
        <w:ind w:right="2659"/>
        <w:spacing w:after="0"/>
        <w:rPr>
          <w:sz w:val="20"/>
          <w:szCs w:val="20"/>
          <w:color w:val="auto"/>
        </w:rPr>
      </w:pPr>
      <w:r>
        <w:rPr>
          <w:rFonts w:ascii="Courier New" w:cs="Courier New" w:eastAsia="Courier New" w:hAnsi="Courier New"/>
          <w:sz w:val="16"/>
          <w:szCs w:val="16"/>
          <w:color w:val="auto"/>
        </w:rPr>
        <w:t>92</w:t>
      </w:r>
    </w:p>
    <w:p>
      <w:pPr>
        <w:spacing w:after="0" w:line="368" w:lineRule="exact"/>
        <w:rPr>
          <w:sz w:val="20"/>
          <w:szCs w:val="20"/>
          <w:color w:val="auto"/>
        </w:rPr>
      </w:pPr>
    </w:p>
    <w:p>
      <w:pPr>
        <w:ind w:left="560" w:right="2839"/>
        <w:spacing w:after="0" w:line="237" w:lineRule="auto"/>
        <w:rPr>
          <w:sz w:val="20"/>
          <w:szCs w:val="20"/>
          <w:color w:val="auto"/>
        </w:rPr>
      </w:pPr>
      <w:r>
        <w:rPr>
          <w:rFonts w:ascii="Courier New" w:cs="Courier New" w:eastAsia="Courier New" w:hAnsi="Courier New"/>
          <w:sz w:val="16"/>
          <w:szCs w:val="16"/>
          <w:color w:val="auto"/>
        </w:rPr>
        <w:t>decrees shall not have been vacated, satisfied, discharged, or stayed or bonded pending appeal within 60 days from the entry thereof; or</w:t>
      </w:r>
    </w:p>
    <w:p>
      <w:pPr>
        <w:spacing w:after="0" w:line="188" w:lineRule="exact"/>
        <w:rPr>
          <w:sz w:val="20"/>
          <w:szCs w:val="20"/>
          <w:color w:val="auto"/>
        </w:rPr>
      </w:pPr>
    </w:p>
    <w:p>
      <w:pPr>
        <w:ind w:left="560" w:right="2659" w:firstLine="572"/>
        <w:spacing w:after="0"/>
        <w:tabs>
          <w:tab w:leader="none" w:pos="1506" w:val="left"/>
        </w:tabs>
        <w:numPr>
          <w:ilvl w:val="0"/>
          <w:numId w:val="5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(i) Except as permitted by subsection 7.3(d), any Person (other than one or more members of the Control Group) shall at any time own, directly or indirectly shares representing more than 30% of the aggregate ordinary voting power represented by the issued and outstanding Capital Stock of the Borrower or (ii) a "Change of Control" as defined in the Existing Subordinated Note Indenture or the Senior Subordinated Notes Indenture or any "Change of Control" as defined in any other subordinated note indenture or any event described with similar terminology thereunder shall occur; or</w:t>
      </w:r>
    </w:p>
    <w:p>
      <w:pPr>
        <w:spacing w:after="0" w:line="187" w:lineRule="exact"/>
        <w:rPr>
          <w:rFonts w:ascii="Courier New" w:cs="Courier New" w:eastAsia="Courier New" w:hAnsi="Courier New"/>
          <w:sz w:val="16"/>
          <w:szCs w:val="16"/>
          <w:color w:val="auto"/>
        </w:rPr>
      </w:pPr>
    </w:p>
    <w:p>
      <w:pPr>
        <w:ind w:left="560" w:right="2659" w:firstLine="572"/>
        <w:spacing w:after="0"/>
        <w:tabs>
          <w:tab w:leader="none" w:pos="1506" w:val="left"/>
        </w:tabs>
        <w:numPr>
          <w:ilvl w:val="0"/>
          <w:numId w:val="5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Effectiveness of the Guarantee and Collateral Agreements. Any Guarantee and Collateral Agreement shall cease for any reason (other than pursuant to the terms and conditions of this Agreement or the other Loan Documents) to be in full force and effect in accordance with its terms or any party thereto shall so assert in writing or any Lien on any material Collateral created by any of the Guarantee and Collateral Agreements shall cease to be enforceable and of the same effect and priority purported to be created thereby; or</w:t>
      </w:r>
    </w:p>
    <w:p>
      <w:pPr>
        <w:spacing w:after="0" w:line="187"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then, and in any such event, (a) if such event is an Event of Default specified in paragraph (f) above with respect to the Borrower or any Subsidiary Borrower, automatically the Revolving Credit Commitments, the Term Loan Commitments (if any), the Swing Line Commitment and the L/C Commitment shall immediately terminate and the Term Loans, the Swing Line Loans, the Revolving Credit Loans and the Reimbursement Obligations hereunder (with accrued interest thereon), the maximum amount available to be drawn under all outstanding Letters of Credit and all other amounts owing by the Borrower or such Subsidiary Borrower, as the case may be, under this Agreement shall immediately become due and payable, and (b) if such event is any Event of Default and is continuing, either or both of the following actions may be taken (to the extent not already automatically taken pursuant to the foregoing clause (a)): (i) with the consent of the Required Lenders, the Administrative Agent may or upon the request of the Required Lenders, the Administrative Agent shall, by notice to the Borrower, declare the Revolving Credit Commitments, the Term Loan Commitments (if any), the Swing Line Commitment and the L/C Commitment to be terminated forthwith, whereupon the Revolving Credit Commitments, the Term Loan Commitments (if any), the Swing Line Commitment and the L/C Commitment shall immediately terminate; and (ii) with the consent of the Required Lenders, the Administrative Agent may or upon the request of the Required Lenders, the Administrative Agent shall, by notice of default to the Borrower, declare the Term Loans, the Swing Line Loans, the Revolving Credit Loans and the Reimbursement Obligations hereunder (with accrued interest thereon), the maximum amount available to be drawn under all outstanding Letters of Credit and all other amounts owing under this Agreement to be due and payable forthwith, whereupon the same shall immediately become due and payable. Any amounts paid by the Borrower in respect of such undrawn Letters of Credit shall be returned to the Borrower after the last expiry date of the Letters of Credit and after all Obligations under the Loan Documents have been paid in full.</w:t>
      </w:r>
    </w:p>
    <w:p>
      <w:pPr>
        <w:spacing w:after="0" w:line="362" w:lineRule="exact"/>
        <w:rPr>
          <w:sz w:val="20"/>
          <w:szCs w:val="20"/>
          <w:color w:val="auto"/>
        </w:rPr>
      </w:pPr>
    </w:p>
    <w:p>
      <w:pPr>
        <w:ind w:right="3039" w:firstLine="1135"/>
        <w:spacing w:after="0" w:line="238" w:lineRule="auto"/>
        <w:rPr>
          <w:sz w:val="20"/>
          <w:szCs w:val="20"/>
          <w:color w:val="auto"/>
        </w:rPr>
      </w:pPr>
      <w:r>
        <w:rPr>
          <w:rFonts w:ascii="Courier New" w:cs="Courier New" w:eastAsia="Courier New" w:hAnsi="Courier New"/>
          <w:sz w:val="16"/>
          <w:szCs w:val="16"/>
          <w:color w:val="auto"/>
        </w:rPr>
        <w:t>With respect to all Letters of Credit for which presentment for honor shall not have occurred at the time of an acceleration pursuant to the preceding paragraph, the Borrower or</w:t>
      </w:r>
    </w:p>
    <w:p>
      <w:pPr>
        <w:sectPr>
          <w:pgSz w:w="11900" w:h="16838" w:orient="portrait"/>
          <w:cols w:equalWidth="0" w:num="1">
            <w:col w:w="10219"/>
          </w:cols>
          <w:pgMar w:left="240" w:top="477" w:right="1440" w:bottom="1440" w:gutter="0" w:footer="0" w:header="0"/>
        </w:sectPr>
      </w:pPr>
    </w:p>
    <w:bookmarkStart w:id="492" w:name="page493"/>
    <w:bookmarkEnd w:id="492"/>
    <w:p>
      <w:pPr>
        <w:jc w:val="right"/>
        <w:ind w:right="2659"/>
        <w:spacing w:after="0"/>
        <w:rPr>
          <w:sz w:val="20"/>
          <w:szCs w:val="20"/>
          <w:color w:val="auto"/>
        </w:rPr>
      </w:pPr>
      <w:r>
        <w:rPr>
          <w:rFonts w:ascii="Courier New" w:cs="Courier New" w:eastAsia="Courier New" w:hAnsi="Courier New"/>
          <w:sz w:val="16"/>
          <w:szCs w:val="16"/>
          <w:color w:val="auto"/>
        </w:rPr>
        <w:t>93</w:t>
      </w:r>
    </w:p>
    <w:p>
      <w:pPr>
        <w:spacing w:after="0" w:line="368" w:lineRule="exact"/>
        <w:rPr>
          <w:sz w:val="20"/>
          <w:szCs w:val="20"/>
          <w:color w:val="auto"/>
        </w:rPr>
      </w:pPr>
    </w:p>
    <w:p>
      <w:pPr>
        <w:jc w:val="both"/>
        <w:ind w:right="2659"/>
        <w:spacing w:after="0" w:line="256" w:lineRule="auto"/>
        <w:rPr>
          <w:sz w:val="20"/>
          <w:szCs w:val="20"/>
          <w:color w:val="auto"/>
        </w:rPr>
      </w:pPr>
      <w:r>
        <w:rPr>
          <w:rFonts w:ascii="Courier New" w:cs="Courier New" w:eastAsia="Courier New" w:hAnsi="Courier New"/>
          <w:sz w:val="15"/>
          <w:szCs w:val="15"/>
          <w:color w:val="auto"/>
        </w:rPr>
        <w:t>the relevant Subsidiary Borrower, as the case may be, shall at such time deposit in a cash collateral account opened by the Administrative Agent an amount equal to the aggregate then undrawn and unexpired amount of such Letters of Credit.</w:t>
      </w:r>
    </w:p>
    <w:p>
      <w:pPr>
        <w:spacing w:after="0" w:line="2" w:lineRule="exact"/>
        <w:rPr>
          <w:sz w:val="20"/>
          <w:szCs w:val="20"/>
          <w:color w:val="auto"/>
        </w:rPr>
      </w:pPr>
    </w:p>
    <w:p>
      <w:pPr>
        <w:ind w:right="2839"/>
        <w:spacing w:after="0"/>
        <w:rPr>
          <w:sz w:val="20"/>
          <w:szCs w:val="20"/>
          <w:color w:val="auto"/>
        </w:rPr>
      </w:pPr>
      <w:r>
        <w:rPr>
          <w:rFonts w:ascii="Courier New" w:cs="Courier New" w:eastAsia="Courier New" w:hAnsi="Courier New"/>
          <w:sz w:val="16"/>
          <w:szCs w:val="16"/>
          <w:color w:val="auto"/>
        </w:rPr>
        <w:t>Amounts held in such cash collateral account shall be applied by the Administrative Agent to the payments of drafts drawn under such Letters of Credit, and the unused portion thereof after all such Letters of Credit shall have expired or been fully drawn upon, if any, shall be applied to repay other Obligations. After all such Letters of Credit shall have expired or been fully drawn upon, all Reimbursement Obligations shall have been satisfied and all other Obligations shall have been paid in full, the balance, if any, in such cash collateral account shall be returned to the Borrower or such Subsidiary Borrower, as the case may be.</w:t>
      </w:r>
    </w:p>
    <w:p>
      <w:pPr>
        <w:spacing w:after="0" w:line="188" w:lineRule="exact"/>
        <w:rPr>
          <w:sz w:val="20"/>
          <w:szCs w:val="20"/>
          <w:color w:val="auto"/>
        </w:rPr>
      </w:pPr>
    </w:p>
    <w:p>
      <w:pPr>
        <w:jc w:val="both"/>
        <w:ind w:right="2839" w:firstLine="1135"/>
        <w:spacing w:after="0" w:line="267" w:lineRule="auto"/>
        <w:rPr>
          <w:sz w:val="20"/>
          <w:szCs w:val="20"/>
          <w:color w:val="auto"/>
        </w:rPr>
      </w:pPr>
      <w:r>
        <w:rPr>
          <w:rFonts w:ascii="Courier New" w:cs="Courier New" w:eastAsia="Courier New" w:hAnsi="Courier New"/>
          <w:sz w:val="15"/>
          <w:szCs w:val="15"/>
          <w:color w:val="auto"/>
        </w:rPr>
        <w:t>Except as expressly provided above in this Section 8, presentment, demand, protest and all other notices of any kind are hereby expressly waived.</w:t>
      </w:r>
    </w:p>
    <w:p>
      <w:pPr>
        <w:spacing w:after="0" w:line="164"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Section 9. THE ADMINISTRATIVE AGENT</w:t>
      </w:r>
    </w:p>
    <w:p>
      <w:pPr>
        <w:spacing w:after="0" w:line="368"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9.1 Appointment. (a) Each Lender hereby irrevocably designates and appoints JPMCB as the Administrative Agent of such Lender under this Agreement and the other Loan Documents, and each such Lender hereby irrevocably authorizes JPMCB, as the Administrative Agent for such Lender,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or the other Loan Documents,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the other Loan Documents or otherwise exist against the Administrative Agent.</w:t>
      </w:r>
    </w:p>
    <w:p>
      <w:pPr>
        <w:spacing w:after="0" w:line="191" w:lineRule="exact"/>
        <w:rPr>
          <w:sz w:val="20"/>
          <w:szCs w:val="20"/>
          <w:color w:val="auto"/>
        </w:rPr>
      </w:pPr>
    </w:p>
    <w:p>
      <w:pPr>
        <w:ind w:right="2659" w:firstLine="1132"/>
        <w:spacing w:after="0"/>
        <w:tabs>
          <w:tab w:leader="none" w:pos="1513" w:val="left"/>
        </w:tabs>
        <w:numPr>
          <w:ilvl w:val="0"/>
          <w:numId w:val="5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proceeds received by the Administrative Agent pursuant to the terms of any Guarantee and Collateral Agreement shall be applied as provided in such Guarantee and Collateral Agreement. Each Hedging Lender agrees that (i) if at any time it shall receive any proceeds pursuant to the terms of either Guarantee and Collateral Agreement (other than through application by the Administrative Agent in accordance with this subsection 9.1(b)), it shall promptly turn the same over to the Administrative Agent for application in accordance with the provisions hereof and (ii) it will not take or cause to be taken any action, including, without limitation, the commencement of any legal or equitable proceedings, the purpose of which is or could be to give such Hedging Lender any preference or priority against the other Lenders with respect to such proceeds.</w:t>
      </w:r>
    </w:p>
    <w:p>
      <w:pPr>
        <w:spacing w:after="0" w:line="189"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9.2 Delegation of Duties. The Administrative Agent may execute any of its duties under this Agreement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 Without limiting the foregoing, the Administrative Agent may appoint JPMSI as its agent to perform the functions of the Administrative Agent hereunder relating to the advancing of funds to the Borrower or any relevant Subsidiary Borrower and</w:t>
      </w:r>
    </w:p>
    <w:p>
      <w:pPr>
        <w:sectPr>
          <w:pgSz w:w="11900" w:h="16838" w:orient="portrait"/>
          <w:cols w:equalWidth="0" w:num="1">
            <w:col w:w="10219"/>
          </w:cols>
          <w:pgMar w:left="240" w:top="477" w:right="1440" w:bottom="1440" w:gutter="0" w:footer="0" w:header="0"/>
        </w:sectPr>
      </w:pPr>
    </w:p>
    <w:bookmarkStart w:id="493" w:name="page494"/>
    <w:bookmarkEnd w:id="493"/>
    <w:p>
      <w:pPr>
        <w:jc w:val="right"/>
        <w:ind w:right="2659"/>
        <w:spacing w:after="0"/>
        <w:rPr>
          <w:sz w:val="20"/>
          <w:szCs w:val="20"/>
          <w:color w:val="auto"/>
        </w:rPr>
      </w:pPr>
      <w:r>
        <w:rPr>
          <w:rFonts w:ascii="Courier New" w:cs="Courier New" w:eastAsia="Courier New" w:hAnsi="Courier New"/>
          <w:sz w:val="16"/>
          <w:szCs w:val="16"/>
          <w:color w:val="auto"/>
        </w:rPr>
        <w:t>94</w:t>
      </w:r>
    </w:p>
    <w:p>
      <w:pPr>
        <w:spacing w:after="0" w:line="368"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distribution of funds to the Lenders and to perform such other related functions of the Administrative Agent hereunder as are reasonably incidental to such functions.</w:t>
      </w:r>
    </w:p>
    <w:p>
      <w:pPr>
        <w:spacing w:after="0" w:line="188"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9.3 Exculpatory Provisions. Neither the Administrative Agent nor any of its officers, directors, employees, agents, attorneys-in-fact or affiliates (including, without limitation, JPMSI) shall be (i) liable for any action lawfully taken or omitted to be taken by it or such Person under or in connection with this Agreement or the other Loan Documents (except for its or such Person's own gross negligence or wilful misconduct) or (ii) responsible in any manner to any of the Lenders for any recitals, statements, representations or warranties made by the Borrower or any relevant Subsidiary Borrower or any officer thereof contained in this Agreement or the other Loan Documents or in any certificate, report, statement or other document referred to or provided for in, or received by the Administrative Agent under or in connection with, this Agreement or the other Loan Documents or for the value, validity, effectiveness, genuineness, enforceability or sufficiency of this Agreement, any Notes or the other Loan Documents or for any failure of the Borrower or any relevant Subsidiary Borrower to perform its obligations hereunder or thereunder. Neither the Administrative Agent nor JPMSI shall be under any obligation to any Lender to ascertain or to inquire as to the observance or performance of any of the agreements contained in, or conditions of, this Agreement or the other Loan Documents, or to inspect the properties, books or records of the Borrower or any Subsidiary Borrower.</w:t>
      </w:r>
    </w:p>
    <w:p>
      <w:pPr>
        <w:spacing w:after="0" w:line="194"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9.4 Reliance by Administrative Agent. Each of the Administrative Agent and JPMSI shall be entitled to rely, and shall be fully protected in relying, upon any Note, writing, resolution, notice, consent, certificate, affidavit, letter, cablegram, telegram, telecopy or teletype message, statement, order or other document or conversation reasonably believed by it to be genuine and correct and to have been signed, sent or made by the proper Person or Persons and upon advice and statements of legal counsel (including, without limitation, counsel to the Borrower), independent accountants and other experts selected by the Administrative Agent. The Administrative Agent and JPMSI may deem and treat the payee of any Note as the owner thereof for all purposes unless (a) a written notice of assignment, negotiation or transfer thereof shall have been filed with the Administrative Agent and (b) the Administrative Agent shall have received the written agreement of such assignee that such assignee is bound hereby as it would have been had it been an original Lender party hereto, in each case in form and substance satisfactory to the Administrative Agent. The Administrative Agent shall be fully justified in failing or refusing to take any action under this Agreement or the other Loan Documents unless it shall first receive such advice or concurrence of the Required Lenders as it deems appropriate or it shall first be indemnified to its satisfaction by the Lenders against any and all liability and expense which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as appropriate, the Required Prepayment Lenders or Majority Facility Lenders), and such request and any action taken or failure to act pursuant thereto shall be binding upon all the Lenders and all future holders of the Loans. The Administrative Agent and the Issuing Lender shall not be required to give any notice to any Person other than the Borrower or the applicable Subsidiary Borrower that an automatic extension of a Letter of Credit shall not be effective, unless the Required Lenders (or, as appropriate, Required Prepayment Lenders or Majority Facility Lenders) otherwise direct.</w:t>
      </w:r>
    </w:p>
    <w:p>
      <w:pPr>
        <w:sectPr>
          <w:pgSz w:w="11900" w:h="16838" w:orient="portrait"/>
          <w:cols w:equalWidth="0" w:num="1">
            <w:col w:w="10219"/>
          </w:cols>
          <w:pgMar w:left="240" w:top="476" w:right="1440" w:bottom="1440" w:gutter="0" w:footer="0" w:header="0"/>
        </w:sectPr>
      </w:pPr>
    </w:p>
    <w:bookmarkStart w:id="494" w:name="page495"/>
    <w:bookmarkEnd w:id="494"/>
    <w:p>
      <w:pPr>
        <w:jc w:val="right"/>
        <w:ind w:right="2659"/>
        <w:spacing w:after="0"/>
        <w:rPr>
          <w:sz w:val="20"/>
          <w:szCs w:val="20"/>
          <w:color w:val="auto"/>
        </w:rPr>
      </w:pPr>
      <w:r>
        <w:rPr>
          <w:rFonts w:ascii="Courier New" w:cs="Courier New" w:eastAsia="Courier New" w:hAnsi="Courier New"/>
          <w:sz w:val="16"/>
          <w:szCs w:val="16"/>
          <w:color w:val="auto"/>
        </w:rPr>
        <w:t>95</w:t>
      </w:r>
    </w:p>
    <w:p>
      <w:pPr>
        <w:spacing w:after="0" w:line="368"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9.5 Notice of Default. The Administrative Agent shall not be deemed to have knowledge or notice of the occurrence of any Default or Event of Default hereunder unless the Administrative Agent has received notice from a Lender or the Borrower or any Subsidiary Borrower referring to this Agreement, describing such Default or Event of Default and stating that such notice is a "notice of default". In the event that the Administrative Agent receives such a notice, the Administrative Agent promptly shall give notice thereof to the Lenders. The Administrative Agent shall take such action with respect to such Default or Event of Default as shall be reasonably directed by the Required Lenders (or, as appropriate, Required Prepayment Lenders or Majority Facility Lenders); provided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91"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9.6 Non-Reliance on Administrative Agent, Other Lenders and JPMSI. Each Lender expressly acknowledges that neither the Administrative Agent nor any of its officers, directors, employees, agents, attorneys-in-fact or affiliates (including, without limitation, JPMSI) has made any representations or warranties to it and that no act by the Administrative Agent hereinafter taken, including any review of the affairs of the Borrower or any Subsidiary Borrower, shall be deemed to constitute any representation or warranty by the Administrative Agent to any Lender. Each Lender represents to the Administrative Agent and JPMSI that it has, independently and without reliance upon the Administrative Agent or any other Lender or JPMSI, and based on such documents and information as it has deemed appropriate, made its own appraisal of and investigation into the business, operations, property, financial and other condition and creditworthiness of the Borrower and made its own decision to make its extensions of credit hereunder and enter into this Agreement. Each Lender also represents that it will, independently and without reliance upon the Administrative Agent, JPMSI or any other Lender, and based on such documents and information as it shall deem appropriate at the time, continue to make its own credit analysis, appraisals and decisions in taking or not taking action under this Agreement or the other Loan Documents, and to make such investigation as it deems necessary to inform itself as to the business, operations, property, financial and other condition and creditworthiness of the Borrower.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financial and other condition or creditworthiness of the Borrower which may come into the possession of the Administrative Agent or any of its officers, directors, employees, agents, attorneys-in-fact or affiliates.</w:t>
      </w:r>
    </w:p>
    <w:p>
      <w:pPr>
        <w:spacing w:after="0" w:line="362"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9.7 Indemnification. The Lenders agree to indemnify each of the Administrative Agent and JPMSI in its capacity as such (to the extent not reimbursed by the Borrower or any Subsidiary Borrower and without limiting the obligation of the Borrower or any Subsidiary Borrower to do so), ratably according to the respective amounts of their Aggregate Exposure in effect on the date on which indemnification is sought (or, if indemnification is sought after the date upon which the Revolving Credit Commitments shall have terminated and the Loans shall have been paid in full, ratably according to their Aggregate Exposure Percentage immediately prior to such date), from and against any and all liabilities, obligations, losses, damages, penalties, actions, judgments, suits, costs, expenses or disbursements of any kind whatsoever</w:t>
      </w:r>
    </w:p>
    <w:p>
      <w:pPr>
        <w:sectPr>
          <w:pgSz w:w="11900" w:h="16838" w:orient="portrait"/>
          <w:cols w:equalWidth="0" w:num="1">
            <w:col w:w="10219"/>
          </w:cols>
          <w:pgMar w:left="240" w:top="477" w:right="1440" w:bottom="1440" w:gutter="0" w:footer="0" w:header="0"/>
        </w:sectPr>
      </w:pPr>
    </w:p>
    <w:bookmarkStart w:id="495" w:name="page496"/>
    <w:bookmarkEnd w:id="495"/>
    <w:p>
      <w:pPr>
        <w:jc w:val="right"/>
        <w:ind w:right="2659"/>
        <w:spacing w:after="0"/>
        <w:rPr>
          <w:sz w:val="20"/>
          <w:szCs w:val="20"/>
          <w:color w:val="auto"/>
        </w:rPr>
      </w:pPr>
      <w:r>
        <w:rPr>
          <w:rFonts w:ascii="Courier New" w:cs="Courier New" w:eastAsia="Courier New" w:hAnsi="Courier New"/>
          <w:sz w:val="16"/>
          <w:szCs w:val="16"/>
          <w:color w:val="auto"/>
        </w:rPr>
        <w:t>96</w:t>
      </w:r>
    </w:p>
    <w:p>
      <w:pPr>
        <w:spacing w:after="0" w:line="368"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which may at any time (including, without limitation, at any time following the payment of the Loans) be imposed on, incurred by or asserted against the Administrative Agent or JPMSI in any way relating to or arising out of this Agreement, any of the other Loan Documents, or any documents contemplated by or referred to herein or therein or the transactions contemplated hereby or thereby or any action taken or omitted by the Administrative Agent or JPMSI under or in connection with any of the foregoing; provided that no Lender shall be liable for any payment of any such liabilities, obligations, losses, damages, penalties, actions, judgments, suits, costs, expenses or disbursements to the extent that they result from the Administrative Agent's or JPMSI's gross negligence or willful misconduct. The agreements in this subsection shall survive the payment of the Loans and all other amounts payable hereunder.</w:t>
      </w:r>
    </w:p>
    <w:p>
      <w:pPr>
        <w:spacing w:after="0" w:line="181"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9.8 Administrative Agent in Its Individual Capacity. The Administrative Agent and its affiliates may make loans to, accept deposits from and generally engage in any kind of business with the Borrower or any Subsidiary Borrower as though the Administrative Agent were not the Administrative Agent hereunder. With respect to its Loans made or renewed by it and any Note issued to it and with respect to any Letter of Credit issued or participated in by it, the Administrative Agent shall have the same rights and powers under this Agreement as any Lender and may exercise the same as though it were not the Administrative Agent, and the terms "Lender" and "Lenders" shall include the Administrative Agent in its individual capacity.</w:t>
      </w:r>
    </w:p>
    <w:p>
      <w:pPr>
        <w:spacing w:after="0" w:line="188"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9.9 Successor Administrative Agent. The Administrative Agent may resign as Administrative Agent upon 30 days' notice to the Lenders. If the Administrative Agent shall resign as Administrative Agent under this Agreement, then the Required Lenders shall appoint from among the Lenders a successor agent for the Lenders (with, as long as no Event of Default has occurred and is continuing, the approval of the Borrower, which approval shall not be unreasonably withheld), whereupon such successor agent shall succeed to the rights, powers and duties of the Administrative Agent, and the term "Administrative Agent" shall mean such successor agent effective upon its appointment, and the former Administrative Agent's rights, powers and duties as Administrative Agent shall be terminated, without any other or further act or deed on the part of such former Administrative Agent or any of the parties to this Agreement or any holders of the Loans. Any appointed successor agent shall act as Administrative Agent only through a branch in the United States in respect of the Term Facility or Facility A, Facility B, Facility C or Facility D. After any retiring Administrative Agent's resignation hereunder as Administrative Agent, the provisions of this Section 9 shall inure to its benefit as to any actions taken or omitted to be taken by it while it was Administrative Agent under this Agreement.</w:t>
      </w:r>
    </w:p>
    <w:p>
      <w:pPr>
        <w:spacing w:after="0" w:line="194"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9.10 The Syndication Agent and the Co-Documentation Agents. The Syndication Agent and the Co-Documentation Agents do not assume any responsibility or obligation under this Agreement or any of the other Loan Documents or any duties as agents for the Lenders. The titles "Syndication Agent" and "Co-Documentation Agent" imply no fiduciary responsibility on the part of either of the Syndication Agent or the Co-Documentation Agents to any Person and the use of such title does not impose on the Syndication Agent or the Co-Documentation Agents any duties or obligations under this Agreement or any of the other Loan Documents.</w:t>
      </w:r>
    </w:p>
    <w:p>
      <w:pPr>
        <w:sectPr>
          <w:pgSz w:w="11900" w:h="16838" w:orient="portrait"/>
          <w:cols w:equalWidth="0" w:num="1">
            <w:col w:w="10219"/>
          </w:cols>
          <w:pgMar w:left="240" w:top="477" w:right="1440" w:bottom="1440" w:gutter="0" w:footer="0" w:header="0"/>
        </w:sectPr>
      </w:pPr>
    </w:p>
    <w:bookmarkStart w:id="496" w:name="page497"/>
    <w:bookmarkEnd w:id="496"/>
    <w:p>
      <w:pPr>
        <w:jc w:val="right"/>
        <w:ind w:right="2659"/>
        <w:spacing w:after="0"/>
        <w:rPr>
          <w:sz w:val="20"/>
          <w:szCs w:val="20"/>
          <w:color w:val="auto"/>
        </w:rPr>
      </w:pPr>
      <w:r>
        <w:rPr>
          <w:rFonts w:ascii="Courier New" w:cs="Courier New" w:eastAsia="Courier New" w:hAnsi="Courier New"/>
          <w:sz w:val="16"/>
          <w:szCs w:val="16"/>
          <w:color w:val="auto"/>
        </w:rPr>
        <w:t>97</w:t>
      </w:r>
    </w:p>
    <w:p>
      <w:pPr>
        <w:spacing w:after="0" w:line="364"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Section 10. MISCELLANEOUS</w:t>
      </w:r>
    </w:p>
    <w:p>
      <w:pPr>
        <w:spacing w:after="0" w:line="186"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10.1 Amendments and Waivers. (a) The Administrative Agent, the Borrower and the Subsidiary Borrowers may, from time to time, with the written consent of the Required Lenders, enter into written amendments, supplements or modifications for the purpose of adding any provisions to this Agreement, the Guarantee and Collateral Agreements or any other Loan Document or changing in any manner the rights of the Lenders or the Borrower or any Subsidiary Borrower hereunder or thereunder, and, with the consent of the Required Lenders, the Administrative Agent, on behalf of the Lenders, may execute and deliver to the Borrower a written instrument waiving, on such terms and conditions as the Administrative Agent may specify in such instrument, any of the requirements of this Agreement or any other Loan Document or any Default or Event of Default and its consequences; provided, however, that no such waiver and no such amendment, supplement or modification shall (i) extend the final maturity of any Loan or reduce the rate or extend the time of payment of interest or fees thereon, or reduce the principal amount thereof, or extend the scheduled date of or reduce the amount of any amortization payment in respect of any Term Loan, or change the amount or terms of any Lender's Revolving Credit Commitment (including the Optional Currencies applicable to such Lender) or reduce any outstanding L/C Obligation, or amend, modify or waive any provision of this subsection, or reduce the percentage specified in the definitions of Required Lenders, Majority Facility Lenders or Required Prepayment Lenders, respectively, or consent to the assignment or transfer by the Borrower or any Subsidiary Borrower of any of its rights and obligations under this Agreement or any other Loan Document (except to the extent otherwise provided therein), or release the guarantee obligations of any significant Guarantor (including, without limitation, the Borrower) or all or substantially all of the collateral under the Guarantee and Collateral Agreements, in each case without the written consent of each Lender affected thereby, (ii) amend, modify or waive (A) any provision of subsection 2.12 requiring by its terms the agreement of the Required Prepayment Lenders or any related definition as used therein or subsection 2.18 without the written consent of the Required Prepayment Lenders or (B) any other provision hereof if the effect is to subordinate one of the Facilities in right of payment to any other of the Facilities without the consent of each Lender adversely affected thereby, (iii) amend, modify or waive any provision of Section 9 without the written consent of the then Administrative Agent, or (iv) amend, modify or waive the provisions of any Letters of Credit or Reimbursement Obligation, without the written consent of the Borrower or the relevant Subsidiary Borrower and the Issuing Lender, or the provisions applicable to the Swing Line Loans without the consent of each Swing Loan Lender. Any such waiver and any such amendment, supplement or modification shall be binding upon the Borrower, the Subsidiary Borrowers, the Lenders and all future holders of the Loans. In the case of any waiver, the Borrower and the Lenders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360" w:lineRule="exact"/>
        <w:rPr>
          <w:sz w:val="20"/>
          <w:szCs w:val="20"/>
          <w:color w:val="auto"/>
        </w:rPr>
      </w:pPr>
    </w:p>
    <w:p>
      <w:pPr>
        <w:jc w:val="both"/>
        <w:ind w:right="2659" w:firstLine="1132"/>
        <w:spacing w:after="0" w:line="238" w:lineRule="auto"/>
        <w:tabs>
          <w:tab w:leader="none" w:pos="1513" w:val="left"/>
        </w:tabs>
        <w:numPr>
          <w:ilvl w:val="0"/>
          <w:numId w:val="5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amended without consent of the Lenders, so long as no Default or Event of Default shall have occurred and be continuing, as follows:</w:t>
      </w:r>
    </w:p>
    <w:p>
      <w:pPr>
        <w:spacing w:after="0" w:line="188" w:lineRule="exact"/>
        <w:rPr>
          <w:rFonts w:ascii="Courier New" w:cs="Courier New" w:eastAsia="Courier New" w:hAnsi="Courier New"/>
          <w:sz w:val="16"/>
          <w:szCs w:val="16"/>
          <w:color w:val="auto"/>
        </w:rPr>
      </w:pPr>
    </w:p>
    <w:p>
      <w:pPr>
        <w:ind w:left="1140" w:right="3119" w:firstLine="370"/>
        <w:spacing w:after="0" w:line="238" w:lineRule="auto"/>
        <w:tabs>
          <w:tab w:leader="none" w:pos="1897" w:val="left"/>
        </w:tabs>
        <w:numPr>
          <w:ilvl w:val="1"/>
          <w:numId w:val="5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will be amended to add Subsidiaries as additional Subsidiary Borrowers (which in the case of a Foreign Subsidiary, may at such</w:t>
      </w:r>
    </w:p>
    <w:p>
      <w:pPr>
        <w:sectPr>
          <w:pgSz w:w="11900" w:h="16838" w:orient="portrait"/>
          <w:cols w:equalWidth="0" w:num="1">
            <w:col w:w="10219"/>
          </w:cols>
          <w:pgMar w:left="240" w:top="476" w:right="1440" w:bottom="1440" w:gutter="0" w:footer="0" w:header="0"/>
        </w:sectPr>
      </w:pPr>
    </w:p>
    <w:bookmarkStart w:id="497" w:name="page498"/>
    <w:bookmarkEnd w:id="497"/>
    <w:p>
      <w:pPr>
        <w:jc w:val="right"/>
        <w:ind w:right="2659"/>
        <w:spacing w:after="0"/>
        <w:rPr>
          <w:sz w:val="20"/>
          <w:szCs w:val="20"/>
          <w:color w:val="auto"/>
        </w:rPr>
      </w:pPr>
      <w:r>
        <w:rPr>
          <w:rFonts w:ascii="Courier New" w:cs="Courier New" w:eastAsia="Courier New" w:hAnsi="Courier New"/>
          <w:sz w:val="16"/>
          <w:szCs w:val="16"/>
          <w:color w:val="auto"/>
        </w:rPr>
        <w:t>98</w:t>
      </w:r>
    </w:p>
    <w:p>
      <w:pPr>
        <w:spacing w:after="0" w:line="368" w:lineRule="exact"/>
        <w:rPr>
          <w:sz w:val="20"/>
          <w:szCs w:val="20"/>
          <w:color w:val="auto"/>
        </w:rPr>
      </w:pPr>
    </w:p>
    <w:p>
      <w:pPr>
        <w:ind w:left="1140" w:right="2659"/>
        <w:spacing w:after="0" w:line="256" w:lineRule="auto"/>
        <w:rPr>
          <w:sz w:val="20"/>
          <w:szCs w:val="20"/>
          <w:color w:val="auto"/>
        </w:rPr>
      </w:pPr>
      <w:r>
        <w:rPr>
          <w:rFonts w:ascii="Courier New" w:cs="Courier New" w:eastAsia="Courier New" w:hAnsi="Courier New"/>
          <w:sz w:val="15"/>
          <w:szCs w:val="15"/>
          <w:color w:val="auto"/>
        </w:rPr>
        <w:t>time be designated by the Borrower as a Regular Subsidiary Borrower) upon (x) execution and delivery by the Borrower, such additional Subsidiary Borrowers and the Administrative Agent, of a Joinder Agreement, substantially in the form of Exhibit L (a "Joinder Agreement"), providing for such Subsidiaries to become Subsidiary Borrowers, (y) agreement and acknowledgment by The Scotts Company and such additional Subsidiaries that the Guarantee and Collateral Agreement covers the obligations of such additional Subsidiaries and</w:t>
      </w:r>
    </w:p>
    <w:p>
      <w:pPr>
        <w:spacing w:after="0" w:line="5" w:lineRule="exact"/>
        <w:rPr>
          <w:sz w:val="20"/>
          <w:szCs w:val="20"/>
          <w:color w:val="auto"/>
        </w:rPr>
      </w:pPr>
    </w:p>
    <w:p>
      <w:pPr>
        <w:ind w:left="1140" w:right="2839" w:hanging="8"/>
        <w:spacing w:after="0" w:line="239" w:lineRule="auto"/>
        <w:tabs>
          <w:tab w:leader="none" w:pos="1518" w:val="left"/>
        </w:tabs>
        <w:numPr>
          <w:ilvl w:val="0"/>
          <w:numId w:val="5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to the Administrative Agent of (1) corporate or other applicable resolutions, other corporate or other applicable documents, certificates and legal opinions in respect of such additional Subsidiary Borrowers substantially equivalent to comparable documents delivered on the Closing Date and (2) such other documents with respect thereto as the Administrative Agent shall reasonably request.</w:t>
      </w:r>
    </w:p>
    <w:p>
      <w:pPr>
        <w:spacing w:after="0" w:line="191" w:lineRule="exact"/>
        <w:rPr>
          <w:rFonts w:ascii="Courier New" w:cs="Courier New" w:eastAsia="Courier New" w:hAnsi="Courier New"/>
          <w:sz w:val="16"/>
          <w:szCs w:val="16"/>
          <w:color w:val="auto"/>
        </w:rPr>
      </w:pPr>
    </w:p>
    <w:p>
      <w:pPr>
        <w:ind w:left="1140" w:right="2659" w:firstLine="370"/>
        <w:spacing w:after="0"/>
        <w:tabs>
          <w:tab w:leader="none" w:pos="1991" w:val="left"/>
        </w:tabs>
        <w:numPr>
          <w:ilvl w:val="1"/>
          <w:numId w:val="5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will be amended to remove any Subsidiary as a Subsidiary Borrower upon execution and delivery by the Borrower to the Administrative Agent of a written notification to such effect and repayment in full of all Loans made to such Subsidiary Borrower, cash collateralization of all L/C Obligations in respect of Letters of Credit issued for the account of such Subsidiary Borrower and repayment in full of all other amounts owing by such Subsidiary Borrower under this Agreement and the other Loan Documents (it being agreed that any such repayment shall be in accordance with the other terms of this Agreement).</w:t>
      </w:r>
    </w:p>
    <w:p>
      <w:pPr>
        <w:spacing w:after="0" w:line="188" w:lineRule="exact"/>
        <w:rPr>
          <w:rFonts w:ascii="Courier New" w:cs="Courier New" w:eastAsia="Courier New" w:hAnsi="Courier New"/>
          <w:sz w:val="16"/>
          <w:szCs w:val="16"/>
          <w:color w:val="auto"/>
        </w:rPr>
      </w:pPr>
    </w:p>
    <w:p>
      <w:pPr>
        <w:ind w:left="1140" w:right="3599" w:firstLine="370"/>
        <w:spacing w:after="0" w:line="237" w:lineRule="auto"/>
        <w:tabs>
          <w:tab w:leader="none" w:pos="2086" w:val="left"/>
        </w:tabs>
        <w:numPr>
          <w:ilvl w:val="1"/>
          <w:numId w:val="5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amended as contemplated by subsection 2.27(b).</w:t>
      </w:r>
    </w:p>
    <w:p>
      <w:pPr>
        <w:spacing w:after="0" w:line="188" w:lineRule="exact"/>
        <w:rPr>
          <w:sz w:val="20"/>
          <w:szCs w:val="20"/>
          <w:color w:val="auto"/>
        </w:rPr>
      </w:pPr>
    </w:p>
    <w:p>
      <w:pPr>
        <w:ind w:right="2659" w:firstLine="1132"/>
        <w:spacing w:after="0" w:line="239" w:lineRule="auto"/>
        <w:tabs>
          <w:tab w:leader="none" w:pos="1513" w:val="left"/>
        </w:tabs>
        <w:numPr>
          <w:ilvl w:val="0"/>
          <w:numId w:val="5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Lenders (and each of their respective successors, assigns and transferees) hereby authorize the Administrative Agent to release any Collateral or the obligations of any Subsidiary under any Guarantee and Collateral Agreement on their behalf in the event of a sale or other transfer of such Collateral or such Subsidiary permitted under this Agreement.</w:t>
      </w:r>
    </w:p>
    <w:p>
      <w:pPr>
        <w:spacing w:after="0" w:line="188" w:lineRule="exact"/>
        <w:rPr>
          <w:rFonts w:ascii="Courier New" w:cs="Courier New" w:eastAsia="Courier New" w:hAnsi="Courier New"/>
          <w:sz w:val="16"/>
          <w:szCs w:val="16"/>
          <w:color w:val="auto"/>
        </w:rPr>
      </w:pPr>
    </w:p>
    <w:p>
      <w:pPr>
        <w:ind w:right="2659" w:firstLine="1132"/>
        <w:spacing w:after="0" w:line="239" w:lineRule="auto"/>
        <w:tabs>
          <w:tab w:leader="none" w:pos="1513" w:val="left"/>
        </w:tabs>
        <w:numPr>
          <w:ilvl w:val="0"/>
          <w:numId w:val="5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herein, the terms and provisions of Annex B, C or D may be amended, supplemented, modified or waived in any manner which could not reasonably be considered as adversely affecting in any material respect the benefits hereof and the rights and remedies hereunder of the other Lenders with the consent of the Borrower, the Administrative Agent and the Sterling Lenders, the Australian Dollar Lenders or the Canadian Dollar Lenders, as the case may be.</w:t>
      </w:r>
    </w:p>
    <w:p>
      <w:pPr>
        <w:spacing w:after="0" w:line="192"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10.2 Notices. Subject to the provisions of subsection 2.2(a), all notices, requests and demands to or upon the respective parties hereto to be effective shall be in writing or by telecopy and, unless otherwise expressly provided herein, shall be deemed to have been duly given or made when delivered by hand, or when deposited in the mail, postage prepaid, or, in the case of telecopy notice, when received, addressed as follows in the case of the Borrower and each of the Subsidiary Borrowers and the Administrative Agent, and as set forth in Schedule 10.2 in the case of the Lenders, or to such address or other address as may be hereafter notified by the respective parties hereto and any future holders of the Loans:</w:t>
      </w:r>
    </w:p>
    <w:p>
      <w:pPr>
        <w:sectPr>
          <w:pgSz w:w="11900" w:h="16838" w:orient="portrait"/>
          <w:cols w:equalWidth="0" w:num="1">
            <w:col w:w="10219"/>
          </w:cols>
          <w:pgMar w:left="240" w:top="477" w:right="1440" w:bottom="1440" w:gutter="0" w:footer="0" w:header="0"/>
        </w:sectPr>
      </w:pPr>
    </w:p>
    <w:bookmarkStart w:id="498" w:name="page499"/>
    <w:bookmarkEnd w:id="498"/>
    <w:p>
      <w:pPr>
        <w:ind w:left="738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19"/>
          </w:cols>
          <w:pgMar w:left="240" w:top="4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Borrower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Subsidiary Borrower: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14111 Scottslawn Road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Marysville, Ohio 43041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Attn.: Rebecca Bruening</w:t>
      </w:r>
    </w:p>
    <w:p>
      <w:pPr>
        <w:spacing w:after="0" w:line="1"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Telephone:</w:t>
      </w:r>
      <w:r>
        <w:rPr>
          <w:sz w:val="20"/>
          <w:szCs w:val="20"/>
          <w:color w:val="auto"/>
        </w:rPr>
        <w:tab/>
      </w:r>
      <w:r>
        <w:rPr>
          <w:rFonts w:ascii="Courier New" w:cs="Courier New" w:eastAsia="Courier New" w:hAnsi="Courier New"/>
          <w:sz w:val="15"/>
          <w:szCs w:val="15"/>
          <w:color w:val="auto"/>
        </w:rPr>
        <w:t>(937) 578-5607</w:t>
      </w:r>
    </w:p>
    <w:p>
      <w:pPr>
        <w:spacing w:after="0" w:line="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Telecopy:</w:t>
      </w:r>
      <w:r>
        <w:rPr>
          <w:sz w:val="20"/>
          <w:szCs w:val="20"/>
          <w:color w:val="auto"/>
        </w:rPr>
        <w:tab/>
      </w:r>
      <w:r>
        <w:rPr>
          <w:rFonts w:ascii="Courier New" w:cs="Courier New" w:eastAsia="Courier New" w:hAnsi="Courier New"/>
          <w:sz w:val="15"/>
          <w:szCs w:val="15"/>
          <w:color w:val="auto"/>
        </w:rPr>
        <w:t>(937) 578-5755</w:t>
      </w:r>
    </w:p>
    <w:p>
      <w:pPr>
        <w:spacing w:after="0" w:line="200" w:lineRule="exact"/>
        <w:rPr>
          <w:sz w:val="20"/>
          <w:szCs w:val="20"/>
          <w:color w:val="auto"/>
        </w:rPr>
      </w:pPr>
    </w:p>
    <w:p>
      <w:pPr>
        <w:sectPr>
          <w:pgSz w:w="11900" w:h="16838" w:orient="portrait"/>
          <w:cols w:equalWidth="0" w:num="2">
            <w:col w:w="2580" w:space="720"/>
            <w:col w:w="6919"/>
          </w:cols>
          <w:pgMar w:left="240" w:top="481" w:right="1440" w:bottom="1440" w:gutter="0" w:footer="0" w:header="0"/>
          <w:type w:val="continuous"/>
        </w:sectPr>
      </w:pPr>
    </w:p>
    <w:p>
      <w:pPr>
        <w:spacing w:after="0" w:line="164"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With a copy sent to:</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Vorys, Sater, Seymour and</w:t>
      </w:r>
    </w:p>
    <w:p>
      <w:pPr>
        <w:spacing w:after="0" w:line="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Pease LLP</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52 East Gay Street</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Columbus, Ohio 43216-1008</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Attn: John B. Weimer, Esq. and</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Stephen D. Browning, Esq.</w:t>
      </w:r>
    </w:p>
    <w:p>
      <w:pPr>
        <w:spacing w:after="0" w:line="8" w:lineRule="exact"/>
        <w:rPr>
          <w:sz w:val="20"/>
          <w:szCs w:val="20"/>
          <w:color w:val="auto"/>
        </w:rPr>
      </w:pPr>
    </w:p>
    <w:p>
      <w:pPr>
        <w:ind w:left="3960"/>
        <w:spacing w:after="0"/>
        <w:tabs>
          <w:tab w:leader="none" w:pos="5080" w:val="left"/>
        </w:tabs>
        <w:rPr>
          <w:sz w:val="20"/>
          <w:szCs w:val="20"/>
          <w:color w:val="auto"/>
        </w:rPr>
      </w:pPr>
      <w:r>
        <w:rPr>
          <w:rFonts w:ascii="Courier New" w:cs="Courier New" w:eastAsia="Courier New" w:hAnsi="Courier New"/>
          <w:sz w:val="16"/>
          <w:szCs w:val="16"/>
          <w:color w:val="auto"/>
        </w:rPr>
        <w:t>Telephone:</w:t>
        <w:tab/>
        <w:t>(614) 464-8343</w:t>
      </w:r>
    </w:p>
    <w:p>
      <w:pPr>
        <w:spacing w:after="0" w:line="1" w:lineRule="exact"/>
        <w:rPr>
          <w:sz w:val="20"/>
          <w:szCs w:val="20"/>
          <w:color w:val="auto"/>
        </w:rPr>
      </w:pPr>
    </w:p>
    <w:p>
      <w:pPr>
        <w:ind w:left="3960"/>
        <w:spacing w:after="0"/>
        <w:tabs>
          <w:tab w:leader="none" w:pos="4980" w:val="left"/>
        </w:tabs>
        <w:rPr>
          <w:sz w:val="20"/>
          <w:szCs w:val="20"/>
          <w:color w:val="auto"/>
        </w:rPr>
      </w:pPr>
      <w:r>
        <w:rPr>
          <w:rFonts w:ascii="Courier New" w:cs="Courier New" w:eastAsia="Courier New" w:hAnsi="Courier New"/>
          <w:sz w:val="16"/>
          <w:szCs w:val="16"/>
          <w:color w:val="auto"/>
        </w:rPr>
        <w:t>Telecopy:</w:t>
        <w:tab/>
        <w:t>(614) 719-5086</w:t>
      </w:r>
    </w:p>
    <w:p>
      <w:pPr>
        <w:sectPr>
          <w:pgSz w:w="11900" w:h="16838" w:orient="portrait"/>
          <w:cols w:equalWidth="0" w:num="1">
            <w:col w:w="10219"/>
          </w:cols>
          <w:pgMar w:left="240" w:top="481" w:right="1440"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Administrative Agent: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JPMorgan Chase Bank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270 Park Avenue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10017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Attn.: Randolph E. Cates</w:t>
      </w:r>
    </w:p>
    <w:p>
      <w:pPr>
        <w:spacing w:after="0" w:line="1"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Telephone:</w:t>
      </w:r>
      <w:r>
        <w:rPr>
          <w:sz w:val="20"/>
          <w:szCs w:val="20"/>
          <w:color w:val="auto"/>
        </w:rPr>
        <w:tab/>
      </w:r>
      <w:r>
        <w:rPr>
          <w:rFonts w:ascii="Courier New" w:cs="Courier New" w:eastAsia="Courier New" w:hAnsi="Courier New"/>
          <w:sz w:val="15"/>
          <w:szCs w:val="15"/>
          <w:color w:val="auto"/>
        </w:rPr>
        <w:t>(212) 270-8997</w:t>
      </w:r>
    </w:p>
    <w:p>
      <w:pPr>
        <w:spacing w:after="0" w:line="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Telecopy:</w:t>
      </w:r>
      <w:r>
        <w:rPr>
          <w:sz w:val="20"/>
          <w:szCs w:val="20"/>
          <w:color w:val="auto"/>
        </w:rPr>
        <w:tab/>
      </w:r>
      <w:r>
        <w:rPr>
          <w:rFonts w:ascii="Courier New" w:cs="Courier New" w:eastAsia="Courier New" w:hAnsi="Courier New"/>
          <w:sz w:val="15"/>
          <w:szCs w:val="15"/>
          <w:color w:val="auto"/>
        </w:rPr>
        <w:t>(212) 270-6041</w:t>
      </w:r>
    </w:p>
    <w:p>
      <w:pPr>
        <w:spacing w:after="0" w:line="183" w:lineRule="exact"/>
        <w:rPr>
          <w:sz w:val="20"/>
          <w:szCs w:val="20"/>
          <w:color w:val="auto"/>
        </w:rPr>
      </w:pPr>
    </w:p>
    <w:p>
      <w:pPr>
        <w:sectPr>
          <w:pgSz w:w="11900" w:h="16838" w:orient="portrait"/>
          <w:cols w:equalWidth="0" w:num="2">
            <w:col w:w="2580" w:space="720"/>
            <w:col w:w="6919"/>
          </w:cols>
          <w:pgMar w:left="240" w:top="481" w:right="1440" w:bottom="1440" w:gutter="0" w:footer="0" w:header="0"/>
          <w:type w:val="continuous"/>
        </w:sectPr>
      </w:pPr>
    </w:p>
    <w:p>
      <w:pPr>
        <w:ind w:left="3960"/>
        <w:spacing w:after="0"/>
        <w:rPr>
          <w:sz w:val="20"/>
          <w:szCs w:val="20"/>
          <w:color w:val="auto"/>
        </w:rPr>
      </w:pPr>
      <w:r>
        <w:rPr>
          <w:rFonts w:ascii="Courier New" w:cs="Courier New" w:eastAsia="Courier New" w:hAnsi="Courier New"/>
          <w:sz w:val="16"/>
          <w:szCs w:val="16"/>
          <w:color w:val="auto"/>
        </w:rPr>
        <w:t>With a copy sent to:</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J.P. Morgan Europe Limited</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125 London Wall</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London, England EC2Y 5AJ</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Attn: Stephen Clarke</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Telecopy: 44 20 7777 2360/2085</w:t>
      </w:r>
    </w:p>
    <w:p>
      <w:pPr>
        <w:sectPr>
          <w:pgSz w:w="11900" w:h="16838" w:orient="portrait"/>
          <w:cols w:equalWidth="0" w:num="1">
            <w:col w:w="10219"/>
          </w:cols>
          <w:pgMar w:left="240" w:top="481" w:right="1440" w:bottom="1440" w:gutter="0" w:footer="0" w:header="0"/>
          <w:type w:val="continuous"/>
        </w:sectPr>
      </w:pPr>
    </w:p>
    <w:p>
      <w:pPr>
        <w:spacing w:after="0" w:line="37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JPMSI:</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 Morgan Securities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707 Travis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Seventh Floor North, mail station 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 77002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Loan and Agencies Group/Leah E. Hughes</w:t>
      </w:r>
    </w:p>
    <w:p>
      <w:pPr>
        <w:spacing w:after="0" w:line="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Telephone:</w:t>
      </w:r>
      <w:r>
        <w:rPr>
          <w:sz w:val="20"/>
          <w:szCs w:val="20"/>
          <w:color w:val="auto"/>
        </w:rPr>
        <w:tab/>
      </w:r>
      <w:r>
        <w:rPr>
          <w:rFonts w:ascii="Courier New" w:cs="Courier New" w:eastAsia="Courier New" w:hAnsi="Courier New"/>
          <w:sz w:val="15"/>
          <w:szCs w:val="15"/>
          <w:color w:val="auto"/>
        </w:rPr>
        <w:t>(713) 750-2885</w:t>
      </w:r>
    </w:p>
    <w:p>
      <w:pPr>
        <w:spacing w:after="0" w:line="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Telecopy:</w:t>
      </w:r>
      <w:r>
        <w:rPr>
          <w:sz w:val="20"/>
          <w:szCs w:val="20"/>
          <w:color w:val="auto"/>
        </w:rPr>
        <w:tab/>
      </w:r>
      <w:r>
        <w:rPr>
          <w:rFonts w:ascii="Courier New" w:cs="Courier New" w:eastAsia="Courier New" w:hAnsi="Courier New"/>
          <w:sz w:val="15"/>
          <w:szCs w:val="15"/>
          <w:color w:val="auto"/>
        </w:rPr>
        <w:t>(713) 750-2932</w:t>
      </w:r>
    </w:p>
    <w:p>
      <w:pPr>
        <w:sectPr>
          <w:pgSz w:w="11900" w:h="16838" w:orient="portrait"/>
          <w:cols w:equalWidth="0" w:num="2">
            <w:col w:w="2580" w:space="720"/>
            <w:col w:w="6919"/>
          </w:cols>
          <w:pgMar w:left="240" w:top="481" w:right="1440" w:bottom="1440" w:gutter="0" w:footer="0" w:header="0"/>
          <w:type w:val="continuous"/>
        </w:sectPr>
      </w:pPr>
    </w:p>
    <w:bookmarkStart w:id="499" w:name="page500"/>
    <w:bookmarkEnd w:id="499"/>
    <w:tbl>
      <w:tblPr>
        <w:tblLayout w:type="fixed"/>
        <w:tblInd w:w="0" w:type="dxa"/>
        <w:tblCellMar>
          <w:top w:w="0" w:type="dxa"/>
          <w:left w:w="0" w:type="dxa"/>
          <w:bottom w:w="0" w:type="dxa"/>
          <w:right w:w="0" w:type="dxa"/>
        </w:tblCellMar>
      </w:tblPr>
      <w:tr>
        <w:trPr>
          <w:trHeight w:val="181"/>
        </w:trPr>
        <w:tc>
          <w:tcPr>
            <w:tcW w:w="4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546"/>
        </w:trPr>
        <w:tc>
          <w:tcPr>
            <w:tcW w:w="4020" w:type="dxa"/>
            <w:vAlign w:val="bottom"/>
          </w:tcPr>
          <w:p>
            <w:pPr>
              <w:spacing w:after="0"/>
              <w:rPr>
                <w:sz w:val="20"/>
                <w:szCs w:val="20"/>
                <w:color w:val="auto"/>
              </w:rPr>
            </w:pPr>
            <w:r>
              <w:rPr>
                <w:rFonts w:ascii="Courier New" w:cs="Courier New" w:eastAsia="Courier New" w:hAnsi="Courier New"/>
                <w:sz w:val="16"/>
                <w:szCs w:val="16"/>
                <w:color w:val="auto"/>
              </w:rPr>
              <w:t>The Australian Administrative Agent:</w:t>
            </w:r>
          </w:p>
        </w:tc>
        <w:tc>
          <w:tcPr>
            <w:tcW w:w="354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JP Morgan Australia Limited</w:t>
            </w:r>
          </w:p>
        </w:tc>
      </w:tr>
      <w:tr>
        <w:trPr>
          <w:trHeight w:val="182"/>
        </w:trPr>
        <w:tc>
          <w:tcPr>
            <w:tcW w:w="4020" w:type="dxa"/>
            <w:vAlign w:val="bottom"/>
          </w:tcPr>
          <w:p>
            <w:pPr>
              <w:spacing w:after="0"/>
              <w:rPr>
                <w:sz w:val="15"/>
                <w:szCs w:val="15"/>
                <w:color w:val="auto"/>
              </w:rPr>
            </w:pPr>
          </w:p>
        </w:tc>
        <w:tc>
          <w:tcPr>
            <w:tcW w:w="354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Level 2, Grosvenor Place</w:t>
            </w:r>
          </w:p>
        </w:tc>
      </w:tr>
      <w:tr>
        <w:trPr>
          <w:trHeight w:val="182"/>
        </w:trPr>
        <w:tc>
          <w:tcPr>
            <w:tcW w:w="4020" w:type="dxa"/>
            <w:vAlign w:val="bottom"/>
          </w:tcPr>
          <w:p>
            <w:pPr>
              <w:spacing w:after="0"/>
              <w:rPr>
                <w:sz w:val="15"/>
                <w:szCs w:val="15"/>
                <w:color w:val="auto"/>
              </w:rPr>
            </w:pPr>
          </w:p>
        </w:tc>
        <w:tc>
          <w:tcPr>
            <w:tcW w:w="354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225 George Street</w:t>
            </w:r>
          </w:p>
        </w:tc>
      </w:tr>
      <w:tr>
        <w:trPr>
          <w:trHeight w:val="182"/>
        </w:trPr>
        <w:tc>
          <w:tcPr>
            <w:tcW w:w="4020" w:type="dxa"/>
            <w:vAlign w:val="bottom"/>
          </w:tcPr>
          <w:p>
            <w:pPr>
              <w:spacing w:after="0"/>
              <w:rPr>
                <w:sz w:val="15"/>
                <w:szCs w:val="15"/>
                <w:color w:val="auto"/>
              </w:rPr>
            </w:pPr>
          </w:p>
        </w:tc>
        <w:tc>
          <w:tcPr>
            <w:tcW w:w="1220" w:type="dxa"/>
            <w:vAlign w:val="bottom"/>
          </w:tcPr>
          <w:p>
            <w:pPr>
              <w:ind w:left="620"/>
              <w:spacing w:after="0"/>
              <w:rPr>
                <w:sz w:val="20"/>
                <w:szCs w:val="20"/>
                <w:color w:val="auto"/>
              </w:rPr>
            </w:pPr>
            <w:r>
              <w:rPr>
                <w:rFonts w:ascii="Courier New" w:cs="Courier New" w:eastAsia="Courier New" w:hAnsi="Courier New"/>
                <w:sz w:val="16"/>
                <w:szCs w:val="16"/>
                <w:color w:val="auto"/>
              </w:rPr>
              <w:t>Sydney</w:t>
            </w:r>
          </w:p>
        </w:tc>
        <w:tc>
          <w:tcPr>
            <w:tcW w:w="2320" w:type="dxa"/>
            <w:vAlign w:val="bottom"/>
          </w:tcPr>
          <w:p>
            <w:pPr>
              <w:ind w:left="60"/>
              <w:spacing w:after="0"/>
              <w:rPr>
                <w:sz w:val="20"/>
                <w:szCs w:val="20"/>
                <w:color w:val="auto"/>
              </w:rPr>
            </w:pPr>
            <w:r>
              <w:rPr>
                <w:rFonts w:ascii="Courier New" w:cs="Courier New" w:eastAsia="Courier New" w:hAnsi="Courier New"/>
                <w:sz w:val="16"/>
                <w:szCs w:val="16"/>
                <w:color w:val="auto"/>
              </w:rPr>
              <w:t>2000 Australia</w:t>
            </w:r>
          </w:p>
        </w:tc>
      </w:tr>
      <w:tr>
        <w:trPr>
          <w:trHeight w:val="182"/>
        </w:trPr>
        <w:tc>
          <w:tcPr>
            <w:tcW w:w="4020" w:type="dxa"/>
            <w:vAlign w:val="bottom"/>
          </w:tcPr>
          <w:p>
            <w:pPr>
              <w:spacing w:after="0"/>
              <w:rPr>
                <w:sz w:val="15"/>
                <w:szCs w:val="15"/>
                <w:color w:val="auto"/>
              </w:rPr>
            </w:pPr>
          </w:p>
        </w:tc>
        <w:tc>
          <w:tcPr>
            <w:tcW w:w="1220" w:type="dxa"/>
            <w:vAlign w:val="bottom"/>
          </w:tcPr>
          <w:p>
            <w:pPr>
              <w:ind w:left="620"/>
              <w:spacing w:after="0"/>
              <w:rPr>
                <w:sz w:val="20"/>
                <w:szCs w:val="20"/>
                <w:color w:val="auto"/>
              </w:rPr>
            </w:pPr>
            <w:r>
              <w:rPr>
                <w:rFonts w:ascii="Courier New" w:cs="Courier New" w:eastAsia="Courier New" w:hAnsi="Courier New"/>
                <w:sz w:val="16"/>
                <w:szCs w:val="16"/>
                <w:color w:val="auto"/>
              </w:rPr>
              <w:t>Attn:</w:t>
            </w:r>
          </w:p>
        </w:tc>
        <w:tc>
          <w:tcPr>
            <w:tcW w:w="2320" w:type="dxa"/>
            <w:vAlign w:val="bottom"/>
          </w:tcPr>
          <w:p>
            <w:pPr>
              <w:ind w:left="60"/>
              <w:spacing w:after="0"/>
              <w:rPr>
                <w:sz w:val="20"/>
                <w:szCs w:val="20"/>
                <w:color w:val="auto"/>
              </w:rPr>
            </w:pPr>
            <w:r>
              <w:rPr>
                <w:rFonts w:ascii="Courier New" w:cs="Courier New" w:eastAsia="Courier New" w:hAnsi="Courier New"/>
                <w:sz w:val="16"/>
                <w:szCs w:val="16"/>
                <w:color w:val="auto"/>
              </w:rPr>
              <w:t>Jason Lock</w:t>
            </w:r>
          </w:p>
        </w:tc>
      </w:tr>
      <w:tr>
        <w:trPr>
          <w:trHeight w:val="182"/>
        </w:trPr>
        <w:tc>
          <w:tcPr>
            <w:tcW w:w="4020" w:type="dxa"/>
            <w:vAlign w:val="bottom"/>
          </w:tcPr>
          <w:p>
            <w:pPr>
              <w:spacing w:after="0"/>
              <w:rPr>
                <w:sz w:val="15"/>
                <w:szCs w:val="15"/>
                <w:color w:val="auto"/>
              </w:rPr>
            </w:pPr>
          </w:p>
        </w:tc>
        <w:tc>
          <w:tcPr>
            <w:tcW w:w="354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Telephone:  +61-(2)-9251-3371</w:t>
            </w:r>
          </w:p>
        </w:tc>
      </w:tr>
      <w:tr>
        <w:trPr>
          <w:trHeight w:val="364"/>
        </w:trPr>
        <w:tc>
          <w:tcPr>
            <w:tcW w:w="4020" w:type="dxa"/>
            <w:vAlign w:val="bottom"/>
          </w:tcPr>
          <w:p>
            <w:pPr>
              <w:spacing w:after="0"/>
              <w:rPr>
                <w:sz w:val="20"/>
                <w:szCs w:val="20"/>
                <w:color w:val="auto"/>
              </w:rPr>
            </w:pPr>
            <w:r>
              <w:rPr>
                <w:rFonts w:ascii="Courier New" w:cs="Courier New" w:eastAsia="Courier New" w:hAnsi="Courier New"/>
                <w:sz w:val="16"/>
                <w:szCs w:val="16"/>
                <w:color w:val="auto"/>
              </w:rPr>
              <w:t>The Canadian Administrative Agent:</w:t>
            </w:r>
          </w:p>
        </w:tc>
        <w:tc>
          <w:tcPr>
            <w:tcW w:w="354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J.P. Morgan Bank Canada</w:t>
            </w:r>
          </w:p>
        </w:tc>
      </w:tr>
      <w:tr>
        <w:trPr>
          <w:trHeight w:val="182"/>
        </w:trPr>
        <w:tc>
          <w:tcPr>
            <w:tcW w:w="4020" w:type="dxa"/>
            <w:vAlign w:val="bottom"/>
          </w:tcPr>
          <w:p>
            <w:pPr>
              <w:spacing w:after="0"/>
              <w:rPr>
                <w:sz w:val="15"/>
                <w:szCs w:val="15"/>
                <w:color w:val="auto"/>
              </w:rPr>
            </w:pPr>
          </w:p>
        </w:tc>
        <w:tc>
          <w:tcPr>
            <w:tcW w:w="354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200 Bay Street</w:t>
            </w:r>
          </w:p>
        </w:tc>
      </w:tr>
      <w:tr>
        <w:trPr>
          <w:trHeight w:val="182"/>
        </w:trPr>
        <w:tc>
          <w:tcPr>
            <w:tcW w:w="4020" w:type="dxa"/>
            <w:vAlign w:val="bottom"/>
          </w:tcPr>
          <w:p>
            <w:pPr>
              <w:spacing w:after="0"/>
              <w:rPr>
                <w:sz w:val="15"/>
                <w:szCs w:val="15"/>
                <w:color w:val="auto"/>
              </w:rPr>
            </w:pPr>
          </w:p>
        </w:tc>
        <w:tc>
          <w:tcPr>
            <w:tcW w:w="354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Royal Bank Plaza</w:t>
            </w:r>
          </w:p>
        </w:tc>
      </w:tr>
      <w:tr>
        <w:trPr>
          <w:trHeight w:val="182"/>
        </w:trPr>
        <w:tc>
          <w:tcPr>
            <w:tcW w:w="4020" w:type="dxa"/>
            <w:vAlign w:val="bottom"/>
          </w:tcPr>
          <w:p>
            <w:pPr>
              <w:spacing w:after="0"/>
              <w:rPr>
                <w:sz w:val="15"/>
                <w:szCs w:val="15"/>
                <w:color w:val="auto"/>
              </w:rPr>
            </w:pPr>
          </w:p>
        </w:tc>
        <w:tc>
          <w:tcPr>
            <w:tcW w:w="354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South Tower, Suite 1800</w:t>
            </w:r>
          </w:p>
        </w:tc>
      </w:tr>
      <w:tr>
        <w:trPr>
          <w:trHeight w:val="182"/>
        </w:trPr>
        <w:tc>
          <w:tcPr>
            <w:tcW w:w="4020" w:type="dxa"/>
            <w:vAlign w:val="bottom"/>
          </w:tcPr>
          <w:p>
            <w:pPr>
              <w:spacing w:after="0"/>
              <w:rPr>
                <w:sz w:val="15"/>
                <w:szCs w:val="15"/>
                <w:color w:val="auto"/>
              </w:rPr>
            </w:pPr>
          </w:p>
        </w:tc>
        <w:tc>
          <w:tcPr>
            <w:tcW w:w="354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Toronto, Canada  M57 2J2</w:t>
            </w:r>
          </w:p>
        </w:tc>
      </w:tr>
      <w:tr>
        <w:trPr>
          <w:trHeight w:val="182"/>
        </w:trPr>
        <w:tc>
          <w:tcPr>
            <w:tcW w:w="4020" w:type="dxa"/>
            <w:vAlign w:val="bottom"/>
          </w:tcPr>
          <w:p>
            <w:pPr>
              <w:spacing w:after="0"/>
              <w:rPr>
                <w:sz w:val="15"/>
                <w:szCs w:val="15"/>
                <w:color w:val="auto"/>
              </w:rPr>
            </w:pPr>
          </w:p>
        </w:tc>
        <w:tc>
          <w:tcPr>
            <w:tcW w:w="1220" w:type="dxa"/>
            <w:vAlign w:val="bottom"/>
          </w:tcPr>
          <w:p>
            <w:pPr>
              <w:ind w:left="620"/>
              <w:spacing w:after="0"/>
              <w:rPr>
                <w:sz w:val="20"/>
                <w:szCs w:val="20"/>
                <w:color w:val="auto"/>
              </w:rPr>
            </w:pPr>
            <w:r>
              <w:rPr>
                <w:rFonts w:ascii="Courier New" w:cs="Courier New" w:eastAsia="Courier New" w:hAnsi="Courier New"/>
                <w:sz w:val="16"/>
                <w:szCs w:val="16"/>
                <w:color w:val="auto"/>
              </w:rPr>
              <w:t>Attn:</w:t>
            </w:r>
          </w:p>
        </w:tc>
        <w:tc>
          <w:tcPr>
            <w:tcW w:w="2320" w:type="dxa"/>
            <w:vAlign w:val="bottom"/>
          </w:tcPr>
          <w:p>
            <w:pPr>
              <w:ind w:left="60"/>
              <w:spacing w:after="0"/>
              <w:rPr>
                <w:sz w:val="20"/>
                <w:szCs w:val="20"/>
                <w:color w:val="auto"/>
              </w:rPr>
            </w:pPr>
            <w:r>
              <w:rPr>
                <w:rFonts w:ascii="Courier New" w:cs="Courier New" w:eastAsia="Courier New" w:hAnsi="Courier New"/>
                <w:sz w:val="16"/>
                <w:szCs w:val="16"/>
                <w:color w:val="auto"/>
              </w:rPr>
              <w:t>Drew McDonald</w:t>
            </w:r>
          </w:p>
        </w:tc>
      </w:tr>
    </w:tbl>
    <w:p>
      <w:pPr>
        <w:spacing w:after="0" w:line="186"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provided that any notice, request or demand to or upon the Administrative Agent or the Lenders shall not be effective until received.</w:t>
      </w:r>
    </w:p>
    <w:p>
      <w:pPr>
        <w:spacing w:after="0" w:line="188" w:lineRule="exact"/>
        <w:rPr>
          <w:sz w:val="20"/>
          <w:szCs w:val="20"/>
          <w:color w:val="auto"/>
        </w:rPr>
      </w:pPr>
    </w:p>
    <w:p>
      <w:pPr>
        <w:ind w:right="2759" w:firstLine="1135"/>
        <w:spacing w:after="0"/>
        <w:rPr>
          <w:sz w:val="20"/>
          <w:szCs w:val="20"/>
          <w:color w:val="auto"/>
        </w:rPr>
      </w:pPr>
      <w:r>
        <w:rPr>
          <w:rFonts w:ascii="Courier New" w:cs="Courier New" w:eastAsia="Courier New" w:hAnsi="Courier New"/>
          <w:sz w:val="16"/>
          <w:szCs w:val="16"/>
          <w:color w:val="auto"/>
        </w:rPr>
        <w:t>10.3 No Waiver; Cumulative Remedies. No failure to exercise and no delay in exercising, on the part of the Administrative Agent or any Lender,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7" w:lineRule="exact"/>
        <w:rPr>
          <w:sz w:val="20"/>
          <w:szCs w:val="20"/>
          <w:color w:val="auto"/>
        </w:rPr>
      </w:pPr>
    </w:p>
    <w:p>
      <w:pPr>
        <w:ind w:right="2759" w:firstLine="1135"/>
        <w:spacing w:after="0"/>
        <w:rPr>
          <w:sz w:val="20"/>
          <w:szCs w:val="20"/>
          <w:color w:val="auto"/>
        </w:rPr>
      </w:pPr>
      <w:r>
        <w:rPr>
          <w:rFonts w:ascii="Courier New" w:cs="Courier New" w:eastAsia="Courier New" w:hAnsi="Courier New"/>
          <w:sz w:val="16"/>
          <w:szCs w:val="16"/>
          <w:color w:val="auto"/>
        </w:rPr>
        <w:t>10.4 Survival of Representations, Warranties and Indemnities. All representations and warranties made hereunder and in any document, certificate or statement delivered pursuant hereto or in connection herewith shall survive the execution and delivery of this Agreement and the making of the Loans hereunder. The obligation of the Borrower to make payments or to provide indemnities as provided for in this Agreement shall survive payment in full of the Loans, expiration of all Letters of Credit and termination of the Revolving Credit Commitments and this Agreement.</w:t>
      </w:r>
    </w:p>
    <w:p>
      <w:pPr>
        <w:spacing w:after="0" w:line="187"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10.5 Payment of Expenses and Taxes. The Borrower agrees (a) to pay or reimburse the Administrative Agent for all its reasonable out-of-pocket costs and expenses incurred in connection with the development, preparation and execution of, and any amendment, supplement or modification to, this Agreement, the other Loan Documents and any other documents prepared in connection herewith or therewith, and the consummation of the transactions contemplated hereby and thereby, including, without limitation, the reasonable fees and disbursements of counsel to the Administrative Agent, (b) to pay or reimburse each Lender and the Administrative Agent for all its costs and expenses incurred in connection with the enforcement or preservation of any rights under this Agreement, the other Loan Documents and any such other documents, including, without limitation, the reasonable fees and disbursements of counsel (including, without limitation, in-house counsel) to the Administrative Agent and to the several Lenders, (c) to pay, indemnify and hold each Lender and the Administrative Agent harmless from any and all recording and filing fees and any and all liabilities with respect to, or resulting from any delay in paying, stamp, excise and other similar non-income taxes (and, for</w:t>
      </w:r>
    </w:p>
    <w:p>
      <w:pPr>
        <w:sectPr>
          <w:pgSz w:w="11900" w:h="16838" w:orient="portrait"/>
          <w:cols w:equalWidth="0" w:num="1">
            <w:col w:w="10219"/>
          </w:cols>
          <w:pgMar w:left="240" w:top="477" w:right="1440" w:bottom="1440" w:gutter="0" w:footer="0" w:header="0"/>
        </w:sectPr>
      </w:pPr>
    </w:p>
    <w:bookmarkStart w:id="500" w:name="page501"/>
    <w:bookmarkEnd w:id="500"/>
    <w:p>
      <w:pPr>
        <w:jc w:val="right"/>
        <w:ind w:right="2659"/>
        <w:spacing w:after="0"/>
        <w:rPr>
          <w:sz w:val="20"/>
          <w:szCs w:val="20"/>
          <w:color w:val="auto"/>
        </w:rPr>
      </w:pPr>
      <w:r>
        <w:rPr>
          <w:rFonts w:ascii="Courier New" w:cs="Courier New" w:eastAsia="Courier New" w:hAnsi="Courier New"/>
          <w:sz w:val="16"/>
          <w:szCs w:val="16"/>
          <w:color w:val="auto"/>
        </w:rPr>
        <w:t>101</w:t>
      </w:r>
    </w:p>
    <w:p>
      <w:pPr>
        <w:spacing w:after="0" w:line="368" w:lineRule="exact"/>
        <w:rPr>
          <w:sz w:val="20"/>
          <w:szCs w:val="20"/>
          <w:color w:val="auto"/>
        </w:rPr>
      </w:pPr>
    </w:p>
    <w:p>
      <w:pPr>
        <w:ind w:left="3" w:right="2659"/>
        <w:spacing w:after="0" w:line="257" w:lineRule="auto"/>
        <w:rPr>
          <w:sz w:val="20"/>
          <w:szCs w:val="20"/>
          <w:color w:val="auto"/>
        </w:rPr>
      </w:pPr>
      <w:r>
        <w:rPr>
          <w:rFonts w:ascii="Courier New" w:cs="Courier New" w:eastAsia="Courier New" w:hAnsi="Courier New"/>
          <w:sz w:val="15"/>
          <w:szCs w:val="15"/>
          <w:color w:val="auto"/>
        </w:rPr>
        <w:t>the avoidance of doubt, other than Excluded Taxes), if any, which may be payable or determined to be payable in connection with the execution and delivery of, or consummation of any of the transactions contemplated by, or any amendment, supplement or modification of, or any waiver or consent under or in respect of, this Agreement, the other Loan Documents and any such other documents provided that and notwithstanding any other provision of this Agreement to the contrary, the Borrower and/or any Subsidiary Borrower shall only be liable to make any payment to the Administrative Agent or any Lender regarding any UK stamp duty or SDRT in respect of any transfer if such transfer is effected by an Assignment and Acceptance which operates as a novation, i.e., if the original rights and obligations as between the relevant Borrower and the transferor Lender are extinguished and new rights and obligations between the relevant Borrower and the transferee Lender are created, and (d) to pay, indemnify, and hold each Lender and the Administrative Agent and their respective officers, directors, trustees, employees, advisers and agents harmless from and against any and all other liabilities, obligations, losses, damages, penalties, actions, judgments, suits, costs, expenses or disbursements of any kind or nature whatsoever (including the reasonable legal fees and expenses of each Lender and the Administrative Agent with respect to third party enforcement actions arising out of the transactions contemplated under this Agreement and the other Loan Documents) with respect to the execution, delivery, enforcement, performance and administration of this Agreement, the other Loan Documents and any such other documents; provided, however, that with respect to subparagraphs (c) and (d), the Borrower shall not be liable for the payment of any losses, costs, penalties, judgments, suits, liabilities, damages, penalties, actions, expenses or disbursements resulting solely from the gross negligence or willful misconduct of any such Lender. The agreements in this subsection shall survive repayment of the Loans, the Reimbursement Obligations and all other amounts payable hereunder.</w:t>
      </w:r>
    </w:p>
    <w:p>
      <w:pPr>
        <w:spacing w:after="0" w:line="362" w:lineRule="exact"/>
        <w:rPr>
          <w:sz w:val="20"/>
          <w:szCs w:val="20"/>
          <w:color w:val="auto"/>
        </w:rPr>
      </w:pPr>
    </w:p>
    <w:p>
      <w:pPr>
        <w:ind w:left="3" w:right="2659" w:firstLine="1135"/>
        <w:spacing w:after="0" w:line="256" w:lineRule="auto"/>
        <w:rPr>
          <w:sz w:val="20"/>
          <w:szCs w:val="20"/>
          <w:color w:val="auto"/>
        </w:rPr>
      </w:pPr>
      <w:r>
        <w:rPr>
          <w:rFonts w:ascii="Courier New" w:cs="Courier New" w:eastAsia="Courier New" w:hAnsi="Courier New"/>
          <w:sz w:val="15"/>
          <w:szCs w:val="15"/>
          <w:color w:val="auto"/>
        </w:rPr>
        <w:t>10.6 Successors and Assigns; Participations and Assignments. (a) The provisions of this Agreement shall be binding upon and inure to the benefit of the parties hereto and their respective successors and assigns permitted hereby (including any affiliate of the Issuing Lender that issues any Letter of Credit), except that (i) except as permitted by subsection 7.3(d), the Borrower may not assign or otherwise transfer any of its rights or obligations hereunder without the prior written consent of each Lender (and any attempted assignment or transfer by the Borrower without such consent shall be null and void) and</w:t>
      </w:r>
    </w:p>
    <w:p>
      <w:pPr>
        <w:spacing w:after="0" w:line="5" w:lineRule="exact"/>
        <w:rPr>
          <w:sz w:val="20"/>
          <w:szCs w:val="20"/>
          <w:color w:val="auto"/>
        </w:rPr>
      </w:pPr>
    </w:p>
    <w:p>
      <w:pPr>
        <w:ind w:left="3" w:right="3319" w:hanging="3"/>
        <w:spacing w:after="0" w:line="237" w:lineRule="auto"/>
        <w:tabs>
          <w:tab w:leader="none" w:pos="476" w:val="left"/>
        </w:tabs>
        <w:numPr>
          <w:ilvl w:val="0"/>
          <w:numId w:val="5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Lender may assign or otherwise transfer its rights or obligations hereunder except in accordance with this Section.</w:t>
      </w:r>
    </w:p>
    <w:p>
      <w:pPr>
        <w:spacing w:after="0" w:line="187" w:lineRule="exact"/>
        <w:rPr>
          <w:rFonts w:ascii="Courier New" w:cs="Courier New" w:eastAsia="Courier New" w:hAnsi="Courier New"/>
          <w:sz w:val="16"/>
          <w:szCs w:val="16"/>
          <w:color w:val="auto"/>
        </w:rPr>
      </w:pPr>
    </w:p>
    <w:p>
      <w:pPr>
        <w:ind w:left="3" w:right="2759" w:firstLine="1132"/>
        <w:spacing w:after="0" w:line="259" w:lineRule="auto"/>
        <w:tabs>
          <w:tab w:leader="none" w:pos="1516" w:val="left"/>
        </w:tabs>
        <w:numPr>
          <w:ilvl w:val="1"/>
          <w:numId w:val="5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Subject to the conditions set forth in paragraph (b)(ii) below, any Lender may assign to one or more assignees (each, an "Assignee") all or a portion of its rights and obligations under this Agreement (including all or a portion of its Commitments and the Loans at the time owing to it) with the prior written consent (such consent not to be unreasonably withheld) of:</w:t>
      </w:r>
    </w:p>
    <w:p>
      <w:pPr>
        <w:spacing w:after="0" w:line="174" w:lineRule="exact"/>
        <w:rPr>
          <w:sz w:val="20"/>
          <w:szCs w:val="20"/>
          <w:color w:val="auto"/>
        </w:rPr>
      </w:pPr>
    </w:p>
    <w:p>
      <w:pPr>
        <w:ind w:left="563" w:right="2759" w:firstLine="572"/>
        <w:spacing w:after="0" w:line="260" w:lineRule="auto"/>
        <w:tabs>
          <w:tab w:leader="none" w:pos="1509" w:val="left"/>
        </w:tabs>
        <w:numPr>
          <w:ilvl w:val="0"/>
          <w:numId w:val="5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provided that no consent of the Borrower shall be required for an assignment to a Lender, an affiliate of a Lender, an Approved Fund (as defined below) or, if an Event of Default under Section 8(a) or (f) has occurred and is continuing, any other Person; and</w:t>
      </w:r>
    </w:p>
    <w:p>
      <w:pPr>
        <w:sectPr>
          <w:pgSz w:w="11900" w:h="16838" w:orient="portrait"/>
          <w:cols w:equalWidth="0" w:num="1">
            <w:col w:w="10222"/>
          </w:cols>
          <w:pgMar w:left="237" w:top="477" w:right="1440" w:bottom="1440" w:gutter="0" w:footer="0" w:header="0"/>
        </w:sectPr>
      </w:pPr>
    </w:p>
    <w:bookmarkStart w:id="501" w:name="page502"/>
    <w:bookmarkEnd w:id="501"/>
    <w:p>
      <w:pPr>
        <w:jc w:val="right"/>
        <w:ind w:right="2659"/>
        <w:spacing w:after="0"/>
        <w:rPr>
          <w:sz w:val="20"/>
          <w:szCs w:val="20"/>
          <w:color w:val="auto"/>
        </w:rPr>
      </w:pPr>
      <w:r>
        <w:rPr>
          <w:rFonts w:ascii="Courier New" w:cs="Courier New" w:eastAsia="Courier New" w:hAnsi="Courier New"/>
          <w:sz w:val="16"/>
          <w:szCs w:val="16"/>
          <w:color w:val="auto"/>
        </w:rPr>
        <w:t>102</w:t>
      </w:r>
    </w:p>
    <w:p>
      <w:pPr>
        <w:spacing w:after="0" w:line="368" w:lineRule="exact"/>
        <w:rPr>
          <w:sz w:val="20"/>
          <w:szCs w:val="20"/>
          <w:color w:val="auto"/>
        </w:rPr>
      </w:pPr>
    </w:p>
    <w:p>
      <w:pPr>
        <w:ind w:left="560" w:right="2659" w:firstLine="572"/>
        <w:spacing w:after="0" w:line="239" w:lineRule="auto"/>
        <w:tabs>
          <w:tab w:leader="none" w:pos="1506" w:val="left"/>
        </w:tabs>
        <w:numPr>
          <w:ilvl w:val="0"/>
          <w:numId w:val="5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provided that no consent of the Administrative Agent shall be required for an assignment of (x) any Revolving Commitment to an assignee that is a Lender with a Revolving Commitment immediately prior to giving effect to such assignment or (y) all or any portion of a Term Loan to a Lender, an affiliate of a Lender or an Approved Fund.</w:t>
      </w:r>
    </w:p>
    <w:p>
      <w:pPr>
        <w:spacing w:after="0" w:line="186" w:lineRule="exact"/>
        <w:rPr>
          <w:sz w:val="20"/>
          <w:szCs w:val="20"/>
          <w:color w:val="auto"/>
        </w:rPr>
      </w:pPr>
    </w:p>
    <w:p>
      <w:pPr>
        <w:ind w:left="1600" w:hanging="468"/>
        <w:spacing w:after="0"/>
        <w:tabs>
          <w:tab w:leader="none" w:pos="1600" w:val="left"/>
        </w:tabs>
        <w:numPr>
          <w:ilvl w:val="0"/>
          <w:numId w:val="5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Assignments shall be subject to the following additional</w:t>
      </w:r>
    </w:p>
    <w:p>
      <w:pPr>
        <w:ind w:left="5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w:t>
      </w:r>
    </w:p>
    <w:p>
      <w:pPr>
        <w:spacing w:after="0" w:line="186" w:lineRule="exact"/>
        <w:rPr>
          <w:sz w:val="20"/>
          <w:szCs w:val="20"/>
          <w:color w:val="auto"/>
        </w:rPr>
      </w:pPr>
    </w:p>
    <w:p>
      <w:pPr>
        <w:ind w:left="560" w:right="2659" w:firstLine="572"/>
        <w:spacing w:after="0"/>
        <w:tabs>
          <w:tab w:leader="none" w:pos="1506" w:val="left"/>
        </w:tabs>
        <w:numPr>
          <w:ilvl w:val="0"/>
          <w:numId w:val="5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in the case of an assignment to a Lender, an affiliate of a Lender or an Approved Fund or an assignment of the entire remaining amount of the assigning Lender's Commitments or Loans under any Facility, the amount of the Commitments or Loans of the assigning Lender subject to each such assignment (determined as of the date the Assignment and Acceptance with respect to such assignment is delivered to the Administrative Agent) shall not be less than (1) in the case of the Revolving Facilities $5,000,000, or the Non-Dollar Currency Equivalent thereof or (2) in the case of the Term Facility $1,000,000 or the Non-Dollar Currency Equivalent thereof, unless each of the Borrower and the Administrative Agent otherwise consent, provided that (y) no such consent of the Borrower shall be required if an Event of Default under Section 8(a) or (f) has occurred and is continuing and (z) such amounts shall be aggregated in respect of each Lender and its affiliates or Approved Funds, if any; provided further, that no such assignment of less than all of an assigning Lender's (I) Commitments under a Revolving Facility shall reduce the assigning Lender's Revolving Credit Commitment to less than $5,000,000 or the Non-Dollar Currency Equivalent thereof or such other amount as agreed upon by the Administrative Agent and the Borrower and (II) Term Loans then outstanding to less than $2,000,000 or the Non-Dollar Currency Equivalent thereof or such other amount as agreed upon by the Administrative Agent and the Borrower.</w:t>
      </w:r>
    </w:p>
    <w:p>
      <w:pPr>
        <w:spacing w:after="0" w:line="195" w:lineRule="exact"/>
        <w:rPr>
          <w:rFonts w:ascii="Courier New" w:cs="Courier New" w:eastAsia="Courier New" w:hAnsi="Courier New"/>
          <w:sz w:val="16"/>
          <w:szCs w:val="16"/>
          <w:color w:val="auto"/>
        </w:rPr>
      </w:pPr>
    </w:p>
    <w:p>
      <w:pPr>
        <w:ind w:left="560" w:right="2759" w:firstLine="572"/>
        <w:spacing w:after="0" w:line="238" w:lineRule="auto"/>
        <w:tabs>
          <w:tab w:leader="none" w:pos="1506" w:val="left"/>
        </w:tabs>
        <w:numPr>
          <w:ilvl w:val="0"/>
          <w:numId w:val="5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to each assignment shall execute and deliver to the Administrative Agent an Assignment and Acceptance, together with a processing and recordation fee of $3,500;</w:t>
      </w:r>
    </w:p>
    <w:p>
      <w:pPr>
        <w:spacing w:after="0" w:line="188" w:lineRule="exact"/>
        <w:rPr>
          <w:rFonts w:ascii="Courier New" w:cs="Courier New" w:eastAsia="Courier New" w:hAnsi="Courier New"/>
          <w:sz w:val="16"/>
          <w:szCs w:val="16"/>
          <w:color w:val="auto"/>
        </w:rPr>
      </w:pPr>
    </w:p>
    <w:p>
      <w:pPr>
        <w:ind w:left="560" w:right="2759" w:firstLine="572"/>
        <w:spacing w:after="0" w:line="237" w:lineRule="auto"/>
        <w:tabs>
          <w:tab w:leader="none" w:pos="1506" w:val="left"/>
        </w:tabs>
        <w:numPr>
          <w:ilvl w:val="0"/>
          <w:numId w:val="5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Assignee, if it shall not be a Lender, shall deliver to the Administrative Agent an administrative questionnaire; and</w:t>
      </w:r>
    </w:p>
    <w:p>
      <w:pPr>
        <w:spacing w:after="0" w:line="187" w:lineRule="exact"/>
        <w:rPr>
          <w:rFonts w:ascii="Courier New" w:cs="Courier New" w:eastAsia="Courier New" w:hAnsi="Courier New"/>
          <w:sz w:val="16"/>
          <w:szCs w:val="16"/>
          <w:color w:val="auto"/>
        </w:rPr>
      </w:pPr>
    </w:p>
    <w:p>
      <w:pPr>
        <w:ind w:left="560" w:right="2939" w:firstLine="572"/>
        <w:spacing w:after="0" w:line="238" w:lineRule="auto"/>
        <w:tabs>
          <w:tab w:leader="none" w:pos="1506" w:val="left"/>
        </w:tabs>
        <w:numPr>
          <w:ilvl w:val="0"/>
          <w:numId w:val="5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Assignee shall not be entitled to the benefits of Section 2.22 unless the Assignee complies with the applicable requirements set forth in Section 2.22(b).</w:t>
      </w:r>
    </w:p>
    <w:p>
      <w:pPr>
        <w:spacing w:after="0" w:line="188" w:lineRule="exact"/>
        <w:rPr>
          <w:sz w:val="20"/>
          <w:szCs w:val="20"/>
          <w:color w:val="auto"/>
        </w:rPr>
      </w:pPr>
    </w:p>
    <w:p>
      <w:pPr>
        <w:ind w:right="3039" w:firstLine="1135"/>
        <w:spacing w:after="0" w:line="239" w:lineRule="auto"/>
        <w:rPr>
          <w:sz w:val="20"/>
          <w:szCs w:val="20"/>
          <w:color w:val="auto"/>
        </w:rPr>
      </w:pPr>
      <w:r>
        <w:rPr>
          <w:rFonts w:ascii="Courier New" w:cs="Courier New" w:eastAsia="Courier New" w:hAnsi="Courier New"/>
          <w:sz w:val="16"/>
          <w:szCs w:val="16"/>
          <w:color w:val="auto"/>
        </w:rPr>
        <w:t>For the purposes of this Section 10.6, "Approved Fund"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90" w:lineRule="exact"/>
        <w:rPr>
          <w:sz w:val="20"/>
          <w:szCs w:val="20"/>
          <w:color w:val="auto"/>
        </w:rPr>
      </w:pPr>
    </w:p>
    <w:p>
      <w:pPr>
        <w:ind w:right="2839" w:firstLine="1132"/>
        <w:spacing w:after="0" w:line="239" w:lineRule="auto"/>
        <w:tabs>
          <w:tab w:leader="none" w:pos="1702" w:val="left"/>
        </w:tabs>
        <w:numPr>
          <w:ilvl w:val="0"/>
          <w:numId w:val="5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acceptance and recording thereof pursuant to paragraph (b)(iv) below, from and after the effective date specified in each Assignment and Acceptance the Assignee thereunder shall be a party hereto and, to the extent of the interest assigned by such</w:t>
      </w:r>
    </w:p>
    <w:p>
      <w:pPr>
        <w:sectPr>
          <w:pgSz w:w="11900" w:h="16838" w:orient="portrait"/>
          <w:cols w:equalWidth="0" w:num="1">
            <w:col w:w="10219"/>
          </w:cols>
          <w:pgMar w:left="240" w:top="477" w:right="1440" w:bottom="1440" w:gutter="0" w:footer="0" w:header="0"/>
        </w:sectPr>
      </w:pPr>
    </w:p>
    <w:bookmarkStart w:id="502" w:name="page503"/>
    <w:bookmarkEnd w:id="502"/>
    <w:p>
      <w:pPr>
        <w:jc w:val="right"/>
        <w:ind w:right="2659"/>
        <w:spacing w:after="0"/>
        <w:rPr>
          <w:sz w:val="20"/>
          <w:szCs w:val="20"/>
          <w:color w:val="auto"/>
        </w:rPr>
      </w:pPr>
      <w:r>
        <w:rPr>
          <w:rFonts w:ascii="Courier New" w:cs="Courier New" w:eastAsia="Courier New" w:hAnsi="Courier New"/>
          <w:sz w:val="16"/>
          <w:szCs w:val="16"/>
          <w:color w:val="auto"/>
        </w:rPr>
        <w:t>103</w:t>
      </w:r>
    </w:p>
    <w:p>
      <w:pPr>
        <w:spacing w:after="0" w:line="186" w:lineRule="exact"/>
        <w:rPr>
          <w:sz w:val="20"/>
          <w:szCs w:val="20"/>
          <w:color w:val="auto"/>
        </w:rPr>
      </w:pPr>
    </w:p>
    <w:p>
      <w:pPr>
        <w:ind w:left="3" w:right="2659"/>
        <w:spacing w:after="0"/>
        <w:rPr>
          <w:sz w:val="20"/>
          <w:szCs w:val="20"/>
          <w:color w:val="auto"/>
        </w:rPr>
      </w:pPr>
      <w:r>
        <w:rPr>
          <w:rFonts w:ascii="Courier New" w:cs="Courier New" w:eastAsia="Courier New" w:hAnsi="Courier New"/>
          <w:sz w:val="16"/>
          <w:szCs w:val="16"/>
          <w:color w:val="auto"/>
        </w:rPr>
        <w:t>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2.20, 2.21, 2.22 and 10.5).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w:t>
      </w:r>
    </w:p>
    <w:p>
      <w:pPr>
        <w:spacing w:after="0" w:line="189" w:lineRule="exact"/>
        <w:rPr>
          <w:sz w:val="20"/>
          <w:szCs w:val="20"/>
          <w:color w:val="auto"/>
        </w:rPr>
      </w:pPr>
    </w:p>
    <w:p>
      <w:pPr>
        <w:ind w:left="3" w:right="2659" w:firstLine="1132"/>
        <w:spacing w:after="0"/>
        <w:tabs>
          <w:tab w:leader="none" w:pos="1611" w:val="left"/>
        </w:tabs>
        <w:numPr>
          <w:ilvl w:val="1"/>
          <w:numId w:val="5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acting for this purpose as an agent of the Borrower, shall maintain at one of its offices a copy of each Assignment and Acceptance delivered to it and a register for the recordation of the names and addresses of the Lenders, and the Commitments of, and principal amount of the Loans and L/C Obligations owing to, each Lender pursuant to the terms hereof from time to time (the "Register"). The entries in the Register shall, in the absence of manifest error, be conclusive, and the Borrower, the Administrative Agent, the Issuing Lender and the Lenders may treat each Person whose name is recorded in the Register pursuant to the terms hereof as a Lender hereunder for all purposes of this Agreement, notwithstanding notice to the contrary. The Register shall be available for inspection by the Borrower, the Issuing Lender and any Lender, at any reasonable time and from time to time upon reasonable prior notice.</w:t>
      </w:r>
    </w:p>
    <w:p>
      <w:pPr>
        <w:spacing w:after="0" w:line="190" w:lineRule="exact"/>
        <w:rPr>
          <w:rFonts w:ascii="Courier New" w:cs="Courier New" w:eastAsia="Courier New" w:hAnsi="Courier New"/>
          <w:sz w:val="16"/>
          <w:szCs w:val="16"/>
          <w:color w:val="auto"/>
        </w:rPr>
      </w:pPr>
    </w:p>
    <w:p>
      <w:pPr>
        <w:ind w:left="3" w:right="2839" w:firstLine="1132"/>
        <w:spacing w:after="0" w:line="256" w:lineRule="auto"/>
        <w:tabs>
          <w:tab w:leader="none" w:pos="1516" w:val="left"/>
        </w:tabs>
        <w:numPr>
          <w:ilvl w:val="1"/>
          <w:numId w:val="5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its receipt of a duly completed Assignment and Acceptance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w:t>
      </w:r>
    </w:p>
    <w:p>
      <w:pPr>
        <w:spacing w:after="0" w:line="3" w:lineRule="exact"/>
        <w:rPr>
          <w:rFonts w:ascii="Courier New" w:cs="Courier New" w:eastAsia="Courier New" w:hAnsi="Courier New"/>
          <w:sz w:val="15"/>
          <w:szCs w:val="15"/>
          <w:color w:val="auto"/>
        </w:rPr>
      </w:pPr>
    </w:p>
    <w:p>
      <w:pPr>
        <w:ind w:left="3" w:right="2759" w:hanging="3"/>
        <w:spacing w:after="0" w:line="239" w:lineRule="auto"/>
        <w:tabs>
          <w:tab w:leader="none" w:pos="381" w:val="left"/>
        </w:tabs>
        <w:numPr>
          <w:ilvl w:val="0"/>
          <w:numId w:val="5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the Administrative Agent shall accept such Assignment and Acceptance and record the information contained therein in the Register. No assignment shall be effective for purposes of this Agreement unless it has been recorded in the Register as provided in this paragraph.</w:t>
      </w:r>
    </w:p>
    <w:p>
      <w:pPr>
        <w:spacing w:after="0" w:line="187" w:lineRule="exact"/>
        <w:rPr>
          <w:sz w:val="20"/>
          <w:szCs w:val="20"/>
          <w:color w:val="auto"/>
        </w:rPr>
      </w:pPr>
    </w:p>
    <w:p>
      <w:pPr>
        <w:ind w:left="3" w:right="2659" w:firstLine="1132"/>
        <w:spacing w:after="0"/>
        <w:tabs>
          <w:tab w:leader="none" w:pos="1516" w:val="left"/>
        </w:tabs>
        <w:numPr>
          <w:ilvl w:val="0"/>
          <w:numId w:val="5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Any Lender may, without the consent of the Borrower or the Administrative Agent, sell participations to one or more banks or other entities (a "Participant") in all or a portion of such Lender's rights and obligations under this Agreement (including all or a portion of its Commitments and the Loans owing to it); provided that (A) such Lender's obligations under this Agreement shall remain unchanged, (B) such Lender shall remain solely responsible to the other parties hereto for the performance of such obligations and (C) the Borrower, the Administrative Agent, the Issuing Lender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to approve any amendment, modification or waiver of any provision of this Agreement; provided that such agreement may provide that such Lender will not, without the consent of the Participant, agree to any amendment, modification or waiver that (1) requires the consent of each Lender directly affected thereby pursuant to the proviso to the second sentence of Section 10.1 and (2) directly affects such Participant. Subject to paragraph (c)(ii) of this Section, the Borrower agrees that</w:t>
      </w:r>
    </w:p>
    <w:p>
      <w:pPr>
        <w:sectPr>
          <w:pgSz w:w="11900" w:h="16838" w:orient="portrait"/>
          <w:cols w:equalWidth="0" w:num="1">
            <w:col w:w="10222"/>
          </w:cols>
          <w:pgMar w:left="237" w:top="477" w:right="1440" w:bottom="1440" w:gutter="0" w:footer="0" w:header="0"/>
        </w:sectPr>
      </w:pPr>
    </w:p>
    <w:bookmarkStart w:id="503" w:name="page504"/>
    <w:bookmarkEnd w:id="503"/>
    <w:p>
      <w:pPr>
        <w:jc w:val="right"/>
        <w:ind w:right="2659"/>
        <w:spacing w:after="0"/>
        <w:rPr>
          <w:sz w:val="20"/>
          <w:szCs w:val="20"/>
          <w:color w:val="auto"/>
        </w:rPr>
      </w:pPr>
      <w:r>
        <w:rPr>
          <w:rFonts w:ascii="Courier New" w:cs="Courier New" w:eastAsia="Courier New" w:hAnsi="Courier New"/>
          <w:sz w:val="16"/>
          <w:szCs w:val="16"/>
          <w:color w:val="auto"/>
        </w:rPr>
        <w:t>104</w:t>
      </w:r>
    </w:p>
    <w:p>
      <w:pPr>
        <w:spacing w:after="0" w:line="368"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each Participant shall be entitled to the benefits of Sections 2.18, 2.19, 2.20 and 2.22 to the same extent as if it were a Lender and had acquired its interest by assignment pursuant to paragraph (b) of this Section. To the extent permitted by law, each Participant also shall be entitled to the benefits of Section 10.7(b) as though it were a Lender.</w:t>
      </w:r>
    </w:p>
    <w:p>
      <w:pPr>
        <w:spacing w:after="0" w:line="189" w:lineRule="exact"/>
        <w:rPr>
          <w:sz w:val="20"/>
          <w:szCs w:val="20"/>
          <w:color w:val="auto"/>
        </w:rPr>
      </w:pPr>
    </w:p>
    <w:p>
      <w:pPr>
        <w:ind w:right="2759" w:firstLine="1132"/>
        <w:spacing w:after="0" w:line="239" w:lineRule="auto"/>
        <w:tabs>
          <w:tab w:leader="none" w:pos="1608" w:val="left"/>
        </w:tabs>
        <w:numPr>
          <w:ilvl w:val="0"/>
          <w:numId w:val="5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shall not be entitled to receive any greater payment under Section 2.21 or 2.22 than the applicable Lender would have been entitled to receive with respect to the participation sold to such Participant, unless the sale of the participation to such Participant is made with the Borrower's prior written consent. Any Participant shall not be entitled to the benefits of Section 2.22 unless such Participant complies with the applicable requirements set forth in Section 2.22(b).</w:t>
      </w:r>
    </w:p>
    <w:p>
      <w:pPr>
        <w:spacing w:after="0" w:line="192" w:lineRule="exact"/>
        <w:rPr>
          <w:sz w:val="20"/>
          <w:szCs w:val="20"/>
          <w:color w:val="auto"/>
        </w:rPr>
      </w:pPr>
    </w:p>
    <w:p>
      <w:pPr>
        <w:ind w:right="2659" w:firstLine="1132"/>
        <w:spacing w:after="0" w:line="258" w:lineRule="auto"/>
        <w:tabs>
          <w:tab w:leader="none" w:pos="1513" w:val="left"/>
        </w:tabs>
        <w:numPr>
          <w:ilvl w:val="0"/>
          <w:numId w:val="5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provided that no such pledge or assignment of a security interest shall release a Lender from any of its obligations hereunder or substitute any such pledgee or Assignee for such Lender as a party hereto.</w:t>
      </w:r>
    </w:p>
    <w:p>
      <w:pPr>
        <w:spacing w:after="0" w:line="176" w:lineRule="exact"/>
        <w:rPr>
          <w:rFonts w:ascii="Courier New" w:cs="Courier New" w:eastAsia="Courier New" w:hAnsi="Courier New"/>
          <w:sz w:val="15"/>
          <w:szCs w:val="15"/>
          <w:color w:val="auto"/>
        </w:rPr>
      </w:pPr>
    </w:p>
    <w:p>
      <w:pPr>
        <w:ind w:right="2839" w:firstLine="1132"/>
        <w:spacing w:after="0" w:line="238" w:lineRule="auto"/>
        <w:tabs>
          <w:tab w:leader="none" w:pos="1513" w:val="left"/>
        </w:tabs>
        <w:numPr>
          <w:ilvl w:val="0"/>
          <w:numId w:val="5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upon receipt of written notice from the relevant Lender, agrees to issue Notes to any Lender requiring Notes to facilitate transactions of the type described in paragraph (d) above.</w:t>
      </w:r>
    </w:p>
    <w:p>
      <w:pPr>
        <w:spacing w:after="0" w:line="188"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10.7 Adjustments; Set-off. (a) Except to the extent that this Agreement expressly provides for payments to be allocated to a particular Lender or to the Lenders under a particular Facility, if any Lender (a "Benefitted Lender") shall, at any time after the Loans and other amounts payable hereunder shall immediately become due and payable pursuant to Section 8, receive any payment of all or part of the Obligations owing to it, or receive any collateral in respect thereof (whether voluntarily or involuntarily, by set-off, pursuant to events or proceedings of the nature referred to in Section 8(f),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provided, however,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362" w:lineRule="exact"/>
        <w:rPr>
          <w:sz w:val="20"/>
          <w:szCs w:val="20"/>
          <w:color w:val="auto"/>
        </w:rPr>
      </w:pPr>
    </w:p>
    <w:p>
      <w:pPr>
        <w:ind w:right="2659" w:firstLine="1132"/>
        <w:spacing w:after="0"/>
        <w:tabs>
          <w:tab w:leader="none" w:pos="1513" w:val="left"/>
        </w:tabs>
        <w:numPr>
          <w:ilvl w:val="0"/>
          <w:numId w:val="5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any rights and remedies of the Lenders provided by law, upon the occurrence of an Event of Default and acceleration of the obligations owing in connection with this Agreement, each Lender shall have the right, without prior notice to the Borrower or any Subsidiary Borrower, any such notice being expressly waived by the Borrower to the extent permitted by applicable law, to set off, appropriate and apply against any indebtedness, whether matured or unmatured, of the Borrower or such Subsidiary Borrower to such Lender, any amount held by or owing from such Lender to or for the credit or the account of the Borrower or such</w:t>
      </w:r>
    </w:p>
    <w:p>
      <w:pPr>
        <w:sectPr>
          <w:pgSz w:w="11900" w:h="16838" w:orient="portrait"/>
          <w:cols w:equalWidth="0" w:num="1">
            <w:col w:w="10219"/>
          </w:cols>
          <w:pgMar w:left="240" w:top="477" w:right="1440" w:bottom="1440" w:gutter="0" w:footer="0" w:header="0"/>
        </w:sectPr>
      </w:pPr>
    </w:p>
    <w:bookmarkStart w:id="504" w:name="page505"/>
    <w:bookmarkEnd w:id="504"/>
    <w:p>
      <w:pPr>
        <w:jc w:val="right"/>
        <w:ind w:right="2659"/>
        <w:spacing w:after="0"/>
        <w:rPr>
          <w:sz w:val="20"/>
          <w:szCs w:val="20"/>
          <w:color w:val="auto"/>
        </w:rPr>
      </w:pPr>
      <w:r>
        <w:rPr>
          <w:rFonts w:ascii="Courier New" w:cs="Courier New" w:eastAsia="Courier New" w:hAnsi="Courier New"/>
          <w:sz w:val="16"/>
          <w:szCs w:val="16"/>
          <w:color w:val="auto"/>
        </w:rPr>
        <w:t>105</w:t>
      </w:r>
    </w:p>
    <w:p>
      <w:pPr>
        <w:spacing w:after="0" w:line="368"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Subsidiary Borrower at, or at any time after, the happening of any of the above mentioned events, and the aforesaid right of set-off may be exercised by such Lender against the Borrower or such Subsidiary Borrower or against any trustee in bankruptcy, debtor in possession, assignee for the benefit of creditors, receiver, custodian or execution, judgment or attachment creditor of the Borrower or such Subsidiary Borrower, or against anyone else claiming through or against the Borrower or such Subsidiary Borrower or such trustee in bankruptcy, debtor in possession, assignee for the benefit of creditors, receiver, custodian or execution, judgment or attachment creditor, notwithstanding the fact that such right of set-off shall not have been exercised by such Lender prior to the making, filing or issuance of, or service upon such Lender of, or of notice of, any such petition, assignment for the benefit of creditors, appointment or application for the appointment of a receiver, or issuance of execution, subpoena, order or warrant. Each Lender agrees promptly to notify the Borrower or such Subsidiary Borrower after any such set-off and application made by such Lender, provided that the failure to give such notice shall not affect the validity of such set-off and application. Any set-off pursuant to this paragraph may be effected notwithstanding that the currencies of the offsetting indebtedness may be different, and any such set-off shall be done by reference to the spot exchange rate for such currencies on the date of such set-off. Each Lender agrees that it will promptly pay to the Administrative Agent the amount of any set-off by it against the obligations hereunder as contemplated above for distribution by the Administrative Agent in accordance with the provisions of this Agreement.</w:t>
      </w:r>
    </w:p>
    <w:p>
      <w:pPr>
        <w:spacing w:after="0" w:line="362" w:lineRule="exact"/>
        <w:rPr>
          <w:sz w:val="20"/>
          <w:szCs w:val="20"/>
          <w:color w:val="auto"/>
        </w:rPr>
      </w:pPr>
    </w:p>
    <w:p>
      <w:pPr>
        <w:ind w:right="2839" w:firstLine="1132"/>
        <w:spacing w:after="0" w:line="239" w:lineRule="auto"/>
        <w:tabs>
          <w:tab w:leader="none" w:pos="1513" w:val="left"/>
        </w:tabs>
        <w:numPr>
          <w:ilvl w:val="0"/>
          <w:numId w:val="5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calculating the amount of Commitments, Loans or Obligations for any purpose under this Agreement and the other Loan Documents, including, without limitation, voting or distribution purposes, the amount of any thereof which is denominated in a currency other than Dollars shall be converted into Dollars at the Dollar Equivalent thereof on the date on which such calculation is to be made.</w:t>
      </w:r>
    </w:p>
    <w:p>
      <w:pPr>
        <w:spacing w:after="0" w:line="190"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10.8 Enforceability; Usury. In no event shall any provision of this Agreement or any other instrument evidencing or securing the indebtedness of the Borrower or any Subsidiary Borrower hereunder ever obligate the Borrower or any of the Subsidiary Borrowers to pay or allow any Lender to collect interest on the Loans or any other indebtedness of the Borrower or any of the Subsidiary Borrowers hereunder at a rate greater than the maximum non-usurious rate permitted by applicable law (herein referred to as the "Highest Lawful Rate"), or obligate the Borrower or any of the Subsidiary Borrowers to pay any taxes, assessments, charges, insurance premiums or other amounts to the extent that such payments, when added to the interest payable on the Loans or any other indebtedness hereunder, would be held to constitute the payment by the Borrower or such Subsidiary Borrower of interest at a rate greater than the Highest Lawful Rate; and this provision shall control over any provision to the contrary.</w:t>
      </w:r>
    </w:p>
    <w:p>
      <w:pPr>
        <w:spacing w:after="0" w:line="191"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Without limiting the generality of the foregoing, in the event the maturity of all or any part of the principal amount of the indebtedness of the Borrower or any of the Subsidiary Borrowers hereunder shall be accelerated for any reason, then such principal amount so accelerated shall be credited with any interest theretofore paid thereon in advance and remaining unearned at the time of such acceleration. If, pursuant to the terms of this Agreement, any funds are applied to the payment of any part of the principal amount of the indebtedness of the Borrower or any of the Subsidiary Borrowers hereunder prior to the maturity thereof, then (a) any interest which would otherwise thereafter accrue on the principal amount so paid by such application shall be canceled, and (b) the indebtedness of the Borrower or such Subsidiary</w:t>
      </w:r>
    </w:p>
    <w:p>
      <w:pPr>
        <w:sectPr>
          <w:pgSz w:w="11900" w:h="16838" w:orient="portrait"/>
          <w:cols w:equalWidth="0" w:num="1">
            <w:col w:w="10219"/>
          </w:cols>
          <w:pgMar w:left="240" w:top="477" w:right="1440" w:bottom="1440" w:gutter="0" w:footer="0" w:header="0"/>
        </w:sectPr>
      </w:pPr>
    </w:p>
    <w:bookmarkStart w:id="505" w:name="page506"/>
    <w:bookmarkEnd w:id="505"/>
    <w:p>
      <w:pPr>
        <w:jc w:val="right"/>
        <w:ind w:right="2659"/>
        <w:spacing w:after="0"/>
        <w:rPr>
          <w:sz w:val="20"/>
          <w:szCs w:val="20"/>
          <w:color w:val="auto"/>
        </w:rPr>
      </w:pPr>
      <w:r>
        <w:rPr>
          <w:rFonts w:ascii="Courier New" w:cs="Courier New" w:eastAsia="Courier New" w:hAnsi="Courier New"/>
          <w:sz w:val="16"/>
          <w:szCs w:val="16"/>
          <w:color w:val="auto"/>
        </w:rPr>
        <w:t>106</w:t>
      </w:r>
    </w:p>
    <w:p>
      <w:pPr>
        <w:spacing w:after="0" w:line="36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Borrower hereunder remaining unpaid after such application shall be credited with the amount of all interest, if any, theretofore collected on the principal amount so paid by such application and remaining unearned at the date of said application; and if the funds so applied shall be sufficient to pay in full all the indebtedness of the Borrower or such Subsidiary Borrower hereunder, then the Lenders shall refund to the Borrower or such Subsidiary Borrower all interest theretofore paid thereon in advance and remaining unearned at the time of such acceleration. Regardless of any other provision in this Agreement, or in any of the written evidences of the indebtedness of the Borrower or any of the Subsidiary Borrowers hereunder, neither the Borrower nor any of the Subsidiary Borrowers shall be required to pay any unearned interest on such indebtedness or any portion thereof, or be required to pay interest thereon at a rate in excess of the Highest Lawful Rate construed by courts having competent jurisdiction thereof.</w:t>
      </w:r>
    </w:p>
    <w:p>
      <w:pPr>
        <w:spacing w:after="0" w:line="191" w:lineRule="exact"/>
        <w:rPr>
          <w:sz w:val="20"/>
          <w:szCs w:val="20"/>
          <w:color w:val="auto"/>
        </w:rPr>
      </w:pPr>
    </w:p>
    <w:p>
      <w:pPr>
        <w:ind w:right="2659" w:firstLine="1135"/>
        <w:spacing w:after="0" w:line="257" w:lineRule="auto"/>
        <w:rPr>
          <w:sz w:val="20"/>
          <w:szCs w:val="20"/>
          <w:color w:val="auto"/>
        </w:rPr>
      </w:pPr>
      <w:r>
        <w:rPr>
          <w:rFonts w:ascii="Courier New" w:cs="Courier New" w:eastAsia="Courier New" w:hAnsi="Courier New"/>
          <w:sz w:val="15"/>
          <w:szCs w:val="15"/>
          <w:color w:val="auto"/>
        </w:rPr>
        <w:t>10.9 Judgment. The obligations of the Borrower or any Subsidiary Borrower in respect of this Agreement and any Note due to any party hereto or any holder of any bond shall, notwithstanding any judgment in a currency (the "judgment currency") other than the currency in which the sum originally due to such party or such holder is denominated (the "original currency"), be discharged only to the extent that on the Business Day following receipt by such party or such holder (as the case may be) of any sum adjudged to be so due in the judgment currency such party or such holder (as the case may be) may in accordance with normal banking procedures purchase the original currency with the judgment currency; if the amount of the original currency so purchased is less than the sum originally due to such party or such holder (as the case may be) in the original currency, the Borrower or such Subsidiary Borrower, as the case may be, agrees, as a separate obligation and notwithstanding any such judgment, to indemnify such party or such holder (as the case may be) against such loss, and if the amount of the original currency so purchased exceeds the sum originally due to any party to this Agreement or any holder of Notes (as the case may be), such party or such holder (as the case may be), agrees to remit to the Borrower or such Subsidiary Borrower, as the case may be, such excess. This covenant shall survive the termination of this Agreement and payment of the Loans and all other amounts payable hereunder.</w:t>
      </w:r>
    </w:p>
    <w:p>
      <w:pPr>
        <w:spacing w:after="0" w:line="362"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10.10 Counterparts. This Agreement may be executed by one or more of the parties hereto on any number of separate counterparts and all of said counterparts taken together shall be deemed to constitute one and the same instrument. A set of the copies of this Agreement signed by all the parties hereto shall be delivered to the Borrower and the Administrative Agent. Delivery of an executed counterpart of a signature page of this Agreement by telecopy shall be effective as delivery of a manually executed counterpart of this Agreement.</w:t>
      </w:r>
    </w:p>
    <w:p>
      <w:pPr>
        <w:spacing w:after="0" w:line="187"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10.11 Governing Law; No Third Party Rights. This Agreement and the rights and obligations of the parties under this Agreement shall be governed by, and construed and interpreted in accordance with, the law of the State of New York. This Agreement is solely for the benefit of the parties hereto and their respective successors and assigns, and no other Person shall have any right, benefit, priority or interest under, or because of the existence of, this Agreement. If any amendment to this Agreement provides for (a) the payment in full of all the Loans of a Lender outstanding under this Agreement, together with any accrued interest thereon and any accrued fees payable to such Lender under this Agreement, and (b) the termination of all Commitments of such Lender under this Agreement, then (i) such amendment shall not require the consent of such Lender (but shall in any event require the consent of each continuing Lender</w:t>
      </w:r>
    </w:p>
    <w:p>
      <w:pPr>
        <w:sectPr>
          <w:pgSz w:w="11900" w:h="16838" w:orient="portrait"/>
          <w:cols w:equalWidth="0" w:num="1">
            <w:col w:w="10219"/>
          </w:cols>
          <w:pgMar w:left="240" w:top="477" w:right="1440" w:bottom="1440" w:gutter="0" w:footer="0" w:header="0"/>
        </w:sectPr>
      </w:pPr>
    </w:p>
    <w:bookmarkStart w:id="506" w:name="page507"/>
    <w:bookmarkEnd w:id="506"/>
    <w:p>
      <w:pPr>
        <w:jc w:val="right"/>
        <w:ind w:right="2659"/>
        <w:spacing w:after="0"/>
        <w:rPr>
          <w:sz w:val="20"/>
          <w:szCs w:val="20"/>
          <w:color w:val="auto"/>
        </w:rPr>
      </w:pPr>
      <w:r>
        <w:rPr>
          <w:rFonts w:ascii="Courier New" w:cs="Courier New" w:eastAsia="Courier New" w:hAnsi="Courier New"/>
          <w:sz w:val="16"/>
          <w:szCs w:val="16"/>
          <w:color w:val="auto"/>
        </w:rPr>
        <w:t>107</w:t>
      </w:r>
    </w:p>
    <w:p>
      <w:pPr>
        <w:spacing w:after="0" w:line="368" w:lineRule="exact"/>
        <w:rPr>
          <w:sz w:val="20"/>
          <w:szCs w:val="20"/>
          <w:color w:val="auto"/>
        </w:rPr>
      </w:pPr>
    </w:p>
    <w:p>
      <w:pPr>
        <w:ind w:right="2759"/>
        <w:spacing w:after="0" w:line="258" w:lineRule="auto"/>
        <w:rPr>
          <w:sz w:val="20"/>
          <w:szCs w:val="20"/>
          <w:color w:val="auto"/>
        </w:rPr>
      </w:pPr>
      <w:r>
        <w:rPr>
          <w:rFonts w:ascii="Courier New" w:cs="Courier New" w:eastAsia="Courier New" w:hAnsi="Courier New"/>
          <w:sz w:val="15"/>
          <w:szCs w:val="15"/>
          <w:color w:val="auto"/>
        </w:rPr>
        <w:t>with Loans or a Commitment under the same Facility), and (ii) concurrently with the effectiveness of such amendment, such Lender shall cease to be a party to this Agreement and shall cease to have any rights under this Agreement (other than rights hereunder expressly stated to survive the termination of this Agreement and any rights hereunder and under the other Loan Documents with respect to any Hedge Agreement entered into by such Lender or any of its affiliates prior to the date such amendment becomes effective).</w:t>
      </w:r>
    </w:p>
    <w:p>
      <w:pPr>
        <w:spacing w:after="0" w:line="176" w:lineRule="exact"/>
        <w:rPr>
          <w:sz w:val="20"/>
          <w:szCs w:val="20"/>
          <w:color w:val="auto"/>
        </w:rPr>
      </w:pPr>
    </w:p>
    <w:p>
      <w:pPr>
        <w:ind w:right="2659" w:firstLine="1135"/>
        <w:spacing w:after="0" w:line="238" w:lineRule="auto"/>
        <w:rPr>
          <w:sz w:val="20"/>
          <w:szCs w:val="20"/>
          <w:color w:val="auto"/>
        </w:rPr>
      </w:pPr>
      <w:r>
        <w:rPr>
          <w:rFonts w:ascii="Courier New" w:cs="Courier New" w:eastAsia="Courier New" w:hAnsi="Courier New"/>
          <w:sz w:val="16"/>
          <w:szCs w:val="16"/>
          <w:color w:val="auto"/>
        </w:rPr>
        <w:t>10.12 Headings. The headings of the Sections and subsections of this Agreement are inserted for convenience only and shall not be deemed to constitute a part hereof.</w:t>
      </w:r>
    </w:p>
    <w:p>
      <w:pPr>
        <w:spacing w:after="0" w:line="188" w:lineRule="exact"/>
        <w:rPr>
          <w:sz w:val="20"/>
          <w:szCs w:val="20"/>
          <w:color w:val="auto"/>
        </w:rPr>
      </w:pPr>
    </w:p>
    <w:p>
      <w:pPr>
        <w:ind w:right="2759" w:firstLine="1135"/>
        <w:spacing w:after="0" w:line="237" w:lineRule="auto"/>
        <w:rPr>
          <w:sz w:val="20"/>
          <w:szCs w:val="20"/>
          <w:color w:val="auto"/>
        </w:rPr>
      </w:pPr>
      <w:r>
        <w:rPr>
          <w:rFonts w:ascii="Courier New" w:cs="Courier New" w:eastAsia="Courier New" w:hAnsi="Courier New"/>
          <w:sz w:val="16"/>
          <w:szCs w:val="16"/>
          <w:color w:val="auto"/>
        </w:rPr>
        <w:t>10.13 Submission To Jurisdiction; Waivers. Each of the Borrower and the Subsidiary Borrowers hereby irrevocably and unconditionally:</w:t>
      </w:r>
    </w:p>
    <w:p>
      <w:pPr>
        <w:spacing w:after="0" w:line="188" w:lineRule="exact"/>
        <w:rPr>
          <w:sz w:val="20"/>
          <w:szCs w:val="20"/>
          <w:color w:val="auto"/>
        </w:rPr>
      </w:pPr>
    </w:p>
    <w:p>
      <w:pPr>
        <w:ind w:left="560" w:right="2659" w:firstLine="572"/>
        <w:spacing w:after="0" w:line="258" w:lineRule="auto"/>
        <w:tabs>
          <w:tab w:leader="none" w:pos="1506" w:val="left"/>
        </w:tabs>
        <w:numPr>
          <w:ilvl w:val="0"/>
          <w:numId w:val="5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77" w:lineRule="exact"/>
        <w:rPr>
          <w:rFonts w:ascii="Courier New" w:cs="Courier New" w:eastAsia="Courier New" w:hAnsi="Courier New"/>
          <w:sz w:val="15"/>
          <w:szCs w:val="15"/>
          <w:color w:val="auto"/>
        </w:rPr>
      </w:pPr>
    </w:p>
    <w:p>
      <w:pPr>
        <w:ind w:left="560" w:right="2759" w:firstLine="572"/>
        <w:spacing w:after="0" w:line="239" w:lineRule="auto"/>
        <w:tabs>
          <w:tab w:leader="none" w:pos="1506" w:val="left"/>
        </w:tabs>
        <w:numPr>
          <w:ilvl w:val="0"/>
          <w:numId w:val="5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8" w:lineRule="exact"/>
        <w:rPr>
          <w:rFonts w:ascii="Courier New" w:cs="Courier New" w:eastAsia="Courier New" w:hAnsi="Courier New"/>
          <w:sz w:val="16"/>
          <w:szCs w:val="16"/>
          <w:color w:val="auto"/>
        </w:rPr>
      </w:pPr>
    </w:p>
    <w:p>
      <w:pPr>
        <w:ind w:left="560" w:right="2759" w:firstLine="572"/>
        <w:spacing w:after="0" w:line="258" w:lineRule="auto"/>
        <w:tabs>
          <w:tab w:leader="none" w:pos="1506" w:val="left"/>
        </w:tabs>
        <w:numPr>
          <w:ilvl w:val="0"/>
          <w:numId w:val="5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service of process in any such action or proceeding may be effected by mailing a copy thereof by registered or certified mail (or any substantially similar form of mail), postage prepaid, to the Borrower and the Subsidiary Borrowers at their respective addresses set forth in subsection 10.2 or at such other address of which the Administrative Agent shall have been notified pursuant thereto;</w:t>
      </w:r>
    </w:p>
    <w:p>
      <w:pPr>
        <w:spacing w:after="0" w:line="177" w:lineRule="exact"/>
        <w:rPr>
          <w:rFonts w:ascii="Courier New" w:cs="Courier New" w:eastAsia="Courier New" w:hAnsi="Courier New"/>
          <w:sz w:val="15"/>
          <w:szCs w:val="15"/>
          <w:color w:val="auto"/>
        </w:rPr>
      </w:pPr>
    </w:p>
    <w:p>
      <w:pPr>
        <w:ind w:left="560" w:right="2659" w:firstLine="572"/>
        <w:spacing w:after="0" w:line="238" w:lineRule="auto"/>
        <w:tabs>
          <w:tab w:leader="none" w:pos="1506" w:val="left"/>
        </w:tabs>
        <w:numPr>
          <w:ilvl w:val="0"/>
          <w:numId w:val="5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agrees that nothing herein shall affect the right to effect service of process in any other manner permitted by law or shall limit the right to sue in any other jurisdiction; and</w:t>
      </w:r>
    </w:p>
    <w:p>
      <w:pPr>
        <w:spacing w:after="0" w:line="188" w:lineRule="exact"/>
        <w:rPr>
          <w:rFonts w:ascii="Courier New" w:cs="Courier New" w:eastAsia="Courier New" w:hAnsi="Courier New"/>
          <w:sz w:val="16"/>
          <w:szCs w:val="16"/>
          <w:color w:val="auto"/>
        </w:rPr>
      </w:pPr>
    </w:p>
    <w:p>
      <w:pPr>
        <w:ind w:left="560" w:right="2659" w:firstLine="572"/>
        <w:spacing w:after="0" w:line="239" w:lineRule="auto"/>
        <w:tabs>
          <w:tab w:leader="none" w:pos="1506" w:val="left"/>
        </w:tabs>
        <w:numPr>
          <w:ilvl w:val="0"/>
          <w:numId w:val="5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waives, to the maximum extent not prohibited by law, any right it may have to claim or recover in any legal action or proceeding referred to in this subsection any special, exemplary, punitive or consequential damages.</w:t>
      </w:r>
    </w:p>
    <w:p>
      <w:pPr>
        <w:spacing w:after="0" w:line="187" w:lineRule="exact"/>
        <w:rPr>
          <w:rFonts w:ascii="Courier New" w:cs="Courier New" w:eastAsia="Courier New" w:hAnsi="Courier New"/>
          <w:sz w:val="16"/>
          <w:szCs w:val="16"/>
          <w:color w:val="auto"/>
        </w:rPr>
      </w:pPr>
    </w:p>
    <w:p>
      <w:pPr>
        <w:ind w:left="560" w:right="2759" w:firstLine="572"/>
        <w:spacing w:after="0" w:line="257" w:lineRule="auto"/>
        <w:tabs>
          <w:tab w:leader="none" w:pos="1506" w:val="left"/>
        </w:tabs>
        <w:numPr>
          <w:ilvl w:val="0"/>
          <w:numId w:val="5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any Foreign Subsidiary becoming a Foreign Subsidiary Borrower, such Foreign Subsidiary Borrower hereby agrees to irrevocably and unconditionally appoint the Borrower or an agent for service of process located in The City of New York (the "New York Process Administrative Agent"), reasonably satisfactory to the Administrative Agent, as its agent to receive on behalf of such Foreign Subsidiary Borrower and its property service of copies of the summons and complaint and any other process which may be served in any action or proceeding in any such New York State or Federal court described in paragraph (a) of this subsection and agrees promptly to appoint a successor New York Process Administrative Agent in The City of New York (which successor New York Process Administrative Agent shall accept such appointment in a</w:t>
      </w:r>
    </w:p>
    <w:p>
      <w:pPr>
        <w:sectPr>
          <w:pgSz w:w="11900" w:h="16838" w:orient="portrait"/>
          <w:cols w:equalWidth="0" w:num="1">
            <w:col w:w="10219"/>
          </w:cols>
          <w:pgMar w:left="240" w:top="476" w:right="1440" w:bottom="1440" w:gutter="0" w:footer="0" w:header="0"/>
        </w:sectPr>
      </w:pPr>
    </w:p>
    <w:bookmarkStart w:id="507" w:name="page508"/>
    <w:bookmarkEnd w:id="507"/>
    <w:p>
      <w:pPr>
        <w:jc w:val="right"/>
        <w:ind w:right="2659"/>
        <w:spacing w:after="0"/>
        <w:rPr>
          <w:sz w:val="20"/>
          <w:szCs w:val="20"/>
          <w:color w:val="auto"/>
        </w:rPr>
      </w:pPr>
      <w:r>
        <w:rPr>
          <w:rFonts w:ascii="Courier New" w:cs="Courier New" w:eastAsia="Courier New" w:hAnsi="Courier New"/>
          <w:sz w:val="16"/>
          <w:szCs w:val="16"/>
          <w:color w:val="auto"/>
        </w:rPr>
        <w:t>108</w:t>
      </w:r>
    </w:p>
    <w:p>
      <w:pPr>
        <w:spacing w:after="0" w:line="368" w:lineRule="exact"/>
        <w:rPr>
          <w:sz w:val="20"/>
          <w:szCs w:val="20"/>
          <w:color w:val="auto"/>
        </w:rPr>
      </w:pPr>
    </w:p>
    <w:p>
      <w:pPr>
        <w:ind w:left="560" w:right="2659"/>
        <w:spacing w:after="0" w:line="257" w:lineRule="auto"/>
        <w:rPr>
          <w:sz w:val="20"/>
          <w:szCs w:val="20"/>
          <w:color w:val="auto"/>
        </w:rPr>
      </w:pPr>
      <w:r>
        <w:rPr>
          <w:rFonts w:ascii="Courier New" w:cs="Courier New" w:eastAsia="Courier New" w:hAnsi="Courier New"/>
          <w:sz w:val="15"/>
          <w:szCs w:val="15"/>
          <w:color w:val="auto"/>
        </w:rPr>
        <w:t>writing reasonably satisfactory to the Administrative Agent) prior to the termination for any reason of the appointment of the initial New York Process Administrative Agent. In any such action or proceeding in such New York State or Federal court, such service may be made on such Foreign Subsidiary Borrower by delivering a copy of such process to such Foreign Subsidiary Borrower in care of the New York Process Administrative Agent at the New York Process Administrative Agent's address and by depositing a copy of such process in the mails by certified or registered air mail, addressed to such Foreign Subsidiary Borrower at its address specified in subsection 10.2 (such service to be effective upon such receipt by the New York Process Administrative Agent and the depositing of such process in the mails as aforesaid). Each of the Foreign Subsidiary Borrowers hereby irrevocably and unconditionally authorizes and directs the New York Process Administrative Agent to accept such service on its behalf. As an alternate method of service, each of the Foreign Subsidiary Borrowers irrevocably and unconditionally consents to the service of any and all process in any such action or proceeding in such New York State or Federal court by mailing of copies of such process to such Foreign Subsidiary Borrower by certified or registered air mail at its address specified in subsection 10.2. Each of the Foreign Subsidiary Borrowers agrees that, to the fullest extent permitted by applicable law, a final judgment in any such action or proceeding shall be conclusive and may be enforced in other jurisdictions by suit on the judgment or in any other manner provided by law.</w:t>
      </w:r>
    </w:p>
    <w:p>
      <w:pPr>
        <w:spacing w:after="0" w:line="362" w:lineRule="exact"/>
        <w:rPr>
          <w:sz w:val="20"/>
          <w:szCs w:val="20"/>
          <w:color w:val="auto"/>
        </w:rPr>
      </w:pPr>
    </w:p>
    <w:p>
      <w:pPr>
        <w:ind w:left="560" w:right="2659" w:firstLine="572"/>
        <w:spacing w:after="0"/>
        <w:tabs>
          <w:tab w:leader="none" w:pos="1506" w:val="left"/>
        </w:tabs>
        <w:numPr>
          <w:ilvl w:val="0"/>
          <w:numId w:val="5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any Foreign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Foreign Subsidiary Borrower hereby irrevocably waives and agrees not to plead or claim such immunity in respect of its obligations under this Agreement and any Note.</w:t>
      </w:r>
    </w:p>
    <w:p>
      <w:pPr>
        <w:spacing w:after="0" w:line="188" w:lineRule="exact"/>
        <w:rPr>
          <w:sz w:val="20"/>
          <w:szCs w:val="20"/>
          <w:color w:val="auto"/>
        </w:rPr>
      </w:pPr>
    </w:p>
    <w:p>
      <w:pPr>
        <w:ind w:right="3219" w:firstLine="1135"/>
        <w:spacing w:after="0" w:line="237" w:lineRule="auto"/>
        <w:rPr>
          <w:sz w:val="20"/>
          <w:szCs w:val="20"/>
          <w:color w:val="auto"/>
        </w:rPr>
      </w:pPr>
      <w:r>
        <w:rPr>
          <w:rFonts w:ascii="Courier New" w:cs="Courier New" w:eastAsia="Courier New" w:hAnsi="Courier New"/>
          <w:sz w:val="16"/>
          <w:szCs w:val="16"/>
          <w:color w:val="auto"/>
        </w:rPr>
        <w:t>10.14 Acknowledgments. Each of the Borrower and the Subsidiary Borrowers hereby acknowledges that:</w:t>
      </w:r>
    </w:p>
    <w:p>
      <w:pPr>
        <w:spacing w:after="0" w:line="188" w:lineRule="exact"/>
        <w:rPr>
          <w:sz w:val="20"/>
          <w:szCs w:val="20"/>
          <w:color w:val="auto"/>
        </w:rPr>
      </w:pPr>
    </w:p>
    <w:p>
      <w:pPr>
        <w:ind w:left="560" w:right="2659" w:firstLine="572"/>
        <w:spacing w:after="0" w:line="237" w:lineRule="auto"/>
        <w:tabs>
          <w:tab w:leader="none" w:pos="1506" w:val="left"/>
        </w:tabs>
        <w:numPr>
          <w:ilvl w:val="0"/>
          <w:numId w:val="5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has been advised by counsel in the negotiation, execution and delivery of this Agreement and the other Loan Documents;</w:t>
      </w:r>
    </w:p>
    <w:p>
      <w:pPr>
        <w:spacing w:after="0" w:line="187" w:lineRule="exact"/>
        <w:rPr>
          <w:rFonts w:ascii="Courier New" w:cs="Courier New" w:eastAsia="Courier New" w:hAnsi="Courier New"/>
          <w:sz w:val="16"/>
          <w:szCs w:val="16"/>
          <w:color w:val="auto"/>
        </w:rPr>
      </w:pPr>
    </w:p>
    <w:p>
      <w:pPr>
        <w:ind w:left="560" w:right="2659" w:firstLine="572"/>
        <w:spacing w:after="0" w:line="239" w:lineRule="auto"/>
        <w:tabs>
          <w:tab w:leader="none" w:pos="1506" w:val="left"/>
        </w:tabs>
        <w:numPr>
          <w:ilvl w:val="0"/>
          <w:numId w:val="5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Administrative Agent nor any Lender has any fiduciary relationship to the Borrower or any Subsidiary Borrower, and the relationship between Administrative Agent and Lenders, on one hand, and the Borrower or any Subsidiary Borrower, on the other hand, is solely that of debtor and creditor; and</w:t>
      </w:r>
    </w:p>
    <w:p>
      <w:pPr>
        <w:spacing w:after="0" w:line="188" w:lineRule="exact"/>
        <w:rPr>
          <w:rFonts w:ascii="Courier New" w:cs="Courier New" w:eastAsia="Courier New" w:hAnsi="Courier New"/>
          <w:sz w:val="16"/>
          <w:szCs w:val="16"/>
          <w:color w:val="auto"/>
        </w:rPr>
      </w:pPr>
    </w:p>
    <w:p>
      <w:pPr>
        <w:ind w:left="560" w:right="2759" w:firstLine="572"/>
        <w:spacing w:after="0" w:line="237" w:lineRule="auto"/>
        <w:tabs>
          <w:tab w:leader="none" w:pos="1506" w:val="left"/>
        </w:tabs>
        <w:numPr>
          <w:ilvl w:val="0"/>
          <w:numId w:val="5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joint venture exists among the Lenders or among the Borrower or any Subsidiary Borrower and the Lenders.</w:t>
      </w:r>
    </w:p>
    <w:p>
      <w:pPr>
        <w:spacing w:after="0" w:line="188" w:lineRule="exact"/>
        <w:rPr>
          <w:sz w:val="20"/>
          <w:szCs w:val="20"/>
          <w:color w:val="auto"/>
        </w:rPr>
      </w:pPr>
    </w:p>
    <w:p>
      <w:pPr>
        <w:jc w:val="both"/>
        <w:ind w:right="2659" w:firstLine="1135"/>
        <w:spacing w:after="0" w:line="238" w:lineRule="auto"/>
        <w:rPr>
          <w:sz w:val="20"/>
          <w:szCs w:val="20"/>
          <w:color w:val="auto"/>
        </w:rPr>
      </w:pPr>
      <w:r>
        <w:rPr>
          <w:rFonts w:ascii="Courier New" w:cs="Courier New" w:eastAsia="Courier New" w:hAnsi="Courier New"/>
          <w:sz w:val="16"/>
          <w:szCs w:val="16"/>
          <w:color w:val="auto"/>
        </w:rPr>
        <w:t>10.15 WAIVERS OF JURY TRIAL. THE BORROWER, THE SUBSIDIARY BORROWERS, THE ADMINISTRATIVE AGENT AND THE LENDERS HEREBY IRREVOCABLY AND UNCONDITIONALLY WAIVE TRIAL BY JURY IN</w:t>
      </w:r>
    </w:p>
    <w:p>
      <w:pPr>
        <w:sectPr>
          <w:pgSz w:w="11900" w:h="16838" w:orient="portrait"/>
          <w:cols w:equalWidth="0" w:num="1">
            <w:col w:w="10219"/>
          </w:cols>
          <w:pgMar w:left="240" w:top="477" w:right="1440" w:bottom="1440" w:gutter="0" w:footer="0" w:header="0"/>
        </w:sectPr>
      </w:pPr>
    </w:p>
    <w:bookmarkStart w:id="508" w:name="page509"/>
    <w:bookmarkEnd w:id="508"/>
    <w:p>
      <w:pPr>
        <w:jc w:val="right"/>
        <w:ind w:right="2659"/>
        <w:spacing w:after="0"/>
        <w:rPr>
          <w:sz w:val="20"/>
          <w:szCs w:val="20"/>
          <w:color w:val="auto"/>
        </w:rPr>
      </w:pPr>
      <w:r>
        <w:rPr>
          <w:rFonts w:ascii="Courier New" w:cs="Courier New" w:eastAsia="Courier New" w:hAnsi="Courier New"/>
          <w:sz w:val="16"/>
          <w:szCs w:val="16"/>
          <w:color w:val="auto"/>
        </w:rPr>
        <w:t>109</w:t>
      </w:r>
    </w:p>
    <w:p>
      <w:pPr>
        <w:spacing w:after="0" w:line="368"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6"/>
          <w:szCs w:val="16"/>
          <w:color w:val="auto"/>
        </w:rPr>
        <w:t>ANY LEGAL ACTION OR PROCEEDING RELATING TO THIS AGREEMENT OR ANY LOAN DOCUMENT AND FOR ANY COUNTERCLAIM THEREIN.</w:t>
      </w:r>
    </w:p>
    <w:p>
      <w:pPr>
        <w:spacing w:after="0" w:line="188" w:lineRule="exact"/>
        <w:rPr>
          <w:sz w:val="20"/>
          <w:szCs w:val="20"/>
          <w:color w:val="auto"/>
        </w:rPr>
      </w:pPr>
    </w:p>
    <w:p>
      <w:pPr>
        <w:ind w:right="2759" w:firstLine="1135"/>
        <w:spacing w:after="0" w:line="239" w:lineRule="auto"/>
        <w:rPr>
          <w:sz w:val="20"/>
          <w:szCs w:val="20"/>
          <w:color w:val="auto"/>
        </w:rPr>
      </w:pPr>
      <w:r>
        <w:rPr>
          <w:rFonts w:ascii="Courier New" w:cs="Courier New" w:eastAsia="Courier New" w:hAnsi="Courier New"/>
          <w:sz w:val="16"/>
          <w:szCs w:val="16"/>
          <w:color w:val="auto"/>
        </w:rPr>
        <w:t>10.16 Severability.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ectPr>
          <w:pgSz w:w="11900" w:h="16838" w:orient="portrait"/>
          <w:cols w:equalWidth="0" w:num="1">
            <w:col w:w="10219"/>
          </w:cols>
          <w:pgMar w:left="240" w:top="477" w:right="1440" w:bottom="1440" w:gutter="0" w:footer="0" w:header="0"/>
        </w:sectPr>
      </w:pPr>
    </w:p>
    <w:bookmarkStart w:id="509" w:name="page510"/>
    <w:bookmarkEnd w:id="509"/>
    <w:p>
      <w:pPr>
        <w:ind w:right="2659" w:firstLine="1135"/>
        <w:spacing w:after="0" w:line="238"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and delivered in New York, New York by their proper and duly authorized officers as of the day and year first above written.</w:t>
      </w:r>
    </w:p>
    <w:p>
      <w:pPr>
        <w:spacing w:after="0" w:line="366"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THE SCOTTS COMPANY</w:t>
      </w:r>
    </w:p>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By: /s/ Rebecca J. Bruening</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80"/>
        <w:spacing w:after="0"/>
        <w:tabs>
          <w:tab w:leader="none" w:pos="452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HYPONEX CORPORATION</w:t>
      </w:r>
    </w:p>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By: /s/ Rebecca J. Bruening</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80"/>
        <w:spacing w:after="0"/>
        <w:tabs>
          <w:tab w:leader="none" w:pos="452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MIRACLE GARDEN CARE LIMITED</w:t>
      </w:r>
    </w:p>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By: /s/ Rebecca J. Bruening</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80"/>
        <w:spacing w:after="0"/>
        <w:tabs>
          <w:tab w:leader="none" w:pos="452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Title: Power of Attorney</w:t>
      </w:r>
    </w:p>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OM SCOTT INTERNATIONAL INVESTMENTS LTD.</w:t>
      </w:r>
    </w:p>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By: /s/ Rebecca J. Bruening</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80"/>
        <w:spacing w:after="0"/>
        <w:tabs>
          <w:tab w:leader="none" w:pos="452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Title: Power of Attorney</w:t>
      </w:r>
    </w:p>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SCOTTS AUSTRALIA PTY. LTD</w:t>
      </w:r>
    </w:p>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By: /s/ Rebecca J. Bruening</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80"/>
        <w:spacing w:after="0"/>
        <w:tabs>
          <w:tab w:leader="none" w:pos="452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Title: Power of Attorney</w:t>
      </w:r>
    </w:p>
    <w:p>
      <w:pPr>
        <w:sectPr>
          <w:pgSz w:w="11900" w:h="16838" w:orient="portrait"/>
          <w:cols w:equalWidth="0" w:num="1">
            <w:col w:w="10219"/>
          </w:cols>
          <w:pgMar w:left="240" w:top="481" w:right="1440" w:bottom="1440" w:gutter="0" w:footer="0" w:header="0"/>
        </w:sectPr>
      </w:pPr>
    </w:p>
    <w:bookmarkStart w:id="510" w:name="page511"/>
    <w:bookmarkEnd w:id="510"/>
    <w:p>
      <w:pPr>
        <w:ind w:left="2300"/>
        <w:spacing w:after="0"/>
        <w:rPr>
          <w:sz w:val="20"/>
          <w:szCs w:val="20"/>
          <w:color w:val="auto"/>
        </w:rPr>
      </w:pPr>
      <w:r>
        <w:rPr>
          <w:rFonts w:ascii="Courier New" w:cs="Courier New" w:eastAsia="Courier New" w:hAnsi="Courier New"/>
          <w:sz w:val="16"/>
          <w:szCs w:val="16"/>
          <w:color w:val="auto"/>
        </w:rPr>
        <w:t>SCOTTS CANADA LTD.</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Rebecca J. Bruening</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Power of Attorney</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SCOTTS HOLDINGS LIMITED</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Rebecca J. Bruening</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Power of Attorney</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SCOTTS MANUFACTURING COMPANY</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Rebecca J. Bruening</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SCOTTS-SIERRA HORTICULTURAL PRODUCTS</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COMPANY</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Rebecca J. Bruening</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SCOTTS-SIERRA INVESTMENTS, INC.</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Rebecca J. Bruening</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SCOTTS TEMECULA OPERATIONS, LLC</w:t>
      </w:r>
    </w:p>
    <w:p>
      <w:pPr>
        <w:spacing w:after="0" w:line="183"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Rebecca J. Bruening</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 and Treasurer</w:t>
      </w:r>
    </w:p>
    <w:p>
      <w:pPr>
        <w:sectPr>
          <w:pgSz w:w="11900" w:h="16838" w:orient="portrait"/>
          <w:cols w:equalWidth="0" w:num="1">
            <w:col w:w="9019"/>
          </w:cols>
          <w:pgMar w:left="1440" w:top="476" w:right="1440" w:bottom="1440" w:gutter="0" w:footer="0" w:header="0"/>
        </w:sectPr>
      </w:pPr>
    </w:p>
    <w:bookmarkStart w:id="511" w:name="page512"/>
    <w:bookmarkEnd w:id="511"/>
    <w:p>
      <w:pPr>
        <w:ind w:left="2300"/>
        <w:spacing w:after="0"/>
        <w:rPr>
          <w:sz w:val="20"/>
          <w:szCs w:val="20"/>
          <w:color w:val="auto"/>
        </w:rPr>
      </w:pPr>
      <w:r>
        <w:rPr>
          <w:rFonts w:ascii="Courier New" w:cs="Courier New" w:eastAsia="Courier New" w:hAnsi="Courier New"/>
          <w:sz w:val="16"/>
          <w:szCs w:val="16"/>
          <w:color w:val="auto"/>
        </w:rPr>
        <w:t>SCOTTS TREASURY EEIG</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Rebecca J. Bruening</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Power of Attorney</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THE SCOTTS COMPANY (UK) LTD.</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Rebecca J. Bruening</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Power of Attorney</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JPMORGAN CHASE BANK, as Administrative</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Agent and as a Lender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Randolph Cates</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Randolph Cates</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CITICORP NORTH AMERICA, INC., as</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Syndication Agent and as a Lender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Eivind Hegelstad</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Eivind Hegelstad</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BANK OF AMERICA, N.A., as Co-Documentation</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Agent and as a Lender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Sharon Burks Horos</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Sharon Burks Horos</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019"/>
          </w:cols>
          <w:pgMar w:left="1440" w:top="477" w:right="1440" w:bottom="1440" w:gutter="0" w:footer="0" w:header="0"/>
        </w:sectPr>
      </w:pPr>
    </w:p>
    <w:bookmarkStart w:id="512" w:name="page513"/>
    <w:bookmarkEnd w:id="512"/>
    <w:p>
      <w:pPr>
        <w:ind w:left="2300"/>
        <w:spacing w:after="0"/>
        <w:rPr>
          <w:sz w:val="20"/>
          <w:szCs w:val="20"/>
          <w:color w:val="auto"/>
        </w:rPr>
      </w:pPr>
      <w:r>
        <w:rPr>
          <w:rFonts w:ascii="Courier New" w:cs="Courier New" w:eastAsia="Courier New" w:hAnsi="Courier New"/>
          <w:sz w:val="15"/>
          <w:szCs w:val="15"/>
          <w:color w:val="auto"/>
        </w:rPr>
        <w:t>BANK ONE, NA, as Co-Documentation Agent and</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as a Lender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Joseph Pinzone</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Joseph Pinzone</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Director</w:t>
      </w:r>
    </w:p>
    <w:p>
      <w:pPr>
        <w:sectPr>
          <w:pgSz w:w="11900" w:h="16838" w:orient="portrait"/>
          <w:cols w:equalWidth="0" w:num="1">
            <w:col w:w="9019"/>
          </w:cols>
          <w:pgMar w:left="1440" w:top="481" w:right="1440" w:bottom="1440" w:gutter="0" w:footer="0" w:header="0"/>
        </w:sectPr>
      </w:pPr>
    </w:p>
    <w:bookmarkStart w:id="513" w:name="page514"/>
    <w:bookmarkEnd w:id="513"/>
    <w:p>
      <w:pPr>
        <w:ind w:left="2960"/>
        <w:spacing w:after="0"/>
        <w:rPr>
          <w:sz w:val="20"/>
          <w:szCs w:val="20"/>
          <w:color w:val="auto"/>
        </w:rPr>
      </w:pPr>
      <w:r>
        <w:rPr>
          <w:rFonts w:ascii="Courier New" w:cs="Courier New" w:eastAsia="Courier New" w:hAnsi="Courier New"/>
          <w:sz w:val="15"/>
          <w:szCs w:val="15"/>
          <w:color w:val="auto"/>
        </w:rPr>
        <w:t>Signature page to The Scotts Company</w:t>
      </w:r>
    </w:p>
    <w:p>
      <w:pPr>
        <w:spacing w:after="0" w:line="1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Second Amended and Restated Credit Agreement</w:t>
      </w:r>
    </w:p>
    <w:p>
      <w:pPr>
        <w:spacing w:after="0" w:line="372"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BANK OF AMERICA, N.A.</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Sharon Burks Horos</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Sharon Burks Horos</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BANK OF MONTREAL</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Ben Ciallella</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Ben Ciallella</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Director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BANK OF TOKYO-MITSUBISHI TRUST COMPANY</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Andrew Bernstein</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Andrew Bernstein</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Assistant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BANK ONE NA</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Joseph Pinzone</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Joseph Pinzone</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Director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BAYERISCHE HYP-UND VEREINSBANK AG,</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NEW YORK and/or GRAND CAYMAN BRANCH</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Ken Hamilton</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Ken Hamilton</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Director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Lara Lorenzana</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Lara Lorenzana</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Associate Director</w:t>
      </w:r>
    </w:p>
    <w:p>
      <w:pPr>
        <w:sectPr>
          <w:pgSz w:w="11900" w:h="16838" w:orient="portrait"/>
          <w:cols w:equalWidth="0" w:num="1">
            <w:col w:w="9019"/>
          </w:cols>
          <w:pgMar w:left="1440" w:top="481" w:right="1440" w:bottom="1440" w:gutter="0" w:footer="0" w:header="0"/>
        </w:sectPr>
      </w:pPr>
    </w:p>
    <w:bookmarkStart w:id="514" w:name="page515"/>
    <w:bookmarkEnd w:id="514"/>
    <w:p>
      <w:pPr>
        <w:ind w:left="2300"/>
        <w:spacing w:after="0"/>
        <w:rPr>
          <w:sz w:val="20"/>
          <w:szCs w:val="20"/>
          <w:color w:val="auto"/>
        </w:rPr>
      </w:pPr>
      <w:r>
        <w:rPr>
          <w:rFonts w:ascii="Courier New" w:cs="Courier New" w:eastAsia="Courier New" w:hAnsi="Courier New"/>
          <w:sz w:val="16"/>
          <w:szCs w:val="16"/>
          <w:color w:val="auto"/>
        </w:rPr>
        <w:t>BNP PARIBAS</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Kristin R. Carlton</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Kristin R. Carlton</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Peter C. Labrie</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Peter C. Labrie</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Central Region Manager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CALLIDUS DEBT PARTNERS CLO FUND II, Ltd.</w:t>
      </w:r>
    </w:p>
    <w:p>
      <w:pPr>
        <w:spacing w:after="0" w:line="1" w:lineRule="exact"/>
        <w:rPr>
          <w:sz w:val="20"/>
          <w:szCs w:val="20"/>
          <w:color w:val="auto"/>
        </w:rPr>
      </w:pPr>
    </w:p>
    <w:p>
      <w:pPr>
        <w:ind w:left="2300"/>
        <w:spacing w:after="0"/>
        <w:tabs>
          <w:tab w:leader="none" w:pos="2740" w:val="left"/>
        </w:tabs>
        <w:rPr>
          <w:sz w:val="20"/>
          <w:szCs w:val="20"/>
          <w:color w:val="auto"/>
        </w:rPr>
      </w:pPr>
      <w:r>
        <w:rPr>
          <w:rFonts w:ascii="Courier New" w:cs="Courier New" w:eastAsia="Courier New" w:hAnsi="Courier New"/>
          <w:sz w:val="16"/>
          <w:szCs w:val="16"/>
          <w:color w:val="auto"/>
        </w:rPr>
        <w:t>By:</w:t>
        <w:tab/>
        <w:t>Its Collateral Manager</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Callidus Capital Management, LLC</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Wayne Mueller</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Wayne Mueller</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Managing Director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CITICORP NORTH AMERICA, INC.</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Eivind Hegelstad</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Eivind Hegelstad</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CITIZENS BANK OF PENNSYLVANIA</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Dwayne R. Finney</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Dwayne R. Finney</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COBANK, ACB</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Brian J. Klatt</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Brian J. Klatt</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Senior Vice President</w:t>
      </w:r>
    </w:p>
    <w:p>
      <w:pPr>
        <w:sectPr>
          <w:pgSz w:w="11900" w:h="16838" w:orient="portrait"/>
          <w:cols w:equalWidth="0" w:num="1">
            <w:col w:w="9019"/>
          </w:cols>
          <w:pgMar w:left="1440" w:top="658" w:right="1440" w:bottom="1440" w:gutter="0" w:footer="0" w:header="0"/>
        </w:sectPr>
      </w:pPr>
    </w:p>
    <w:bookmarkStart w:id="515" w:name="page516"/>
    <w:bookmarkEnd w:id="515"/>
    <w:p>
      <w:pPr>
        <w:ind w:left="2300"/>
        <w:spacing w:after="0"/>
        <w:rPr>
          <w:sz w:val="20"/>
          <w:szCs w:val="20"/>
          <w:color w:val="auto"/>
        </w:rPr>
      </w:pPr>
      <w:r>
        <w:rPr>
          <w:rFonts w:ascii="Courier New" w:cs="Courier New" w:eastAsia="Courier New" w:hAnsi="Courier New"/>
          <w:sz w:val="16"/>
          <w:szCs w:val="16"/>
          <w:color w:val="auto"/>
        </w:rPr>
        <w:t>COOPERATIEVE CENTRALE RAIFFEISEN</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BOERENLEENBANK B.A., "RABOBANK</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INTERNATIONAL " NEW YORK BRANCH</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Eric Hurshman</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Eric Hurshman</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Executive Director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Edward J. Peyser</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Edward J. Peyser</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Managing Director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COMERICA BANK</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Ryan Oliver</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Ryan Oliver</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Account Officer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COMMERZBANK AG, NEW YORK and</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GRAND CAYMAN BRANCHES</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Douglas I. Glickman</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Douglas I. Glickman</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Isabel S. Zeissig</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Isabel S. Zeissig</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Assistant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CREDIT LYONNAIS NEW YORK BRANCH</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Lee E. Greve</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Lee E. Greve</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First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ERSTE BANK NEW YORK</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Paul Judicke</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Paul Judicke</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Robert J. Wagman</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Robert J. Wagman</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019"/>
          </w:cols>
          <w:pgMar w:left="1440" w:top="840" w:right="1440" w:bottom="1440" w:gutter="0" w:footer="0" w:header="0"/>
        </w:sectPr>
      </w:pPr>
    </w:p>
    <w:bookmarkStart w:id="516" w:name="page517"/>
    <w:bookmarkEnd w:id="516"/>
    <w:p>
      <w:pPr>
        <w:ind w:left="2300"/>
        <w:spacing w:after="0"/>
        <w:rPr>
          <w:sz w:val="20"/>
          <w:szCs w:val="20"/>
          <w:color w:val="auto"/>
        </w:rPr>
      </w:pPr>
      <w:r>
        <w:rPr>
          <w:rFonts w:ascii="Courier New" w:cs="Courier New" w:eastAsia="Courier New" w:hAnsi="Courier New"/>
          <w:sz w:val="16"/>
          <w:szCs w:val="16"/>
          <w:color w:val="auto"/>
        </w:rPr>
        <w:t>FIFTH THIRD BANK, CENTRAL OHIO</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Kristie L. Nicolosi</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Kristie L. Nicolosi</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Assistant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FLEET NATIONAL BANK</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Harvey H. Thayer, Jr.</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Harvey H. Thayer, Jr.</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Managing Director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FORTIS CAPITAL CORP.</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John C. Preneta</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John C. Preneta</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Executive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John W. Benton</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John W. Benton</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HARRIS TRUST AND SAVINGS BANK</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Kimberly A. Yates</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Kimberly A. Yates</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KEYBANK NATIONAL ASSOCIATION</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David J. Wechter</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David J. Wechter</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019"/>
          </w:cols>
          <w:pgMar w:left="1440" w:top="841" w:right="1440" w:bottom="1440" w:gutter="0" w:footer="0" w:header="0"/>
        </w:sectPr>
      </w:pPr>
    </w:p>
    <w:bookmarkStart w:id="517" w:name="page518"/>
    <w:bookmarkEnd w:id="517"/>
    <w:p>
      <w:pPr>
        <w:ind w:left="2300"/>
        <w:spacing w:after="0"/>
        <w:rPr>
          <w:sz w:val="20"/>
          <w:szCs w:val="20"/>
          <w:color w:val="auto"/>
        </w:rPr>
      </w:pPr>
      <w:r>
        <w:rPr>
          <w:rFonts w:ascii="Courier New" w:cs="Courier New" w:eastAsia="Courier New" w:hAnsi="Courier New"/>
          <w:sz w:val="16"/>
          <w:szCs w:val="16"/>
          <w:color w:val="auto"/>
        </w:rPr>
        <w:t>IKB CAPITAL CORPORATION</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David N. Snyder</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Name: David N. Snyder</w:t>
      </w:r>
    </w:p>
    <w:p>
      <w:pPr>
        <w:spacing w:after="0" w:line="1" w:lineRule="exact"/>
        <w:rPr>
          <w:sz w:val="20"/>
          <w:szCs w:val="20"/>
          <w:color w:val="auto"/>
        </w:rPr>
      </w:pPr>
    </w:p>
    <w:p>
      <w:pPr>
        <w:ind w:left="2680"/>
        <w:spacing w:after="0"/>
        <w:tabs>
          <w:tab w:leader="none" w:pos="3500" w:val="left"/>
        </w:tabs>
        <w:rPr>
          <w:sz w:val="20"/>
          <w:szCs w:val="20"/>
          <w:color w:val="auto"/>
        </w:rPr>
      </w:pPr>
      <w:r>
        <w:rPr>
          <w:rFonts w:ascii="Courier New" w:cs="Courier New" w:eastAsia="Courier New" w:hAnsi="Courier New"/>
          <w:sz w:val="16"/>
          <w:szCs w:val="16"/>
          <w:color w:val="auto"/>
        </w:rPr>
        <w:t>Title:</w:t>
        <w:tab/>
        <w:t>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LASALLE BANK NATIONAL ASSOCIATION</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Warren F. Weber</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Warren F. Weber</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First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MIZUHO CORPORATE BANK LTD.</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Jun Shimmachi</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Jun Shimmachi</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NATIONAL CITY BANK</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Thomas E. Redmond</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Thomas E. Redmond</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Senior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PROTECTIVE LIFE INSURANCE COMPANY</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Diane S. Griswold</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Diane S. Griswold</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AVP</w:t>
      </w:r>
    </w:p>
    <w:p>
      <w:pPr>
        <w:sectPr>
          <w:pgSz w:w="11900" w:h="16838" w:orient="portrait"/>
          <w:cols w:equalWidth="0" w:num="1">
            <w:col w:w="9019"/>
          </w:cols>
          <w:pgMar w:left="1440" w:top="841" w:right="1440" w:bottom="1440" w:gutter="0" w:footer="0" w:header="0"/>
        </w:sectPr>
      </w:pPr>
    </w:p>
    <w:bookmarkStart w:id="518" w:name="page519"/>
    <w:bookmarkEnd w:id="518"/>
    <w:p>
      <w:pPr>
        <w:ind w:left="2300"/>
        <w:spacing w:after="0"/>
        <w:rPr>
          <w:sz w:val="20"/>
          <w:szCs w:val="20"/>
          <w:color w:val="auto"/>
        </w:rPr>
      </w:pPr>
      <w:r>
        <w:rPr>
          <w:rFonts w:ascii="Courier New" w:cs="Courier New" w:eastAsia="Courier New" w:hAnsi="Courier New"/>
          <w:sz w:val="16"/>
          <w:szCs w:val="16"/>
          <w:color w:val="auto"/>
        </w:rPr>
        <w:t>SUMITOMO MITSUI BANKING CORPORATION</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Peter R.C. Knight</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Peter R.C. Knight</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Joint General Manager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SUNTRUST BANK</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Molly J. Drennan</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Molly J. Drennan</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Director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THE BANK OF NEW YORK</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Kenneth R. McDonnell</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Kenneth R. McDonnell</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THE BANK OF NOVA SCOTIA</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V. Gibson</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V. Gibson</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Assistant Agent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THE HUNTINGTON NATIONAL BANK</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Mark A. Koscielski</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Mark A. Koscielski</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019"/>
          </w:cols>
          <w:pgMar w:left="1440" w:top="840" w:right="1440" w:bottom="1440" w:gutter="0" w:footer="0" w:header="0"/>
        </w:sectPr>
      </w:pPr>
    </w:p>
    <w:bookmarkStart w:id="519" w:name="page520"/>
    <w:bookmarkEnd w:id="519"/>
    <w:p>
      <w:pPr>
        <w:ind w:left="2300"/>
        <w:spacing w:after="0"/>
        <w:rPr>
          <w:sz w:val="20"/>
          <w:szCs w:val="20"/>
          <w:color w:val="auto"/>
        </w:rPr>
      </w:pPr>
      <w:r>
        <w:rPr>
          <w:rFonts w:ascii="Courier New" w:cs="Courier New" w:eastAsia="Courier New" w:hAnsi="Courier New"/>
          <w:sz w:val="16"/>
          <w:szCs w:val="16"/>
          <w:color w:val="auto"/>
        </w:rPr>
        <w:t>THE NORINCHUKIN BANK, NEW YORK</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/s/Masanori Shoji</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Masanori Shoji</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Joint General Manager</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THE NORTHERN TRUST COMPANY</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David Sullivan</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David Sullivan</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UFJ BANK LIMITED</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Russell Bohner</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Russell Bohner</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UNITED OVERSEAS BANK LTD., NEW YORK AGENCY</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Kwong Yew Wong</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Kwong Yew Wong</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Agent &amp; GM</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Philip Cheong</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Philip Cheong</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 &amp; Deputy GM</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U.S. BANK NATIONAL ASSOCIATION</w:t>
      </w:r>
    </w:p>
    <w:p>
      <w:pPr>
        <w:spacing w:after="0" w:line="36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 /s/ Robert H. Friend</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680"/>
        <w:spacing w:after="0"/>
        <w:tabs>
          <w:tab w:leader="none" w:pos="3320" w:val="left"/>
        </w:tabs>
        <w:rPr>
          <w:sz w:val="20"/>
          <w:szCs w:val="20"/>
          <w:color w:val="auto"/>
        </w:rPr>
      </w:pPr>
      <w:r>
        <w:rPr>
          <w:rFonts w:ascii="Courier New" w:cs="Courier New" w:eastAsia="Courier New" w:hAnsi="Courier New"/>
          <w:sz w:val="16"/>
          <w:szCs w:val="16"/>
          <w:color w:val="auto"/>
        </w:rPr>
        <w:t>Name:</w:t>
        <w:tab/>
        <w:t>Robert H. Friend</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019"/>
          </w:cols>
          <w:pgMar w:left="1440" w:top="840" w:right="1440" w:bottom="1440" w:gutter="0" w:footer="0" w:header="0"/>
        </w:sectPr>
      </w:pPr>
    </w:p>
    <w:bookmarkStart w:id="520" w:name="page521"/>
    <w:bookmarkEnd w:id="520"/>
    <w:p>
      <w:pPr>
        <w:jc w:val="right"/>
        <w:ind w:right="2659"/>
        <w:spacing w:after="0"/>
        <w:rPr>
          <w:sz w:val="20"/>
          <w:szCs w:val="20"/>
          <w:color w:val="auto"/>
        </w:rPr>
      </w:pPr>
      <w:r>
        <w:rPr>
          <w:rFonts w:ascii="Courier New" w:cs="Courier New" w:eastAsia="Courier New" w:hAnsi="Courier New"/>
          <w:sz w:val="16"/>
          <w:szCs w:val="16"/>
          <w:color w:val="auto"/>
        </w:rPr>
        <w:t>ANNEX A</w:t>
      </w:r>
    </w:p>
    <w:p>
      <w:pPr>
        <w:spacing w:after="0" w:line="36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PRICING GRID FOR REVOLVING CREDIT LOANS, TERM LOANS AND FACILITY FEE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32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Applicable</w:t>
            </w:r>
          </w:p>
        </w:tc>
        <w:tc>
          <w:tcPr>
            <w:tcW w:w="122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60" w:type="dxa"/>
            <w:vAlign w:val="bottom"/>
          </w:tcPr>
          <w:p>
            <w:pPr>
              <w:ind w:left="700"/>
              <w:spacing w:after="0"/>
              <w:rPr>
                <w:sz w:val="20"/>
                <w:szCs w:val="20"/>
                <w:color w:val="auto"/>
              </w:rPr>
            </w:pPr>
            <w:r>
              <w:rPr>
                <w:rFonts w:ascii="Courier New" w:cs="Courier New" w:eastAsia="Courier New" w:hAnsi="Courier New"/>
                <w:sz w:val="16"/>
                <w:szCs w:val="16"/>
                <w:color w:val="auto"/>
              </w:rPr>
              <w:t>Margin</w:t>
            </w: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3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Revolving Credit</w:t>
            </w:r>
          </w:p>
        </w:tc>
        <w:tc>
          <w:tcPr>
            <w:tcW w:w="122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60" w:type="dxa"/>
            <w:vAlign w:val="bottom"/>
          </w:tcPr>
          <w:p>
            <w:pPr>
              <w:ind w:left="800"/>
              <w:spacing w:after="0"/>
              <w:rPr>
                <w:sz w:val="20"/>
                <w:szCs w:val="20"/>
                <w:color w:val="auto"/>
              </w:rPr>
            </w:pPr>
            <w:r>
              <w:rPr>
                <w:rFonts w:ascii="Courier New" w:cs="Courier New" w:eastAsia="Courier New" w:hAnsi="Courier New"/>
                <w:sz w:val="16"/>
                <w:szCs w:val="16"/>
                <w:color w:val="auto"/>
              </w:rPr>
              <w:t>Loans</w:t>
            </w: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1760" w:type="dxa"/>
            <w:vAlign w:val="bottom"/>
          </w:tcPr>
          <w:p>
            <w:pPr>
              <w:jc w:val="right"/>
              <w:ind w:right="921"/>
              <w:spacing w:after="0"/>
              <w:rPr>
                <w:sz w:val="20"/>
                <w:szCs w:val="20"/>
                <w:color w:val="auto"/>
              </w:rPr>
            </w:pPr>
            <w:r>
              <w:rPr>
                <w:rFonts w:ascii="Courier New" w:cs="Courier New" w:eastAsia="Courier New" w:hAnsi="Courier New"/>
                <w:sz w:val="16"/>
                <w:szCs w:val="16"/>
                <w:color w:val="auto"/>
                <w:w w:val="96"/>
              </w:rPr>
              <w:t>Leverage</w:t>
            </w:r>
          </w:p>
        </w:tc>
        <w:tc>
          <w:tcPr>
            <w:tcW w:w="23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8"/>
              </w:rPr>
              <w:t>Facility</w:t>
            </w:r>
          </w:p>
        </w:tc>
      </w:tr>
      <w:tr>
        <w:trPr>
          <w:trHeight w:val="182"/>
        </w:trPr>
        <w:tc>
          <w:tcPr>
            <w:tcW w:w="560" w:type="dxa"/>
            <w:vAlign w:val="bottom"/>
          </w:tcPr>
          <w:p>
            <w:pPr>
              <w:spacing w:after="0"/>
              <w:rPr>
                <w:sz w:val="15"/>
                <w:szCs w:val="15"/>
                <w:color w:val="auto"/>
              </w:rPr>
            </w:pPr>
          </w:p>
        </w:tc>
        <w:tc>
          <w:tcPr>
            <w:tcW w:w="1760" w:type="dxa"/>
            <w:vAlign w:val="bottom"/>
          </w:tcPr>
          <w:p>
            <w:pPr>
              <w:jc w:val="right"/>
              <w:ind w:right="1101"/>
              <w:spacing w:after="0"/>
              <w:rPr>
                <w:sz w:val="20"/>
                <w:szCs w:val="20"/>
                <w:color w:val="auto"/>
              </w:rPr>
            </w:pPr>
            <w:r>
              <w:rPr>
                <w:rFonts w:ascii="Courier New" w:cs="Courier New" w:eastAsia="Courier New" w:hAnsi="Courier New"/>
                <w:sz w:val="16"/>
                <w:szCs w:val="16"/>
                <w:color w:val="auto"/>
              </w:rPr>
              <w:t>Ratio</w:t>
            </w:r>
          </w:p>
        </w:tc>
        <w:tc>
          <w:tcPr>
            <w:tcW w:w="1360" w:type="dxa"/>
            <w:vAlign w:val="bottom"/>
          </w:tcPr>
          <w:p>
            <w:pPr>
              <w:ind w:left="240"/>
              <w:spacing w:after="0"/>
              <w:rPr>
                <w:sz w:val="20"/>
                <w:szCs w:val="20"/>
                <w:color w:val="auto"/>
              </w:rPr>
            </w:pPr>
            <w:r>
              <w:rPr>
                <w:rFonts w:ascii="Courier New" w:cs="Courier New" w:eastAsia="Courier New" w:hAnsi="Courier New"/>
                <w:sz w:val="16"/>
                <w:szCs w:val="16"/>
                <w:color w:val="auto"/>
              </w:rPr>
              <w:t>LIBOR</w:t>
            </w:r>
          </w:p>
        </w:tc>
        <w:tc>
          <w:tcPr>
            <w:tcW w:w="9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ABR</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Fee</w:t>
            </w:r>
          </w:p>
        </w:tc>
      </w:tr>
      <w:tr>
        <w:trPr>
          <w:trHeight w:val="182"/>
        </w:trPr>
        <w:tc>
          <w:tcPr>
            <w:tcW w:w="2320" w:type="dxa"/>
            <w:vAlign w:val="bottom"/>
            <w:gridSpan w:val="2"/>
          </w:tcPr>
          <w:p>
            <w:pPr>
              <w:spacing w:after="0"/>
              <w:rPr>
                <w:sz w:val="20"/>
                <w:szCs w:val="20"/>
                <w:color w:val="auto"/>
              </w:rPr>
            </w:pPr>
            <w:r>
              <w:rPr>
                <w:rFonts w:ascii="Courier New" w:cs="Courier New" w:eastAsia="Courier New" w:hAnsi="Courier New"/>
                <w:sz w:val="16"/>
                <w:szCs w:val="16"/>
                <w:color w:val="auto"/>
                <w:w w:val="99"/>
              </w:rPr>
              <w:t>- ----------------------</w:t>
            </w:r>
          </w:p>
        </w:tc>
        <w:tc>
          <w:tcPr>
            <w:tcW w:w="136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23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7"/>
              </w:rPr>
              <w:t>&gt; or = to 2.75 to 1.00</w:t>
            </w:r>
          </w:p>
        </w:tc>
        <w:tc>
          <w:tcPr>
            <w:tcW w:w="1360" w:type="dxa"/>
            <w:vAlign w:val="bottom"/>
          </w:tcPr>
          <w:p>
            <w:pPr>
              <w:ind w:left="240"/>
              <w:spacing w:after="0"/>
              <w:rPr>
                <w:sz w:val="20"/>
                <w:szCs w:val="20"/>
                <w:color w:val="auto"/>
              </w:rPr>
            </w:pPr>
            <w:r>
              <w:rPr>
                <w:rFonts w:ascii="Courier New" w:cs="Courier New" w:eastAsia="Courier New" w:hAnsi="Courier New"/>
                <w:sz w:val="16"/>
                <w:szCs w:val="16"/>
                <w:color w:val="auto"/>
              </w:rPr>
              <w:t>1.75%</w:t>
            </w: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0.50%</w:t>
            </w:r>
          </w:p>
        </w:tc>
        <w:tc>
          <w:tcPr>
            <w:tcW w:w="1220" w:type="dxa"/>
            <w:vAlign w:val="bottom"/>
          </w:tcPr>
          <w:p>
            <w:pPr>
              <w:jc w:val="center"/>
              <w:ind w:left="1"/>
              <w:spacing w:after="0"/>
              <w:rPr>
                <w:sz w:val="20"/>
                <w:szCs w:val="20"/>
                <w:color w:val="auto"/>
              </w:rPr>
            </w:pPr>
            <w:r>
              <w:rPr>
                <w:rFonts w:ascii="Courier New" w:cs="Courier New" w:eastAsia="Courier New" w:hAnsi="Courier New"/>
                <w:sz w:val="16"/>
                <w:szCs w:val="16"/>
                <w:color w:val="auto"/>
              </w:rPr>
              <w:t>0.500%</w:t>
            </w:r>
          </w:p>
        </w:tc>
      </w:tr>
      <w:tr>
        <w:trPr>
          <w:trHeight w:val="182"/>
        </w:trPr>
        <w:tc>
          <w:tcPr>
            <w:tcW w:w="560" w:type="dxa"/>
            <w:vAlign w:val="bottom"/>
          </w:tcPr>
          <w:p>
            <w:pPr>
              <w:spacing w:after="0"/>
              <w:rPr>
                <w:sz w:val="20"/>
                <w:szCs w:val="20"/>
                <w:color w:val="auto"/>
              </w:rPr>
            </w:pPr>
            <w:r>
              <w:rPr>
                <w:rFonts w:ascii="Courier New" w:cs="Courier New" w:eastAsia="Courier New" w:hAnsi="Courier New"/>
                <w:sz w:val="16"/>
                <w:szCs w:val="16"/>
                <w:color w:val="auto"/>
                <w:w w:val="93"/>
              </w:rPr>
              <w:t>&lt; 2.75</w:t>
            </w:r>
          </w:p>
        </w:tc>
        <w:tc>
          <w:tcPr>
            <w:tcW w:w="17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to 1.00</w:t>
            </w:r>
          </w:p>
        </w:tc>
        <w:tc>
          <w:tcPr>
            <w:tcW w:w="1360" w:type="dxa"/>
            <w:vAlign w:val="bottom"/>
          </w:tcPr>
          <w:p>
            <w:pPr>
              <w:ind w:left="240"/>
              <w:spacing w:after="0"/>
              <w:rPr>
                <w:sz w:val="20"/>
                <w:szCs w:val="20"/>
                <w:color w:val="auto"/>
              </w:rPr>
            </w:pPr>
            <w:r>
              <w:rPr>
                <w:rFonts w:ascii="Courier New" w:cs="Courier New" w:eastAsia="Courier New" w:hAnsi="Courier New"/>
                <w:sz w:val="16"/>
                <w:szCs w:val="16"/>
                <w:color w:val="auto"/>
              </w:rPr>
              <w:t>1.50%</w:t>
            </w: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0.25%</w:t>
            </w:r>
          </w:p>
        </w:tc>
        <w:tc>
          <w:tcPr>
            <w:tcW w:w="1220" w:type="dxa"/>
            <w:vAlign w:val="bottom"/>
          </w:tcPr>
          <w:p>
            <w:pPr>
              <w:jc w:val="center"/>
              <w:ind w:left="1"/>
              <w:spacing w:after="0"/>
              <w:rPr>
                <w:sz w:val="20"/>
                <w:szCs w:val="20"/>
                <w:color w:val="auto"/>
              </w:rPr>
            </w:pPr>
            <w:r>
              <w:rPr>
                <w:rFonts w:ascii="Courier New" w:cs="Courier New" w:eastAsia="Courier New" w:hAnsi="Courier New"/>
                <w:sz w:val="16"/>
                <w:szCs w:val="16"/>
                <w:color w:val="auto"/>
              </w:rPr>
              <w:t>0.500%</w:t>
            </w:r>
          </w:p>
        </w:tc>
      </w:tr>
      <w:tr>
        <w:trPr>
          <w:trHeight w:val="182"/>
        </w:trPr>
        <w:tc>
          <w:tcPr>
            <w:tcW w:w="560" w:type="dxa"/>
            <w:vAlign w:val="bottom"/>
          </w:tcPr>
          <w:p>
            <w:pPr>
              <w:spacing w:after="0"/>
              <w:rPr>
                <w:sz w:val="20"/>
                <w:szCs w:val="20"/>
                <w:color w:val="auto"/>
              </w:rPr>
            </w:pPr>
            <w:r>
              <w:rPr>
                <w:rFonts w:ascii="Courier New" w:cs="Courier New" w:eastAsia="Courier New" w:hAnsi="Courier New"/>
                <w:sz w:val="16"/>
                <w:szCs w:val="16"/>
                <w:color w:val="auto"/>
                <w:w w:val="93"/>
              </w:rPr>
              <w:t>&lt; 2.25</w:t>
            </w:r>
          </w:p>
        </w:tc>
        <w:tc>
          <w:tcPr>
            <w:tcW w:w="17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to 1.00</w:t>
            </w:r>
          </w:p>
        </w:tc>
        <w:tc>
          <w:tcPr>
            <w:tcW w:w="1360" w:type="dxa"/>
            <w:vAlign w:val="bottom"/>
          </w:tcPr>
          <w:p>
            <w:pPr>
              <w:ind w:left="240"/>
              <w:spacing w:after="0"/>
              <w:rPr>
                <w:sz w:val="20"/>
                <w:szCs w:val="20"/>
                <w:color w:val="auto"/>
              </w:rPr>
            </w:pPr>
            <w:r>
              <w:rPr>
                <w:rFonts w:ascii="Courier New" w:cs="Courier New" w:eastAsia="Courier New" w:hAnsi="Courier New"/>
                <w:sz w:val="16"/>
                <w:szCs w:val="16"/>
                <w:color w:val="auto"/>
              </w:rPr>
              <w:t>1.25%</w:t>
            </w: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0.00%</w:t>
            </w:r>
          </w:p>
        </w:tc>
        <w:tc>
          <w:tcPr>
            <w:tcW w:w="1220" w:type="dxa"/>
            <w:vAlign w:val="bottom"/>
          </w:tcPr>
          <w:p>
            <w:pPr>
              <w:jc w:val="center"/>
              <w:ind w:left="1"/>
              <w:spacing w:after="0"/>
              <w:rPr>
                <w:sz w:val="20"/>
                <w:szCs w:val="20"/>
                <w:color w:val="auto"/>
              </w:rPr>
            </w:pPr>
            <w:r>
              <w:rPr>
                <w:rFonts w:ascii="Courier New" w:cs="Courier New" w:eastAsia="Courier New" w:hAnsi="Courier New"/>
                <w:sz w:val="16"/>
                <w:szCs w:val="16"/>
                <w:color w:val="auto"/>
              </w:rPr>
              <w:t>0.375%</w:t>
            </w:r>
          </w:p>
        </w:tc>
      </w:tr>
      <w:tr>
        <w:trPr>
          <w:trHeight w:val="182"/>
        </w:trPr>
        <w:tc>
          <w:tcPr>
            <w:tcW w:w="560" w:type="dxa"/>
            <w:vAlign w:val="bottom"/>
          </w:tcPr>
          <w:p>
            <w:pPr>
              <w:spacing w:after="0"/>
              <w:rPr>
                <w:sz w:val="20"/>
                <w:szCs w:val="20"/>
                <w:color w:val="auto"/>
              </w:rPr>
            </w:pPr>
            <w:r>
              <w:rPr>
                <w:rFonts w:ascii="Courier New" w:cs="Courier New" w:eastAsia="Courier New" w:hAnsi="Courier New"/>
                <w:sz w:val="16"/>
                <w:szCs w:val="16"/>
                <w:color w:val="auto"/>
                <w:w w:val="93"/>
              </w:rPr>
              <w:t>&lt; 1.50</w:t>
            </w:r>
          </w:p>
        </w:tc>
        <w:tc>
          <w:tcPr>
            <w:tcW w:w="17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to 1.00</w:t>
            </w:r>
          </w:p>
        </w:tc>
        <w:tc>
          <w:tcPr>
            <w:tcW w:w="1360" w:type="dxa"/>
            <w:vAlign w:val="bottom"/>
          </w:tcPr>
          <w:p>
            <w:pPr>
              <w:ind w:left="240"/>
              <w:spacing w:after="0"/>
              <w:rPr>
                <w:sz w:val="20"/>
                <w:szCs w:val="20"/>
                <w:color w:val="auto"/>
              </w:rPr>
            </w:pPr>
            <w:r>
              <w:rPr>
                <w:rFonts w:ascii="Courier New" w:cs="Courier New" w:eastAsia="Courier New" w:hAnsi="Courier New"/>
                <w:sz w:val="16"/>
                <w:szCs w:val="16"/>
                <w:color w:val="auto"/>
              </w:rPr>
              <w:t>1.00%</w:t>
            </w: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0.00%</w:t>
            </w:r>
          </w:p>
        </w:tc>
        <w:tc>
          <w:tcPr>
            <w:tcW w:w="1220" w:type="dxa"/>
            <w:vAlign w:val="bottom"/>
          </w:tcPr>
          <w:p>
            <w:pPr>
              <w:jc w:val="center"/>
              <w:ind w:left="1"/>
              <w:spacing w:after="0"/>
              <w:rPr>
                <w:sz w:val="20"/>
                <w:szCs w:val="20"/>
                <w:color w:val="auto"/>
              </w:rPr>
            </w:pPr>
            <w:r>
              <w:rPr>
                <w:rFonts w:ascii="Courier New" w:cs="Courier New" w:eastAsia="Courier New" w:hAnsi="Courier New"/>
                <w:sz w:val="16"/>
                <w:szCs w:val="16"/>
                <w:color w:val="auto"/>
              </w:rPr>
              <w:t>0.375%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80" w:type="dxa"/>
            <w:vAlign w:val="bottom"/>
            <w:gridSpan w:val="2"/>
          </w:tcPr>
          <w:p>
            <w:pPr>
              <w:jc w:val="center"/>
              <w:ind w:right="121"/>
              <w:spacing w:after="0"/>
              <w:rPr>
                <w:sz w:val="20"/>
                <w:szCs w:val="20"/>
                <w:color w:val="auto"/>
              </w:rPr>
            </w:pPr>
            <w:r>
              <w:rPr>
                <w:rFonts w:ascii="Courier New" w:cs="Courier New" w:eastAsia="Courier New" w:hAnsi="Courier New"/>
                <w:sz w:val="16"/>
                <w:szCs w:val="16"/>
                <w:color w:val="auto"/>
                <w:w w:val="99"/>
              </w:rPr>
              <w:t>Applicable</w:t>
            </w:r>
          </w:p>
        </w:tc>
      </w:tr>
      <w:tr>
        <w:trPr>
          <w:trHeight w:val="182"/>
        </w:trPr>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jc w:val="center"/>
              <w:ind w:left="481"/>
              <w:spacing w:after="0"/>
              <w:rPr>
                <w:sz w:val="20"/>
                <w:szCs w:val="20"/>
                <w:color w:val="auto"/>
              </w:rPr>
            </w:pPr>
            <w:r>
              <w:rPr>
                <w:rFonts w:ascii="Courier New" w:cs="Courier New" w:eastAsia="Courier New" w:hAnsi="Courier New"/>
                <w:sz w:val="16"/>
                <w:szCs w:val="16"/>
                <w:color w:val="auto"/>
                <w:w w:val="97"/>
              </w:rPr>
              <w:t>Margin</w:t>
            </w:r>
          </w:p>
        </w:tc>
        <w:tc>
          <w:tcPr>
            <w:tcW w:w="760" w:type="dxa"/>
            <w:vAlign w:val="bottom"/>
          </w:tcPr>
          <w:p>
            <w:pPr>
              <w:spacing w:after="0"/>
              <w:rPr>
                <w:sz w:val="15"/>
                <w:szCs w:val="15"/>
                <w:color w:val="auto"/>
              </w:rPr>
            </w:pPr>
          </w:p>
        </w:tc>
      </w:tr>
      <w:tr>
        <w:trPr>
          <w:trHeight w:val="182"/>
        </w:trPr>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80" w:type="dxa"/>
            <w:vAlign w:val="bottom"/>
            <w:gridSpan w:val="2"/>
          </w:tcPr>
          <w:p>
            <w:pPr>
              <w:jc w:val="center"/>
              <w:ind w:right="121"/>
              <w:spacing w:after="0"/>
              <w:rPr>
                <w:sz w:val="20"/>
                <w:szCs w:val="20"/>
                <w:color w:val="auto"/>
              </w:rPr>
            </w:pPr>
            <w:r>
              <w:rPr>
                <w:rFonts w:ascii="Courier New" w:cs="Courier New" w:eastAsia="Courier New" w:hAnsi="Courier New"/>
                <w:sz w:val="16"/>
                <w:szCs w:val="16"/>
                <w:color w:val="auto"/>
                <w:w w:val="99"/>
              </w:rPr>
              <w:t>Term Loans</w:t>
            </w:r>
          </w:p>
        </w:tc>
      </w:tr>
      <w:tr>
        <w:trPr>
          <w:trHeight w:val="182"/>
        </w:trPr>
        <w:tc>
          <w:tcPr>
            <w:tcW w:w="1320" w:type="dxa"/>
            <w:vAlign w:val="bottom"/>
          </w:tcPr>
          <w:p>
            <w:pPr>
              <w:ind w:left="460"/>
              <w:spacing w:after="0"/>
              <w:rPr>
                <w:sz w:val="20"/>
                <w:szCs w:val="20"/>
                <w:color w:val="auto"/>
              </w:rPr>
            </w:pPr>
            <w:r>
              <w:rPr>
                <w:rFonts w:ascii="Courier New" w:cs="Courier New" w:eastAsia="Courier New" w:hAnsi="Courier New"/>
                <w:sz w:val="16"/>
                <w:szCs w:val="16"/>
                <w:color w:val="auto"/>
              </w:rPr>
              <w:t>Leverage</w:t>
            </w:r>
          </w:p>
        </w:tc>
        <w:tc>
          <w:tcPr>
            <w:tcW w:w="860" w:type="dxa"/>
            <w:vAlign w:val="bottom"/>
          </w:tcPr>
          <w:p>
            <w:pPr>
              <w:spacing w:after="0"/>
              <w:rPr>
                <w:sz w:val="15"/>
                <w:szCs w:val="15"/>
                <w:color w:val="auto"/>
              </w:rPr>
            </w:pPr>
          </w:p>
        </w:tc>
        <w:tc>
          <w:tcPr>
            <w:tcW w:w="20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2"/>
        </w:trPr>
        <w:tc>
          <w:tcPr>
            <w:tcW w:w="1320" w:type="dxa"/>
            <w:vAlign w:val="bottom"/>
          </w:tcPr>
          <w:p>
            <w:pPr>
              <w:ind w:left="560"/>
              <w:spacing w:after="0"/>
              <w:rPr>
                <w:sz w:val="20"/>
                <w:szCs w:val="20"/>
                <w:color w:val="auto"/>
              </w:rPr>
            </w:pPr>
            <w:r>
              <w:rPr>
                <w:rFonts w:ascii="Courier New" w:cs="Courier New" w:eastAsia="Courier New" w:hAnsi="Courier New"/>
                <w:sz w:val="16"/>
                <w:szCs w:val="16"/>
                <w:color w:val="auto"/>
              </w:rPr>
              <w:t>Ratio</w:t>
            </w:r>
          </w:p>
        </w:tc>
        <w:tc>
          <w:tcPr>
            <w:tcW w:w="860" w:type="dxa"/>
            <w:vAlign w:val="bottom"/>
          </w:tcPr>
          <w:p>
            <w:pPr>
              <w:spacing w:after="0"/>
              <w:rPr>
                <w:sz w:val="15"/>
                <w:szCs w:val="15"/>
                <w:color w:val="auto"/>
              </w:rPr>
            </w:pPr>
          </w:p>
        </w:tc>
        <w:tc>
          <w:tcPr>
            <w:tcW w:w="1320" w:type="dxa"/>
            <w:vAlign w:val="bottom"/>
          </w:tcPr>
          <w:p>
            <w:pPr>
              <w:ind w:left="180"/>
              <w:spacing w:after="0"/>
              <w:rPr>
                <w:sz w:val="20"/>
                <w:szCs w:val="20"/>
                <w:color w:val="auto"/>
              </w:rPr>
            </w:pPr>
            <w:r>
              <w:rPr>
                <w:rFonts w:ascii="Courier New" w:cs="Courier New" w:eastAsia="Courier New" w:hAnsi="Courier New"/>
                <w:sz w:val="16"/>
                <w:szCs w:val="16"/>
                <w:color w:val="auto"/>
              </w:rPr>
              <w:t>LIBOR</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ABR</w:t>
            </w:r>
          </w:p>
        </w:tc>
      </w:tr>
      <w:tr>
        <w:trPr>
          <w:trHeight w:val="182"/>
        </w:trPr>
        <w:tc>
          <w:tcPr>
            <w:tcW w:w="2180" w:type="dxa"/>
            <w:vAlign w:val="bottom"/>
            <w:gridSpan w:val="2"/>
          </w:tcPr>
          <w:p>
            <w:pPr>
              <w:spacing w:after="0"/>
              <w:rPr>
                <w:sz w:val="20"/>
                <w:szCs w:val="20"/>
                <w:color w:val="auto"/>
              </w:rPr>
            </w:pPr>
            <w:r>
              <w:rPr>
                <w:rFonts w:ascii="Courier New" w:cs="Courier New" w:eastAsia="Courier New" w:hAnsi="Courier New"/>
                <w:sz w:val="16"/>
                <w:szCs w:val="16"/>
                <w:color w:val="auto"/>
                <w:w w:val="97"/>
              </w:rPr>
              <w:t>- ---------------------</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1320" w:type="dxa"/>
            <w:vAlign w:val="bottom"/>
          </w:tcPr>
          <w:p>
            <w:pPr>
              <w:spacing w:after="0"/>
              <w:rPr>
                <w:sz w:val="20"/>
                <w:szCs w:val="20"/>
                <w:color w:val="auto"/>
              </w:rPr>
            </w:pPr>
            <w:r>
              <w:rPr>
                <w:rFonts w:ascii="Courier New" w:cs="Courier New" w:eastAsia="Courier New" w:hAnsi="Courier New"/>
                <w:sz w:val="16"/>
                <w:szCs w:val="16"/>
                <w:color w:val="auto"/>
              </w:rPr>
              <w:t>&gt; 2.0 to 1.0</w:t>
            </w:r>
          </w:p>
        </w:tc>
        <w:tc>
          <w:tcPr>
            <w:tcW w:w="860" w:type="dxa"/>
            <w:vAlign w:val="bottom"/>
          </w:tcPr>
          <w:p>
            <w:pPr>
              <w:spacing w:after="0"/>
              <w:rPr>
                <w:sz w:val="24"/>
                <w:szCs w:val="24"/>
                <w:color w:val="auto"/>
              </w:rPr>
            </w:pPr>
          </w:p>
        </w:tc>
        <w:tc>
          <w:tcPr>
            <w:tcW w:w="1320" w:type="dxa"/>
            <w:vAlign w:val="bottom"/>
          </w:tcPr>
          <w:p>
            <w:pPr>
              <w:ind w:left="180"/>
              <w:spacing w:after="0"/>
              <w:rPr>
                <w:sz w:val="20"/>
                <w:szCs w:val="20"/>
                <w:color w:val="auto"/>
              </w:rPr>
            </w:pPr>
            <w:r>
              <w:rPr>
                <w:rFonts w:ascii="Courier New" w:cs="Courier New" w:eastAsia="Courier New" w:hAnsi="Courier New"/>
                <w:sz w:val="16"/>
                <w:szCs w:val="16"/>
                <w:color w:val="auto"/>
              </w:rPr>
              <w:t>2.00%</w:t>
            </w:r>
          </w:p>
        </w:tc>
        <w:tc>
          <w:tcPr>
            <w:tcW w:w="7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1"/>
              </w:rPr>
              <w:t>0.75%</w:t>
            </w:r>
          </w:p>
        </w:tc>
      </w:tr>
      <w:tr>
        <w:trPr>
          <w:trHeight w:val="182"/>
        </w:trPr>
        <w:tc>
          <w:tcPr>
            <w:tcW w:w="1320" w:type="dxa"/>
            <w:vAlign w:val="bottom"/>
          </w:tcPr>
          <w:p>
            <w:pPr>
              <w:spacing w:after="0"/>
              <w:rPr>
                <w:sz w:val="20"/>
                <w:szCs w:val="20"/>
                <w:color w:val="auto"/>
              </w:rPr>
            </w:pPr>
            <w:r>
              <w:rPr>
                <w:rFonts w:ascii="Courier New" w:cs="Courier New" w:eastAsia="Courier New" w:hAnsi="Courier New"/>
                <w:sz w:val="16"/>
                <w:szCs w:val="16"/>
                <w:color w:val="auto"/>
              </w:rPr>
              <w:t>&lt; or = to 2.0</w:t>
            </w:r>
          </w:p>
        </w:tc>
        <w:tc>
          <w:tcPr>
            <w:tcW w:w="860" w:type="dxa"/>
            <w:vAlign w:val="bottom"/>
          </w:tcPr>
          <w:p>
            <w:pPr>
              <w:spacing w:after="0"/>
              <w:rPr>
                <w:sz w:val="20"/>
                <w:szCs w:val="20"/>
                <w:color w:val="auto"/>
              </w:rPr>
            </w:pPr>
            <w:r>
              <w:rPr>
                <w:rFonts w:ascii="Courier New" w:cs="Courier New" w:eastAsia="Courier New" w:hAnsi="Courier New"/>
                <w:sz w:val="16"/>
                <w:szCs w:val="16"/>
                <w:color w:val="auto"/>
              </w:rPr>
              <w:t>to 1.00</w:t>
            </w:r>
          </w:p>
        </w:tc>
        <w:tc>
          <w:tcPr>
            <w:tcW w:w="1320" w:type="dxa"/>
            <w:vAlign w:val="bottom"/>
          </w:tcPr>
          <w:p>
            <w:pPr>
              <w:ind w:left="180"/>
              <w:spacing w:after="0"/>
              <w:rPr>
                <w:sz w:val="20"/>
                <w:szCs w:val="20"/>
                <w:color w:val="auto"/>
              </w:rPr>
            </w:pPr>
            <w:r>
              <w:rPr>
                <w:rFonts w:ascii="Courier New" w:cs="Courier New" w:eastAsia="Courier New" w:hAnsi="Courier New"/>
                <w:sz w:val="16"/>
                <w:szCs w:val="16"/>
                <w:color w:val="auto"/>
              </w:rPr>
              <w:t>1.75%</w:t>
            </w:r>
          </w:p>
        </w:tc>
        <w:tc>
          <w:tcPr>
            <w:tcW w:w="7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1"/>
              </w:rPr>
              <w:t>0.50%</w:t>
            </w:r>
          </w:p>
        </w:tc>
      </w:tr>
    </w:tbl>
    <w:p>
      <w:pPr>
        <w:spacing w:after="0" w:line="36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Changes in the Applicable Margin or in the Facility Fee Rate resulting from changes in the Leverage Ratio shall become effective on the date (the "Adjustment Date") on which financial statements are delivered to the Lenders pursuant to subsection 6.1 (but in any event not later than the 45th day after the end of each of the first three quarterly periods of each fiscal year of the Borrower or the 90th day after the end of each fiscal year of the Borrower, as the case may be) and shall remain in effect until the next change to be effected pursuant to this paragraph. If any financial statements referred to above are not delivered within the time periods specified above, then, until such financial statements are delivered, the Leverage Ratio as at the end of the fiscal period that would have been covered thereby shall for the purposes of this definition be deemed to be greater than or equal to 2.75 to 1.00. In addition, at all times while an Event of Default shall have occurred and be continuing, the Leverage Ratio shall for the purposes of this definition be deemed to be greater than 2.75 to 1.00. Each determination of the Leverage Ratio pursuant to this pricing grid shall be made with respect to (or, in the case of Average Total Indebtedness, as at the end of) the period of four consecutive fiscal quarters of the Borrower ending at the end of the period covered by the relevant financial statements.</w:t>
      </w:r>
    </w:p>
    <w:p>
      <w:pPr>
        <w:sectPr>
          <w:pgSz w:w="11900" w:h="16838" w:orient="portrait"/>
          <w:cols w:equalWidth="0" w:num="1">
            <w:col w:w="10219"/>
          </w:cols>
          <w:pgMar w:left="240" w:top="477" w:right="1440" w:bottom="1440" w:gutter="0" w:footer="0" w:header="0"/>
        </w:sectPr>
      </w:pPr>
    </w:p>
    <w:bookmarkStart w:id="521" w:name="page522"/>
    <w:bookmarkEnd w:id="521"/>
    <w:p>
      <w:pPr>
        <w:jc w:val="right"/>
        <w:ind w:right="2659"/>
        <w:spacing w:after="0"/>
        <w:rPr>
          <w:sz w:val="20"/>
          <w:szCs w:val="20"/>
          <w:color w:val="auto"/>
        </w:rPr>
      </w:pPr>
      <w:r>
        <w:rPr>
          <w:rFonts w:ascii="Courier New" w:cs="Courier New" w:eastAsia="Courier New" w:hAnsi="Courier New"/>
          <w:sz w:val="16"/>
          <w:szCs w:val="16"/>
          <w:color w:val="auto"/>
        </w:rPr>
        <w:t>Exhibit 10(g)(4)</w:t>
      </w:r>
    </w:p>
    <w:p>
      <w:pPr>
        <w:spacing w:after="0" w:line="183" w:lineRule="exact"/>
        <w:rPr>
          <w:sz w:val="20"/>
          <w:szCs w:val="20"/>
          <w:color w:val="auto"/>
        </w:rPr>
      </w:pPr>
    </w:p>
    <w:p>
      <w:pPr>
        <w:ind w:left="3123"/>
        <w:spacing w:after="0"/>
        <w:rPr>
          <w:sz w:val="20"/>
          <w:szCs w:val="20"/>
          <w:color w:val="auto"/>
        </w:rPr>
      </w:pPr>
      <w:r>
        <w:rPr>
          <w:rFonts w:ascii="Courier New" w:cs="Courier New" w:eastAsia="Courier New" w:hAnsi="Courier New"/>
          <w:sz w:val="16"/>
          <w:szCs w:val="16"/>
          <w:color w:val="auto"/>
        </w:rPr>
        <w:t>THIRD AMENDMENT</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TO</w:t>
      </w:r>
    </w:p>
    <w:p>
      <w:pPr>
        <w:spacing w:after="0" w:line="183"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THE SCOTTS COMPANY</w:t>
      </w:r>
    </w:p>
    <w:p>
      <w:pPr>
        <w:spacing w:after="0" w:line="183"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EXECUTIVE RETIREMENT PLAN</w:t>
      </w:r>
    </w:p>
    <w:p>
      <w:pPr>
        <w:spacing w:after="0" w:line="186" w:lineRule="exact"/>
        <w:rPr>
          <w:sz w:val="20"/>
          <w:szCs w:val="20"/>
          <w:color w:val="auto"/>
        </w:rPr>
      </w:pPr>
    </w:p>
    <w:p>
      <w:pPr>
        <w:ind w:left="3" w:right="2939" w:firstLine="567"/>
        <w:spacing w:after="0" w:line="237" w:lineRule="auto"/>
        <w:rPr>
          <w:sz w:val="20"/>
          <w:szCs w:val="20"/>
          <w:color w:val="auto"/>
        </w:rPr>
      </w:pPr>
      <w:r>
        <w:rPr>
          <w:rFonts w:ascii="Courier New" w:cs="Courier New" w:eastAsia="Courier New" w:hAnsi="Courier New"/>
          <w:sz w:val="16"/>
          <w:szCs w:val="16"/>
          <w:color w:val="auto"/>
        </w:rPr>
        <w:t>WHEREAS, The Scotts Company (the "Company") sponsors The Scotts Company Executive Retirement Plan (the "Plan"); and</w:t>
      </w:r>
    </w:p>
    <w:p>
      <w:pPr>
        <w:spacing w:after="0" w:line="188" w:lineRule="exact"/>
        <w:rPr>
          <w:sz w:val="20"/>
          <w:szCs w:val="20"/>
          <w:color w:val="auto"/>
        </w:rPr>
      </w:pPr>
    </w:p>
    <w:p>
      <w:pPr>
        <w:ind w:left="3" w:right="2659" w:firstLine="567"/>
        <w:spacing w:after="0" w:line="238" w:lineRule="auto"/>
        <w:rPr>
          <w:sz w:val="20"/>
          <w:szCs w:val="20"/>
          <w:color w:val="auto"/>
        </w:rPr>
      </w:pPr>
      <w:r>
        <w:rPr>
          <w:rFonts w:ascii="Courier New" w:cs="Courier New" w:eastAsia="Courier New" w:hAnsi="Courier New"/>
          <w:sz w:val="16"/>
          <w:szCs w:val="16"/>
          <w:color w:val="auto"/>
        </w:rPr>
        <w:t>WHEREAS, the Company wants to amend the Plan to require that deferral elections be expressed as a percentage of compensation (and not as a flat dollar amount);</w:t>
      </w:r>
    </w:p>
    <w:p>
      <w:pPr>
        <w:spacing w:after="0" w:line="184" w:lineRule="exact"/>
        <w:rPr>
          <w:sz w:val="20"/>
          <w:szCs w:val="20"/>
          <w:color w:val="auto"/>
        </w:rPr>
      </w:pPr>
    </w:p>
    <w:p>
      <w:pPr>
        <w:ind w:left="563"/>
        <w:spacing w:after="0"/>
        <w:rPr>
          <w:sz w:val="20"/>
          <w:szCs w:val="20"/>
          <w:color w:val="auto"/>
        </w:rPr>
      </w:pPr>
      <w:r>
        <w:rPr>
          <w:rFonts w:ascii="Courier New" w:cs="Courier New" w:eastAsia="Courier New" w:hAnsi="Courier New"/>
          <w:sz w:val="16"/>
          <w:szCs w:val="16"/>
          <w:color w:val="auto"/>
        </w:rPr>
        <w:t>NOW, THEREFORE, effective as of January 1, 2003:</w:t>
      </w:r>
    </w:p>
    <w:p>
      <w:pPr>
        <w:spacing w:after="0" w:line="183" w:lineRule="exact"/>
        <w:rPr>
          <w:sz w:val="20"/>
          <w:szCs w:val="20"/>
          <w:color w:val="auto"/>
        </w:rPr>
      </w:pPr>
    </w:p>
    <w:p>
      <w:pPr>
        <w:ind w:left="563" w:hanging="563"/>
        <w:spacing w:after="0"/>
        <w:tabs>
          <w:tab w:leader="none" w:pos="563" w:val="left"/>
        </w:tabs>
        <w:numPr>
          <w:ilvl w:val="0"/>
          <w:numId w:val="5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(1) of Section IV.B of the Plan is amended to provide:</w:t>
      </w:r>
    </w:p>
    <w:p>
      <w:pPr>
        <w:spacing w:after="0" w:line="186" w:lineRule="exact"/>
        <w:rPr>
          <w:rFonts w:ascii="Courier New" w:cs="Courier New" w:eastAsia="Courier New" w:hAnsi="Courier New"/>
          <w:sz w:val="16"/>
          <w:szCs w:val="16"/>
          <w:color w:val="auto"/>
        </w:rPr>
      </w:pPr>
    </w:p>
    <w:p>
      <w:pPr>
        <w:ind w:left="563" w:right="2659" w:firstLine="572"/>
        <w:spacing w:after="0"/>
        <w:tabs>
          <w:tab w:leader="none" w:pos="1509" w:val="left"/>
        </w:tabs>
        <w:numPr>
          <w:ilvl w:val="1"/>
          <w:numId w:val="5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Plan Year, an Eligible Employee may elect to have a percentage of his Executive Incentive Pay which is to be awarded to him by the Employer for the Plan Year in question allocated to his Deferred Executive Incentive Pay Account and paid on a deferred basis pursuant to the terms of the Plan. To exercise such an election for any Plan Year, within thirty (30) days after the Executive Annual Incentive Plan is finalized for the Plan Year, the Eligible Employee must advise the Employer of his election, in writing, on an Executive Incentive Pay Deferral Election. Such Executive Incentive Pay Deferral Election shall apply only to Executive Incentive Pay payable to the Participant after the date on which the Executive Incentive Pay Deferral Election is received by the Administrative Committee. If an Eligible Employee terminates employment or changes to an employment status other than an Eligible Employee, his election to defer Executive Incentive Pay shall terminate and no additional amounts shall be deferred.</w:t>
      </w:r>
    </w:p>
    <w:p>
      <w:pPr>
        <w:spacing w:after="0" w:line="187" w:lineRule="exact"/>
        <w:rPr>
          <w:rFonts w:ascii="Courier New" w:cs="Courier New" w:eastAsia="Courier New" w:hAnsi="Courier New"/>
          <w:sz w:val="16"/>
          <w:szCs w:val="16"/>
          <w:color w:val="auto"/>
        </w:rPr>
      </w:pPr>
    </w:p>
    <w:p>
      <w:pPr>
        <w:ind w:left="563" w:hanging="563"/>
        <w:spacing w:after="0"/>
        <w:tabs>
          <w:tab w:leader="none" w:pos="563" w:val="left"/>
        </w:tabs>
        <w:numPr>
          <w:ilvl w:val="0"/>
          <w:numId w:val="5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(3) of Section IV.B of the Plan is amended to provide:</w:t>
      </w:r>
    </w:p>
    <w:p>
      <w:pPr>
        <w:spacing w:after="0" w:line="186" w:lineRule="exact"/>
        <w:rPr>
          <w:rFonts w:ascii="Courier New" w:cs="Courier New" w:eastAsia="Courier New" w:hAnsi="Courier New"/>
          <w:sz w:val="16"/>
          <w:szCs w:val="16"/>
          <w:color w:val="auto"/>
        </w:rPr>
      </w:pPr>
    </w:p>
    <w:p>
      <w:pPr>
        <w:ind w:left="563" w:right="2659" w:firstLine="572"/>
        <w:spacing w:after="0" w:line="239" w:lineRule="auto"/>
        <w:tabs>
          <w:tab w:leader="none" w:pos="1509" w:val="left"/>
        </w:tabs>
        <w:numPr>
          <w:ilvl w:val="1"/>
          <w:numId w:val="5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Executive Incentive Pay Deferral Election is submitted to the Administrative Committee in accordance with this Section, the Employer will allocate to the Participant's Deferred Executive Incentive Pay Account the percentage of Executive Incentive Pay specified in the Executive Incentive Pay Deferral Election.</w:t>
      </w:r>
    </w:p>
    <w:p>
      <w:pPr>
        <w:sectPr>
          <w:pgSz w:w="11900" w:h="16838" w:orient="portrait"/>
          <w:cols w:equalWidth="0" w:num="1">
            <w:col w:w="10222"/>
          </w:cols>
          <w:pgMar w:left="237" w:top="319" w:right="1440" w:bottom="1440" w:gutter="0" w:footer="0" w:header="0"/>
        </w:sectPr>
      </w:pPr>
    </w:p>
    <w:bookmarkStart w:id="522" w:name="page523"/>
    <w:bookmarkEnd w:id="522"/>
    <w:p>
      <w:pPr>
        <w:ind w:left="563" w:hanging="563"/>
        <w:spacing w:after="0"/>
        <w:tabs>
          <w:tab w:leader="none" w:pos="563" w:val="left"/>
        </w:tabs>
        <w:numPr>
          <w:ilvl w:val="0"/>
          <w:numId w:val="5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(1) of Section IV.C of the Plan is amended to provide:</w:t>
      </w:r>
    </w:p>
    <w:p>
      <w:pPr>
        <w:spacing w:after="0" w:line="186" w:lineRule="exact"/>
        <w:rPr>
          <w:rFonts w:ascii="Courier New" w:cs="Courier New" w:eastAsia="Courier New" w:hAnsi="Courier New"/>
          <w:sz w:val="16"/>
          <w:szCs w:val="16"/>
          <w:color w:val="auto"/>
        </w:rPr>
      </w:pPr>
    </w:p>
    <w:p>
      <w:pPr>
        <w:ind w:left="563" w:right="2659" w:firstLine="572"/>
        <w:spacing w:after="0" w:line="257" w:lineRule="auto"/>
        <w:tabs>
          <w:tab w:leader="none" w:pos="1509" w:val="left"/>
        </w:tabs>
        <w:numPr>
          <w:ilvl w:val="1"/>
          <w:numId w:val="5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pay period, subject to the maximum percentage deferral permitted under the terms of the Qualified Plan, an Eligible Employee may elect to have a percentage of his Compensation which is to be paid to him by the Employer for the pay period in question allocated to his Deferred Compensation Account and paid on a deferred basis pursuant to the terms of the Plan. To exercise such election for any Plan Year, within thirty (30) days prior to the beginning of such Plan Year, the Eligible Employee must advise the Employer of his election, in writing, on a Compensation Deferral Election. Such Compensation Deferral Election shall apply only to Compensation payable to the Participant after the date on which the Compensation Deferral Election is received by the Administrative Committee. If an Eligible Employee terminates employment or changes to an employment status other than an Eligible Employee, his election to defer Compensation shall terminate and no additional amounts shall be deferred. A Participant shall be permitted, pursuant to this Section IV.C. to defer amounts of his Compensation that could otherwise have been contributed to the Qualified Plan, for such Plan Year, were it not for the application of any of the Statutory Limits. If, during the Plan Year, in the sole discretion of the Administrative Committee and the administrator of the Qualified Plan, contribution percentages under the Qualified Plan must be further reduced to insure passage of the ADP Test and/or the ACP Test, or Participants' contributions to the Qualified Plan must be reduced to satisfy the Deferral Limit, any reduced contribution attributable to Participants of this Plan shall be deferred automatically under this Plan. However, if it is determined after the end of the Plan Year that the ADP and/or the ACP Test would be failed, any and all corrective action will be taken in accordance with the rules of the Qualified Plan and no additional amounts may be deferred under this Plan for that Plan Year.</w:t>
      </w:r>
    </w:p>
    <w:p>
      <w:pPr>
        <w:spacing w:after="0" w:line="362" w:lineRule="exact"/>
        <w:rPr>
          <w:sz w:val="20"/>
          <w:szCs w:val="20"/>
          <w:color w:val="auto"/>
        </w:rPr>
      </w:pPr>
    </w:p>
    <w:p>
      <w:pPr>
        <w:ind w:left="3" w:right="2839" w:firstLine="567"/>
        <w:spacing w:after="0" w:line="237" w:lineRule="auto"/>
        <w:rPr>
          <w:sz w:val="20"/>
          <w:szCs w:val="20"/>
          <w:color w:val="auto"/>
        </w:rPr>
      </w:pPr>
      <w:r>
        <w:rPr>
          <w:rFonts w:ascii="Courier New" w:cs="Courier New" w:eastAsia="Courier New" w:hAnsi="Courier New"/>
          <w:sz w:val="16"/>
          <w:szCs w:val="16"/>
          <w:color w:val="auto"/>
        </w:rPr>
        <w:t>IN WITNESS WHEREOF, the Company has caused this Amendment to be executed as of the 1st day of December, 2002.</w:t>
      </w:r>
    </w:p>
    <w:p>
      <w:pPr>
        <w:spacing w:after="0" w:line="366"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THE SCOTTS COMPANY</w:t>
      </w:r>
    </w:p>
    <w:p>
      <w:pPr>
        <w:spacing w:after="0" w:line="183" w:lineRule="exact"/>
        <w:rPr>
          <w:sz w:val="20"/>
          <w:szCs w:val="20"/>
          <w:color w:val="auto"/>
        </w:rPr>
      </w:pPr>
    </w:p>
    <w:p>
      <w:pPr>
        <w:ind w:left="3503"/>
        <w:spacing w:after="0"/>
        <w:tabs>
          <w:tab w:leader="none" w:pos="3943" w:val="left"/>
        </w:tabs>
        <w:rPr>
          <w:sz w:val="20"/>
          <w:szCs w:val="20"/>
          <w:color w:val="auto"/>
        </w:rPr>
      </w:pPr>
      <w:r>
        <w:rPr>
          <w:rFonts w:ascii="Courier New" w:cs="Courier New" w:eastAsia="Courier New" w:hAnsi="Courier New"/>
          <w:sz w:val="16"/>
          <w:szCs w:val="16"/>
          <w:color w:val="auto"/>
        </w:rPr>
        <w:t>By:</w:t>
        <w:tab/>
        <w:t>/s/ George A. Murphy</w:t>
      </w:r>
    </w:p>
    <w:p>
      <w:pPr>
        <w:spacing w:after="0" w:line="5" w:lineRule="exact"/>
        <w:rPr>
          <w:sz w:val="20"/>
          <w:szCs w:val="20"/>
          <w:color w:val="auto"/>
        </w:rPr>
      </w:pPr>
    </w:p>
    <w:p>
      <w:pPr>
        <w:ind w:left="3883"/>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83"/>
        <w:spacing w:after="0"/>
        <w:rPr>
          <w:sz w:val="20"/>
          <w:szCs w:val="20"/>
          <w:color w:val="auto"/>
        </w:rPr>
      </w:pPr>
      <w:r>
        <w:rPr>
          <w:rFonts w:ascii="Courier New" w:cs="Courier New" w:eastAsia="Courier New" w:hAnsi="Courier New"/>
          <w:sz w:val="16"/>
          <w:szCs w:val="16"/>
          <w:color w:val="auto"/>
        </w:rPr>
        <w:t>George A. Murphy, Vice President --</w:t>
      </w:r>
    </w:p>
    <w:p>
      <w:pPr>
        <w:spacing w:after="0" w:line="1" w:lineRule="exact"/>
        <w:rPr>
          <w:sz w:val="20"/>
          <w:szCs w:val="20"/>
          <w:color w:val="auto"/>
        </w:rPr>
      </w:pPr>
    </w:p>
    <w:p>
      <w:pPr>
        <w:ind w:left="3883"/>
        <w:spacing w:after="0"/>
        <w:rPr>
          <w:sz w:val="20"/>
          <w:szCs w:val="20"/>
          <w:color w:val="auto"/>
        </w:rPr>
      </w:pPr>
      <w:r>
        <w:rPr>
          <w:rFonts w:ascii="Courier New" w:cs="Courier New" w:eastAsia="Courier New" w:hAnsi="Courier New"/>
          <w:sz w:val="16"/>
          <w:szCs w:val="16"/>
          <w:color w:val="auto"/>
        </w:rPr>
        <w:t>Global Compensation and Benefits</w:t>
      </w:r>
    </w:p>
    <w:p>
      <w:pPr>
        <w:sectPr>
          <w:pgSz w:w="11900" w:h="16838" w:orient="portrait"/>
          <w:cols w:equalWidth="0" w:num="1">
            <w:col w:w="10222"/>
          </w:cols>
          <w:pgMar w:left="237" w:top="477" w:right="1440" w:bottom="1440" w:gutter="0" w:footer="0" w:header="0"/>
        </w:sectPr>
      </w:pPr>
    </w:p>
    <w:bookmarkStart w:id="523" w:name="page524"/>
    <w:bookmarkEnd w:id="523"/>
    <w:p>
      <w:pPr>
        <w:ind w:left="6340"/>
        <w:spacing w:after="0"/>
        <w:rPr>
          <w:sz w:val="20"/>
          <w:szCs w:val="20"/>
          <w:color w:val="auto"/>
        </w:rPr>
      </w:pPr>
      <w:r>
        <w:rPr>
          <w:rFonts w:ascii="Courier New" w:cs="Courier New" w:eastAsia="Courier New" w:hAnsi="Courier New"/>
          <w:sz w:val="15"/>
          <w:szCs w:val="15"/>
          <w:color w:val="auto"/>
        </w:rPr>
        <w:t>Exhibit 10(k)</w:t>
      </w:r>
    </w:p>
    <w:p>
      <w:pPr>
        <w:spacing w:after="0" w:line="194"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The Compensation and Organization Committee of the Board of Directors of The Scotts Company (the "Company") has approved certain employment, severance and change in control terms applicable to David M. Aronowitz, Michael P. Kelty, Ph.D., Christopher L. Nagel and Denise S. Stump. Pursuant to these terms, if the employment of any of these executive officers is terminated by the Company, other than for cause, within 18 months following a change in control of the Company (as defined in each of the 1996 Plan and the 2003 Plan), such executive officer will be entitled to receive a lump sum payment within 90 days after termination equal to two times the executive officer's base salary plus two times the executive officer's target incentive under the Executive Incentive Plan or any successor incentive compensation plan, in each case as in effect at the date of termination. If the employment of any of these executive officers is terminated by the Company prior to a change in control, other than for cause, such executive officer will be entitled to receive two times the executive officer's base salary in effect at the date of termination in a lump sum within 90 days after termination.</w:t>
      </w:r>
    </w:p>
    <w:p>
      <w:pPr>
        <w:sectPr>
          <w:pgSz w:w="11900" w:h="16838" w:orient="portrait"/>
          <w:cols w:equalWidth="0" w:num="1">
            <w:col w:w="10219"/>
          </w:cols>
          <w:pgMar w:left="240" w:top="323" w:right="1440" w:bottom="1440" w:gutter="0" w:footer="0" w:header="0"/>
        </w:sectPr>
      </w:pPr>
    </w:p>
    <w:bookmarkStart w:id="524" w:name="page525"/>
    <w:bookmarkEnd w:id="524"/>
    <w:p>
      <w:pPr>
        <w:ind w:left="6623"/>
        <w:spacing w:after="0"/>
        <w:rPr>
          <w:sz w:val="20"/>
          <w:szCs w:val="20"/>
          <w:color w:val="auto"/>
        </w:rPr>
      </w:pPr>
      <w:r>
        <w:rPr>
          <w:rFonts w:ascii="Courier New" w:cs="Courier New" w:eastAsia="Courier New" w:hAnsi="Courier New"/>
          <w:sz w:val="15"/>
          <w:szCs w:val="15"/>
          <w:color w:val="auto"/>
        </w:rPr>
        <w:t>Exhibit 14</w:t>
      </w:r>
    </w:p>
    <w:p>
      <w:pPr>
        <w:spacing w:after="0" w:line="190" w:lineRule="exact"/>
        <w:rPr>
          <w:sz w:val="20"/>
          <w:szCs w:val="20"/>
          <w:color w:val="auto"/>
        </w:rPr>
      </w:pPr>
    </w:p>
    <w:p>
      <w:pPr>
        <w:ind w:left="3123"/>
        <w:spacing w:after="0"/>
        <w:rPr>
          <w:sz w:val="20"/>
          <w:szCs w:val="20"/>
          <w:color w:val="auto"/>
        </w:rPr>
      </w:pPr>
      <w:r>
        <w:rPr>
          <w:rFonts w:ascii="Courier New" w:cs="Courier New" w:eastAsia="Courier New" w:hAnsi="Courier New"/>
          <w:sz w:val="16"/>
          <w:szCs w:val="16"/>
          <w:color w:val="auto"/>
        </w:rPr>
        <w:t>[SCOTTS LOGO]</w:t>
      </w:r>
    </w:p>
    <w:p>
      <w:pPr>
        <w:sectPr>
          <w:pgSz w:w="11900" w:h="16838" w:orient="portrait"/>
          <w:cols w:equalWidth="0" w:num="1">
            <w:col w:w="10222"/>
          </w:cols>
          <w:pgMar w:left="237" w:top="323" w:right="1440" w:bottom="1440" w:gutter="0" w:footer="0" w:header="0"/>
        </w:sectPr>
      </w:pPr>
    </w:p>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CORPORATE POLICY W-AA-1</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CODE OF BUSINESS CONDUCT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ETHICS</w:t>
      </w:r>
    </w:p>
    <w:p>
      <w:pPr>
        <w:spacing w:after="0" w:line="186" w:lineRule="exact"/>
        <w:rPr>
          <w:sz w:val="20"/>
          <w:szCs w:val="20"/>
          <w:color w:val="auto"/>
        </w:rPr>
      </w:pPr>
    </w:p>
    <w:p>
      <w:pPr>
        <w:sectPr>
          <w:pgSz w:w="11900" w:h="16838" w:orient="portrait"/>
          <w:cols w:equalWidth="0" w:num="2">
            <w:col w:w="3823" w:space="720"/>
            <w:col w:w="5679"/>
          </w:cols>
          <w:pgMar w:left="237" w:top="323" w:right="1440" w:bottom="1440" w:gutter="0" w:footer="0" w:header="0"/>
          <w:type w:val="continuous"/>
        </w:sectPr>
      </w:pPr>
    </w:p>
    <w:p>
      <w:pPr>
        <w:ind w:left="3"/>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All Scotts Directors and Associates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(collectively "Associates")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Date: November 19, 2003</w:t>
      </w:r>
    </w:p>
    <w:p>
      <w:pPr>
        <w:spacing w:after="0" w:line="372" w:lineRule="exact"/>
        <w:rPr>
          <w:sz w:val="20"/>
          <w:szCs w:val="20"/>
          <w:color w:val="auto"/>
        </w:rPr>
      </w:pPr>
    </w:p>
    <w:p>
      <w:pPr>
        <w:sectPr>
          <w:pgSz w:w="11900" w:h="16838" w:orient="portrait"/>
          <w:cols w:equalWidth="0" w:num="3">
            <w:col w:w="283" w:space="280"/>
            <w:col w:w="3320" w:space="660"/>
            <w:col w:w="5679"/>
          </w:cols>
          <w:pgMar w:left="237" w:top="323" w:right="1440" w:bottom="1440" w:gutter="0" w:footer="0" w:header="0"/>
          <w:type w:val="continuous"/>
        </w:sectPr>
      </w:pPr>
    </w:p>
    <w:p>
      <w:pPr>
        <w:ind w:left="3"/>
        <w:spacing w:after="0"/>
        <w:rPr>
          <w:sz w:val="20"/>
          <w:szCs w:val="20"/>
          <w:color w:val="auto"/>
        </w:rPr>
      </w:pPr>
      <w:r>
        <w:rPr>
          <w:rFonts w:ascii="Courier New" w:cs="Courier New" w:eastAsia="Courier New" w:hAnsi="Courier New"/>
          <w:sz w:val="16"/>
          <w:szCs w:val="16"/>
          <w:color w:val="auto"/>
        </w:rPr>
        <w:t>FROM: James Hagedorn, CEO, Chairman of the Board and President</w:t>
      </w:r>
    </w:p>
    <w:p>
      <w:pPr>
        <w:spacing w:after="0" w:line="364" w:lineRule="exact"/>
        <w:rPr>
          <w:sz w:val="20"/>
          <w:szCs w:val="20"/>
          <w:color w:val="auto"/>
        </w:rPr>
      </w:pPr>
    </w:p>
    <w:p>
      <w:pPr>
        <w:ind w:left="2183"/>
        <w:spacing w:after="0"/>
        <w:rPr>
          <w:sz w:val="20"/>
          <w:szCs w:val="20"/>
          <w:color w:val="auto"/>
        </w:rPr>
      </w:pPr>
      <w:r>
        <w:rPr>
          <w:rFonts w:ascii="Courier New" w:cs="Courier New" w:eastAsia="Courier New" w:hAnsi="Courier New"/>
          <w:sz w:val="16"/>
          <w:szCs w:val="16"/>
          <w:color w:val="auto"/>
        </w:rPr>
        <w:t>CODE OF BUSINESS CONDUCT AND ETHICS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PREAMBLE:</w:t>
      </w:r>
    </w:p>
    <w:p>
      <w:pPr>
        <w:spacing w:after="0" w:line="186" w:lineRule="exact"/>
        <w:rPr>
          <w:sz w:val="20"/>
          <w:szCs w:val="20"/>
          <w:color w:val="auto"/>
        </w:rPr>
      </w:pPr>
    </w:p>
    <w:p>
      <w:pPr>
        <w:ind w:left="3" w:right="2659"/>
        <w:spacing w:after="0"/>
        <w:rPr>
          <w:sz w:val="20"/>
          <w:szCs w:val="20"/>
          <w:color w:val="auto"/>
        </w:rPr>
      </w:pPr>
      <w:r>
        <w:rPr>
          <w:rFonts w:ascii="Courier New" w:cs="Courier New" w:eastAsia="Courier New" w:hAnsi="Courier New"/>
          <w:sz w:val="16"/>
          <w:szCs w:val="16"/>
          <w:color w:val="auto"/>
        </w:rPr>
        <w:t>An ethical and honest approach to business is the most important core value of The Scotts Company. Winning is important. Winning at any cost, if it means violating our core values, is not acceptable at Scotts. All Associates at the Company are expected to exercise good judgment, honesty and integrity as they go about doing their jobs. The Company expects that each Associate will perform his or her job with maximum possible effectiveness, thus allowing us to create value for the Company's shareholders and a more secure, profitable and productive environment for the Company's Associates. This emphasis on performance, from time to time, may put stress on individuals. While a necessary by-product of operating in a high performance environment, this stress can never justify departure from the ethical standards that represent the core of what we are as a Company.</w:t>
      </w:r>
    </w:p>
    <w:p>
      <w:pPr>
        <w:spacing w:after="0" w:line="18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GENERAL POLICY:</w:t>
      </w:r>
    </w:p>
    <w:p>
      <w:pPr>
        <w:spacing w:after="0" w:line="186" w:lineRule="exact"/>
        <w:rPr>
          <w:sz w:val="20"/>
          <w:szCs w:val="20"/>
          <w:color w:val="auto"/>
        </w:rPr>
      </w:pPr>
    </w:p>
    <w:p>
      <w:pPr>
        <w:ind w:left="3" w:right="3219"/>
        <w:spacing w:after="0" w:line="237" w:lineRule="auto"/>
        <w:rPr>
          <w:sz w:val="20"/>
          <w:szCs w:val="20"/>
          <w:color w:val="auto"/>
        </w:rPr>
      </w:pPr>
      <w:r>
        <w:rPr>
          <w:rFonts w:ascii="Courier New" w:cs="Courier New" w:eastAsia="Courier New" w:hAnsi="Courier New"/>
          <w:sz w:val="16"/>
          <w:szCs w:val="16"/>
          <w:color w:val="auto"/>
        </w:rPr>
        <w:t>The Scotts Company Code of Business Conduct and Ethics is based upon three general principles:</w:t>
      </w:r>
    </w:p>
    <w:p>
      <w:pPr>
        <w:spacing w:after="0" w:line="188" w:lineRule="exact"/>
        <w:rPr>
          <w:sz w:val="20"/>
          <w:szCs w:val="20"/>
          <w:color w:val="auto"/>
        </w:rPr>
      </w:pPr>
    </w:p>
    <w:p>
      <w:pPr>
        <w:ind w:left="563" w:right="2659" w:hanging="563"/>
        <w:spacing w:after="0" w:line="238" w:lineRule="auto"/>
        <w:tabs>
          <w:tab w:leader="none" w:pos="185" w:val="left"/>
        </w:tabs>
        <w:numPr>
          <w:ilvl w:val="0"/>
          <w:numId w:val="5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THE LAW: Scotts and its Associates must abide by the letter and the spirit of all laws, rules and regulations that apply in all countries and communities where Scotts does business.</w:t>
      </w:r>
    </w:p>
    <w:p>
      <w:pPr>
        <w:spacing w:after="0" w:line="188" w:lineRule="exact"/>
        <w:rPr>
          <w:rFonts w:ascii="Courier New" w:cs="Courier New" w:eastAsia="Courier New" w:hAnsi="Courier New"/>
          <w:sz w:val="16"/>
          <w:szCs w:val="16"/>
          <w:color w:val="auto"/>
        </w:rPr>
      </w:pPr>
    </w:p>
    <w:p>
      <w:pPr>
        <w:ind w:left="563" w:right="2459" w:hanging="563"/>
        <w:spacing w:after="0" w:line="239" w:lineRule="auto"/>
        <w:tabs>
          <w:tab w:leader="none" w:pos="185" w:val="left"/>
        </w:tabs>
        <w:numPr>
          <w:ilvl w:val="0"/>
          <w:numId w:val="5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-ADHERENCE TO HIGH ETHICAL STANDARDS: Scotts and its Associates must adhere to the highest ethical standards of conduct in all business activities and act in a manner that exemplifies such standards and that enhances Scotts' standing as an ethical competitor within the business community.</w:t>
      </w:r>
    </w:p>
    <w:p>
      <w:pPr>
        <w:spacing w:after="0" w:line="187" w:lineRule="exact"/>
        <w:rPr>
          <w:rFonts w:ascii="Courier New" w:cs="Courier New" w:eastAsia="Courier New" w:hAnsi="Courier New"/>
          <w:sz w:val="16"/>
          <w:szCs w:val="16"/>
          <w:color w:val="auto"/>
        </w:rPr>
      </w:pPr>
    </w:p>
    <w:p>
      <w:pPr>
        <w:ind w:left="563" w:right="2839" w:hanging="563"/>
        <w:spacing w:after="0" w:line="238" w:lineRule="auto"/>
        <w:tabs>
          <w:tab w:leader="none" w:pos="185" w:val="left"/>
        </w:tabs>
        <w:numPr>
          <w:ilvl w:val="0"/>
          <w:numId w:val="5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-RESPONSIBLE BUSINESS CITIZENSHIP: Beyond compliance with legal requirements, Scotts and its Associates must act as responsible citizens in the countries and communities where Scotts does business.</w:t>
      </w:r>
    </w:p>
    <w:p>
      <w:pPr>
        <w:spacing w:after="0" w:line="188" w:lineRule="exact"/>
        <w:rPr>
          <w:sz w:val="20"/>
          <w:szCs w:val="20"/>
          <w:color w:val="auto"/>
        </w:rPr>
      </w:pPr>
    </w:p>
    <w:p>
      <w:pPr>
        <w:ind w:left="3" w:right="3039"/>
        <w:spacing w:after="0" w:line="237" w:lineRule="auto"/>
        <w:rPr>
          <w:sz w:val="20"/>
          <w:szCs w:val="20"/>
          <w:color w:val="auto"/>
        </w:rPr>
      </w:pPr>
      <w:r>
        <w:rPr>
          <w:rFonts w:ascii="Courier New" w:cs="Courier New" w:eastAsia="Courier New" w:hAnsi="Courier New"/>
          <w:sz w:val="16"/>
          <w:szCs w:val="16"/>
          <w:color w:val="auto"/>
        </w:rPr>
        <w:t>All Associates must apply these principles and seek advice when necessary or desirable to avoid potential problems (see section 5 below).</w:t>
      </w:r>
    </w:p>
    <w:p>
      <w:pPr>
        <w:sectPr>
          <w:pgSz w:w="11900" w:h="16838" w:orient="portrait"/>
          <w:cols w:equalWidth="0" w:num="1">
            <w:col w:w="10222"/>
          </w:cols>
          <w:pgMar w:left="237" w:top="323" w:right="1440" w:bottom="1440" w:gutter="0" w:footer="0" w:header="0"/>
          <w:type w:val="continuous"/>
        </w:sectPr>
      </w:pPr>
    </w:p>
    <w:bookmarkStart w:id="525" w:name="page526"/>
    <w:bookmarkEnd w:id="525"/>
    <w:p>
      <w:pPr>
        <w:ind w:left="283" w:hanging="283"/>
        <w:spacing w:after="0"/>
        <w:tabs>
          <w:tab w:leader="none" w:pos="283" w:val="left"/>
        </w:tabs>
        <w:numPr>
          <w:ilvl w:val="0"/>
          <w:numId w:val="5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 WITH HONESTY AND INTEGRITY.</w:t>
      </w:r>
    </w:p>
    <w:p>
      <w:pPr>
        <w:spacing w:after="0" w:line="186" w:lineRule="exact"/>
        <w:rPr>
          <w:rFonts w:ascii="Courier New" w:cs="Courier New" w:eastAsia="Courier New" w:hAnsi="Courier New"/>
          <w:sz w:val="16"/>
          <w:szCs w:val="16"/>
          <w:color w:val="auto"/>
        </w:rPr>
      </w:pPr>
    </w:p>
    <w:p>
      <w:pPr>
        <w:ind w:left="1143" w:right="2659" w:hanging="576"/>
        <w:spacing w:after="0" w:line="239" w:lineRule="auto"/>
        <w:tabs>
          <w:tab w:leader="none" w:pos="1143" w:val="left"/>
        </w:tabs>
        <w:numPr>
          <w:ilvl w:val="1"/>
          <w:numId w:val="5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OWNERSHIP OR FINANCIAL INTEREST/EMPLOYMENT IN OTHER BUSINESSES. Associates must avoid situations that present an actual or potential conflict between their personal interests and the interests of Scotts. Examples of such a conflict can include:</w:t>
      </w:r>
    </w:p>
    <w:p>
      <w:pPr>
        <w:spacing w:after="0" w:line="187" w:lineRule="exact"/>
        <w:rPr>
          <w:rFonts w:ascii="Courier New" w:cs="Courier New" w:eastAsia="Courier New" w:hAnsi="Courier New"/>
          <w:sz w:val="16"/>
          <w:szCs w:val="16"/>
          <w:color w:val="auto"/>
        </w:rPr>
      </w:pPr>
    </w:p>
    <w:p>
      <w:pPr>
        <w:ind w:left="1703" w:right="2839" w:hanging="568"/>
        <w:spacing w:after="0" w:line="237" w:lineRule="auto"/>
        <w:tabs>
          <w:tab w:leader="none" w:pos="1703" w:val="left"/>
        </w:tabs>
        <w:numPr>
          <w:ilvl w:val="2"/>
          <w:numId w:val="5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unapproved business relationship between an Associate, or an Associate's family member, and Scotts;</w:t>
      </w:r>
    </w:p>
    <w:p>
      <w:pPr>
        <w:spacing w:after="0" w:line="187" w:lineRule="exact"/>
        <w:rPr>
          <w:rFonts w:ascii="Courier New" w:cs="Courier New" w:eastAsia="Courier New" w:hAnsi="Courier New"/>
          <w:sz w:val="16"/>
          <w:szCs w:val="16"/>
          <w:color w:val="auto"/>
        </w:rPr>
      </w:pPr>
    </w:p>
    <w:p>
      <w:pPr>
        <w:ind w:left="1703" w:right="2759" w:hanging="568"/>
        <w:spacing w:after="0" w:line="238" w:lineRule="auto"/>
        <w:tabs>
          <w:tab w:leader="none" w:pos="1703" w:val="left"/>
        </w:tabs>
        <w:numPr>
          <w:ilvl w:val="2"/>
          <w:numId w:val="5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unapproved, material financial interest in, or business relationship with, a customer, supplier, vendor or competitor by an Associate or an Associate's family member;</w:t>
      </w:r>
    </w:p>
    <w:p>
      <w:pPr>
        <w:spacing w:after="0" w:line="188" w:lineRule="exact"/>
        <w:rPr>
          <w:rFonts w:ascii="Courier New" w:cs="Courier New" w:eastAsia="Courier New" w:hAnsi="Courier New"/>
          <w:sz w:val="16"/>
          <w:szCs w:val="16"/>
          <w:color w:val="auto"/>
        </w:rPr>
      </w:pPr>
    </w:p>
    <w:p>
      <w:pPr>
        <w:ind w:left="1703" w:right="2759" w:hanging="568"/>
        <w:spacing w:after="0" w:line="239" w:lineRule="auto"/>
        <w:tabs>
          <w:tab w:leader="none" w:pos="1703" w:val="left"/>
        </w:tabs>
        <w:numPr>
          <w:ilvl w:val="2"/>
          <w:numId w:val="5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Associate accepting unapproved personal fees, compensation or commissions, or gifts or entertainment in violation of Section 1(b) below, from a customer, supplier, vendor or competitor of Scotts; and</w:t>
      </w:r>
    </w:p>
    <w:p>
      <w:pPr>
        <w:spacing w:after="0" w:line="187" w:lineRule="exact"/>
        <w:rPr>
          <w:rFonts w:ascii="Courier New" w:cs="Courier New" w:eastAsia="Courier New" w:hAnsi="Courier New"/>
          <w:sz w:val="16"/>
          <w:szCs w:val="16"/>
          <w:color w:val="auto"/>
        </w:rPr>
      </w:pPr>
    </w:p>
    <w:p>
      <w:pPr>
        <w:ind w:left="1703" w:right="2659" w:hanging="568"/>
        <w:spacing w:after="0" w:line="239" w:lineRule="auto"/>
        <w:tabs>
          <w:tab w:leader="none" w:pos="1703" w:val="left"/>
        </w:tabs>
        <w:numPr>
          <w:ilvl w:val="2"/>
          <w:numId w:val="5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Associate accepting unapproved loans or loan guarantees from a customer, supplier, vendor or competitor of Scotts unless the loan or guarantee is made in the ordinary course of business and on standard and customary terms.</w:t>
      </w:r>
    </w:p>
    <w:p>
      <w:pPr>
        <w:spacing w:after="0" w:line="187" w:lineRule="exact"/>
        <w:rPr>
          <w:sz w:val="20"/>
          <w:szCs w:val="20"/>
          <w:color w:val="auto"/>
        </w:rPr>
      </w:pPr>
    </w:p>
    <w:p>
      <w:pPr>
        <w:ind w:left="1143" w:right="2659"/>
        <w:spacing w:after="0"/>
        <w:rPr>
          <w:sz w:val="20"/>
          <w:szCs w:val="20"/>
          <w:color w:val="auto"/>
        </w:rPr>
      </w:pPr>
      <w:r>
        <w:rPr>
          <w:rFonts w:ascii="Courier New" w:cs="Courier New" w:eastAsia="Courier New" w:hAnsi="Courier New"/>
          <w:sz w:val="16"/>
          <w:szCs w:val="16"/>
          <w:color w:val="auto"/>
        </w:rPr>
        <w:t>Each of these situations raises the possibility of conflicts of interest or may represent a departure from the standards of integrity expected of Scotts' Associates. In the event that an Associate believes that an activity which may present a conflict of interest is unavoidable or is desirable from the Company's standpoint, Associates must obtain clearance from one of the following prior to engaging in such activity: the Audit Committee of Scotts' Board of Directors, the General Counsel or Scotts' Chief Ethics Officer.</w:t>
      </w:r>
    </w:p>
    <w:p>
      <w:pPr>
        <w:spacing w:after="0" w:line="188" w:lineRule="exact"/>
        <w:rPr>
          <w:sz w:val="20"/>
          <w:szCs w:val="20"/>
          <w:color w:val="auto"/>
        </w:rPr>
      </w:pPr>
    </w:p>
    <w:p>
      <w:pPr>
        <w:ind w:left="1143" w:right="2659" w:hanging="576"/>
        <w:spacing w:after="0" w:line="257" w:lineRule="auto"/>
        <w:tabs>
          <w:tab w:leader="none" w:pos="1143" w:val="left"/>
        </w:tabs>
        <w:numPr>
          <w:ilvl w:val="0"/>
          <w:numId w:val="5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GIFTS OR ENTERTAINMENT. Associates must maintain an objective posture in the performance of their job. Therefore, since accepting or giving gratuities might improperly affect, subconsciously or intentionally, decisions that should be made on a strictly impartial basis, Associates and their families are not to accept gifts or gratuities of more than a nominal value. However, Associates may provide and accept reasonable business entertainment. This would include an occasional meal, social or sporting event, entertainment at company facilities, transportation in company vehicles, or attendance at company-sponsored promotional events, provided that the activities are not intended to improperly influence behavior.</w:t>
      </w:r>
    </w:p>
    <w:p>
      <w:pPr>
        <w:spacing w:after="0" w:line="181" w:lineRule="exact"/>
        <w:rPr>
          <w:rFonts w:ascii="Courier New" w:cs="Courier New" w:eastAsia="Courier New" w:hAnsi="Courier New"/>
          <w:sz w:val="15"/>
          <w:szCs w:val="15"/>
          <w:color w:val="auto"/>
        </w:rPr>
      </w:pPr>
    </w:p>
    <w:p>
      <w:pPr>
        <w:ind w:left="1143" w:right="2659" w:hanging="576"/>
        <w:spacing w:after="0" w:line="267" w:lineRule="auto"/>
        <w:tabs>
          <w:tab w:leader="none" w:pos="1143" w:val="left"/>
        </w:tabs>
        <w:numPr>
          <w:ilvl w:val="0"/>
          <w:numId w:val="5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DEALING. All Scotts Associates must deal fairly with customers, suppliers, vendors and other Associates. Associates must:</w:t>
      </w:r>
    </w:p>
    <w:p>
      <w:pPr>
        <w:spacing w:after="0" w:line="167" w:lineRule="exact"/>
        <w:rPr>
          <w:rFonts w:ascii="Courier New" w:cs="Courier New" w:eastAsia="Courier New" w:hAnsi="Courier New"/>
          <w:sz w:val="15"/>
          <w:szCs w:val="15"/>
          <w:color w:val="auto"/>
        </w:rPr>
      </w:pPr>
    </w:p>
    <w:p>
      <w:pPr>
        <w:ind w:left="1703" w:right="2839" w:hanging="568"/>
        <w:spacing w:after="0" w:line="237" w:lineRule="auto"/>
        <w:tabs>
          <w:tab w:leader="none" w:pos="1703" w:val="left"/>
        </w:tabs>
        <w:numPr>
          <w:ilvl w:val="1"/>
          <w:numId w:val="5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the confidentiality of the confidential information of Scotts' customers, suppliers and vendors;</w:t>
      </w:r>
    </w:p>
    <w:p>
      <w:pPr>
        <w:spacing w:after="0" w:line="187" w:lineRule="exact"/>
        <w:rPr>
          <w:rFonts w:ascii="Courier New" w:cs="Courier New" w:eastAsia="Courier New" w:hAnsi="Courier New"/>
          <w:sz w:val="16"/>
          <w:szCs w:val="16"/>
          <w:color w:val="auto"/>
        </w:rPr>
      </w:pPr>
    </w:p>
    <w:p>
      <w:pPr>
        <w:ind w:left="1703" w:right="2659" w:hanging="568"/>
        <w:spacing w:after="0" w:line="239" w:lineRule="auto"/>
        <w:tabs>
          <w:tab w:leader="none" w:pos="1703" w:val="left"/>
        </w:tabs>
        <w:numPr>
          <w:ilvl w:val="1"/>
          <w:numId w:val="5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take unfair advantage of anyone in the conduct of Scotts' business through manipulation, concealment, abuse of privileged information, misrepresentation of material facts or any other unfair dealing practice; and</w:t>
      </w:r>
    </w:p>
    <w:p>
      <w:pPr>
        <w:spacing w:after="0" w:line="187" w:lineRule="exact"/>
        <w:rPr>
          <w:rFonts w:ascii="Courier New" w:cs="Courier New" w:eastAsia="Courier New" w:hAnsi="Courier New"/>
          <w:sz w:val="16"/>
          <w:szCs w:val="16"/>
          <w:color w:val="auto"/>
        </w:rPr>
      </w:pPr>
    </w:p>
    <w:p>
      <w:pPr>
        <w:ind w:left="1703" w:right="2759" w:hanging="568"/>
        <w:spacing w:after="0" w:line="238" w:lineRule="auto"/>
        <w:tabs>
          <w:tab w:leader="none" w:pos="1703" w:val="left"/>
        </w:tabs>
        <w:numPr>
          <w:ilvl w:val="1"/>
          <w:numId w:val="5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provide gifts or entertainment to an employee of a customer, supplier or vendor of Scotts of more than a nominal value.</w:t>
      </w:r>
    </w:p>
    <w:p>
      <w:pPr>
        <w:spacing w:after="0" w:line="188" w:lineRule="exact"/>
        <w:rPr>
          <w:rFonts w:ascii="Courier New" w:cs="Courier New" w:eastAsia="Courier New" w:hAnsi="Courier New"/>
          <w:sz w:val="16"/>
          <w:szCs w:val="16"/>
          <w:color w:val="auto"/>
        </w:rPr>
      </w:pPr>
    </w:p>
    <w:p>
      <w:pPr>
        <w:ind w:left="1143" w:right="2659" w:hanging="576"/>
        <w:spacing w:after="0" w:line="239" w:lineRule="auto"/>
        <w:tabs>
          <w:tab w:leader="none" w:pos="1143" w:val="left"/>
        </w:tabs>
        <w:numPr>
          <w:ilvl w:val="0"/>
          <w:numId w:val="5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PROTECT SCOTTS' ASSETS AND PRESERVE SCOTTS' BUSINESS OPPORTUNITIES. Associates have a duty to protect Scotts' physical and intellectual property. The failure to do so can create unnecessary expenses, damage Scotts' business or its reputation, and create unsafe working conditions. Associates must:</w:t>
      </w:r>
    </w:p>
    <w:p>
      <w:pPr>
        <w:spacing w:after="0" w:line="367"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2"/>
          </w:cols>
          <w:pgMar w:left="237" w:top="477" w:right="1440" w:bottom="1440" w:gutter="0" w:footer="0" w:header="0"/>
        </w:sectPr>
      </w:pPr>
    </w:p>
    <w:bookmarkStart w:id="526" w:name="page527"/>
    <w:bookmarkEnd w:id="526"/>
    <w:p>
      <w:pPr>
        <w:ind w:left="1703" w:right="3039" w:hanging="568"/>
        <w:spacing w:after="0" w:line="239" w:lineRule="auto"/>
        <w:tabs>
          <w:tab w:leader="none" w:pos="1703" w:val="left"/>
        </w:tabs>
        <w:numPr>
          <w:ilvl w:val="2"/>
          <w:numId w:val="5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Scotts' property only for the furtherance of Scotts' business. (Minimal personal use of Scotts' copiers, office supplies, telephones, computers, and printers are not considered a violation of this policy.);</w:t>
      </w:r>
    </w:p>
    <w:p>
      <w:pPr>
        <w:spacing w:after="0" w:line="187" w:lineRule="exact"/>
        <w:rPr>
          <w:rFonts w:ascii="Courier New" w:cs="Courier New" w:eastAsia="Courier New" w:hAnsi="Courier New"/>
          <w:sz w:val="16"/>
          <w:szCs w:val="16"/>
          <w:color w:val="auto"/>
        </w:rPr>
      </w:pPr>
    </w:p>
    <w:p>
      <w:pPr>
        <w:ind w:left="1703" w:right="2939" w:hanging="568"/>
        <w:spacing w:after="0" w:line="237" w:lineRule="auto"/>
        <w:tabs>
          <w:tab w:leader="none" w:pos="1703" w:val="left"/>
        </w:tabs>
        <w:numPr>
          <w:ilvl w:val="2"/>
          <w:numId w:val="5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reasonable care to protect, ensure the efficient use of and prevent the waste of Scotts' assets;</w:t>
      </w:r>
    </w:p>
    <w:p>
      <w:pPr>
        <w:spacing w:after="0" w:line="187" w:lineRule="exact"/>
        <w:rPr>
          <w:rFonts w:ascii="Courier New" w:cs="Courier New" w:eastAsia="Courier New" w:hAnsi="Courier New"/>
          <w:sz w:val="16"/>
          <w:szCs w:val="16"/>
          <w:color w:val="auto"/>
        </w:rPr>
      </w:pPr>
    </w:p>
    <w:p>
      <w:pPr>
        <w:ind w:left="1703" w:right="2759" w:hanging="568"/>
        <w:spacing w:after="0" w:line="239" w:lineRule="auto"/>
        <w:tabs>
          <w:tab w:leader="none" w:pos="1703" w:val="left"/>
        </w:tabs>
        <w:numPr>
          <w:ilvl w:val="2"/>
          <w:numId w:val="5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take personal advantage of an opportunity that belongs to Scotts, was discovered through the use of Scotts' property or information, or was discovered as a result of being an Associate of Scotts;</w:t>
      </w:r>
    </w:p>
    <w:p>
      <w:pPr>
        <w:spacing w:after="0" w:line="187" w:lineRule="exact"/>
        <w:rPr>
          <w:rFonts w:ascii="Courier New" w:cs="Courier New" w:eastAsia="Courier New" w:hAnsi="Courier New"/>
          <w:sz w:val="16"/>
          <w:szCs w:val="16"/>
          <w:color w:val="auto"/>
        </w:rPr>
      </w:pPr>
    </w:p>
    <w:p>
      <w:pPr>
        <w:ind w:left="1703" w:right="2659" w:hanging="568"/>
        <w:spacing w:after="0" w:line="239" w:lineRule="auto"/>
        <w:tabs>
          <w:tab w:leader="none" w:pos="1703" w:val="left"/>
        </w:tabs>
        <w:numPr>
          <w:ilvl w:val="2"/>
          <w:numId w:val="5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the confidentiality of Scotts' and Scotts' customers' confidential information (except where disclosure is required by law or government process) and only use such information in the furtherance of Scotts' interests;</w:t>
      </w:r>
    </w:p>
    <w:p>
      <w:pPr>
        <w:spacing w:after="0" w:line="183" w:lineRule="exact"/>
        <w:rPr>
          <w:rFonts w:ascii="Courier New" w:cs="Courier New" w:eastAsia="Courier New" w:hAnsi="Courier New"/>
          <w:sz w:val="16"/>
          <w:szCs w:val="16"/>
          <w:color w:val="auto"/>
        </w:rPr>
      </w:pPr>
    </w:p>
    <w:p>
      <w:pPr>
        <w:ind w:left="1703" w:hanging="568"/>
        <w:spacing w:after="0"/>
        <w:tabs>
          <w:tab w:leader="none" w:pos="1703" w:val="left"/>
        </w:tabs>
        <w:numPr>
          <w:ilvl w:val="2"/>
          <w:numId w:val="5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compete with Scotts; and</w:t>
      </w:r>
    </w:p>
    <w:p>
      <w:pPr>
        <w:spacing w:after="0" w:line="186" w:lineRule="exact"/>
        <w:rPr>
          <w:rFonts w:ascii="Courier New" w:cs="Courier New" w:eastAsia="Courier New" w:hAnsi="Courier New"/>
          <w:sz w:val="16"/>
          <w:szCs w:val="16"/>
          <w:color w:val="auto"/>
        </w:rPr>
      </w:pPr>
    </w:p>
    <w:p>
      <w:pPr>
        <w:ind w:left="1703" w:right="2839" w:hanging="568"/>
        <w:spacing w:after="0" w:line="237" w:lineRule="auto"/>
        <w:tabs>
          <w:tab w:leader="none" w:pos="1703" w:val="left"/>
        </w:tabs>
        <w:numPr>
          <w:ilvl w:val="2"/>
          <w:numId w:val="5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Advance Scotts' legitimate interests when the opportunity to do so arises.</w:t>
      </w:r>
    </w:p>
    <w:p>
      <w:pPr>
        <w:spacing w:after="0" w:line="187" w:lineRule="exact"/>
        <w:rPr>
          <w:rFonts w:ascii="Courier New" w:cs="Courier New" w:eastAsia="Courier New" w:hAnsi="Courier New"/>
          <w:sz w:val="16"/>
          <w:szCs w:val="16"/>
          <w:color w:val="auto"/>
        </w:rPr>
      </w:pPr>
    </w:p>
    <w:p>
      <w:pPr>
        <w:ind w:left="3" w:right="2939" w:hanging="3"/>
        <w:spacing w:after="0" w:line="239" w:lineRule="auto"/>
        <w:tabs>
          <w:tab w:leader="none" w:pos="287" w:val="left"/>
        </w:tabs>
        <w:numPr>
          <w:ilvl w:val="0"/>
          <w:numId w:val="5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DISCLOSURES AND OTHER PUBLIC COMMUNICATIONS. It is Scotts' policy to provide full, fair, accurate, timely and understandable disclosure in reports and other documents that Scotts files with, or submits to, the Securities and Exchange Commission (the "SEC") and in other public communications made by Scotts.</w:t>
      </w:r>
    </w:p>
    <w:p>
      <w:pPr>
        <w:spacing w:after="0" w:line="188" w:lineRule="exact"/>
        <w:rPr>
          <w:rFonts w:ascii="Courier New" w:cs="Courier New" w:eastAsia="Courier New" w:hAnsi="Courier New"/>
          <w:sz w:val="16"/>
          <w:szCs w:val="16"/>
          <w:color w:val="auto"/>
        </w:rPr>
      </w:pPr>
    </w:p>
    <w:p>
      <w:pPr>
        <w:ind w:left="1143" w:right="2659" w:hanging="576"/>
        <w:spacing w:after="0" w:line="239" w:lineRule="auto"/>
        <w:tabs>
          <w:tab w:leader="none" w:pos="1143" w:val="left"/>
        </w:tabs>
        <w:numPr>
          <w:ilvl w:val="1"/>
          <w:numId w:val="5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POLICIES/PRACTICES. An important part of Scotts' disclosures to the SEC and to the public is information derived from Scotts' financial reports. To ensure that such disclosures are accurate, Associates must comply with Scotts' accounting policies and practices when making or approving accounting entries or financial reports.</w:t>
      </w:r>
    </w:p>
    <w:p>
      <w:pPr>
        <w:spacing w:after="0" w:line="190" w:lineRule="exact"/>
        <w:rPr>
          <w:rFonts w:ascii="Courier New" w:cs="Courier New" w:eastAsia="Courier New" w:hAnsi="Courier New"/>
          <w:sz w:val="16"/>
          <w:szCs w:val="16"/>
          <w:color w:val="auto"/>
        </w:rPr>
      </w:pPr>
    </w:p>
    <w:p>
      <w:pPr>
        <w:ind w:left="1143" w:right="3039" w:hanging="576"/>
        <w:spacing w:after="0" w:line="237" w:lineRule="auto"/>
        <w:tabs>
          <w:tab w:leader="none" w:pos="1143" w:val="left"/>
        </w:tabs>
        <w:numPr>
          <w:ilvl w:val="1"/>
          <w:numId w:val="5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INTERNAL CONTROLS. Associates must comply with Scotts' corporate policies regarding internal controls.</w:t>
      </w:r>
    </w:p>
    <w:p>
      <w:pPr>
        <w:spacing w:after="0" w:line="187" w:lineRule="exact"/>
        <w:rPr>
          <w:rFonts w:ascii="Courier New" w:cs="Courier New" w:eastAsia="Courier New" w:hAnsi="Courier New"/>
          <w:sz w:val="16"/>
          <w:szCs w:val="16"/>
          <w:color w:val="auto"/>
        </w:rPr>
      </w:pPr>
    </w:p>
    <w:p>
      <w:pPr>
        <w:ind w:left="1143" w:right="2659" w:hanging="576"/>
        <w:spacing w:after="0" w:line="239" w:lineRule="auto"/>
        <w:tabs>
          <w:tab w:leader="none" w:pos="1143" w:val="left"/>
        </w:tabs>
        <w:numPr>
          <w:ilvl w:val="1"/>
          <w:numId w:val="5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DISCLOSURE COMMITTEE. Associates must cooperate with the requests of Scotts' SEC Disclosure Committee and promptly inform the Disclosure Committee of any nonpublic information about Scotts that comes to their attention and may be material.</w:t>
      </w:r>
    </w:p>
    <w:p>
      <w:pPr>
        <w:spacing w:after="0" w:line="187" w:lineRule="exact"/>
        <w:rPr>
          <w:rFonts w:ascii="Courier New" w:cs="Courier New" w:eastAsia="Courier New" w:hAnsi="Courier New"/>
          <w:sz w:val="16"/>
          <w:szCs w:val="16"/>
          <w:color w:val="auto"/>
        </w:rPr>
      </w:pPr>
    </w:p>
    <w:p>
      <w:pPr>
        <w:ind w:left="3" w:right="2839" w:hanging="3"/>
        <w:spacing w:after="0" w:line="237" w:lineRule="auto"/>
        <w:tabs>
          <w:tab w:leader="none" w:pos="287" w:val="left"/>
        </w:tabs>
        <w:numPr>
          <w:ilvl w:val="0"/>
          <w:numId w:val="5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THE LAW. Associates must not knowingly take any action that violates any applicable governmental law, rule or regulation.</w:t>
      </w:r>
    </w:p>
    <w:p>
      <w:pPr>
        <w:spacing w:after="0" w:line="187" w:lineRule="exact"/>
        <w:rPr>
          <w:rFonts w:ascii="Courier New" w:cs="Courier New" w:eastAsia="Courier New" w:hAnsi="Courier New"/>
          <w:sz w:val="16"/>
          <w:szCs w:val="16"/>
          <w:color w:val="auto"/>
        </w:rPr>
      </w:pPr>
    </w:p>
    <w:p>
      <w:pPr>
        <w:ind w:left="3" w:right="2759" w:hanging="3"/>
        <w:spacing w:after="0" w:line="237" w:lineRule="auto"/>
        <w:tabs>
          <w:tab w:leader="none" w:pos="287" w:val="left"/>
        </w:tabs>
        <w:numPr>
          <w:ilvl w:val="0"/>
          <w:numId w:val="5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INSIDER TRADING. Associates shall not buy or sell securities of any company, including Scotts, on the basis of material nonpublic information.</w:t>
      </w:r>
    </w:p>
    <w:p>
      <w:pPr>
        <w:spacing w:after="0" w:line="187" w:lineRule="exact"/>
        <w:rPr>
          <w:rFonts w:ascii="Courier New" w:cs="Courier New" w:eastAsia="Courier New" w:hAnsi="Courier New"/>
          <w:sz w:val="16"/>
          <w:szCs w:val="16"/>
          <w:color w:val="auto"/>
        </w:rPr>
      </w:pPr>
    </w:p>
    <w:p>
      <w:pPr>
        <w:ind w:left="3" w:right="2759" w:hanging="3"/>
        <w:spacing w:after="0" w:line="258" w:lineRule="auto"/>
        <w:tabs>
          <w:tab w:leader="none" w:pos="287" w:val="left"/>
        </w:tabs>
        <w:numPr>
          <w:ilvl w:val="0"/>
          <w:numId w:val="5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TO GO WITH QUESTIONS. The best answers to ethical questions evolve in an environment of open and frank discussion. Resources available to Associates to resolve ethics-related questions or issues include your supervisor, the Company's policies and procedures located on the Scotts Intranet; your human resources representatives, the designated Scotts' Chief Ethics Officer and any lawyer in the Scotts' legal department. Associates are encouraged to begin with their immediate supervisors except where there is a good reason not to do so.</w:t>
      </w:r>
    </w:p>
    <w:p>
      <w:pPr>
        <w:spacing w:after="0" w:line="172" w:lineRule="exact"/>
        <w:rPr>
          <w:rFonts w:ascii="Courier New" w:cs="Courier New" w:eastAsia="Courier New" w:hAnsi="Courier New"/>
          <w:sz w:val="15"/>
          <w:szCs w:val="15"/>
          <w:color w:val="auto"/>
        </w:rPr>
      </w:pPr>
    </w:p>
    <w:p>
      <w:pPr>
        <w:ind w:left="283" w:hanging="283"/>
        <w:spacing w:after="0"/>
        <w:tabs>
          <w:tab w:leader="none" w:pos="283" w:val="left"/>
        </w:tabs>
        <w:numPr>
          <w:ilvl w:val="0"/>
          <w:numId w:val="5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VIOLATIONS, CONCERNS, WAIVERS AND RETALIATION.</w:t>
      </w:r>
    </w:p>
    <w:p>
      <w:pPr>
        <w:spacing w:after="0" w:line="186" w:lineRule="exact"/>
        <w:rPr>
          <w:rFonts w:ascii="Courier New" w:cs="Courier New" w:eastAsia="Courier New" w:hAnsi="Courier New"/>
          <w:sz w:val="16"/>
          <w:szCs w:val="16"/>
          <w:color w:val="auto"/>
        </w:rPr>
      </w:pPr>
    </w:p>
    <w:p>
      <w:pPr>
        <w:ind w:left="1143" w:right="2759" w:hanging="576"/>
        <w:spacing w:after="0" w:line="256" w:lineRule="auto"/>
        <w:tabs>
          <w:tab w:leader="none" w:pos="1143" w:val="left"/>
        </w:tabs>
        <w:numPr>
          <w:ilvl w:val="1"/>
          <w:numId w:val="5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REPORTING POTENTIAL VIOLATIONS OR CONCERNS. Associates must report any known or reasonably suspected violation of law or of any Scotts policy or procedure, or any concerns regarding questionable accounting, financial or auditing matters, to any of the following:</w:t>
      </w:r>
    </w:p>
    <w:p>
      <w:pPr>
        <w:ind w:left="1523" w:hanging="388"/>
        <w:spacing w:after="0"/>
        <w:tabs>
          <w:tab w:leader="none" w:pos="1523" w:val="left"/>
        </w:tabs>
        <w:numPr>
          <w:ilvl w:val="2"/>
          <w:numId w:val="5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their immediate supervisors, (2) Scotts' Chief Ethics Officer,</w:t>
      </w:r>
    </w:p>
    <w:p>
      <w:pPr>
        <w:ind w:left="1523" w:hanging="388"/>
        <w:spacing w:after="0"/>
        <w:tabs>
          <w:tab w:leader="none" w:pos="1523" w:val="left"/>
        </w:tabs>
        <w:numPr>
          <w:ilvl w:val="2"/>
          <w:numId w:val="5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human</w:t>
      </w:r>
    </w:p>
    <w:p>
      <w:pPr>
        <w:spacing w:after="0" w:line="200" w:lineRule="exact"/>
        <w:rPr>
          <w:sz w:val="20"/>
          <w:szCs w:val="20"/>
          <w:color w:val="auto"/>
        </w:rPr>
      </w:pPr>
    </w:p>
    <w:p>
      <w:pPr>
        <w:spacing w:after="0" w:line="346"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2"/>
          </w:cols>
          <w:pgMar w:left="237" w:top="481" w:right="1440" w:bottom="1440" w:gutter="0" w:footer="0" w:header="0"/>
        </w:sectPr>
      </w:pPr>
    </w:p>
    <w:bookmarkStart w:id="527" w:name="page528"/>
    <w:bookmarkEnd w:id="527"/>
    <w:p>
      <w:pPr>
        <w:ind w:left="576" w:right="2659"/>
        <w:spacing w:after="0" w:line="239" w:lineRule="auto"/>
        <w:rPr>
          <w:sz w:val="20"/>
          <w:szCs w:val="20"/>
          <w:color w:val="auto"/>
        </w:rPr>
      </w:pPr>
      <w:r>
        <w:rPr>
          <w:rFonts w:ascii="Courier New" w:cs="Courier New" w:eastAsia="Courier New" w:hAnsi="Courier New"/>
          <w:sz w:val="16"/>
          <w:szCs w:val="16"/>
          <w:color w:val="auto"/>
        </w:rPr>
        <w:t>resources representative, (4) Scotts' General Counsel, (5) an executive officer or (6) the Audit Committee. Reports to the Audit Committee may be made confidentially and anonymously by delivering a written report in a sealed envelope marked "Confidential" to either of the following addresses:</w:t>
      </w:r>
    </w:p>
    <w:p>
      <w:pPr>
        <w:spacing w:after="0" w:line="185" w:lineRule="exact"/>
        <w:rPr>
          <w:sz w:val="20"/>
          <w:szCs w:val="20"/>
          <w:color w:val="auto"/>
        </w:rPr>
      </w:pPr>
    </w:p>
    <w:p>
      <w:pPr>
        <w:ind w:left="576"/>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0"/>
          <w:szCs w:val="20"/>
          <w:color w:val="auto"/>
        </w:rPr>
      </w:pPr>
    </w:p>
    <w:p>
      <w:pPr>
        <w:ind w:left="576"/>
        <w:spacing w:after="0"/>
        <w:rPr>
          <w:sz w:val="20"/>
          <w:szCs w:val="20"/>
          <w:color w:val="auto"/>
        </w:rPr>
      </w:pPr>
      <w:r>
        <w:rPr>
          <w:rFonts w:ascii="Courier New" w:cs="Courier New" w:eastAsia="Courier New" w:hAnsi="Courier New"/>
          <w:sz w:val="16"/>
          <w:szCs w:val="16"/>
          <w:color w:val="auto"/>
        </w:rPr>
        <w:t>REPORT TO AUDIT COMMITTEE</w:t>
      </w:r>
    </w:p>
    <w:p>
      <w:pPr>
        <w:spacing w:after="0" w:line="1" w:lineRule="exact"/>
        <w:rPr>
          <w:sz w:val="20"/>
          <w:szCs w:val="20"/>
          <w:color w:val="auto"/>
        </w:rPr>
      </w:pPr>
    </w:p>
    <w:p>
      <w:pPr>
        <w:ind w:left="576"/>
        <w:spacing w:after="0"/>
        <w:rPr>
          <w:sz w:val="20"/>
          <w:szCs w:val="20"/>
          <w:color w:val="auto"/>
        </w:rPr>
      </w:pPr>
      <w:r>
        <w:rPr>
          <w:rFonts w:ascii="Courier New" w:cs="Courier New" w:eastAsia="Courier New" w:hAnsi="Courier New"/>
          <w:sz w:val="16"/>
          <w:szCs w:val="16"/>
          <w:color w:val="auto"/>
        </w:rPr>
        <w:t>c/o General Counsel</w:t>
      </w:r>
    </w:p>
    <w:p>
      <w:pPr>
        <w:spacing w:after="0" w:line="1" w:lineRule="exact"/>
        <w:rPr>
          <w:sz w:val="20"/>
          <w:szCs w:val="20"/>
          <w:color w:val="auto"/>
        </w:rPr>
      </w:pPr>
    </w:p>
    <w:p>
      <w:pPr>
        <w:ind w:left="576"/>
        <w:spacing w:after="0"/>
        <w:rPr>
          <w:sz w:val="20"/>
          <w:szCs w:val="20"/>
          <w:color w:val="auto"/>
        </w:rPr>
      </w:pPr>
      <w:r>
        <w:rPr>
          <w:rFonts w:ascii="Courier New" w:cs="Courier New" w:eastAsia="Courier New" w:hAnsi="Courier New"/>
          <w:sz w:val="16"/>
          <w:szCs w:val="16"/>
          <w:color w:val="auto"/>
        </w:rPr>
        <w:t>14111 Scottslawn Road</w:t>
      </w:r>
    </w:p>
    <w:p>
      <w:pPr>
        <w:spacing w:after="0" w:line="1" w:lineRule="exact"/>
        <w:rPr>
          <w:sz w:val="20"/>
          <w:szCs w:val="20"/>
          <w:color w:val="auto"/>
        </w:rPr>
      </w:pPr>
    </w:p>
    <w:p>
      <w:pPr>
        <w:ind w:left="576"/>
        <w:spacing w:after="0"/>
        <w:rPr>
          <w:sz w:val="20"/>
          <w:szCs w:val="20"/>
          <w:color w:val="auto"/>
        </w:rPr>
      </w:pPr>
      <w:r>
        <w:rPr>
          <w:rFonts w:ascii="Courier New" w:cs="Courier New" w:eastAsia="Courier New" w:hAnsi="Courier New"/>
          <w:sz w:val="16"/>
          <w:szCs w:val="16"/>
          <w:color w:val="auto"/>
        </w:rPr>
        <w:t>Marysville, Ohio 43041</w:t>
      </w:r>
    </w:p>
    <w:p>
      <w:pPr>
        <w:spacing w:after="0" w:line="183" w:lineRule="exact"/>
        <w:rPr>
          <w:sz w:val="20"/>
          <w:szCs w:val="20"/>
          <w:color w:val="auto"/>
        </w:rPr>
      </w:pPr>
    </w:p>
    <w:p>
      <w:pPr>
        <w:ind w:left="576"/>
        <w:spacing w:after="0"/>
        <w:rPr>
          <w:sz w:val="20"/>
          <w:szCs w:val="20"/>
          <w:color w:val="auto"/>
        </w:rPr>
      </w:pPr>
      <w:r>
        <w:rPr>
          <w:rFonts w:ascii="Courier New" w:cs="Courier New" w:eastAsia="Courier New" w:hAnsi="Courier New"/>
          <w:sz w:val="16"/>
          <w:szCs w:val="16"/>
          <w:color w:val="auto"/>
        </w:rPr>
        <w:t>-or-</w:t>
      </w:r>
    </w:p>
    <w:p>
      <w:pPr>
        <w:spacing w:after="0" w:line="183" w:lineRule="exact"/>
        <w:rPr>
          <w:sz w:val="20"/>
          <w:szCs w:val="20"/>
          <w:color w:val="auto"/>
        </w:rPr>
      </w:pPr>
    </w:p>
    <w:p>
      <w:pPr>
        <w:ind w:left="576"/>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0"/>
          <w:szCs w:val="20"/>
          <w:color w:val="auto"/>
        </w:rPr>
      </w:pPr>
    </w:p>
    <w:p>
      <w:pPr>
        <w:ind w:left="576"/>
        <w:spacing w:after="0"/>
        <w:rPr>
          <w:sz w:val="20"/>
          <w:szCs w:val="20"/>
          <w:color w:val="auto"/>
        </w:rPr>
      </w:pPr>
      <w:r>
        <w:rPr>
          <w:rFonts w:ascii="Courier New" w:cs="Courier New" w:eastAsia="Courier New" w:hAnsi="Courier New"/>
          <w:sz w:val="16"/>
          <w:szCs w:val="16"/>
          <w:color w:val="auto"/>
        </w:rPr>
        <w:t>REPORT TO AUDIT COMMITTEE</w:t>
      </w:r>
    </w:p>
    <w:p>
      <w:pPr>
        <w:spacing w:after="0" w:line="1" w:lineRule="exact"/>
        <w:rPr>
          <w:sz w:val="20"/>
          <w:szCs w:val="20"/>
          <w:color w:val="auto"/>
        </w:rPr>
      </w:pPr>
    </w:p>
    <w:p>
      <w:pPr>
        <w:ind w:left="576"/>
        <w:spacing w:after="0"/>
        <w:rPr>
          <w:sz w:val="20"/>
          <w:szCs w:val="20"/>
          <w:color w:val="auto"/>
        </w:rPr>
      </w:pPr>
      <w:r>
        <w:rPr>
          <w:rFonts w:ascii="Courier New" w:cs="Courier New" w:eastAsia="Courier New" w:hAnsi="Courier New"/>
          <w:sz w:val="16"/>
          <w:szCs w:val="16"/>
          <w:color w:val="auto"/>
        </w:rPr>
        <w:t>c/o Chief Ethics Officer</w:t>
      </w:r>
    </w:p>
    <w:p>
      <w:pPr>
        <w:spacing w:after="0" w:line="1" w:lineRule="exact"/>
        <w:rPr>
          <w:sz w:val="20"/>
          <w:szCs w:val="20"/>
          <w:color w:val="auto"/>
        </w:rPr>
      </w:pPr>
    </w:p>
    <w:p>
      <w:pPr>
        <w:ind w:left="576"/>
        <w:spacing w:after="0"/>
        <w:rPr>
          <w:sz w:val="20"/>
          <w:szCs w:val="20"/>
          <w:color w:val="auto"/>
        </w:rPr>
      </w:pPr>
      <w:r>
        <w:rPr>
          <w:rFonts w:ascii="Courier New" w:cs="Courier New" w:eastAsia="Courier New" w:hAnsi="Courier New"/>
          <w:sz w:val="16"/>
          <w:szCs w:val="16"/>
          <w:color w:val="auto"/>
        </w:rPr>
        <w:t>14111 Scottslawn Road</w:t>
      </w:r>
    </w:p>
    <w:p>
      <w:pPr>
        <w:spacing w:after="0" w:line="1" w:lineRule="exact"/>
        <w:rPr>
          <w:sz w:val="20"/>
          <w:szCs w:val="20"/>
          <w:color w:val="auto"/>
        </w:rPr>
      </w:pPr>
    </w:p>
    <w:p>
      <w:pPr>
        <w:ind w:left="576"/>
        <w:spacing w:after="0"/>
        <w:rPr>
          <w:sz w:val="20"/>
          <w:szCs w:val="20"/>
          <w:color w:val="auto"/>
        </w:rPr>
      </w:pPr>
      <w:r>
        <w:rPr>
          <w:rFonts w:ascii="Courier New" w:cs="Courier New" w:eastAsia="Courier New" w:hAnsi="Courier New"/>
          <w:sz w:val="16"/>
          <w:szCs w:val="16"/>
          <w:color w:val="auto"/>
        </w:rPr>
        <w:t>Marysville, Ohio 43041</w:t>
      </w:r>
    </w:p>
    <w:p>
      <w:pPr>
        <w:spacing w:after="0" w:line="186" w:lineRule="exact"/>
        <w:rPr>
          <w:sz w:val="20"/>
          <w:szCs w:val="20"/>
          <w:color w:val="auto"/>
        </w:rPr>
      </w:pPr>
    </w:p>
    <w:p>
      <w:pPr>
        <w:ind w:left="576" w:right="2939"/>
        <w:spacing w:after="0" w:line="260" w:lineRule="auto"/>
        <w:rPr>
          <w:sz w:val="20"/>
          <w:szCs w:val="20"/>
          <w:color w:val="auto"/>
        </w:rPr>
      </w:pPr>
      <w:r>
        <w:rPr>
          <w:rFonts w:ascii="Courier New" w:cs="Courier New" w:eastAsia="Courier New" w:hAnsi="Courier New"/>
          <w:sz w:val="15"/>
          <w:szCs w:val="15"/>
          <w:color w:val="auto"/>
        </w:rPr>
        <w:t>The General Counsel and Chief Ethics Officer will take care to ensure that any sealed confidential report to the Audit Committee received pursuant to the preceding procedures is delivered to the Chairman of the Audit Committee without being unsealed.</w:t>
      </w:r>
    </w:p>
    <w:p>
      <w:pPr>
        <w:spacing w:after="0" w:line="173" w:lineRule="exact"/>
        <w:rPr>
          <w:sz w:val="20"/>
          <w:szCs w:val="20"/>
          <w:color w:val="auto"/>
        </w:rPr>
      </w:pPr>
    </w:p>
    <w:p>
      <w:pPr>
        <w:ind w:left="576" w:right="2659" w:hanging="576"/>
        <w:spacing w:after="0"/>
        <w:tabs>
          <w:tab w:leader="none" w:pos="576" w:val="left"/>
        </w:tabs>
        <w:numPr>
          <w:ilvl w:val="0"/>
          <w:numId w:val="5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ASSOCIATE VIOLATIONS. Scotts' General Counsel, human resources department and Chief Ethics Officer shall coordinate the investigation of each report of a violation of this policy by Associates. Management, in consultation with Scotts' human resources department, may take any disciplinary action that it deems appropriate, up to and including termination of employment, in connection with such a violation of this policy. In some cases, Scotts may have a legal or ethical obligation to call violations to the attention of appropriate enforcement authorities.</w:t>
      </w:r>
    </w:p>
    <w:p>
      <w:pPr>
        <w:spacing w:after="0" w:line="187" w:lineRule="exact"/>
        <w:rPr>
          <w:rFonts w:ascii="Courier New" w:cs="Courier New" w:eastAsia="Courier New" w:hAnsi="Courier New"/>
          <w:sz w:val="16"/>
          <w:szCs w:val="16"/>
          <w:color w:val="auto"/>
        </w:rPr>
      </w:pPr>
    </w:p>
    <w:p>
      <w:pPr>
        <w:ind w:left="576" w:right="2659" w:hanging="576"/>
        <w:spacing w:after="0" w:line="239" w:lineRule="auto"/>
        <w:tabs>
          <w:tab w:leader="none" w:pos="576" w:val="left"/>
        </w:tabs>
        <w:numPr>
          <w:ilvl w:val="0"/>
          <w:numId w:val="5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RETALIATION. Scotts shall neither take nor permit any retaliation against an associate who appropriately reports a matter that he or she believes, in good faith, to be a violation of this policy to appropriate Scotts' personnel.</w:t>
      </w:r>
    </w:p>
    <w:p>
      <w:pPr>
        <w:spacing w:after="0" w:line="187" w:lineRule="exact"/>
        <w:rPr>
          <w:rFonts w:ascii="Courier New" w:cs="Courier New" w:eastAsia="Courier New" w:hAnsi="Courier New"/>
          <w:sz w:val="16"/>
          <w:szCs w:val="16"/>
          <w:color w:val="auto"/>
        </w:rPr>
      </w:pPr>
    </w:p>
    <w:p>
      <w:pPr>
        <w:ind w:left="576" w:right="2659" w:hanging="576"/>
        <w:spacing w:after="0"/>
        <w:tabs>
          <w:tab w:leader="none" w:pos="576" w:val="left"/>
        </w:tabs>
        <w:numPr>
          <w:ilvl w:val="0"/>
          <w:numId w:val="5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WAIVERS. Any waiver of this policy for executive officers or directors may be made only by Scotts' Board of Directors or a Board committee and will be promptly disclosed to stockholders and others, as required by applicable law and New York Stock Exchange Rules. Any waiver for other officers, employees or representatives may be made only by the Chief Executive Officer, or if the CEO is not available, the General Counsel together with the Executive Vice President, Global Human Resources.</w:t>
      </w:r>
    </w:p>
    <w:p>
      <w:pPr>
        <w:spacing w:after="0" w:line="365" w:lineRule="exact"/>
        <w:rPr>
          <w:sz w:val="20"/>
          <w:szCs w:val="20"/>
          <w:color w:val="auto"/>
        </w:rPr>
      </w:pPr>
    </w:p>
    <w:p>
      <w:pPr>
        <w:ind w:left="3116"/>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655"/>
          </w:cols>
          <w:pgMar w:left="804" w:top="480" w:right="1440" w:bottom="1440" w:gutter="0" w:footer="0" w:header="0"/>
        </w:sectPr>
      </w:pPr>
    </w:p>
    <w:bookmarkStart w:id="528" w:name="page529"/>
    <w:bookmarkEnd w:id="528"/>
    <w:p>
      <w:pPr>
        <w:jc w:val="right"/>
        <w:ind w:right="265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21</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SUBSIDIARIES OF THE SCOTTS COMPANY</w:t>
      </w:r>
    </w:p>
    <w:p>
      <w:pPr>
        <w:spacing w:after="0" w:line="200" w:lineRule="exact"/>
        <w:rPr>
          <w:sz w:val="20"/>
          <w:szCs w:val="20"/>
          <w:color w:val="auto"/>
        </w:rPr>
      </w:pPr>
    </w:p>
    <w:p>
      <w:pPr>
        <w:spacing w:after="0" w:line="350" w:lineRule="exact"/>
        <w:rPr>
          <w:sz w:val="20"/>
          <w:szCs w:val="20"/>
          <w:color w:val="auto"/>
        </w:rPr>
      </w:pPr>
    </w:p>
    <w:p>
      <w:pPr>
        <w:ind w:right="3979"/>
        <w:spacing w:after="0" w:line="238" w:lineRule="auto"/>
        <w:rPr>
          <w:sz w:val="20"/>
          <w:szCs w:val="20"/>
          <w:color w:val="auto"/>
        </w:rPr>
      </w:pPr>
      <w:r>
        <w:rPr>
          <w:rFonts w:ascii="Courier New" w:cs="Courier New" w:eastAsia="Courier New" w:hAnsi="Courier New"/>
          <w:sz w:val="16"/>
          <w:szCs w:val="16"/>
          <w:color w:val="auto"/>
        </w:rPr>
        <w:t>*EG Systems, Inc., dba Scotts Lawn Service, an Indiana corporation Hyponex Corporation, a Delaware corporation OMS Investments, Inc., a Delaware corporation</w:t>
      </w:r>
    </w:p>
    <w:p>
      <w:pPr>
        <w:spacing w:after="0" w:line="6" w:lineRule="exact"/>
        <w:rPr>
          <w:sz w:val="20"/>
          <w:szCs w:val="20"/>
          <w:color w:val="auto"/>
        </w:rPr>
      </w:pPr>
    </w:p>
    <w:p>
      <w:pPr>
        <w:ind w:right="4459" w:firstLine="567"/>
        <w:spacing w:after="0" w:line="256" w:lineRule="auto"/>
        <w:rPr>
          <w:sz w:val="20"/>
          <w:szCs w:val="20"/>
          <w:color w:val="auto"/>
        </w:rPr>
      </w:pPr>
      <w:r>
        <w:rPr>
          <w:rFonts w:ascii="Courier New" w:cs="Courier New" w:eastAsia="Courier New" w:hAnsi="Courier New"/>
          <w:sz w:val="15"/>
          <w:szCs w:val="15"/>
          <w:color w:val="auto"/>
        </w:rPr>
        <w:t>Scotts Temecula Operations, LLC, a Delaware corporation *Sanford Scientific, Inc., a New York corporation</w:t>
      </w:r>
    </w:p>
    <w:p>
      <w:pPr>
        <w:spacing w:after="0" w:line="1" w:lineRule="exact"/>
        <w:rPr>
          <w:sz w:val="20"/>
          <w:szCs w:val="20"/>
          <w:color w:val="auto"/>
        </w:rPr>
      </w:pPr>
    </w:p>
    <w:p>
      <w:pPr>
        <w:ind w:left="560" w:right="4459" w:hanging="566"/>
        <w:spacing w:after="0" w:line="256" w:lineRule="auto"/>
        <w:rPr>
          <w:sz w:val="20"/>
          <w:szCs w:val="20"/>
          <w:color w:val="auto"/>
        </w:rPr>
      </w:pPr>
      <w:r>
        <w:rPr>
          <w:rFonts w:ascii="Courier New" w:cs="Courier New" w:eastAsia="Courier New" w:hAnsi="Courier New"/>
          <w:sz w:val="15"/>
          <w:szCs w:val="15"/>
          <w:color w:val="auto"/>
        </w:rPr>
        <w:t>Scotts Manufacturing Company, a Delaware corporation Miracle-Gro Lawn Products, Inc., a New York corporation</w:t>
      </w:r>
    </w:p>
    <w:p>
      <w:pPr>
        <w:spacing w:after="0" w:line="236" w:lineRule="auto"/>
        <w:rPr>
          <w:sz w:val="20"/>
          <w:szCs w:val="20"/>
          <w:color w:val="auto"/>
        </w:rPr>
      </w:pPr>
      <w:r>
        <w:rPr>
          <w:rFonts w:ascii="Courier New" w:cs="Courier New" w:eastAsia="Courier New" w:hAnsi="Courier New"/>
          <w:sz w:val="16"/>
          <w:szCs w:val="16"/>
          <w:color w:val="auto"/>
        </w:rPr>
        <w:t>Scotts Products Company, an Ohio corporation</w:t>
      </w:r>
    </w:p>
    <w:p>
      <w:pPr>
        <w:spacing w:after="0" w:line="5" w:lineRule="exact"/>
        <w:rPr>
          <w:sz w:val="20"/>
          <w:szCs w:val="20"/>
          <w:color w:val="auto"/>
        </w:rPr>
      </w:pPr>
    </w:p>
    <w:p>
      <w:pPr>
        <w:ind w:right="3599"/>
        <w:spacing w:after="0" w:line="237" w:lineRule="auto"/>
        <w:rPr>
          <w:sz w:val="20"/>
          <w:szCs w:val="20"/>
          <w:color w:val="auto"/>
        </w:rPr>
      </w:pPr>
      <w:r>
        <w:rPr>
          <w:rFonts w:ascii="Courier New" w:cs="Courier New" w:eastAsia="Courier New" w:hAnsi="Courier New"/>
          <w:sz w:val="16"/>
          <w:szCs w:val="16"/>
          <w:color w:val="auto"/>
        </w:rPr>
        <w:t>Scotts Professional Products Co., an Ohio corporation Scotts-Sierra Horticultural Products Company, a California corporation</w:t>
      </w:r>
    </w:p>
    <w:p>
      <w:pPr>
        <w:spacing w:after="0" w:line="6" w:lineRule="exact"/>
        <w:rPr>
          <w:sz w:val="20"/>
          <w:szCs w:val="20"/>
          <w:color w:val="auto"/>
        </w:rPr>
      </w:pPr>
    </w:p>
    <w:p>
      <w:pPr>
        <w:ind w:left="560" w:right="3699"/>
        <w:spacing w:after="0" w:line="256" w:lineRule="auto"/>
        <w:rPr>
          <w:sz w:val="20"/>
          <w:szCs w:val="20"/>
          <w:color w:val="auto"/>
        </w:rPr>
      </w:pPr>
      <w:r>
        <w:rPr>
          <w:rFonts w:ascii="Courier New" w:cs="Courier New" w:eastAsia="Courier New" w:hAnsi="Courier New"/>
          <w:sz w:val="15"/>
          <w:szCs w:val="15"/>
          <w:color w:val="auto"/>
        </w:rPr>
        <w:t>Scotts-Sierra Crop Protection Company, a California corporation Scotts-Sierra Investments, Inc., a Delaware corporation</w:t>
      </w:r>
    </w:p>
    <w:p>
      <w:pPr>
        <w:ind w:left="1140"/>
        <w:spacing w:after="0" w:line="236" w:lineRule="auto"/>
        <w:rPr>
          <w:sz w:val="20"/>
          <w:szCs w:val="20"/>
          <w:color w:val="auto"/>
        </w:rPr>
      </w:pPr>
      <w:r>
        <w:rPr>
          <w:rFonts w:ascii="Courier New" w:cs="Courier New" w:eastAsia="Courier New" w:hAnsi="Courier New"/>
          <w:sz w:val="16"/>
          <w:szCs w:val="16"/>
          <w:color w:val="auto"/>
        </w:rPr>
        <w:t>ASEF BV (Netherlands)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Scotts Australia Pty Ltd. (Australia)</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Scotts Benelux BVBA (Belgium)</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Scotts Canada Ltd. (Canada)</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Scotts Chile Limitada (Chile)</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Scotts Czech s.r.o.(Czech Republic)</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Scotts de Mexico SA de CV (Mexico)</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The Scotts Company (Nordic) AS (Denmark)</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Scotts Finland Oy (Finland)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Scotts France Holdings SARL (France)</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Scotts France SARL (France)</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**Scotts France SAS (France)</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Scotts Holding GmbH (Germany)</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Scotts Celaflor GmbH &amp; Co. KG (Germany)</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Scotts Celaflor HGmbH (Austria)</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Scotts Holdings Limited (United Kingdom)</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Levington Group Ltd. (United Kingdom)</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Levington Trustees Ltd. (United Kingdom)</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The Scotts Company (UK) Ltd. (United Kingdom)</w:t>
      </w:r>
    </w:p>
    <w:p>
      <w:pPr>
        <w:spacing w:after="0" w:line="5"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The Scotts Company (Manufacturing) Ltd. (United Kingdom)</w:t>
      </w:r>
    </w:p>
    <w:p>
      <w:pPr>
        <w:spacing w:after="0" w:line="8"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OM Scott International Investments Ltd. (United Kingdom)</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Levington Horticulture Ltd. (United Kingdom)</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Miracle Holdings Ltd. (United Kingdom)</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Miracle Garden Care Limited (United Kingdom)</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O.M. Scott &amp; Sons Ltd. (United Kingdom)</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Corwen Home and Garden Limited (United Kingdom)</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Scotts International B.V. (Netherlands)</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Scotts Deutschland GmbH (Germany)</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Scotts O.M. Espana S.A. (Spain)</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Scotts Profi HGmbH (Austria)</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Scotts Italia S.r.l. (Italy)</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Scotts Horticulture Ltd. (Ireland)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Scotts Hungary KFT (Hungary)</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The Scotts Company Italia S.r.l. (Italy)</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*Scotts Japan, Ltd. (Japan)</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The Scotts Company Kenya Ltd. (Kenya)</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Scotts PBG Malaysia Sdn. Bhd. (Malaysia)</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Scotts Norway AS (Norway)</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Scotts Poland Sp.z.o.o. (Poland)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Scotts Sweden AB (Sweden)</w:t>
      </w:r>
    </w:p>
    <w:p>
      <w:pPr>
        <w:sectPr>
          <w:pgSz w:w="11900" w:h="16838" w:orient="portrait"/>
          <w:cols w:equalWidth="0" w:num="1">
            <w:col w:w="10219"/>
          </w:cols>
          <w:pgMar w:left="240" w:top="319" w:right="1440" w:bottom="1440" w:gutter="0" w:footer="0" w:header="0"/>
        </w:sectPr>
      </w:pPr>
    </w:p>
    <w:bookmarkStart w:id="529" w:name="page530"/>
    <w:bookmarkEnd w:id="529"/>
    <w:p>
      <w:pPr>
        <w:ind w:left="1143"/>
        <w:spacing w:after="0"/>
        <w:rPr>
          <w:sz w:val="20"/>
          <w:szCs w:val="20"/>
          <w:color w:val="auto"/>
        </w:rPr>
      </w:pPr>
      <w:r>
        <w:rPr>
          <w:rFonts w:ascii="Courier New" w:cs="Courier New" w:eastAsia="Courier New" w:hAnsi="Courier New"/>
          <w:sz w:val="16"/>
          <w:szCs w:val="16"/>
          <w:color w:val="auto"/>
        </w:rPr>
        <w:t>Scotts Switzerland SARL (Switzerland)</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Swiss Farms Products, Inc., a Delaware corporation</w:t>
      </w:r>
    </w:p>
    <w:p>
      <w:pPr>
        <w:spacing w:after="0" w:line="364" w:lineRule="exact"/>
        <w:rPr>
          <w:sz w:val="20"/>
          <w:szCs w:val="20"/>
          <w:color w:val="auto"/>
        </w:rPr>
      </w:pPr>
    </w:p>
    <w:p>
      <w:pPr>
        <w:ind w:left="183" w:hanging="183"/>
        <w:spacing w:after="0"/>
        <w:tabs>
          <w:tab w:leader="none" w:pos="183" w:val="left"/>
        </w:tabs>
        <w:numPr>
          <w:ilvl w:val="0"/>
          <w:numId w:val="5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 wholly-owned</w:t>
      </w:r>
    </w:p>
    <w:p>
      <w:pPr>
        <w:spacing w:after="0" w:line="4"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**Scotts France SARL owns remaining .1% of Scotts France SAS</w:t>
      </w:r>
    </w:p>
    <w:p>
      <w:pPr>
        <w:sectPr>
          <w:pgSz w:w="11900" w:h="16838" w:orient="portrait"/>
          <w:cols w:equalWidth="0" w:num="1">
            <w:col w:w="10222"/>
          </w:cols>
          <w:pgMar w:left="237" w:top="841" w:right="1440" w:bottom="1440" w:gutter="0" w:footer="0" w:header="0"/>
        </w:sectPr>
      </w:pPr>
    </w:p>
    <w:bookmarkStart w:id="530" w:name="page531"/>
    <w:bookmarkEnd w:id="530"/>
    <w:p>
      <w:pPr>
        <w:jc w:val="right"/>
        <w:ind w:right="2659"/>
        <w:spacing w:after="0"/>
        <w:rPr>
          <w:sz w:val="20"/>
          <w:szCs w:val="20"/>
          <w:color w:val="auto"/>
        </w:rPr>
      </w:pPr>
      <w:r>
        <w:rPr>
          <w:rFonts w:ascii="Courier New" w:cs="Courier New" w:eastAsia="Courier New" w:hAnsi="Courier New"/>
          <w:sz w:val="16"/>
          <w:szCs w:val="16"/>
          <w:color w:val="auto"/>
        </w:rPr>
        <w:t>EXHIBIT 23</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CONSENT OF INDEPENDENT AUDITORS</w:t>
      </w:r>
    </w:p>
    <w:p>
      <w:pPr>
        <w:spacing w:after="0" w:line="186" w:lineRule="exact"/>
        <w:rPr>
          <w:sz w:val="20"/>
          <w:szCs w:val="20"/>
          <w:color w:val="auto"/>
        </w:rPr>
      </w:pPr>
    </w:p>
    <w:p>
      <w:pPr>
        <w:ind w:right="3039" w:firstLine="473"/>
        <w:spacing w:after="0" w:line="256"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 on Form S-3 (No. 333-98239) and Form S-8 (File Nos. 033-47073,</w:t>
      </w:r>
    </w:p>
    <w:p>
      <w:pPr>
        <w:spacing w:after="0" w:line="1" w:lineRule="exact"/>
        <w:rPr>
          <w:sz w:val="20"/>
          <w:szCs w:val="20"/>
          <w:color w:val="auto"/>
        </w:rPr>
      </w:pPr>
    </w:p>
    <w:p>
      <w:pPr>
        <w:ind w:right="2759"/>
        <w:spacing w:after="0" w:line="262" w:lineRule="auto"/>
        <w:rPr>
          <w:sz w:val="20"/>
          <w:szCs w:val="20"/>
          <w:color w:val="auto"/>
        </w:rPr>
      </w:pPr>
      <w:r>
        <w:rPr>
          <w:rFonts w:ascii="Courier New" w:cs="Courier New" w:eastAsia="Courier New" w:hAnsi="Courier New"/>
          <w:sz w:val="15"/>
          <w:szCs w:val="15"/>
          <w:color w:val="auto"/>
        </w:rPr>
        <w:t>033-60056, 333-06061, 333-27561, 333-72715, 333-76697 and 333-104490) of The Scotts Company of our reports dated December 5, 2003, relating to the financial statements and financial statement schedule, which appear in this Form 10-K.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PRICEWATERHOUSECOOPERS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Columbus, Ohio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10, 2003</w:t>
      </w:r>
    </w:p>
    <w:p>
      <w:pPr>
        <w:sectPr>
          <w:pgSz w:w="11900" w:h="16838" w:orient="portrait"/>
          <w:cols w:equalWidth="0" w:num="1">
            <w:col w:w="10219"/>
          </w:cols>
          <w:pgMar w:left="240" w:top="501" w:right="1440" w:bottom="1440" w:gutter="0" w:footer="0" w:header="0"/>
        </w:sectPr>
      </w:pPr>
    </w:p>
    <w:bookmarkStart w:id="531" w:name="page532"/>
    <w:bookmarkEnd w:id="531"/>
    <w:p>
      <w:pPr>
        <w:jc w:val="right"/>
        <w:ind w:right="2659"/>
        <w:spacing w:after="0"/>
        <w:rPr>
          <w:sz w:val="20"/>
          <w:szCs w:val="20"/>
          <w:color w:val="auto"/>
        </w:rPr>
      </w:pPr>
      <w:r>
        <w:rPr>
          <w:rFonts w:ascii="Courier New" w:cs="Courier New" w:eastAsia="Courier New" w:hAnsi="Courier New"/>
          <w:sz w:val="16"/>
          <w:szCs w:val="16"/>
          <w:color w:val="auto"/>
        </w:rPr>
        <w:t>Exhibit 31(a)</w:t>
      </w:r>
    </w:p>
    <w:p>
      <w:pPr>
        <w:spacing w:after="0" w:line="183"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RULE 13a-14(a)/15d-14(a) CERTIFICATION</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(PRINCIPAL EXECUTIVE OFFICER)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 James Hagedorn, certify that:</w:t>
      </w:r>
    </w:p>
    <w:p>
      <w:pPr>
        <w:spacing w:after="0" w:line="183" w:lineRule="exact"/>
        <w:rPr>
          <w:sz w:val="20"/>
          <w:szCs w:val="20"/>
          <w:color w:val="auto"/>
        </w:rPr>
      </w:pPr>
    </w:p>
    <w:p>
      <w:pPr>
        <w:ind w:left="760" w:hanging="385"/>
        <w:spacing w:after="0"/>
        <w:tabs>
          <w:tab w:leader="none" w:pos="760" w:val="left"/>
        </w:tabs>
        <w:numPr>
          <w:ilvl w:val="0"/>
          <w:numId w:val="5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Annual Report on Form 10-K of The Scotts Company;</w:t>
      </w:r>
    </w:p>
    <w:p>
      <w:pPr>
        <w:spacing w:after="0" w:line="186" w:lineRule="exact"/>
        <w:rPr>
          <w:rFonts w:ascii="Courier New" w:cs="Courier New" w:eastAsia="Courier New" w:hAnsi="Courier New"/>
          <w:sz w:val="16"/>
          <w:szCs w:val="16"/>
          <w:color w:val="auto"/>
        </w:rPr>
      </w:pPr>
    </w:p>
    <w:p>
      <w:pPr>
        <w:ind w:left="760" w:right="2659" w:hanging="385"/>
        <w:spacing w:after="0" w:line="239" w:lineRule="auto"/>
        <w:tabs>
          <w:tab w:leader="none" w:pos="760" w:val="left"/>
        </w:tabs>
        <w:numPr>
          <w:ilvl w:val="0"/>
          <w:numId w:val="5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Courier New" w:cs="Courier New" w:eastAsia="Courier New" w:hAnsi="Courier New"/>
          <w:sz w:val="16"/>
          <w:szCs w:val="16"/>
          <w:color w:val="auto"/>
        </w:rPr>
      </w:pPr>
    </w:p>
    <w:p>
      <w:pPr>
        <w:ind w:left="760" w:right="2759" w:hanging="385"/>
        <w:spacing w:after="0" w:line="260" w:lineRule="auto"/>
        <w:tabs>
          <w:tab w:leader="none" w:pos="760" w:val="left"/>
        </w:tabs>
        <w:numPr>
          <w:ilvl w:val="0"/>
          <w:numId w:val="5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Courier New" w:cs="Courier New" w:eastAsia="Courier New" w:hAnsi="Courier New"/>
          <w:sz w:val="15"/>
          <w:szCs w:val="15"/>
          <w:color w:val="auto"/>
        </w:rPr>
      </w:pPr>
    </w:p>
    <w:p>
      <w:pPr>
        <w:jc w:val="both"/>
        <w:ind w:left="760" w:right="3119" w:hanging="385"/>
        <w:spacing w:after="0" w:line="262" w:lineRule="auto"/>
        <w:tabs>
          <w:tab w:leader="none" w:pos="760" w:val="left"/>
        </w:tabs>
        <w:numPr>
          <w:ilvl w:val="0"/>
          <w:numId w:val="5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13a-15(e) and 15d-15(e)) and have:</w:t>
      </w:r>
    </w:p>
    <w:p>
      <w:pPr>
        <w:spacing w:after="0" w:line="171" w:lineRule="exact"/>
        <w:rPr>
          <w:rFonts w:ascii="Courier New" w:cs="Courier New" w:eastAsia="Courier New" w:hAnsi="Courier New"/>
          <w:sz w:val="15"/>
          <w:szCs w:val="15"/>
          <w:color w:val="auto"/>
        </w:rPr>
      </w:pPr>
    </w:p>
    <w:p>
      <w:pPr>
        <w:ind w:left="1140" w:right="2759" w:firstLine="370"/>
        <w:spacing w:after="0" w:line="258" w:lineRule="auto"/>
        <w:tabs>
          <w:tab w:leader="none" w:pos="1897" w:val="left"/>
        </w:tabs>
        <w:numPr>
          <w:ilvl w:val="1"/>
          <w:numId w:val="5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Courier New" w:cs="Courier New" w:eastAsia="Courier New" w:hAnsi="Courier New"/>
          <w:sz w:val="15"/>
          <w:szCs w:val="15"/>
          <w:color w:val="auto"/>
        </w:rPr>
      </w:pPr>
    </w:p>
    <w:p>
      <w:pPr>
        <w:ind w:left="1140" w:right="2659" w:firstLine="370"/>
        <w:spacing w:after="0" w:line="239" w:lineRule="auto"/>
        <w:tabs>
          <w:tab w:leader="none" w:pos="1897" w:val="left"/>
        </w:tabs>
        <w:numPr>
          <w:ilvl w:val="1"/>
          <w:numId w:val="5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Courier New" w:cs="Courier New" w:eastAsia="Courier New" w:hAnsi="Courier New"/>
          <w:sz w:val="16"/>
          <w:szCs w:val="16"/>
          <w:color w:val="auto"/>
        </w:rPr>
      </w:pPr>
    </w:p>
    <w:p>
      <w:pPr>
        <w:ind w:left="1140" w:right="2659" w:firstLine="370"/>
        <w:spacing w:after="0" w:line="239" w:lineRule="auto"/>
        <w:tabs>
          <w:tab w:leader="none" w:pos="1897" w:val="left"/>
        </w:tabs>
        <w:numPr>
          <w:ilvl w:val="1"/>
          <w:numId w:val="5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88" w:lineRule="exact"/>
        <w:rPr>
          <w:rFonts w:ascii="Courier New" w:cs="Courier New" w:eastAsia="Courier New" w:hAnsi="Courier New"/>
          <w:sz w:val="16"/>
          <w:szCs w:val="16"/>
          <w:color w:val="auto"/>
        </w:rPr>
      </w:pPr>
    </w:p>
    <w:p>
      <w:pPr>
        <w:jc w:val="both"/>
        <w:ind w:left="760" w:right="2659" w:hanging="385"/>
        <w:spacing w:after="0" w:line="260" w:lineRule="auto"/>
        <w:tabs>
          <w:tab w:leader="none" w:pos="760" w:val="left"/>
        </w:tabs>
        <w:numPr>
          <w:ilvl w:val="0"/>
          <w:numId w:val="5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Courier New" w:cs="Courier New" w:eastAsia="Courier New" w:hAnsi="Courier New"/>
          <w:sz w:val="15"/>
          <w:szCs w:val="15"/>
          <w:color w:val="auto"/>
        </w:rPr>
      </w:pPr>
    </w:p>
    <w:p>
      <w:pPr>
        <w:ind w:left="1140" w:right="2759" w:firstLine="370"/>
        <w:spacing w:after="0" w:line="239" w:lineRule="auto"/>
        <w:tabs>
          <w:tab w:leader="none" w:pos="1897" w:val="left"/>
        </w:tabs>
        <w:numPr>
          <w:ilvl w:val="1"/>
          <w:numId w:val="5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Courier New" w:cs="Courier New" w:eastAsia="Courier New" w:hAnsi="Courier New"/>
          <w:sz w:val="16"/>
          <w:szCs w:val="16"/>
          <w:color w:val="auto"/>
        </w:rPr>
      </w:pPr>
    </w:p>
    <w:p>
      <w:pPr>
        <w:ind w:left="1140" w:right="2659" w:firstLine="370"/>
        <w:spacing w:after="0" w:line="238" w:lineRule="auto"/>
        <w:tabs>
          <w:tab w:leader="none" w:pos="1897" w:val="left"/>
        </w:tabs>
        <w:numPr>
          <w:ilvl w:val="1"/>
          <w:numId w:val="5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319" w:right="1440" w:bottom="144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December 8,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James Hagedorn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Hagedorn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Chief Executive Officer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Chairman of the Board</w:t>
      </w:r>
    </w:p>
    <w:p>
      <w:pPr>
        <w:sectPr>
          <w:pgSz w:w="11900" w:h="16838" w:orient="portrait"/>
          <w:cols w:equalWidth="0" w:num="3">
            <w:col w:w="2580" w:space="720"/>
            <w:col w:w="300" w:space="180"/>
            <w:col w:w="6439"/>
          </w:cols>
          <w:pgMar w:left="240" w:top="319" w:right="1440" w:bottom="1440" w:gutter="0" w:footer="0" w:header="0"/>
          <w:type w:val="continuous"/>
        </w:sectPr>
      </w:pPr>
    </w:p>
    <w:bookmarkStart w:id="532" w:name="page533"/>
    <w:bookmarkEnd w:id="532"/>
    <w:p>
      <w:pPr>
        <w:jc w:val="right"/>
        <w:ind w:right="2659"/>
        <w:spacing w:after="0"/>
        <w:rPr>
          <w:sz w:val="20"/>
          <w:szCs w:val="20"/>
          <w:color w:val="auto"/>
        </w:rPr>
      </w:pPr>
      <w:r>
        <w:rPr>
          <w:rFonts w:ascii="Courier New" w:cs="Courier New" w:eastAsia="Courier New" w:hAnsi="Courier New"/>
          <w:sz w:val="16"/>
          <w:szCs w:val="16"/>
          <w:color w:val="auto"/>
        </w:rPr>
        <w:t>Exhibit 31(b)</w:t>
      </w:r>
    </w:p>
    <w:p>
      <w:pPr>
        <w:spacing w:after="0" w:line="183"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RULE 13a-14(a)/15d-14(a) CERTIFICATION</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(PRINCIPAL FINANCIAL OFFICER)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 Christopher L. Nagel, certify that:</w:t>
      </w:r>
    </w:p>
    <w:p>
      <w:pPr>
        <w:spacing w:after="0" w:line="183" w:lineRule="exact"/>
        <w:rPr>
          <w:sz w:val="20"/>
          <w:szCs w:val="20"/>
          <w:color w:val="auto"/>
        </w:rPr>
      </w:pPr>
    </w:p>
    <w:p>
      <w:pPr>
        <w:ind w:left="760" w:hanging="385"/>
        <w:spacing w:after="0"/>
        <w:tabs>
          <w:tab w:leader="none" w:pos="760" w:val="left"/>
        </w:tabs>
        <w:numPr>
          <w:ilvl w:val="0"/>
          <w:numId w:val="5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Annual Report on Form 10-K of The Scotts Company;</w:t>
      </w:r>
    </w:p>
    <w:p>
      <w:pPr>
        <w:spacing w:after="0" w:line="186" w:lineRule="exact"/>
        <w:rPr>
          <w:rFonts w:ascii="Courier New" w:cs="Courier New" w:eastAsia="Courier New" w:hAnsi="Courier New"/>
          <w:sz w:val="16"/>
          <w:szCs w:val="16"/>
          <w:color w:val="auto"/>
        </w:rPr>
      </w:pPr>
    </w:p>
    <w:p>
      <w:pPr>
        <w:ind w:left="760" w:right="2659" w:hanging="385"/>
        <w:spacing w:after="0" w:line="239" w:lineRule="auto"/>
        <w:tabs>
          <w:tab w:leader="none" w:pos="760" w:val="left"/>
        </w:tabs>
        <w:numPr>
          <w:ilvl w:val="0"/>
          <w:numId w:val="5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Courier New" w:cs="Courier New" w:eastAsia="Courier New" w:hAnsi="Courier New"/>
          <w:sz w:val="16"/>
          <w:szCs w:val="16"/>
          <w:color w:val="auto"/>
        </w:rPr>
      </w:pPr>
    </w:p>
    <w:p>
      <w:pPr>
        <w:ind w:left="760" w:right="2759" w:hanging="385"/>
        <w:spacing w:after="0" w:line="260" w:lineRule="auto"/>
        <w:tabs>
          <w:tab w:leader="none" w:pos="760" w:val="left"/>
        </w:tabs>
        <w:numPr>
          <w:ilvl w:val="0"/>
          <w:numId w:val="5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Courier New" w:cs="Courier New" w:eastAsia="Courier New" w:hAnsi="Courier New"/>
          <w:sz w:val="15"/>
          <w:szCs w:val="15"/>
          <w:color w:val="auto"/>
        </w:rPr>
      </w:pPr>
    </w:p>
    <w:p>
      <w:pPr>
        <w:jc w:val="both"/>
        <w:ind w:left="760" w:right="3119" w:hanging="385"/>
        <w:spacing w:after="0" w:line="262" w:lineRule="auto"/>
        <w:tabs>
          <w:tab w:leader="none" w:pos="760" w:val="left"/>
        </w:tabs>
        <w:numPr>
          <w:ilvl w:val="0"/>
          <w:numId w:val="5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13a-15(e) and 15d-15(e)) and have:</w:t>
      </w:r>
    </w:p>
    <w:p>
      <w:pPr>
        <w:spacing w:after="0" w:line="171" w:lineRule="exact"/>
        <w:rPr>
          <w:rFonts w:ascii="Courier New" w:cs="Courier New" w:eastAsia="Courier New" w:hAnsi="Courier New"/>
          <w:sz w:val="15"/>
          <w:szCs w:val="15"/>
          <w:color w:val="auto"/>
        </w:rPr>
      </w:pPr>
    </w:p>
    <w:p>
      <w:pPr>
        <w:ind w:left="1140" w:right="2759" w:firstLine="370"/>
        <w:spacing w:after="0" w:line="258" w:lineRule="auto"/>
        <w:tabs>
          <w:tab w:leader="none" w:pos="1897" w:val="left"/>
        </w:tabs>
        <w:numPr>
          <w:ilvl w:val="1"/>
          <w:numId w:val="5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Courier New" w:cs="Courier New" w:eastAsia="Courier New" w:hAnsi="Courier New"/>
          <w:sz w:val="15"/>
          <w:szCs w:val="15"/>
          <w:color w:val="auto"/>
        </w:rPr>
      </w:pPr>
    </w:p>
    <w:p>
      <w:pPr>
        <w:ind w:left="1140" w:right="2659" w:firstLine="370"/>
        <w:spacing w:after="0" w:line="239" w:lineRule="auto"/>
        <w:tabs>
          <w:tab w:leader="none" w:pos="1897" w:val="left"/>
        </w:tabs>
        <w:numPr>
          <w:ilvl w:val="1"/>
          <w:numId w:val="5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Courier New" w:cs="Courier New" w:eastAsia="Courier New" w:hAnsi="Courier New"/>
          <w:sz w:val="16"/>
          <w:szCs w:val="16"/>
          <w:color w:val="auto"/>
        </w:rPr>
      </w:pPr>
    </w:p>
    <w:p>
      <w:pPr>
        <w:ind w:left="1140" w:right="2659" w:firstLine="370"/>
        <w:spacing w:after="0" w:line="239" w:lineRule="auto"/>
        <w:tabs>
          <w:tab w:leader="none" w:pos="1897" w:val="left"/>
        </w:tabs>
        <w:numPr>
          <w:ilvl w:val="1"/>
          <w:numId w:val="5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88" w:lineRule="exact"/>
        <w:rPr>
          <w:rFonts w:ascii="Courier New" w:cs="Courier New" w:eastAsia="Courier New" w:hAnsi="Courier New"/>
          <w:sz w:val="16"/>
          <w:szCs w:val="16"/>
          <w:color w:val="auto"/>
        </w:rPr>
      </w:pPr>
    </w:p>
    <w:p>
      <w:pPr>
        <w:jc w:val="both"/>
        <w:ind w:left="760" w:right="2659" w:hanging="385"/>
        <w:spacing w:after="0" w:line="260" w:lineRule="auto"/>
        <w:tabs>
          <w:tab w:leader="none" w:pos="760" w:val="left"/>
        </w:tabs>
        <w:numPr>
          <w:ilvl w:val="0"/>
          <w:numId w:val="5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Courier New" w:cs="Courier New" w:eastAsia="Courier New" w:hAnsi="Courier New"/>
          <w:sz w:val="15"/>
          <w:szCs w:val="15"/>
          <w:color w:val="auto"/>
        </w:rPr>
      </w:pPr>
    </w:p>
    <w:p>
      <w:pPr>
        <w:ind w:left="1140" w:right="2759" w:firstLine="370"/>
        <w:spacing w:after="0" w:line="239" w:lineRule="auto"/>
        <w:tabs>
          <w:tab w:leader="none" w:pos="1897" w:val="left"/>
        </w:tabs>
        <w:numPr>
          <w:ilvl w:val="1"/>
          <w:numId w:val="5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Courier New" w:cs="Courier New" w:eastAsia="Courier New" w:hAnsi="Courier New"/>
          <w:sz w:val="16"/>
          <w:szCs w:val="16"/>
          <w:color w:val="auto"/>
        </w:rPr>
      </w:pPr>
    </w:p>
    <w:p>
      <w:pPr>
        <w:ind w:left="1140" w:right="2659" w:firstLine="370"/>
        <w:spacing w:after="0" w:line="238" w:lineRule="auto"/>
        <w:tabs>
          <w:tab w:leader="none" w:pos="1897" w:val="left"/>
        </w:tabs>
        <w:numPr>
          <w:ilvl w:val="1"/>
          <w:numId w:val="5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319" w:right="1440" w:bottom="144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December 9,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/s/ Christopher L. Nagel ---------------------------------------- Christopher L. Nagel Executive Vice President and Chief Financial Officer</w:t>
      </w:r>
    </w:p>
    <w:p>
      <w:pPr>
        <w:sectPr>
          <w:pgSz w:w="11900" w:h="16838" w:orient="portrait"/>
          <w:cols w:equalWidth="0" w:num="3">
            <w:col w:w="2580" w:space="720"/>
            <w:col w:w="300" w:space="180"/>
            <w:col w:w="6439"/>
          </w:cols>
          <w:pgMar w:left="240" w:top="319" w:right="1440" w:bottom="1440" w:gutter="0" w:footer="0" w:header="0"/>
          <w:type w:val="continuous"/>
        </w:sectPr>
      </w:pPr>
    </w:p>
    <w:bookmarkStart w:id="533" w:name="page534"/>
    <w:bookmarkEnd w:id="533"/>
    <w:p>
      <w:pPr>
        <w:jc w:val="right"/>
        <w:ind w:right="2659"/>
        <w:spacing w:after="0"/>
        <w:rPr>
          <w:sz w:val="20"/>
          <w:szCs w:val="20"/>
          <w:color w:val="auto"/>
        </w:rPr>
      </w:pPr>
      <w:r>
        <w:rPr>
          <w:rFonts w:ascii="Courier New" w:cs="Courier New" w:eastAsia="Courier New" w:hAnsi="Courier New"/>
          <w:sz w:val="16"/>
          <w:szCs w:val="16"/>
          <w:color w:val="auto"/>
        </w:rPr>
        <w:t>Exhibit 32</w:t>
      </w:r>
    </w:p>
    <w:p>
      <w:pPr>
        <w:spacing w:after="0" w:line="183"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SECTION 1350 CERTIFICATION*</w:t>
      </w:r>
    </w:p>
    <w:p>
      <w:pPr>
        <w:spacing w:after="0" w:line="186" w:lineRule="exact"/>
        <w:rPr>
          <w:sz w:val="20"/>
          <w:szCs w:val="20"/>
          <w:color w:val="auto"/>
        </w:rPr>
      </w:pPr>
    </w:p>
    <w:p>
      <w:pPr>
        <w:ind w:left="3" w:right="2659" w:firstLine="378"/>
        <w:spacing w:after="0" w:line="258" w:lineRule="auto"/>
        <w:rPr>
          <w:sz w:val="20"/>
          <w:szCs w:val="20"/>
          <w:color w:val="auto"/>
        </w:rPr>
      </w:pPr>
      <w:r>
        <w:rPr>
          <w:rFonts w:ascii="Courier New" w:cs="Courier New" w:eastAsia="Courier New" w:hAnsi="Courier New"/>
          <w:sz w:val="15"/>
          <w:szCs w:val="15"/>
          <w:color w:val="auto"/>
        </w:rPr>
        <w:t>In connection with the Annual Report of The Scotts Company (the "Company") on Form 10-K for the fiscal year ended September 30, 2003 as filed with the Securities and Exchange Commission on the date hereof (the "Report"), the undersigned James Hagedorn, President, Chief Executive Officer and Chairman of the Board of the Company, and Christopher L. Nagel,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76" w:lineRule="exact"/>
        <w:rPr>
          <w:sz w:val="20"/>
          <w:szCs w:val="20"/>
          <w:color w:val="auto"/>
        </w:rPr>
      </w:pPr>
    </w:p>
    <w:p>
      <w:pPr>
        <w:ind w:left="763" w:right="2759" w:hanging="385"/>
        <w:spacing w:after="0" w:line="237" w:lineRule="auto"/>
        <w:tabs>
          <w:tab w:leader="none" w:pos="763" w:val="left"/>
        </w:tabs>
        <w:numPr>
          <w:ilvl w:val="0"/>
          <w:numId w:val="5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13(a) of the Securities Exchange Act of 1934; and</w:t>
      </w:r>
    </w:p>
    <w:p>
      <w:pPr>
        <w:spacing w:after="0" w:line="187" w:lineRule="exact"/>
        <w:rPr>
          <w:rFonts w:ascii="Courier New" w:cs="Courier New" w:eastAsia="Courier New" w:hAnsi="Courier New"/>
          <w:sz w:val="16"/>
          <w:szCs w:val="16"/>
          <w:color w:val="auto"/>
        </w:rPr>
      </w:pPr>
    </w:p>
    <w:p>
      <w:pPr>
        <w:ind w:left="763" w:right="2659" w:hanging="385"/>
        <w:spacing w:after="0" w:line="238" w:lineRule="auto"/>
        <w:tabs>
          <w:tab w:leader="none" w:pos="763" w:val="left"/>
        </w:tabs>
        <w:numPr>
          <w:ilvl w:val="0"/>
          <w:numId w:val="5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ectPr>
          <w:pgSz w:w="11900" w:h="16838" w:orient="portrait"/>
          <w:cols w:equalWidth="0" w:num="1">
            <w:col w:w="10222"/>
          </w:cols>
          <w:pgMar w:left="237" w:top="319" w:right="1440" w:bottom="1440" w:gutter="0" w:footer="0" w:header="0"/>
        </w:sectPr>
      </w:pPr>
    </w:p>
    <w:p>
      <w:pPr>
        <w:spacing w:after="0" w:line="184" w:lineRule="exact"/>
        <w:rPr>
          <w:sz w:val="20"/>
          <w:szCs w:val="20"/>
          <w:color w:val="auto"/>
        </w:rPr>
      </w:pPr>
    </w:p>
    <w:p>
      <w:pPr>
        <w:ind w:left="563"/>
        <w:spacing w:after="0"/>
        <w:rPr>
          <w:sz w:val="20"/>
          <w:szCs w:val="20"/>
          <w:color w:val="auto"/>
        </w:rPr>
      </w:pPr>
      <w:r>
        <w:rPr>
          <w:rFonts w:ascii="Courier New" w:cs="Courier New" w:eastAsia="Courier New" w:hAnsi="Courier New"/>
          <w:sz w:val="16"/>
          <w:szCs w:val="16"/>
          <w:color w:val="auto"/>
        </w:rPr>
        <w:t>/s/ James Hagedorn</w:t>
      </w:r>
    </w:p>
    <w:p>
      <w:pPr>
        <w:spacing w:after="0" w:line="5" w:lineRule="exact"/>
        <w:rPr>
          <w:sz w:val="20"/>
          <w:szCs w:val="20"/>
          <w:color w:val="auto"/>
        </w:rPr>
      </w:pPr>
    </w:p>
    <w:p>
      <w:pPr>
        <w:ind w:left="563"/>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63"/>
        <w:spacing w:after="0"/>
        <w:rPr>
          <w:sz w:val="20"/>
          <w:szCs w:val="20"/>
          <w:color w:val="auto"/>
        </w:rPr>
      </w:pPr>
      <w:r>
        <w:rPr>
          <w:rFonts w:ascii="Courier New" w:cs="Courier New" w:eastAsia="Courier New" w:hAnsi="Courier New"/>
          <w:sz w:val="16"/>
          <w:szCs w:val="16"/>
          <w:color w:val="auto"/>
        </w:rPr>
        <w:t>James Hagedorn</w:t>
      </w:r>
    </w:p>
    <w:p>
      <w:pPr>
        <w:spacing w:after="0" w:line="5" w:lineRule="exact"/>
        <w:rPr>
          <w:sz w:val="20"/>
          <w:szCs w:val="20"/>
          <w:color w:val="auto"/>
        </w:rPr>
      </w:pPr>
    </w:p>
    <w:p>
      <w:pPr>
        <w:ind w:left="563"/>
        <w:spacing w:after="0"/>
        <w:rPr>
          <w:sz w:val="20"/>
          <w:szCs w:val="20"/>
          <w:color w:val="auto"/>
        </w:rPr>
      </w:pPr>
      <w:r>
        <w:rPr>
          <w:rFonts w:ascii="Courier New" w:cs="Courier New" w:eastAsia="Courier New" w:hAnsi="Courier New"/>
          <w:sz w:val="15"/>
          <w:szCs w:val="15"/>
          <w:color w:val="auto"/>
        </w:rPr>
        <w:t>President, Chief Executive Officer</w:t>
      </w:r>
    </w:p>
    <w:p>
      <w:pPr>
        <w:spacing w:after="0" w:line="8" w:lineRule="exact"/>
        <w:rPr>
          <w:sz w:val="20"/>
          <w:szCs w:val="20"/>
          <w:color w:val="auto"/>
        </w:rPr>
      </w:pPr>
    </w:p>
    <w:p>
      <w:pPr>
        <w:ind w:left="563"/>
        <w:spacing w:after="0"/>
        <w:rPr>
          <w:sz w:val="20"/>
          <w:szCs w:val="20"/>
          <w:color w:val="auto"/>
        </w:rPr>
      </w:pPr>
      <w:r>
        <w:rPr>
          <w:rFonts w:ascii="Courier New" w:cs="Courier New" w:eastAsia="Courier New" w:hAnsi="Courier New"/>
          <w:sz w:val="16"/>
          <w:szCs w:val="16"/>
          <w:color w:val="auto"/>
        </w:rPr>
        <w:t>and Chairman of the Board</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Christopher L. Nagel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Christopher L. Nagel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Chief Financial Officer</w:t>
      </w:r>
    </w:p>
    <w:p>
      <w:pPr>
        <w:spacing w:after="0" w:line="186" w:lineRule="exact"/>
        <w:rPr>
          <w:sz w:val="20"/>
          <w:szCs w:val="20"/>
          <w:color w:val="auto"/>
        </w:rPr>
      </w:pPr>
    </w:p>
    <w:p>
      <w:pPr>
        <w:sectPr>
          <w:pgSz w:w="11900" w:h="16838" w:orient="portrait"/>
          <w:cols w:equalWidth="0" w:num="2">
            <w:col w:w="3783" w:space="660"/>
            <w:col w:w="5779"/>
          </w:cols>
          <w:pgMar w:left="237" w:top="319" w:right="1440" w:bottom="1440" w:gutter="0" w:footer="0" w:header="0"/>
          <w:type w:val="continuous"/>
        </w:sectPr>
      </w:pPr>
    </w:p>
    <w:p>
      <w:pPr>
        <w:ind w:left="563"/>
        <w:spacing w:after="0"/>
        <w:rPr>
          <w:sz w:val="20"/>
          <w:szCs w:val="20"/>
          <w:color w:val="auto"/>
        </w:rPr>
      </w:pPr>
      <w:r>
        <w:rPr>
          <w:rFonts w:ascii="Courier New" w:cs="Courier New" w:eastAsia="Courier New" w:hAnsi="Courier New"/>
          <w:sz w:val="15"/>
          <w:szCs w:val="15"/>
          <w:color w:val="auto"/>
        </w:rPr>
        <w:t>December 8, 2003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December 9, 2003</w:t>
      </w:r>
    </w:p>
    <w:p>
      <w:pPr>
        <w:spacing w:after="0" w:line="194" w:lineRule="exact"/>
        <w:rPr>
          <w:sz w:val="20"/>
          <w:szCs w:val="20"/>
          <w:color w:val="auto"/>
        </w:rPr>
      </w:pPr>
    </w:p>
    <w:p>
      <w:pPr>
        <w:sectPr>
          <w:pgSz w:w="11900" w:h="16838" w:orient="portrait"/>
          <w:cols w:equalWidth="0" w:num="2">
            <w:col w:w="3723" w:space="720"/>
            <w:col w:w="5779"/>
          </w:cols>
          <w:pgMar w:left="237" w:top="319" w:right="1440" w:bottom="1440" w:gutter="0" w:footer="0" w:header="0"/>
          <w:type w:val="continuous"/>
        </w:sectPr>
      </w:pPr>
    </w:p>
    <w:p>
      <w:pPr>
        <w:ind w:left="3" w:right="2659" w:hanging="3"/>
        <w:spacing w:after="0" w:line="239" w:lineRule="auto"/>
        <w:tabs>
          <w:tab w:leader="none" w:pos="192" w:val="left"/>
        </w:tabs>
        <w:numPr>
          <w:ilvl w:val="0"/>
          <w:numId w:val="5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AS OTHERWISE STATED IN SUCH FILING.</w:t>
      </w:r>
    </w:p>
    <w:sectPr>
      <w:pgSz w:w="11900" w:h="16838" w:orient="portrait"/>
      <w:cols w:equalWidth="0" w:num="1">
        <w:col w:w="10222"/>
      </w:cols>
      <w:pgMar w:left="237" w:top="3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315369"/>
    <w:multiLevelType w:val="hybridMultilevel"/>
    <w:lvl w:ilvl="0">
      <w:lvlJc w:val="left"/>
      <w:lvlText w:val="("/>
      <w:numFmt w:val="bullet"/>
      <w:start w:val="1"/>
    </w:lvl>
  </w:abstractNum>
  <w:abstractNum w:abstractNumId="1">
    <w:nsid w:val="7BCFBAFC"/>
    <w:multiLevelType w:val="hybridMultilevel"/>
    <w:lvl w:ilvl="0">
      <w:lvlJc w:val="left"/>
      <w:lvlText w:val="("/>
      <w:numFmt w:val="bullet"/>
      <w:start w:val="1"/>
    </w:lvl>
  </w:abstractNum>
  <w:abstractNum w:abstractNumId="2">
    <w:nsid w:val="17859F72"/>
    <w:multiLevelType w:val="hybridMultilevel"/>
    <w:lvl w:ilvl="0">
      <w:lvlJc w:val="left"/>
      <w:lvlText w:val="-"/>
      <w:numFmt w:val="bullet"/>
      <w:start w:val="1"/>
    </w:lvl>
  </w:abstractNum>
  <w:abstractNum w:abstractNumId="3">
    <w:nsid w:val="3AA10581"/>
    <w:multiLevelType w:val="hybridMultilevel"/>
    <w:lvl w:ilvl="0">
      <w:lvlJc w:val="left"/>
      <w:lvlText w:val="-"/>
      <w:numFmt w:val="bullet"/>
      <w:start w:val="1"/>
    </w:lvl>
  </w:abstractNum>
  <w:abstractNum w:abstractNumId="4">
    <w:nsid w:val="63DE60CD"/>
    <w:multiLevelType w:val="hybridMultilevel"/>
    <w:lvl w:ilvl="0">
      <w:lvlJc w:val="left"/>
      <w:lvlText w:val="*"/>
      <w:numFmt w:val="bullet"/>
      <w:start w:val="1"/>
    </w:lvl>
  </w:abstractNum>
  <w:abstractNum w:abstractNumId="5">
    <w:nsid w:val="621AF471"/>
    <w:multiLevelType w:val="hybridMultilevel"/>
    <w:lvl w:ilvl="0">
      <w:lvlJc w:val="left"/>
      <w:lvlText w:val="-"/>
      <w:numFmt w:val="bullet"/>
      <w:start w:val="1"/>
    </w:lvl>
  </w:abstractNum>
  <w:abstractNum w:abstractNumId="6">
    <w:nsid w:val="73CFE165"/>
    <w:multiLevelType w:val="hybridMultilevel"/>
    <w:lvl w:ilvl="0">
      <w:lvlJc w:val="left"/>
      <w:lvlText w:val="-"/>
      <w:numFmt w:val="bullet"/>
      <w:start w:val="1"/>
    </w:lvl>
  </w:abstractNum>
  <w:abstractNum w:abstractNumId="7">
    <w:nsid w:val="20F88EA6"/>
    <w:multiLevelType w:val="hybridMultilevel"/>
    <w:lvl w:ilvl="0">
      <w:lvlJc w:val="left"/>
      <w:lvlText w:val="(%1)"/>
      <w:numFmt w:val="decimal"/>
      <w:start w:val="3"/>
    </w:lvl>
  </w:abstractNum>
  <w:abstractNum w:abstractNumId="8">
    <w:nsid w:val="617C843E"/>
    <w:multiLevelType w:val="hybridMultilevel"/>
    <w:lvl w:ilvl="0">
      <w:lvlJc w:val="left"/>
      <w:lvlText w:val="-"/>
      <w:numFmt w:val="bullet"/>
      <w:start w:val="1"/>
    </w:lvl>
    <w:lvl w:ilvl="1">
      <w:lvlJc w:val="left"/>
      <w:lvlText w:val="%2"/>
      <w:numFmt w:val="upperLetter"/>
      <w:start w:val="1"/>
    </w:lvl>
    <w:lvl w:ilvl="2">
      <w:lvlJc w:val="left"/>
      <w:lvlText w:val="----"/>
      <w:numFmt w:val="bullet"/>
      <w:start w:val="1"/>
    </w:lvl>
  </w:abstractNum>
  <w:abstractNum w:abstractNumId="9">
    <w:nsid w:val="7B541FAB"/>
    <w:multiLevelType w:val="hybridMultilevel"/>
    <w:lvl w:ilvl="0">
      <w:lvlJc w:val="left"/>
      <w:lvlText w:val="-"/>
      <w:numFmt w:val="bullet"/>
      <w:start w:val="1"/>
    </w:lvl>
  </w:abstractNum>
  <w:abstractNum w:abstractNumId="10">
    <w:nsid w:val="2A79EC49"/>
    <w:multiLevelType w:val="hybridMultilevel"/>
    <w:lvl w:ilvl="0">
      <w:lvlJc w:val="left"/>
      <w:lvlText w:val="-"/>
      <w:numFmt w:val="bullet"/>
      <w:start w:val="1"/>
    </w:lvl>
  </w:abstractNum>
  <w:abstractNum w:abstractNumId="11">
    <w:nsid w:val="338125CF"/>
    <w:multiLevelType w:val="hybridMultilevel"/>
    <w:lvl w:ilvl="0">
      <w:lvlJc w:val="left"/>
      <w:lvlText w:val="(%1)"/>
      <w:numFmt w:val="decimal"/>
      <w:start w:val="1"/>
    </w:lvl>
  </w:abstractNum>
  <w:abstractNum w:abstractNumId="12">
    <w:nsid w:val="47C7C971"/>
    <w:multiLevelType w:val="hybridMultilevel"/>
    <w:lvl w:ilvl="0">
      <w:lvlJc w:val="left"/>
      <w:lvlText w:val="(%1)"/>
      <w:numFmt w:val="decimal"/>
      <w:start w:val="3"/>
    </w:lvl>
  </w:abstractNum>
  <w:abstractNum w:abstractNumId="13">
    <w:nsid w:val="46F8284B"/>
    <w:multiLevelType w:val="hybridMultilevel"/>
    <w:lvl w:ilvl="0">
      <w:lvlJc w:val="left"/>
      <w:lvlText w:val="--"/>
      <w:numFmt w:val="bullet"/>
      <w:start w:val="1"/>
    </w:lvl>
  </w:abstractNum>
  <w:abstractNum w:abstractNumId="14">
    <w:nsid w:val="4FA327CE"/>
    <w:multiLevelType w:val="hybridMultilevel"/>
    <w:lvl w:ilvl="0">
      <w:lvlJc w:val="left"/>
      <w:lvlText w:val="--"/>
      <w:numFmt w:val="bullet"/>
      <w:start w:val="1"/>
    </w:lvl>
  </w:abstractNum>
  <w:abstractNum w:abstractNumId="15">
    <w:nsid w:val="1873983A"/>
    <w:multiLevelType w:val="hybridMultilevel"/>
    <w:lvl w:ilvl="0">
      <w:lvlJc w:val="left"/>
      <w:lvlText w:val="(%1)"/>
      <w:numFmt w:val="decimal"/>
      <w:start w:val="6"/>
    </w:lvl>
  </w:abstractNum>
  <w:abstractNum w:abstractNumId="16">
    <w:nsid w:val="3D2DD275"/>
    <w:multiLevelType w:val="hybridMultilevel"/>
    <w:lvl w:ilvl="0">
      <w:lvlJc w:val="left"/>
      <w:lvlText w:val="-"/>
      <w:numFmt w:val="bullet"/>
      <w:start w:val="1"/>
    </w:lvl>
  </w:abstractNum>
  <w:abstractNum w:abstractNumId="17">
    <w:nsid w:val="2E17ECA7"/>
    <w:multiLevelType w:val="hybridMultilevel"/>
    <w:lvl w:ilvl="0">
      <w:lvlJc w:val="left"/>
      <w:lvlText w:val="-"/>
      <w:numFmt w:val="bullet"/>
      <w:start w:val="1"/>
    </w:lvl>
  </w:abstractNum>
  <w:abstractNum w:abstractNumId="18">
    <w:nsid w:val="53B2564F"/>
    <w:multiLevelType w:val="hybridMultilevel"/>
    <w:lvl w:ilvl="0">
      <w:lvlJc w:val="left"/>
      <w:lvlText w:val="---"/>
      <w:numFmt w:val="bullet"/>
      <w:start w:val="1"/>
    </w:lvl>
  </w:abstractNum>
  <w:abstractNum w:abstractNumId="19">
    <w:nsid w:val="75509D76"/>
    <w:multiLevelType w:val="hybridMultilevel"/>
    <w:lvl w:ilvl="0">
      <w:lvlJc w:val="left"/>
      <w:lvlText w:val="--"/>
      <w:numFmt w:val="bullet"/>
      <w:start w:val="1"/>
    </w:lvl>
  </w:abstractNum>
  <w:abstractNum w:abstractNumId="20">
    <w:nsid w:val="1AF7F0EA"/>
    <w:multiLevelType w:val="hybridMultilevel"/>
    <w:lvl w:ilvl="0">
      <w:lvlJc w:val="left"/>
      <w:lvlText w:val="---"/>
      <w:numFmt w:val="bullet"/>
      <w:start w:val="1"/>
    </w:lvl>
  </w:abstractNum>
  <w:abstractNum w:abstractNumId="21">
    <w:nsid w:val="4DA32C7E"/>
    <w:multiLevelType w:val="hybridMultilevel"/>
    <w:lvl w:ilvl="0">
      <w:lvlJc w:val="left"/>
      <w:lvlText w:val="---"/>
      <w:numFmt w:val="bullet"/>
      <w:start w:val="1"/>
    </w:lvl>
  </w:abstractNum>
  <w:abstractNum w:abstractNumId="22">
    <w:nsid w:val="6EC68664"/>
    <w:multiLevelType w:val="hybridMultilevel"/>
    <w:lvl w:ilvl="0">
      <w:lvlJc w:val="left"/>
      <w:lvlText w:val="----"/>
      <w:numFmt w:val="bullet"/>
      <w:start w:val="1"/>
    </w:lvl>
  </w:abstractNum>
  <w:abstractNum w:abstractNumId="23">
    <w:nsid w:val="E0D31FF"/>
    <w:multiLevelType w:val="hybridMultilevel"/>
    <w:lvl w:ilvl="0">
      <w:lvlJc w:val="left"/>
      <w:lvlText w:val="-"/>
      <w:numFmt w:val="bullet"/>
      <w:start w:val="1"/>
    </w:lvl>
    <w:lvl w:ilvl="1">
      <w:lvlJc w:val="left"/>
      <w:lvlText w:val="---"/>
      <w:numFmt w:val="bullet"/>
      <w:start w:val="1"/>
    </w:lvl>
  </w:abstractNum>
  <w:abstractNum w:abstractNumId="24">
    <w:nsid w:val="2FD0AD81"/>
    <w:multiLevelType w:val="hybridMultilevel"/>
    <w:lvl w:ilvl="0">
      <w:lvlJc w:val="left"/>
      <w:lvlText w:val="5"/>
      <w:numFmt w:val="bullet"/>
      <w:start w:val="1"/>
    </w:lvl>
  </w:abstractNum>
  <w:abstractNum w:abstractNumId="25">
    <w:nsid w:val="1978EBEB"/>
    <w:multiLevelType w:val="hybridMultilevel"/>
    <w:lvl w:ilvl="0">
      <w:lvlJc w:val="left"/>
      <w:lvlText w:val="-"/>
      <w:numFmt w:val="bullet"/>
      <w:start w:val="1"/>
    </w:lvl>
    <w:lvl w:ilvl="1">
      <w:lvlJc w:val="left"/>
      <w:lvlText w:val="----"/>
      <w:numFmt w:val="bullet"/>
      <w:start w:val="1"/>
    </w:lvl>
  </w:abstractNum>
  <w:abstractNum w:abstractNumId="26">
    <w:nsid w:val="52C12C61"/>
    <w:multiLevelType w:val="hybridMultilevel"/>
    <w:lvl w:ilvl="0">
      <w:lvlJc w:val="left"/>
      <w:lvlText w:val="-"/>
      <w:numFmt w:val="bullet"/>
      <w:start w:val="1"/>
    </w:lvl>
  </w:abstractNum>
  <w:abstractNum w:abstractNumId="27">
    <w:nsid w:val="4BDD53FD"/>
    <w:multiLevelType w:val="hybridMultilevel"/>
    <w:lvl w:ilvl="0">
      <w:lvlJc w:val="left"/>
      <w:lvlText w:val="-"/>
      <w:numFmt w:val="bullet"/>
      <w:start w:val="1"/>
    </w:lvl>
  </w:abstractNum>
  <w:abstractNum w:abstractNumId="28">
    <w:nsid w:val="569951FE"/>
    <w:multiLevelType w:val="hybridMultilevel"/>
    <w:lvl w:ilvl="0">
      <w:lvlJc w:val="left"/>
      <w:lvlText w:val="-"/>
      <w:numFmt w:val="bullet"/>
      <w:start w:val="1"/>
    </w:lvl>
  </w:abstractNum>
  <w:abstractNum w:abstractNumId="29">
    <w:nsid w:val="4C54E2C3"/>
    <w:multiLevelType w:val="hybridMultilevel"/>
    <w:lvl w:ilvl="0">
      <w:lvlJc w:val="left"/>
      <w:lvlText w:val="-"/>
      <w:numFmt w:val="bullet"/>
      <w:start w:val="1"/>
    </w:lvl>
  </w:abstractNum>
  <w:abstractNum w:abstractNumId="30">
    <w:nsid w:val="788BD9B"/>
    <w:multiLevelType w:val="hybridMultilevel"/>
    <w:lvl w:ilvl="0">
      <w:lvlJc w:val="left"/>
      <w:lvlText w:val="-"/>
      <w:numFmt w:val="bullet"/>
      <w:start w:val="1"/>
    </w:lvl>
  </w:abstractNum>
  <w:abstractNum w:abstractNumId="31">
    <w:nsid w:val="47CAA567"/>
    <w:multiLevelType w:val="hybridMultilevel"/>
    <w:lvl w:ilvl="0">
      <w:lvlJc w:val="left"/>
      <w:lvlText w:val="-"/>
      <w:numFmt w:val="bullet"/>
      <w:start w:val="1"/>
    </w:lvl>
  </w:abstractNum>
  <w:abstractNum w:abstractNumId="32">
    <w:nsid w:val="48249DBF"/>
    <w:multiLevelType w:val="hybridMultilevel"/>
    <w:lvl w:ilvl="0">
      <w:lvlJc w:val="left"/>
      <w:lvlText w:val="-"/>
      <w:numFmt w:val="bullet"/>
      <w:start w:val="1"/>
    </w:lvl>
  </w:abstractNum>
  <w:abstractNum w:abstractNumId="33">
    <w:nsid w:val="1F0E5D0D"/>
    <w:multiLevelType w:val="hybridMultilevel"/>
    <w:lvl w:ilvl="0">
      <w:lvlJc w:val="left"/>
      <w:lvlText w:val="-"/>
      <w:numFmt w:val="bullet"/>
      <w:start w:val="1"/>
    </w:lvl>
  </w:abstractNum>
  <w:abstractNum w:abstractNumId="34">
    <w:nsid w:val="26BAAE9"/>
    <w:multiLevelType w:val="hybridMultilevel"/>
    <w:lvl w:ilvl="0">
      <w:lvlJc w:val="left"/>
      <w:lvlText w:val="-"/>
      <w:numFmt w:val="bullet"/>
      <w:start w:val="1"/>
    </w:lvl>
  </w:abstractNum>
  <w:abstractNum w:abstractNumId="35">
    <w:nsid w:val="2C02FE8C"/>
    <w:multiLevelType w:val="hybridMultilevel"/>
    <w:lvl w:ilvl="0">
      <w:lvlJc w:val="left"/>
      <w:lvlText w:val="-"/>
      <w:numFmt w:val="bullet"/>
      <w:start w:val="1"/>
    </w:lvl>
    <w:lvl w:ilvl="1">
      <w:lvlJc w:val="left"/>
      <w:lvlText w:val="-"/>
      <w:numFmt w:val="bullet"/>
      <w:start w:val="1"/>
    </w:lvl>
  </w:abstractNum>
  <w:abstractNum w:abstractNumId="36">
    <w:nsid w:val="129517E"/>
    <w:multiLevelType w:val="hybridMultilevel"/>
    <w:lvl w:ilvl="0">
      <w:lvlJc w:val="left"/>
      <w:lvlText w:val="-"/>
      <w:numFmt w:val="bullet"/>
      <w:start w:val="1"/>
    </w:lvl>
  </w:abstractNum>
  <w:abstractNum w:abstractNumId="37">
    <w:nsid w:val="763B8C4E"/>
    <w:multiLevelType w:val="hybridMultilevel"/>
    <w:lvl w:ilvl="0">
      <w:lvlJc w:val="left"/>
      <w:lvlText w:val="-"/>
      <w:numFmt w:val="bullet"/>
      <w:start w:val="1"/>
    </w:lvl>
  </w:abstractNum>
  <w:abstractNum w:abstractNumId="38">
    <w:nsid w:val="4CFB8D32"/>
    <w:multiLevelType w:val="hybridMultilevel"/>
    <w:lvl w:ilvl="0">
      <w:lvlJc w:val="left"/>
      <w:lvlText w:val="-"/>
      <w:numFmt w:val="bullet"/>
      <w:start w:val="1"/>
    </w:lvl>
  </w:abstractNum>
  <w:abstractNum w:abstractNumId="39">
    <w:nsid w:val="62A5D5BD"/>
    <w:multiLevelType w:val="hybridMultilevel"/>
    <w:lvl w:ilvl="0">
      <w:lvlJc w:val="left"/>
      <w:lvlText w:val="-"/>
      <w:numFmt w:val="bullet"/>
      <w:start w:val="1"/>
    </w:lvl>
  </w:abstractNum>
  <w:abstractNum w:abstractNumId="40">
    <w:nsid w:val="718FABF9"/>
    <w:multiLevelType w:val="hybridMultilevel"/>
    <w:lvl w:ilvl="0">
      <w:lvlJc w:val="left"/>
      <w:lvlText w:val="--"/>
      <w:numFmt w:val="bullet"/>
      <w:start w:val="1"/>
    </w:lvl>
  </w:abstractNum>
  <w:abstractNum w:abstractNumId="41">
    <w:nsid w:val="7775797C"/>
    <w:multiLevelType w:val="hybridMultilevel"/>
    <w:lvl w:ilvl="0">
      <w:lvlJc w:val="left"/>
      <w:lvlText w:val="---"/>
      <w:numFmt w:val="bullet"/>
      <w:start w:val="1"/>
    </w:lvl>
  </w:abstractNum>
  <w:abstractNum w:abstractNumId="42">
    <w:nsid w:val="1626FB8C"/>
    <w:multiLevelType w:val="hybridMultilevel"/>
    <w:lvl w:ilvl="0">
      <w:lvlJc w:val="left"/>
      <w:lvlText w:val="$"/>
      <w:numFmt w:val="bullet"/>
      <w:start w:val="1"/>
    </w:lvl>
  </w:abstractNum>
  <w:abstractNum w:abstractNumId="43">
    <w:nsid w:val="3957756A"/>
    <w:multiLevelType w:val="hybridMultilevel"/>
    <w:lvl w:ilvl="0">
      <w:lvlJc w:val="left"/>
      <w:lvlText w:val="---"/>
      <w:numFmt w:val="bullet"/>
      <w:start w:val="1"/>
    </w:lvl>
  </w:abstractNum>
  <w:abstractNum w:abstractNumId="44">
    <w:nsid w:val="3E6DA1C7"/>
    <w:multiLevelType w:val="hybridMultilevel"/>
    <w:lvl w:ilvl="0">
      <w:lvlJc w:val="left"/>
      <w:lvlText w:val="---"/>
      <w:numFmt w:val="bullet"/>
      <w:start w:val="1"/>
    </w:lvl>
  </w:abstractNum>
  <w:abstractNum w:abstractNumId="45">
    <w:nsid w:val="65CA235B"/>
    <w:multiLevelType w:val="hybridMultilevel"/>
    <w:lvl w:ilvl="0">
      <w:lvlJc w:val="left"/>
      <w:lvlText w:val="$"/>
      <w:numFmt w:val="bullet"/>
      <w:start w:val="1"/>
    </w:lvl>
  </w:abstractNum>
  <w:abstractNum w:abstractNumId="46">
    <w:nsid w:val="51CB0DA4"/>
    <w:multiLevelType w:val="hybridMultilevel"/>
    <w:lvl w:ilvl="0">
      <w:lvlJc w:val="left"/>
      <w:lvlText w:val="-"/>
      <w:numFmt w:val="bullet"/>
      <w:start w:val="1"/>
    </w:lvl>
  </w:abstractNum>
  <w:abstractNum w:abstractNumId="47">
    <w:nsid w:val="7B9B743C"/>
    <w:multiLevelType w:val="hybridMultilevel"/>
    <w:lvl w:ilvl="0">
      <w:lvlJc w:val="left"/>
      <w:lvlText w:val="%1."/>
      <w:numFmt w:val="decimal"/>
      <w:start w:val="3"/>
    </w:lvl>
  </w:abstractNum>
  <w:abstractNum w:abstractNumId="48">
    <w:nsid w:val="13E21002"/>
    <w:multiLevelType w:val="hybridMultilevel"/>
    <w:lvl w:ilvl="0">
      <w:lvlJc w:val="left"/>
      <w:lvlText w:val="----"/>
      <w:numFmt w:val="bullet"/>
      <w:start w:val="1"/>
    </w:lvl>
    <w:lvl w:ilvl="1">
      <w:lvlJc w:val="left"/>
      <w:lvlText w:val="(%2)"/>
      <w:numFmt w:val="decimal"/>
      <w:start w:val="1"/>
    </w:lvl>
  </w:abstractNum>
  <w:abstractNum w:abstractNumId="49">
    <w:nsid w:val="257D63F4"/>
    <w:multiLevelType w:val="hybridMultilevel"/>
    <w:lvl w:ilvl="0">
      <w:lvlJc w:val="left"/>
      <w:lvlText w:val="----"/>
      <w:numFmt w:val="bullet"/>
      <w:start w:val="1"/>
    </w:lvl>
  </w:abstractNum>
  <w:abstractNum w:abstractNumId="50">
    <w:nsid w:val="70EC11B2"/>
    <w:multiLevelType w:val="hybridMultilevel"/>
    <w:lvl w:ilvl="0">
      <w:lvlJc w:val="left"/>
      <w:lvlText w:val="%1."/>
      <w:numFmt w:val="upperLetter"/>
      <w:start w:val="10"/>
    </w:lvl>
  </w:abstractNum>
  <w:abstractNum w:abstractNumId="51">
    <w:nsid w:val="2EDA00ED"/>
    <w:multiLevelType w:val="hybridMultilevel"/>
    <w:lvl w:ilvl="0">
      <w:lvlJc w:val="left"/>
      <w:lvlText w:val="%1."/>
      <w:numFmt w:val="upperLetter"/>
      <w:start w:val="12"/>
    </w:lvl>
  </w:abstractNum>
  <w:abstractNum w:abstractNumId="52">
    <w:nsid w:val="73209072"/>
    <w:multiLevelType w:val="hybridMultilevel"/>
    <w:lvl w:ilvl="0">
      <w:lvlJc w:val="left"/>
      <w:lvlText w:val="----"/>
      <w:numFmt w:val="bullet"/>
      <w:start w:val="1"/>
    </w:lvl>
  </w:abstractNum>
  <w:abstractNum w:abstractNumId="53">
    <w:nsid w:val="5FB29816"/>
    <w:multiLevelType w:val="hybridMultilevel"/>
    <w:lvl w:ilvl="0">
      <w:lvlJc w:val="left"/>
      <w:lvlText w:val="-"/>
      <w:numFmt w:val="bullet"/>
      <w:start w:val="1"/>
    </w:lvl>
    <w:lvl w:ilvl="1">
      <w:lvlJc w:val="left"/>
      <w:lvlText w:val="(%2)"/>
      <w:numFmt w:val="lowerLetter"/>
      <w:start w:val="2"/>
    </w:lvl>
  </w:abstractNum>
  <w:abstractNum w:abstractNumId="54">
    <w:nsid w:val="3CE732EC"/>
    <w:multiLevelType w:val="hybridMultilevel"/>
    <w:lvl w:ilvl="0">
      <w:lvlJc w:val="left"/>
      <w:lvlText w:val="-"/>
      <w:numFmt w:val="bullet"/>
      <w:start w:val="1"/>
    </w:lvl>
  </w:abstractNum>
  <w:abstractNum w:abstractNumId="55">
    <w:nsid w:val="22F13DF3"/>
    <w:multiLevelType w:val="hybridMultilevel"/>
    <w:lvl w:ilvl="0">
      <w:lvlJc w:val="left"/>
      <w:lvlText w:val="%1."/>
      <w:numFmt w:val="upperLetter"/>
      <w:start w:val="6"/>
    </w:lvl>
  </w:abstractNum>
  <w:abstractNum w:abstractNumId="56">
    <w:nsid w:val="792B8401"/>
    <w:multiLevelType w:val="hybridMultilevel"/>
    <w:lvl w:ilvl="0">
      <w:lvlJc w:val="left"/>
      <w:lvlText w:val="%1."/>
      <w:numFmt w:val="upperLetter"/>
      <w:start w:val="23"/>
    </w:lvl>
  </w:abstractNum>
  <w:abstractNum w:abstractNumId="57">
    <w:nsid w:val="FA85F4D"/>
    <w:multiLevelType w:val="hybridMultilevel"/>
    <w:lvl w:ilvl="0">
      <w:lvlJc w:val="left"/>
      <w:lvlText w:val="%1."/>
      <w:numFmt w:val="upperLetter"/>
      <w:start w:val="5"/>
    </w:lvl>
  </w:abstractNum>
  <w:abstractNum w:abstractNumId="58">
    <w:nsid w:val="6ECE91F0"/>
    <w:multiLevelType w:val="hybridMultilevel"/>
    <w:lvl w:ilvl="0">
      <w:lvlJc w:val="left"/>
      <w:lvlText w:val="%1."/>
      <w:numFmt w:val="upperLetter"/>
      <w:start w:val="7"/>
    </w:lvl>
  </w:abstractNum>
  <w:abstractNum w:abstractNumId="59">
    <w:nsid w:val="4FC4D600"/>
    <w:multiLevelType w:val="hybridMultilevel"/>
    <w:lvl w:ilvl="0">
      <w:lvlJc w:val="left"/>
      <w:lvlText w:val="%1."/>
      <w:numFmt w:val="upperLetter"/>
      <w:start w:val="12"/>
    </w:lvl>
  </w:abstractNum>
  <w:abstractNum w:abstractNumId="60">
    <w:nsid w:val="5BFD4210"/>
    <w:multiLevelType w:val="hybridMultilevel"/>
    <w:lvl w:ilvl="0">
      <w:lvlJc w:val="left"/>
      <w:lvlText w:val="%1."/>
      <w:numFmt w:val="upperLetter"/>
      <w:start w:val="12"/>
    </w:lvl>
  </w:abstractNum>
  <w:abstractNum w:abstractNumId="61">
    <w:nsid w:val="76574F8B"/>
    <w:multiLevelType w:val="hybridMultilevel"/>
    <w:lvl w:ilvl="0">
      <w:lvlJc w:val="left"/>
      <w:lvlText w:val="%1."/>
      <w:numFmt w:val="upperLetter"/>
      <w:start w:val="13"/>
    </w:lvl>
  </w:abstractNum>
  <w:abstractNum w:abstractNumId="62">
    <w:nsid w:val="178F7B67"/>
    <w:multiLevelType w:val="hybridMultilevel"/>
    <w:lvl w:ilvl="0">
      <w:lvlJc w:val="left"/>
      <w:lvlText w:val="---"/>
      <w:numFmt w:val="bullet"/>
      <w:start w:val="1"/>
    </w:lvl>
  </w:abstractNum>
  <w:abstractNum w:abstractNumId="63">
    <w:nsid w:val="2421DFCF"/>
    <w:multiLevelType w:val="hybridMultilevel"/>
    <w:lvl w:ilvl="0">
      <w:lvlJc w:val="left"/>
      <w:lvlText w:val="----"/>
      <w:numFmt w:val="bullet"/>
      <w:start w:val="1"/>
    </w:lvl>
  </w:abstractNum>
  <w:abstractNum w:abstractNumId="64">
    <w:nsid w:val="1565AC99"/>
    <w:multiLevelType w:val="hybridMultilevel"/>
    <w:lvl w:ilvl="0">
      <w:lvlJc w:val="left"/>
      <w:lvlText w:val="-"/>
      <w:numFmt w:val="bullet"/>
      <w:start w:val="1"/>
    </w:lvl>
  </w:abstractNum>
  <w:abstractNum w:abstractNumId="65">
    <w:nsid w:val="19FB2650"/>
    <w:multiLevelType w:val="hybridMultilevel"/>
    <w:lvl w:ilvl="0">
      <w:lvlJc w:val="left"/>
      <w:lvlText w:val="----"/>
      <w:numFmt w:val="bullet"/>
      <w:start w:val="1"/>
    </w:lvl>
  </w:abstractNum>
  <w:abstractNum w:abstractNumId="66">
    <w:nsid w:val="5024DE5B"/>
    <w:multiLevelType w:val="hybridMultilevel"/>
    <w:lvl w:ilvl="0">
      <w:lvlJc w:val="left"/>
      <w:lvlText w:val="-----"/>
      <w:numFmt w:val="bullet"/>
      <w:start w:val="1"/>
    </w:lvl>
  </w:abstractNum>
  <w:abstractNum w:abstractNumId="67">
    <w:nsid w:val="168EFE17"/>
    <w:multiLevelType w:val="hybridMultilevel"/>
    <w:lvl w:ilvl="0">
      <w:lvlJc w:val="left"/>
      <w:lvlText w:val="-----"/>
      <w:numFmt w:val="bullet"/>
      <w:start w:val="1"/>
    </w:lvl>
  </w:abstractNum>
  <w:abstractNum w:abstractNumId="68">
    <w:nsid w:val="1036B29F"/>
    <w:multiLevelType w:val="hybridMultilevel"/>
    <w:lvl w:ilvl="0">
      <w:lvlJc w:val="left"/>
      <w:lvlText w:val="----"/>
      <w:numFmt w:val="bullet"/>
      <w:start w:val="1"/>
    </w:lvl>
  </w:abstractNum>
  <w:abstractNum w:abstractNumId="69">
    <w:nsid w:val="1D206B8E"/>
    <w:multiLevelType w:val="hybridMultilevel"/>
    <w:lvl w:ilvl="0">
      <w:lvlJc w:val="left"/>
      <w:lvlText w:val="$"/>
      <w:numFmt w:val="bullet"/>
      <w:start w:val="1"/>
    </w:lvl>
  </w:abstractNum>
  <w:abstractNum w:abstractNumId="70">
    <w:nsid w:val="7934D3D4"/>
    <w:multiLevelType w:val="hybridMultilevel"/>
    <w:lvl w:ilvl="0">
      <w:lvlJc w:val="left"/>
      <w:lvlText w:val="$"/>
      <w:numFmt w:val="bullet"/>
      <w:start w:val="1"/>
    </w:lvl>
  </w:abstractNum>
  <w:abstractNum w:abstractNumId="71">
    <w:nsid w:val="1C65E98"/>
    <w:multiLevelType w:val="hybridMultilevel"/>
    <w:lvl w:ilvl="0">
      <w:lvlJc w:val="left"/>
      <w:lvlText w:val="----"/>
      <w:numFmt w:val="bullet"/>
      <w:start w:val="1"/>
    </w:lvl>
  </w:abstractNum>
  <w:abstractNum w:abstractNumId="72">
    <w:nsid w:val="1495E50A"/>
    <w:multiLevelType w:val="hybridMultilevel"/>
    <w:lvl w:ilvl="0">
      <w:lvlJc w:val="left"/>
      <w:lvlText w:val="$"/>
      <w:numFmt w:val="bullet"/>
      <w:start w:val="1"/>
    </w:lvl>
  </w:abstractNum>
  <w:abstractNum w:abstractNumId="73">
    <w:nsid w:val="F5BCF61"/>
    <w:multiLevelType w:val="hybridMultilevel"/>
    <w:lvl w:ilvl="0">
      <w:lvlJc w:val="left"/>
      <w:lvlText w:val="$"/>
      <w:numFmt w:val="bullet"/>
      <w:start w:val="1"/>
    </w:lvl>
  </w:abstractNum>
  <w:abstractNum w:abstractNumId="74">
    <w:nsid w:val="3B1DD403"/>
    <w:multiLevelType w:val="hybridMultilevel"/>
    <w:lvl w:ilvl="0">
      <w:lvlJc w:val="left"/>
      <w:lvlText w:val="-----"/>
      <w:numFmt w:val="bullet"/>
      <w:start w:val="1"/>
    </w:lvl>
  </w:abstractNum>
  <w:abstractNum w:abstractNumId="75">
    <w:nsid w:val="530386D1"/>
    <w:multiLevelType w:val="hybridMultilevel"/>
    <w:lvl w:ilvl="0">
      <w:lvlJc w:val="left"/>
      <w:lvlText w:val="---"/>
      <w:numFmt w:val="bullet"/>
      <w:start w:val="1"/>
    </w:lvl>
  </w:abstractNum>
  <w:abstractNum w:abstractNumId="76">
    <w:nsid w:val="7525F2BC"/>
    <w:multiLevelType w:val="hybridMultilevel"/>
    <w:lvl w:ilvl="0">
      <w:lvlJc w:val="left"/>
      <w:lvlText w:val="---"/>
      <w:numFmt w:val="bullet"/>
      <w:start w:val="1"/>
    </w:lvl>
  </w:abstractNum>
  <w:abstractNum w:abstractNumId="77">
    <w:nsid w:val="CE8E1A7"/>
    <w:multiLevelType w:val="hybridMultilevel"/>
    <w:lvl w:ilvl="0">
      <w:lvlJc w:val="left"/>
      <w:lvlText w:val="---"/>
      <w:numFmt w:val="bullet"/>
      <w:start w:val="1"/>
    </w:lvl>
  </w:abstractNum>
  <w:abstractNum w:abstractNumId="78">
    <w:nsid w:val="4E9EFB0D"/>
    <w:multiLevelType w:val="hybridMultilevel"/>
    <w:lvl w:ilvl="0">
      <w:lvlJc w:val="left"/>
      <w:lvlText w:val="-----"/>
      <w:numFmt w:val="bullet"/>
      <w:start w:val="1"/>
    </w:lvl>
  </w:abstractNum>
  <w:abstractNum w:abstractNumId="79">
    <w:nsid w:val="90802BE"/>
    <w:multiLevelType w:val="hybridMultilevel"/>
    <w:lvl w:ilvl="0">
      <w:lvlJc w:val="left"/>
      <w:lvlText w:val="-----"/>
      <w:numFmt w:val="bullet"/>
      <w:start w:val="1"/>
    </w:lvl>
  </w:abstractNum>
  <w:abstractNum w:abstractNumId="80">
    <w:nsid w:val="3266459B"/>
    <w:multiLevelType w:val="hybridMultilevel"/>
    <w:lvl w:ilvl="0">
      <w:lvlJc w:val="left"/>
      <w:lvlText w:val="-----"/>
      <w:numFmt w:val="bullet"/>
      <w:start w:val="1"/>
    </w:lvl>
  </w:abstractNum>
  <w:abstractNum w:abstractNumId="81">
    <w:nsid w:val="3F8B0CBF"/>
    <w:multiLevelType w:val="hybridMultilevel"/>
    <w:lvl w:ilvl="0">
      <w:lvlJc w:val="left"/>
      <w:lvlText w:val="$"/>
      <w:numFmt w:val="bullet"/>
      <w:start w:val="1"/>
    </w:lvl>
  </w:abstractNum>
  <w:abstractNum w:abstractNumId="82">
    <w:nsid w:val="37E203AB"/>
    <w:multiLevelType w:val="hybridMultilevel"/>
    <w:lvl w:ilvl="0">
      <w:lvlJc w:val="left"/>
      <w:lvlText w:val="-"/>
      <w:numFmt w:val="bullet"/>
      <w:start w:val="1"/>
    </w:lvl>
  </w:abstractNum>
  <w:abstractNum w:abstractNumId="83">
    <w:nsid w:val="2586D60E"/>
    <w:multiLevelType w:val="hybridMultilevel"/>
    <w:lvl w:ilvl="0">
      <w:lvlJc w:val="left"/>
      <w:lvlText w:val="---"/>
      <w:numFmt w:val="bullet"/>
      <w:start w:val="1"/>
    </w:lvl>
  </w:abstractNum>
  <w:abstractNum w:abstractNumId="84">
    <w:nsid w:val="1F3DA4D5"/>
    <w:multiLevelType w:val="hybridMultilevel"/>
    <w:lvl w:ilvl="0">
      <w:lvlJc w:val="left"/>
      <w:lvlText w:val="$"/>
      <w:numFmt w:val="bullet"/>
      <w:start w:val="1"/>
    </w:lvl>
  </w:abstractNum>
  <w:abstractNum w:abstractNumId="85">
    <w:nsid w:val="74C93698"/>
    <w:multiLevelType w:val="hybridMultilevel"/>
    <w:lvl w:ilvl="0">
      <w:lvlJc w:val="left"/>
      <w:lvlText w:val="-"/>
      <w:numFmt w:val="bullet"/>
      <w:start w:val="1"/>
    </w:lvl>
  </w:abstractNum>
  <w:abstractNum w:abstractNumId="86">
    <w:nsid w:val="48781401"/>
    <w:multiLevelType w:val="hybridMultilevel"/>
    <w:lvl w:ilvl="0">
      <w:lvlJc w:val="left"/>
      <w:lvlText w:val="----"/>
      <w:numFmt w:val="bullet"/>
      <w:start w:val="1"/>
    </w:lvl>
    <w:lvl w:ilvl="1">
      <w:lvlJc w:val="left"/>
      <w:lvlText w:val="-----"/>
      <w:numFmt w:val="bullet"/>
      <w:start w:val="1"/>
    </w:lvl>
  </w:abstractNum>
  <w:abstractNum w:abstractNumId="87">
    <w:nsid w:val="186928D6"/>
    <w:multiLevelType w:val="hybridMultilevel"/>
    <w:lvl w:ilvl="0">
      <w:lvlJc w:val="left"/>
      <w:lvlText w:val="---"/>
      <w:numFmt w:val="bullet"/>
      <w:start w:val="1"/>
    </w:lvl>
  </w:abstractNum>
  <w:abstractNum w:abstractNumId="88">
    <w:nsid w:val="47195E5"/>
    <w:multiLevelType w:val="hybridMultilevel"/>
    <w:lvl w:ilvl="0">
      <w:lvlJc w:val="left"/>
      <w:lvlText w:val="--"/>
      <w:numFmt w:val="bullet"/>
      <w:start w:val="1"/>
    </w:lvl>
  </w:abstractNum>
  <w:abstractNum w:abstractNumId="89">
    <w:nsid w:val="3746A5F2"/>
    <w:multiLevelType w:val="hybridMultilevel"/>
    <w:lvl w:ilvl="0">
      <w:lvlJc w:val="left"/>
      <w:lvlText w:val="----"/>
      <w:numFmt w:val="bullet"/>
      <w:start w:val="1"/>
    </w:lvl>
    <w:lvl w:ilvl="1">
      <w:lvlJc w:val="left"/>
      <w:lvlText w:val="----"/>
      <w:numFmt w:val="bullet"/>
      <w:start w:val="1"/>
    </w:lvl>
  </w:abstractNum>
  <w:abstractNum w:abstractNumId="90">
    <w:nsid w:val="682DFED6"/>
    <w:multiLevelType w:val="hybridMultilevel"/>
    <w:lvl w:ilvl="0">
      <w:lvlJc w:val="left"/>
      <w:lvlText w:val="-"/>
      <w:numFmt w:val="bullet"/>
      <w:start w:val="1"/>
    </w:lvl>
  </w:abstractNum>
  <w:abstractNum w:abstractNumId="91">
    <w:nsid w:val="606ED7F6"/>
    <w:multiLevelType w:val="hybridMultilevel"/>
    <w:lvl w:ilvl="0">
      <w:lvlJc w:val="left"/>
      <w:lvlText w:val="--"/>
      <w:numFmt w:val="bullet"/>
      <w:start w:val="1"/>
    </w:lvl>
  </w:abstractNum>
  <w:abstractNum w:abstractNumId="92">
    <w:nsid w:val="2D9DF57D"/>
    <w:multiLevelType w:val="hybridMultilevel"/>
    <w:lvl w:ilvl="0">
      <w:lvlJc w:val="left"/>
      <w:lvlText w:val="===="/>
      <w:numFmt w:val="bullet"/>
      <w:start w:val="1"/>
    </w:lvl>
  </w:abstractNum>
  <w:abstractNum w:abstractNumId="93">
    <w:nsid w:val="7FBD7A3E"/>
    <w:multiLevelType w:val="hybridMultilevel"/>
    <w:lvl w:ilvl="0">
      <w:lvlJc w:val="left"/>
      <w:lvlText w:val="--"/>
      <w:numFmt w:val="bullet"/>
      <w:start w:val="1"/>
    </w:lvl>
  </w:abstractNum>
  <w:abstractNum w:abstractNumId="94">
    <w:nsid w:val="490B7C5"/>
    <w:multiLevelType w:val="hybridMultilevel"/>
    <w:lvl w:ilvl="0">
      <w:lvlJc w:val="left"/>
      <w:lvlText w:val="-"/>
      <w:numFmt w:val="bullet"/>
      <w:start w:val="1"/>
    </w:lvl>
  </w:abstractNum>
  <w:abstractNum w:abstractNumId="95">
    <w:nsid w:val="4303A216"/>
    <w:multiLevelType w:val="hybridMultilevel"/>
    <w:lvl w:ilvl="0">
      <w:lvlJc w:val="left"/>
      <w:lvlText w:val="-----"/>
      <w:numFmt w:val="bullet"/>
      <w:start w:val="1"/>
    </w:lvl>
  </w:abstractNum>
  <w:abstractNum w:abstractNumId="96">
    <w:nsid w:val="19B8A08E"/>
    <w:multiLevelType w:val="hybridMultilevel"/>
    <w:lvl w:ilvl="0">
      <w:lvlJc w:val="left"/>
      <w:lvlText w:val="-----"/>
      <w:numFmt w:val="bullet"/>
      <w:start w:val="1"/>
    </w:lvl>
  </w:abstractNum>
  <w:abstractNum w:abstractNumId="97">
    <w:nsid w:val="54B59621"/>
    <w:multiLevelType w:val="hybridMultilevel"/>
    <w:lvl w:ilvl="0">
      <w:lvlJc w:val="left"/>
      <w:lvlText w:val="(%1)"/>
      <w:numFmt w:val="lowerLetter"/>
      <w:start w:val="1"/>
    </w:lvl>
  </w:abstractNum>
  <w:abstractNum w:abstractNumId="98">
    <w:nsid w:val="5992A02E"/>
    <w:multiLevelType w:val="hybridMultilevel"/>
    <w:lvl w:ilvl="0">
      <w:lvlJc w:val="left"/>
      <w:lvlText w:val="-"/>
      <w:numFmt w:val="bullet"/>
      <w:start w:val="1"/>
    </w:lvl>
    <w:lvl w:ilvl="1">
      <w:lvlJc w:val="left"/>
      <w:lvlText w:val="--"/>
      <w:numFmt w:val="bullet"/>
      <w:start w:val="1"/>
    </w:lvl>
  </w:abstractNum>
  <w:abstractNum w:abstractNumId="99">
    <w:nsid w:val="29EF532D"/>
    <w:multiLevelType w:val="hybridMultilevel"/>
    <w:lvl w:ilvl="0">
      <w:lvlJc w:val="left"/>
      <w:lvlText w:val="-----"/>
      <w:numFmt w:val="bullet"/>
      <w:start w:val="1"/>
    </w:lvl>
  </w:abstractNum>
  <w:abstractNum w:abstractNumId="100">
    <w:nsid w:val="71D601AF"/>
    <w:multiLevelType w:val="hybridMultilevel"/>
    <w:lvl w:ilvl="0">
      <w:lvlJc w:val="left"/>
      <w:lvlText w:val="-"/>
      <w:numFmt w:val="bullet"/>
      <w:start w:val="1"/>
    </w:lvl>
  </w:abstractNum>
  <w:abstractNum w:abstractNumId="101">
    <w:nsid w:val="52C77402"/>
    <w:multiLevelType w:val="hybridMultilevel"/>
    <w:lvl w:ilvl="0">
      <w:lvlJc w:val="left"/>
      <w:lvlText w:val="-----"/>
      <w:numFmt w:val="bullet"/>
      <w:start w:val="1"/>
    </w:lvl>
  </w:abstractNum>
  <w:abstractNum w:abstractNumId="102">
    <w:nsid w:val="2BB5B1C6"/>
    <w:multiLevelType w:val="hybridMultilevel"/>
    <w:lvl w:ilvl="0">
      <w:lvlJc w:val="left"/>
      <w:lvlText w:val="----"/>
      <w:numFmt w:val="bullet"/>
      <w:start w:val="1"/>
    </w:lvl>
  </w:abstractNum>
  <w:abstractNum w:abstractNumId="103">
    <w:nsid w:val="66BE6B9"/>
    <w:multiLevelType w:val="hybridMultilevel"/>
    <w:lvl w:ilvl="0">
      <w:lvlJc w:val="left"/>
      <w:lvlText w:val="-"/>
      <w:numFmt w:val="bullet"/>
      <w:start w:val="1"/>
    </w:lvl>
  </w:abstractNum>
  <w:abstractNum w:abstractNumId="104">
    <w:nsid w:val="62234363"/>
    <w:multiLevelType w:val="hybridMultilevel"/>
    <w:lvl w:ilvl="0">
      <w:lvlJc w:val="left"/>
      <w:lvlText w:val="-----"/>
      <w:numFmt w:val="bullet"/>
      <w:start w:val="1"/>
    </w:lvl>
  </w:abstractNum>
  <w:abstractNum w:abstractNumId="105">
    <w:nsid w:val="66D385C9"/>
    <w:multiLevelType w:val="hybridMultilevel"/>
    <w:lvl w:ilvl="0">
      <w:lvlJc w:val="left"/>
      <w:lvlText w:val="-----"/>
      <w:numFmt w:val="bullet"/>
      <w:start w:val="1"/>
    </w:lvl>
  </w:abstractNum>
  <w:abstractNum w:abstractNumId="106">
    <w:nsid w:val="596F6D8A"/>
    <w:multiLevelType w:val="hybridMultilevel"/>
    <w:lvl w:ilvl="0">
      <w:lvlJc w:val="left"/>
      <w:lvlText w:val="-----"/>
      <w:numFmt w:val="bullet"/>
      <w:start w:val="1"/>
    </w:lvl>
    <w:lvl w:ilvl="1">
      <w:lvlJc w:val="left"/>
      <w:lvlText w:val="---"/>
      <w:numFmt w:val="bullet"/>
      <w:start w:val="1"/>
    </w:lvl>
  </w:abstractNum>
  <w:abstractNum w:abstractNumId="107">
    <w:nsid w:val="5749361F"/>
    <w:multiLevelType w:val="hybridMultilevel"/>
    <w:lvl w:ilvl="0">
      <w:lvlJc w:val="left"/>
      <w:lvlText w:val="----"/>
      <w:numFmt w:val="bullet"/>
      <w:start w:val="1"/>
    </w:lvl>
  </w:abstractNum>
  <w:abstractNum w:abstractNumId="108">
    <w:nsid w:val="73BC6770"/>
    <w:multiLevelType w:val="hybridMultilevel"/>
    <w:lvl w:ilvl="0">
      <w:lvlJc w:val="left"/>
      <w:lvlText w:val="--"/>
      <w:numFmt w:val="bullet"/>
      <w:start w:val="1"/>
    </w:lvl>
  </w:abstractNum>
  <w:abstractNum w:abstractNumId="109">
    <w:nsid w:val="280E6897"/>
    <w:multiLevelType w:val="hybridMultilevel"/>
    <w:lvl w:ilvl="0">
      <w:lvlJc w:val="left"/>
      <w:lvlText w:val="%1"/>
      <w:numFmt w:val="decimal"/>
      <w:start w:val="21"/>
    </w:lvl>
  </w:abstractNum>
  <w:abstractNum w:abstractNumId="110">
    <w:nsid w:val="605138DE"/>
    <w:multiLevelType w:val="hybridMultilevel"/>
    <w:lvl w:ilvl="0">
      <w:lvlJc w:val="left"/>
      <w:lvlText w:val="-"/>
      <w:numFmt w:val="bullet"/>
      <w:start w:val="1"/>
    </w:lvl>
  </w:abstractNum>
  <w:abstractNum w:abstractNumId="111">
    <w:nsid w:val="2622AD0C"/>
    <w:multiLevelType w:val="hybridMultilevel"/>
    <w:lvl w:ilvl="0">
      <w:lvlJc w:val="left"/>
      <w:lvlText w:val="-----"/>
      <w:numFmt w:val="bullet"/>
      <w:start w:val="1"/>
    </w:lvl>
  </w:abstractNum>
  <w:abstractNum w:abstractNumId="112">
    <w:nsid w:val="67997556"/>
    <w:multiLevelType w:val="hybridMultilevel"/>
    <w:lvl w:ilvl="0">
      <w:lvlJc w:val="left"/>
      <w:lvlText w:val="-"/>
      <w:numFmt w:val="bullet"/>
      <w:start w:val="1"/>
    </w:lvl>
  </w:abstractNum>
  <w:abstractNum w:abstractNumId="113">
    <w:nsid w:val="18333C89"/>
    <w:multiLevelType w:val="hybridMultilevel"/>
    <w:lvl w:ilvl="0">
      <w:lvlJc w:val="left"/>
      <w:lvlText w:val="-"/>
      <w:numFmt w:val="bullet"/>
      <w:start w:val="1"/>
    </w:lvl>
  </w:abstractNum>
  <w:abstractNum w:abstractNumId="114">
    <w:nsid w:val="4BA9831A"/>
    <w:multiLevelType w:val="hybridMultilevel"/>
    <w:lvl w:ilvl="0">
      <w:lvlJc w:val="left"/>
      <w:lvlText w:val="---"/>
      <w:numFmt w:val="bullet"/>
      <w:start w:val="1"/>
    </w:lvl>
  </w:abstractNum>
  <w:abstractNum w:abstractNumId="115">
    <w:nsid w:val="6D71A2B"/>
    <w:multiLevelType w:val="hybridMultilevel"/>
    <w:lvl w:ilvl="0">
      <w:lvlJc w:val="left"/>
      <w:lvlText w:val="$"/>
      <w:numFmt w:val="bullet"/>
      <w:start w:val="1"/>
    </w:lvl>
  </w:abstractNum>
  <w:abstractNum w:abstractNumId="116">
    <w:nsid w:val="CFC7321"/>
    <w:multiLevelType w:val="hybridMultilevel"/>
    <w:lvl w:ilvl="0">
      <w:lvlJc w:val="left"/>
      <w:lvlText w:val="-"/>
      <w:numFmt w:val="bullet"/>
      <w:start w:val="1"/>
    </w:lvl>
  </w:abstractNum>
  <w:abstractNum w:abstractNumId="117">
    <w:nsid w:val="1421971B"/>
    <w:multiLevelType w:val="hybridMultilevel"/>
    <w:lvl w:ilvl="0">
      <w:lvlJc w:val="left"/>
      <w:lvlText w:val="$"/>
      <w:numFmt w:val="bullet"/>
      <w:start w:val="1"/>
    </w:lvl>
  </w:abstractNum>
  <w:abstractNum w:abstractNumId="118">
    <w:nsid w:val="1F404301"/>
    <w:multiLevelType w:val="hybridMultilevel"/>
    <w:lvl w:ilvl="0">
      <w:lvlJc w:val="left"/>
      <w:lvlText w:val="--"/>
      <w:numFmt w:val="bullet"/>
      <w:start w:val="1"/>
    </w:lvl>
  </w:abstractNum>
  <w:abstractNum w:abstractNumId="119">
    <w:nsid w:val="116E0907"/>
    <w:multiLevelType w:val="hybridMultilevel"/>
    <w:lvl w:ilvl="0">
      <w:lvlJc w:val="left"/>
      <w:lvlText w:val="$"/>
      <w:numFmt w:val="bullet"/>
      <w:start w:val="1"/>
    </w:lvl>
  </w:abstractNum>
  <w:abstractNum w:abstractNumId="120">
    <w:nsid w:val="4B683D0D"/>
    <w:multiLevelType w:val="hybridMultilevel"/>
    <w:lvl w:ilvl="0">
      <w:lvlJc w:val="left"/>
      <w:lvlText w:val="--"/>
      <w:numFmt w:val="bullet"/>
      <w:start w:val="1"/>
    </w:lvl>
  </w:abstractNum>
  <w:abstractNum w:abstractNumId="121">
    <w:nsid w:val="76E41D8"/>
    <w:multiLevelType w:val="hybridMultilevel"/>
    <w:lvl w:ilvl="0">
      <w:lvlJc w:val="left"/>
      <w:lvlText w:val="-"/>
      <w:numFmt w:val="bullet"/>
      <w:start w:val="1"/>
    </w:lvl>
  </w:abstractNum>
  <w:abstractNum w:abstractNumId="122">
    <w:nsid w:val="71DCE0FD"/>
    <w:multiLevelType w:val="hybridMultilevel"/>
    <w:lvl w:ilvl="0">
      <w:lvlJc w:val="left"/>
      <w:lvlText w:val="%1."/>
      <w:numFmt w:val="decimal"/>
      <w:start w:val="21"/>
    </w:lvl>
  </w:abstractNum>
  <w:abstractNum w:abstractNumId="123">
    <w:nsid w:val="7906328B"/>
    <w:multiLevelType w:val="hybridMultilevel"/>
    <w:lvl w:ilvl="0">
      <w:lvlJc w:val="left"/>
      <w:lvlText w:val="----"/>
      <w:numFmt w:val="bullet"/>
      <w:start w:val="1"/>
    </w:lvl>
    <w:lvl w:ilvl="1">
      <w:lvlJc w:val="left"/>
      <w:lvlText w:val="---"/>
      <w:numFmt w:val="bullet"/>
      <w:start w:val="1"/>
    </w:lvl>
  </w:abstractNum>
  <w:abstractNum w:abstractNumId="124">
    <w:nsid w:val="72BBC16"/>
    <w:multiLevelType w:val="hybridMultilevel"/>
    <w:lvl w:ilvl="0">
      <w:lvlJc w:val="left"/>
      <w:lvlText w:val="-----"/>
      <w:numFmt w:val="bullet"/>
      <w:start w:val="1"/>
    </w:lvl>
    <w:lvl w:ilvl="1">
      <w:lvlJc w:val="left"/>
      <w:lvlText w:val="====="/>
      <w:numFmt w:val="bullet"/>
      <w:start w:val="1"/>
    </w:lvl>
  </w:abstractNum>
  <w:abstractNum w:abstractNumId="125">
    <w:nsid w:val="766D98C2"/>
    <w:multiLevelType w:val="hybridMultilevel"/>
    <w:lvl w:ilvl="0">
      <w:lvlJc w:val="left"/>
      <w:lvlText w:val="-"/>
      <w:numFmt w:val="bullet"/>
      <w:start w:val="1"/>
    </w:lvl>
    <w:lvl w:ilvl="1">
      <w:lvlJc w:val="left"/>
      <w:lvlText w:val="-----"/>
      <w:numFmt w:val="bullet"/>
      <w:start w:val="1"/>
    </w:lvl>
  </w:abstractNum>
  <w:abstractNum w:abstractNumId="126">
    <w:nsid w:val="3C09D4A1"/>
    <w:multiLevelType w:val="hybridMultilevel"/>
    <w:lvl w:ilvl="0">
      <w:lvlJc w:val="left"/>
      <w:lvlText w:val="$"/>
      <w:numFmt w:val="bullet"/>
      <w:start w:val="1"/>
    </w:lvl>
  </w:abstractNum>
  <w:abstractNum w:abstractNumId="127">
    <w:nsid w:val="20E45CA4"/>
    <w:multiLevelType w:val="hybridMultilevel"/>
    <w:lvl w:ilvl="0">
      <w:lvlJc w:val="left"/>
      <w:lvlText w:val="-"/>
      <w:numFmt w:val="bullet"/>
      <w:start w:val="1"/>
    </w:lvl>
    <w:lvl w:ilvl="1">
      <w:lvlJc w:val="left"/>
      <w:lvlText w:val="-----"/>
      <w:numFmt w:val="bullet"/>
      <w:start w:val="1"/>
    </w:lvl>
  </w:abstractNum>
  <w:abstractNum w:abstractNumId="128">
    <w:nsid w:val="4B232EE3"/>
    <w:multiLevelType w:val="hybridMultilevel"/>
    <w:lvl w:ilvl="0">
      <w:lvlJc w:val="left"/>
      <w:lvlText w:val="-----"/>
      <w:numFmt w:val="bullet"/>
      <w:start w:val="1"/>
    </w:lvl>
  </w:abstractNum>
  <w:abstractNum w:abstractNumId="129">
    <w:nsid w:val="159C74C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0">
    <w:nsid w:val="4AD3AFD2"/>
    <w:multiLevelType w:val="hybridMultilevel"/>
    <w:lvl w:ilvl="0">
      <w:lvlJc w:val="left"/>
      <w:lvlText w:val="$"/>
      <w:numFmt w:val="bullet"/>
      <w:start w:val="1"/>
    </w:lvl>
  </w:abstractNum>
  <w:abstractNum w:abstractNumId="131">
    <w:nsid w:val="3CF93092"/>
    <w:multiLevelType w:val="hybridMultilevel"/>
    <w:lvl w:ilvl="0">
      <w:lvlJc w:val="left"/>
      <w:lvlText w:val="----"/>
      <w:numFmt w:val="bullet"/>
      <w:start w:val="1"/>
    </w:lvl>
  </w:abstractNum>
  <w:abstractNum w:abstractNumId="132">
    <w:nsid w:val="6863E8D2"/>
    <w:multiLevelType w:val="hybridMultilevel"/>
    <w:lvl w:ilvl="0">
      <w:lvlJc w:val="left"/>
      <w:lvlText w:val="-"/>
      <w:numFmt w:val="bullet"/>
      <w:start w:val="1"/>
    </w:lvl>
    <w:lvl w:ilvl="1">
      <w:lvlJc w:val="left"/>
      <w:lvlText w:val="$"/>
      <w:numFmt w:val="bullet"/>
      <w:start w:val="1"/>
    </w:lvl>
  </w:abstractNum>
  <w:abstractNum w:abstractNumId="133">
    <w:nsid w:val="76896198"/>
    <w:multiLevelType w:val="hybridMultilevel"/>
    <w:lvl w:ilvl="0">
      <w:lvlJc w:val="left"/>
      <w:lvlText w:val="-"/>
      <w:numFmt w:val="bullet"/>
      <w:start w:val="1"/>
    </w:lvl>
  </w:abstractNum>
  <w:abstractNum w:abstractNumId="134">
    <w:nsid w:val="4365174B"/>
    <w:multiLevelType w:val="hybridMultilevel"/>
    <w:lvl w:ilvl="0">
      <w:lvlJc w:val="left"/>
      <w:lvlText w:val="-"/>
      <w:numFmt w:val="bullet"/>
      <w:start w:val="1"/>
    </w:lvl>
  </w:abstractNum>
  <w:abstractNum w:abstractNumId="135">
    <w:nsid w:val="4A872C35"/>
    <w:multiLevelType w:val="hybridMultilevel"/>
    <w:lvl w:ilvl="0">
      <w:lvlJc w:val="left"/>
      <w:lvlText w:val="----"/>
      <w:numFmt w:val="bullet"/>
      <w:start w:val="1"/>
    </w:lvl>
  </w:abstractNum>
  <w:abstractNum w:abstractNumId="136">
    <w:nsid w:val="5D5CE761"/>
    <w:multiLevelType w:val="hybridMultilevel"/>
    <w:lvl w:ilvl="0">
      <w:lvlJc w:val="left"/>
      <w:lvlText w:val="-"/>
      <w:numFmt w:val="bullet"/>
      <w:start w:val="1"/>
    </w:lvl>
  </w:abstractNum>
  <w:abstractNum w:abstractNumId="137">
    <w:nsid w:val="1CD484D5"/>
    <w:multiLevelType w:val="hybridMultilevel"/>
    <w:lvl w:ilvl="0">
      <w:lvlJc w:val="left"/>
      <w:lvlText w:val="----"/>
      <w:numFmt w:val="bullet"/>
      <w:start w:val="1"/>
    </w:lvl>
  </w:abstractNum>
  <w:abstractNum w:abstractNumId="138">
    <w:nsid w:val="21D06255"/>
    <w:multiLevelType w:val="hybridMultilevel"/>
    <w:lvl w:ilvl="0">
      <w:lvlJc w:val="left"/>
      <w:lvlText w:val="-"/>
      <w:numFmt w:val="bullet"/>
      <w:start w:val="1"/>
    </w:lvl>
  </w:abstractNum>
  <w:abstractNum w:abstractNumId="139">
    <w:nsid w:val="51194ED1"/>
    <w:multiLevelType w:val="hybridMultilevel"/>
    <w:lvl w:ilvl="0">
      <w:lvlJc w:val="left"/>
      <w:lvlText w:val="-----"/>
      <w:numFmt w:val="bullet"/>
      <w:start w:val="1"/>
    </w:lvl>
  </w:abstractNum>
  <w:abstractNum w:abstractNumId="140">
    <w:nsid w:val="44E2ED6C"/>
    <w:multiLevelType w:val="hybridMultilevel"/>
    <w:lvl w:ilvl="0">
      <w:lvlJc w:val="left"/>
      <w:lvlText w:val="-"/>
      <w:numFmt w:val="bullet"/>
      <w:start w:val="1"/>
    </w:lvl>
    <w:lvl w:ilvl="1">
      <w:lvlJc w:val="left"/>
      <w:lvlText w:val="-"/>
      <w:numFmt w:val="bullet"/>
      <w:start w:val="1"/>
    </w:lvl>
  </w:abstractNum>
  <w:abstractNum w:abstractNumId="141">
    <w:nsid w:val="2219B33"/>
    <w:multiLevelType w:val="hybridMultilevel"/>
    <w:lvl w:ilvl="0">
      <w:lvlJc w:val="left"/>
      <w:lvlText w:val="%1"/>
      <w:numFmt w:val="decimal"/>
      <w:start w:val="30"/>
    </w:lvl>
  </w:abstractNum>
  <w:abstractNum w:abstractNumId="142">
    <w:nsid w:val="773BFBDD"/>
    <w:multiLevelType w:val="hybridMultilevel"/>
    <w:lvl w:ilvl="0">
      <w:lvlJc w:val="left"/>
      <w:lvlText w:val="-"/>
      <w:numFmt w:val="bullet"/>
      <w:start w:val="1"/>
    </w:lvl>
    <w:lvl w:ilvl="1">
      <w:lvlJc w:val="left"/>
      <w:lvlText w:val="--"/>
      <w:numFmt w:val="bullet"/>
      <w:start w:val="1"/>
    </w:lvl>
  </w:abstractNum>
  <w:abstractNum w:abstractNumId="143">
    <w:nsid w:val="2C7C62C2"/>
    <w:multiLevelType w:val="hybridMultilevel"/>
    <w:lvl w:ilvl="0">
      <w:lvlJc w:val="left"/>
      <w:lvlText w:val="---"/>
      <w:numFmt w:val="bullet"/>
      <w:start w:val="1"/>
    </w:lvl>
  </w:abstractNum>
  <w:abstractNum w:abstractNumId="144">
    <w:nsid w:val="1A54D7BC"/>
    <w:multiLevelType w:val="hybridMultilevel"/>
    <w:lvl w:ilvl="0">
      <w:lvlJc w:val="left"/>
      <w:lvlText w:val="---"/>
      <w:numFmt w:val="bullet"/>
      <w:start w:val="1"/>
    </w:lvl>
    <w:lvl w:ilvl="1">
      <w:lvlJc w:val="left"/>
      <w:lvlText w:val="-----"/>
      <w:numFmt w:val="bullet"/>
      <w:start w:val="1"/>
    </w:lvl>
  </w:abstractNum>
  <w:abstractNum w:abstractNumId="145">
    <w:nsid w:val="42E57EF7"/>
    <w:multiLevelType w:val="hybridMultilevel"/>
    <w:lvl w:ilvl="0">
      <w:lvlJc w:val="left"/>
      <w:lvlText w:val="---"/>
      <w:numFmt w:val="bullet"/>
      <w:start w:val="1"/>
    </w:lvl>
  </w:abstractNum>
  <w:abstractNum w:abstractNumId="146">
    <w:nsid w:val="33537CED"/>
    <w:multiLevelType w:val="hybridMultilevel"/>
    <w:lvl w:ilvl="0">
      <w:lvlJc w:val="left"/>
      <w:lvlText w:val="----"/>
      <w:numFmt w:val="bullet"/>
      <w:start w:val="1"/>
    </w:lvl>
  </w:abstractNum>
  <w:abstractNum w:abstractNumId="147">
    <w:nsid w:val="27514ADE"/>
    <w:multiLevelType w:val="hybridMultilevel"/>
    <w:lvl w:ilvl="0">
      <w:lvlJc w:val="left"/>
      <w:lvlText w:val="---"/>
      <w:numFmt w:val="bullet"/>
      <w:start w:val="1"/>
    </w:lvl>
  </w:abstractNum>
  <w:abstractNum w:abstractNumId="148">
    <w:nsid w:val="57071613"/>
    <w:multiLevelType w:val="hybridMultilevel"/>
    <w:lvl w:ilvl="0">
      <w:lvlJc w:val="left"/>
      <w:lvlText w:val="$"/>
      <w:numFmt w:val="bullet"/>
      <w:start w:val="1"/>
    </w:lvl>
  </w:abstractNum>
  <w:abstractNum w:abstractNumId="149">
    <w:nsid w:val="5293BFEF"/>
    <w:multiLevelType w:val="hybridMultilevel"/>
    <w:lvl w:ilvl="0">
      <w:lvlJc w:val="left"/>
      <w:lvlText w:val="---"/>
      <w:numFmt w:val="bullet"/>
      <w:start w:val="1"/>
    </w:lvl>
  </w:abstractNum>
  <w:abstractNum w:abstractNumId="150">
    <w:nsid w:val="38BF53E5"/>
    <w:multiLevelType w:val="hybridMultilevel"/>
    <w:lvl w:ilvl="0">
      <w:lvlJc w:val="left"/>
      <w:lvlText w:val="-"/>
      <w:numFmt w:val="bullet"/>
      <w:start w:val="1"/>
    </w:lvl>
  </w:abstractNum>
  <w:abstractNum w:abstractNumId="151">
    <w:nsid w:val="226F5320"/>
    <w:multiLevelType w:val="hybridMultilevel"/>
    <w:lvl w:ilvl="0">
      <w:lvlJc w:val="left"/>
      <w:lvlText w:val="----"/>
      <w:numFmt w:val="bullet"/>
      <w:start w:val="1"/>
    </w:lvl>
  </w:abstractNum>
  <w:abstractNum w:abstractNumId="152">
    <w:nsid w:val="5A0201C7"/>
    <w:multiLevelType w:val="hybridMultilevel"/>
    <w:lvl w:ilvl="0">
      <w:lvlJc w:val="left"/>
      <w:lvlText w:val="-"/>
      <w:numFmt w:val="bullet"/>
      <w:start w:val="1"/>
    </w:lvl>
    <w:lvl w:ilvl="1">
      <w:lvlJc w:val="left"/>
      <w:lvlText w:val="-----"/>
      <w:numFmt w:val="bullet"/>
      <w:start w:val="1"/>
    </w:lvl>
  </w:abstractNum>
  <w:abstractNum w:abstractNumId="153">
    <w:nsid w:val="2A9C34E2"/>
    <w:multiLevelType w:val="hybridMultilevel"/>
    <w:lvl w:ilvl="0">
      <w:lvlJc w:val="left"/>
      <w:lvlText w:val="-"/>
      <w:numFmt w:val="bullet"/>
      <w:start w:val="1"/>
    </w:lvl>
  </w:abstractNum>
  <w:abstractNum w:abstractNumId="154">
    <w:nsid w:val="1B7585AB"/>
    <w:multiLevelType w:val="hybridMultilevel"/>
    <w:lvl w:ilvl="0">
      <w:lvlJc w:val="left"/>
      <w:lvlText w:val="-----"/>
      <w:numFmt w:val="bullet"/>
      <w:start w:val="1"/>
    </w:lvl>
    <w:lvl w:ilvl="1">
      <w:lvlJc w:val="left"/>
      <w:lvlText w:val="-----"/>
      <w:numFmt w:val="bullet"/>
      <w:start w:val="1"/>
    </w:lvl>
  </w:abstractNum>
  <w:abstractNum w:abstractNumId="155">
    <w:nsid w:val="612DBDDD"/>
    <w:multiLevelType w:val="hybridMultilevel"/>
    <w:lvl w:ilvl="0">
      <w:lvlJc w:val="left"/>
      <w:lvlText w:val="-----"/>
      <w:numFmt w:val="bullet"/>
      <w:start w:val="1"/>
    </w:lvl>
  </w:abstractNum>
  <w:abstractNum w:abstractNumId="156">
    <w:nsid w:val="2109CDA4"/>
    <w:multiLevelType w:val="hybridMultilevel"/>
    <w:lvl w:ilvl="0">
      <w:lvlJc w:val="left"/>
      <w:lvlText w:val="-"/>
      <w:numFmt w:val="bullet"/>
      <w:start w:val="1"/>
    </w:lvl>
    <w:lvl w:ilvl="1">
      <w:lvlJc w:val="left"/>
      <w:lvlText w:val="-----"/>
      <w:numFmt w:val="bullet"/>
      <w:start w:val="1"/>
    </w:lvl>
  </w:abstractNum>
  <w:abstractNum w:abstractNumId="157">
    <w:nsid w:val="577F5A4D"/>
    <w:multiLevelType w:val="hybridMultilevel"/>
    <w:lvl w:ilvl="0">
      <w:lvlJc w:val="left"/>
      <w:lvlText w:val="-"/>
      <w:numFmt w:val="bullet"/>
      <w:start w:val="1"/>
    </w:lvl>
  </w:abstractNum>
  <w:abstractNum w:abstractNumId="158">
    <w:nsid w:val="2121A81"/>
    <w:multiLevelType w:val="hybridMultilevel"/>
    <w:lvl w:ilvl="0">
      <w:lvlJc w:val="left"/>
      <w:lvlText w:val="-"/>
      <w:numFmt w:val="bullet"/>
      <w:start w:val="1"/>
    </w:lvl>
  </w:abstractNum>
  <w:abstractNum w:abstractNumId="159">
    <w:nsid w:val="6C2CFC88"/>
    <w:multiLevelType w:val="hybridMultilevel"/>
    <w:lvl w:ilvl="0">
      <w:lvlJc w:val="left"/>
      <w:lvlText w:val="----"/>
      <w:numFmt w:val="bullet"/>
      <w:start w:val="1"/>
    </w:lvl>
  </w:abstractNum>
  <w:abstractNum w:abstractNumId="160">
    <w:nsid w:val="6D1BCF1C"/>
    <w:multiLevelType w:val="hybridMultilevel"/>
    <w:lvl w:ilvl="0">
      <w:lvlJc w:val="left"/>
      <w:lvlText w:val="$"/>
      <w:numFmt w:val="bullet"/>
      <w:start w:val="1"/>
    </w:lvl>
  </w:abstractNum>
  <w:abstractNum w:abstractNumId="161">
    <w:nsid w:val="4CE5CA53"/>
    <w:multiLevelType w:val="hybridMultilevel"/>
    <w:lvl w:ilvl="0">
      <w:lvlJc w:val="left"/>
      <w:lvlText w:val="-"/>
      <w:numFmt w:val="bullet"/>
      <w:start w:val="1"/>
    </w:lvl>
  </w:abstractNum>
  <w:abstractNum w:abstractNumId="162">
    <w:nsid w:val="29262D1A"/>
    <w:multiLevelType w:val="hybridMultilevel"/>
    <w:lvl w:ilvl="0">
      <w:lvlJc w:val="left"/>
      <w:lvlText w:val="-"/>
      <w:numFmt w:val="bullet"/>
      <w:start w:val="1"/>
    </w:lvl>
  </w:abstractNum>
  <w:abstractNum w:abstractNumId="163">
    <w:nsid w:val="557FB7EE"/>
    <w:multiLevelType w:val="hybridMultilevel"/>
    <w:lvl w:ilvl="0">
      <w:lvlJc w:val="left"/>
      <w:lvlText w:val="----"/>
      <w:numFmt w:val="bullet"/>
      <w:start w:val="1"/>
    </w:lvl>
  </w:abstractNum>
  <w:abstractNum w:abstractNumId="164">
    <w:nsid w:val="436F2BEB"/>
    <w:multiLevelType w:val="hybridMultilevel"/>
    <w:lvl w:ilvl="0">
      <w:lvlJc w:val="left"/>
      <w:lvlText w:val="-"/>
      <w:numFmt w:val="bullet"/>
      <w:start w:val="1"/>
    </w:lvl>
    <w:lvl w:ilvl="1">
      <w:lvlJc w:val="left"/>
      <w:lvlText w:val="----"/>
      <w:numFmt w:val="bullet"/>
      <w:start w:val="1"/>
    </w:lvl>
  </w:abstractNum>
  <w:abstractNum w:abstractNumId="165">
    <w:nsid w:val="6C8B4466"/>
    <w:multiLevelType w:val="hybridMultilevel"/>
    <w:lvl w:ilvl="0">
      <w:lvlJc w:val="left"/>
      <w:lvlText w:val="--"/>
      <w:numFmt w:val="bullet"/>
      <w:start w:val="1"/>
    </w:lvl>
    <w:lvl w:ilvl="1">
      <w:lvlJc w:val="left"/>
      <w:lvlText w:val="-----"/>
      <w:numFmt w:val="bullet"/>
      <w:start w:val="1"/>
    </w:lvl>
  </w:abstractNum>
  <w:abstractNum w:abstractNumId="166">
    <w:nsid w:val="2006E424"/>
    <w:multiLevelType w:val="hybridMultilevel"/>
    <w:lvl w:ilvl="0">
      <w:lvlJc w:val="left"/>
      <w:lvlText w:val="--"/>
      <w:numFmt w:val="bullet"/>
      <w:start w:val="1"/>
    </w:lvl>
    <w:lvl w:ilvl="1">
      <w:lvlJc w:val="left"/>
      <w:lvlText w:val="---"/>
      <w:numFmt w:val="bullet"/>
      <w:start w:val="1"/>
    </w:lvl>
  </w:abstractNum>
  <w:abstractNum w:abstractNumId="167">
    <w:nsid w:val="20CC134C"/>
    <w:multiLevelType w:val="hybridMultilevel"/>
    <w:lvl w:ilvl="0">
      <w:lvlJc w:val="left"/>
      <w:lvlText w:val="-"/>
      <w:numFmt w:val="bullet"/>
      <w:start w:val="1"/>
    </w:lvl>
  </w:abstractNum>
  <w:abstractNum w:abstractNumId="168">
    <w:nsid w:val="95FC93B"/>
    <w:multiLevelType w:val="hybridMultilevel"/>
    <w:lvl w:ilvl="0">
      <w:lvlJc w:val="left"/>
      <w:lvlText w:val="-----"/>
      <w:numFmt w:val="bullet"/>
      <w:start w:val="1"/>
    </w:lvl>
  </w:abstractNum>
  <w:abstractNum w:abstractNumId="169">
    <w:nsid w:val="41D74679"/>
    <w:multiLevelType w:val="hybridMultilevel"/>
    <w:lvl w:ilvl="0">
      <w:lvlJc w:val="left"/>
      <w:lvlText w:val="8"/>
      <w:numFmt w:val="bullet"/>
      <w:start w:val="1"/>
    </w:lvl>
  </w:abstractNum>
  <w:abstractNum w:abstractNumId="170">
    <w:nsid w:val="71E5621E"/>
    <w:multiLevelType w:val="hybridMultilevel"/>
    <w:lvl w:ilvl="0">
      <w:lvlJc w:val="left"/>
      <w:lvlText w:val="-"/>
      <w:numFmt w:val="bullet"/>
      <w:start w:val="1"/>
    </w:lvl>
    <w:lvl w:ilvl="1">
      <w:lvlJc w:val="left"/>
      <w:lvlText w:val="-----"/>
      <w:numFmt w:val="bullet"/>
      <w:start w:val="1"/>
    </w:lvl>
  </w:abstractNum>
  <w:abstractNum w:abstractNumId="171">
    <w:nsid w:val="4E42B6A8"/>
    <w:multiLevelType w:val="hybridMultilevel"/>
    <w:lvl w:ilvl="0">
      <w:lvlJc w:val="left"/>
      <w:lvlText w:val="-"/>
      <w:numFmt w:val="bullet"/>
      <w:start w:val="1"/>
    </w:lvl>
    <w:lvl w:ilvl="1">
      <w:lvlJc w:val="left"/>
      <w:lvlText w:val="-----"/>
      <w:numFmt w:val="bullet"/>
      <w:start w:val="1"/>
    </w:lvl>
  </w:abstractNum>
  <w:abstractNum w:abstractNumId="172">
    <w:nsid w:val="43F8E1AC"/>
    <w:multiLevelType w:val="hybridMultilevel"/>
    <w:lvl w:ilvl="0">
      <w:lvlJc w:val="left"/>
      <w:lvlText w:val="-"/>
      <w:numFmt w:val="bullet"/>
      <w:start w:val="1"/>
    </w:lvl>
    <w:lvl w:ilvl="1">
      <w:lvlJc w:val="left"/>
      <w:lvlText w:val="-----"/>
      <w:numFmt w:val="bullet"/>
      <w:start w:val="1"/>
    </w:lvl>
  </w:abstractNum>
  <w:abstractNum w:abstractNumId="173">
    <w:nsid w:val="69215DFB"/>
    <w:multiLevelType w:val="hybridMultilevel"/>
    <w:lvl w:ilvl="0">
      <w:lvlJc w:val="left"/>
      <w:lvlText w:val="-"/>
      <w:numFmt w:val="bullet"/>
      <w:start w:val="1"/>
    </w:lvl>
    <w:lvl w:ilvl="1">
      <w:lvlJc w:val="left"/>
      <w:lvlText w:val="----"/>
      <w:numFmt w:val="bullet"/>
      <w:start w:val="1"/>
    </w:lvl>
  </w:abstractNum>
  <w:abstractNum w:abstractNumId="174">
    <w:nsid w:val="7ABF196A"/>
    <w:multiLevelType w:val="hybridMultilevel"/>
    <w:lvl w:ilvl="0">
      <w:lvlJc w:val="left"/>
      <w:lvlText w:val="----"/>
      <w:numFmt w:val="bullet"/>
      <w:start w:val="1"/>
    </w:lvl>
    <w:lvl w:ilvl="1">
      <w:lvlJc w:val="left"/>
      <w:lvlText w:val="----"/>
      <w:numFmt w:val="bullet"/>
      <w:start w:val="1"/>
    </w:lvl>
  </w:abstractNum>
  <w:abstractNum w:abstractNumId="175">
    <w:nsid w:val="5E4DB968"/>
    <w:multiLevelType w:val="hybridMultilevel"/>
    <w:lvl w:ilvl="0">
      <w:lvlJc w:val="left"/>
      <w:lvlText w:val="$"/>
      <w:numFmt w:val="bullet"/>
      <w:start w:val="1"/>
    </w:lvl>
  </w:abstractNum>
  <w:abstractNum w:abstractNumId="176">
    <w:nsid w:val="2C06DCF3"/>
    <w:multiLevelType w:val="hybridMultilevel"/>
    <w:lvl w:ilvl="0">
      <w:lvlJc w:val="left"/>
      <w:lvlText w:val="---"/>
      <w:numFmt w:val="bullet"/>
      <w:start w:val="1"/>
    </w:lvl>
    <w:lvl w:ilvl="1">
      <w:lvlJc w:val="left"/>
      <w:lvlText w:val="-----"/>
      <w:numFmt w:val="bullet"/>
      <w:start w:val="1"/>
    </w:lvl>
  </w:abstractNum>
  <w:abstractNum w:abstractNumId="177">
    <w:nsid w:val="2E129658"/>
    <w:multiLevelType w:val="hybridMultilevel"/>
    <w:lvl w:ilvl="0">
      <w:lvlJc w:val="left"/>
      <w:lvlText w:val="-----"/>
      <w:numFmt w:val="bullet"/>
      <w:start w:val="1"/>
    </w:lvl>
  </w:abstractNum>
  <w:abstractNum w:abstractNumId="178">
    <w:nsid w:val="59F0446"/>
    <w:multiLevelType w:val="hybridMultilevel"/>
    <w:lvl w:ilvl="0">
      <w:lvlJc w:val="left"/>
      <w:lvlText w:val="--"/>
      <w:numFmt w:val="bullet"/>
      <w:start w:val="1"/>
    </w:lvl>
    <w:lvl w:ilvl="1">
      <w:lvlJc w:val="left"/>
      <w:lvlText w:val="--"/>
      <w:numFmt w:val="bullet"/>
      <w:start w:val="1"/>
    </w:lvl>
  </w:abstractNum>
  <w:abstractNum w:abstractNumId="179">
    <w:nsid w:val="30DF30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80">
    <w:nsid w:val="A65647"/>
    <w:multiLevelType w:val="hybridMultilevel"/>
    <w:lvl w:ilvl="0">
      <w:lvlJc w:val="left"/>
      <w:lvlText w:val="---"/>
      <w:numFmt w:val="bullet"/>
      <w:start w:val="1"/>
    </w:lvl>
  </w:abstractNum>
  <w:abstractNum w:abstractNumId="181">
    <w:nsid w:val="3E5E582B"/>
    <w:multiLevelType w:val="hybridMultilevel"/>
    <w:lvl w:ilvl="0">
      <w:lvlJc w:val="left"/>
      <w:lvlText w:val="---"/>
      <w:numFmt w:val="bullet"/>
      <w:start w:val="1"/>
    </w:lvl>
    <w:lvl w:ilvl="1">
      <w:lvlJc w:val="left"/>
      <w:lvlText w:val="-----"/>
      <w:numFmt w:val="bullet"/>
      <w:start w:val="1"/>
    </w:lvl>
  </w:abstractNum>
  <w:abstractNum w:abstractNumId="182">
    <w:nsid w:val="257D4626"/>
    <w:multiLevelType w:val="hybridMultilevel"/>
    <w:lvl w:ilvl="0">
      <w:lvlJc w:val="left"/>
      <w:lvlText w:val="-"/>
      <w:numFmt w:val="bullet"/>
      <w:start w:val="1"/>
    </w:lvl>
  </w:abstractNum>
  <w:abstractNum w:abstractNumId="183">
    <w:nsid w:val="5AA8580E"/>
    <w:multiLevelType w:val="hybridMultilevel"/>
    <w:lvl w:ilvl="0">
      <w:lvlJc w:val="left"/>
      <w:lvlText w:val="---"/>
      <w:numFmt w:val="bullet"/>
      <w:start w:val="1"/>
    </w:lvl>
    <w:lvl w:ilvl="1">
      <w:lvlJc w:val="left"/>
      <w:lvlText w:val="----"/>
      <w:numFmt w:val="bullet"/>
      <w:start w:val="1"/>
    </w:lvl>
  </w:abstractNum>
  <w:abstractNum w:abstractNumId="184">
    <w:nsid w:val="68FA8D0D"/>
    <w:multiLevelType w:val="hybridMultilevel"/>
    <w:lvl w:ilvl="0">
      <w:lvlJc w:val="left"/>
      <w:lvlText w:val="----"/>
      <w:numFmt w:val="bullet"/>
      <w:start w:val="1"/>
    </w:lvl>
  </w:abstractNum>
  <w:abstractNum w:abstractNumId="185">
    <w:nsid w:val="40F2CBD2"/>
    <w:multiLevelType w:val="hybridMultilevel"/>
    <w:lvl w:ilvl="0">
      <w:lvlJc w:val="left"/>
      <w:lvlText w:val="----"/>
      <w:numFmt w:val="bullet"/>
      <w:start w:val="1"/>
    </w:lvl>
  </w:abstractNum>
  <w:abstractNum w:abstractNumId="186">
    <w:nsid w:val="3BD615EB"/>
    <w:multiLevelType w:val="hybridMultilevel"/>
    <w:lvl w:ilvl="0">
      <w:lvlJc w:val="left"/>
      <w:lvlText w:val="-"/>
      <w:numFmt w:val="bullet"/>
      <w:start w:val="1"/>
    </w:lvl>
    <w:lvl w:ilvl="1">
      <w:lvlJc w:val="left"/>
      <w:lvlText w:val="----"/>
      <w:numFmt w:val="bullet"/>
      <w:start w:val="1"/>
    </w:lvl>
  </w:abstractNum>
  <w:abstractNum w:abstractNumId="187">
    <w:nsid w:val="A045AB2"/>
    <w:multiLevelType w:val="hybridMultilevel"/>
    <w:lvl w:ilvl="0">
      <w:lvlJc w:val="left"/>
      <w:lvlText w:val="-"/>
      <w:numFmt w:val="bullet"/>
      <w:start w:val="1"/>
    </w:lvl>
    <w:lvl w:ilvl="1">
      <w:lvlJc w:val="left"/>
      <w:lvlText w:val="-"/>
      <w:numFmt w:val="bullet"/>
      <w:start w:val="1"/>
    </w:lvl>
  </w:abstractNum>
  <w:abstractNum w:abstractNumId="188">
    <w:nsid w:val="1872261F"/>
    <w:multiLevelType w:val="hybridMultilevel"/>
    <w:lvl w:ilvl="0">
      <w:lvlJc w:val="left"/>
      <w:lvlText w:val="----"/>
      <w:numFmt w:val="bullet"/>
      <w:start w:val="1"/>
    </w:lvl>
    <w:lvl w:ilvl="1">
      <w:lvlJc w:val="left"/>
      <w:lvlText w:val="----"/>
      <w:numFmt w:val="bullet"/>
      <w:start w:val="1"/>
    </w:lvl>
  </w:abstractNum>
  <w:abstractNum w:abstractNumId="189">
    <w:nsid w:val="3DE8306C"/>
    <w:multiLevelType w:val="hybridMultilevel"/>
    <w:lvl w:ilvl="0">
      <w:lvlJc w:val="left"/>
      <w:lvlText w:val="$"/>
      <w:numFmt w:val="bullet"/>
      <w:start w:val="1"/>
    </w:lvl>
  </w:abstractNum>
  <w:abstractNum w:abstractNumId="190">
    <w:nsid w:val="7631573A"/>
    <w:multiLevelType w:val="hybridMultilevel"/>
    <w:lvl w:ilvl="0">
      <w:lvlJc w:val="left"/>
      <w:lvlText w:val="-"/>
      <w:numFmt w:val="bullet"/>
      <w:start w:val="1"/>
    </w:lvl>
  </w:abstractNum>
  <w:abstractNum w:abstractNumId="191">
    <w:nsid w:val="58DF53B"/>
    <w:multiLevelType w:val="hybridMultilevel"/>
    <w:lvl w:ilvl="0">
      <w:lvlJc w:val="left"/>
      <w:lvlText w:val="-"/>
      <w:numFmt w:val="bullet"/>
      <w:start w:val="1"/>
    </w:lvl>
  </w:abstractNum>
  <w:abstractNum w:abstractNumId="192">
    <w:nsid w:val="ACDFAC0"/>
    <w:multiLevelType w:val="hybridMultilevel"/>
    <w:lvl w:ilvl="0">
      <w:lvlJc w:val="left"/>
      <w:lvlText w:val="----"/>
      <w:numFmt w:val="bullet"/>
      <w:start w:val="1"/>
    </w:lvl>
    <w:lvl w:ilvl="1">
      <w:lvlJc w:val="left"/>
      <w:lvlText w:val="----"/>
      <w:numFmt w:val="bullet"/>
      <w:start w:val="1"/>
    </w:lvl>
  </w:abstractNum>
  <w:abstractNum w:abstractNumId="193">
    <w:nsid w:val="1F578454"/>
    <w:multiLevelType w:val="hybridMultilevel"/>
    <w:lvl w:ilvl="0">
      <w:lvlJc w:val="left"/>
      <w:lvlText w:val="---"/>
      <w:numFmt w:val="bullet"/>
      <w:start w:val="1"/>
    </w:lvl>
  </w:abstractNum>
  <w:abstractNum w:abstractNumId="194">
    <w:nsid w:val="5B0DAD2A"/>
    <w:multiLevelType w:val="hybridMultilevel"/>
    <w:lvl w:ilvl="0">
      <w:lvlJc w:val="left"/>
      <w:lvlText w:val="----"/>
      <w:numFmt w:val="bullet"/>
      <w:start w:val="1"/>
    </w:lvl>
  </w:abstractNum>
  <w:abstractNum w:abstractNumId="195">
    <w:nsid w:val="4E3D26AB"/>
    <w:multiLevelType w:val="hybridMultilevel"/>
    <w:lvl w:ilvl="0">
      <w:lvlJc w:val="left"/>
      <w:lvlText w:val="-"/>
      <w:numFmt w:val="bullet"/>
      <w:start w:val="1"/>
    </w:lvl>
    <w:lvl w:ilvl="1">
      <w:lvlJc w:val="left"/>
      <w:lvlText w:val="-----"/>
      <w:numFmt w:val="bullet"/>
      <w:start w:val="1"/>
    </w:lvl>
  </w:abstractNum>
  <w:abstractNum w:abstractNumId="196">
    <w:nsid w:val="BE2C8BA"/>
    <w:multiLevelType w:val="hybridMultilevel"/>
    <w:lvl w:ilvl="0">
      <w:lvlJc w:val="left"/>
      <w:lvlText w:val="--"/>
      <w:numFmt w:val="bullet"/>
      <w:start w:val="1"/>
    </w:lvl>
    <w:lvl w:ilvl="1">
      <w:lvlJc w:val="left"/>
      <w:lvlText w:val="-----"/>
      <w:numFmt w:val="bullet"/>
      <w:start w:val="1"/>
    </w:lvl>
  </w:abstractNum>
  <w:abstractNum w:abstractNumId="197">
    <w:nsid w:val="7B14914E"/>
    <w:multiLevelType w:val="hybridMultilevel"/>
    <w:lvl w:ilvl="0">
      <w:lvlJc w:val="left"/>
      <w:lvlText w:val="-"/>
      <w:numFmt w:val="bullet"/>
      <w:start w:val="1"/>
    </w:lvl>
  </w:abstractNum>
  <w:abstractNum w:abstractNumId="198">
    <w:nsid w:val="6F0939F8"/>
    <w:multiLevelType w:val="hybridMultilevel"/>
    <w:lvl w:ilvl="0">
      <w:lvlJc w:val="left"/>
      <w:lvlText w:val="-"/>
      <w:numFmt w:val="bullet"/>
      <w:start w:val="1"/>
    </w:lvl>
    <w:lvl w:ilvl="1">
      <w:lvlJc w:val="left"/>
      <w:lvlText w:val="----"/>
      <w:numFmt w:val="bullet"/>
      <w:start w:val="1"/>
    </w:lvl>
  </w:abstractNum>
  <w:abstractNum w:abstractNumId="199">
    <w:nsid w:val="154291F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00">
    <w:nsid w:val="3CEBD7C7"/>
    <w:multiLevelType w:val="hybridMultilevel"/>
    <w:lvl w:ilvl="0">
      <w:lvlJc w:val="left"/>
      <w:lvlText w:val="-"/>
      <w:numFmt w:val="bullet"/>
      <w:start w:val="1"/>
    </w:lvl>
    <w:lvl w:ilvl="1">
      <w:lvlJc w:val="left"/>
      <w:lvlText w:val="---"/>
      <w:numFmt w:val="bullet"/>
      <w:start w:val="1"/>
    </w:lvl>
  </w:abstractNum>
  <w:abstractNum w:abstractNumId="201">
    <w:nsid w:val="60EE9C16"/>
    <w:multiLevelType w:val="hybridMultilevel"/>
    <w:lvl w:ilvl="0">
      <w:lvlJc w:val="left"/>
      <w:lvlText w:val="---"/>
      <w:numFmt w:val="bullet"/>
      <w:start w:val="1"/>
    </w:lvl>
    <w:lvl w:ilvl="1">
      <w:lvlJc w:val="left"/>
      <w:lvlText w:val="----"/>
      <w:numFmt w:val="bullet"/>
      <w:start w:val="1"/>
    </w:lvl>
  </w:abstractNum>
  <w:abstractNum w:abstractNumId="202">
    <w:nsid w:val="6385489E"/>
    <w:multiLevelType w:val="hybridMultilevel"/>
    <w:lvl w:ilvl="0">
      <w:lvlJc w:val="left"/>
      <w:lvlText w:val="---"/>
      <w:numFmt w:val="bullet"/>
      <w:start w:val="1"/>
    </w:lvl>
    <w:lvl w:ilvl="1">
      <w:lvlJc w:val="left"/>
      <w:lvlText w:val="----"/>
      <w:numFmt w:val="bullet"/>
      <w:start w:val="1"/>
    </w:lvl>
  </w:abstractNum>
  <w:abstractNum w:abstractNumId="203">
    <w:nsid w:val="E4B973"/>
    <w:multiLevelType w:val="hybridMultilevel"/>
    <w:lvl w:ilvl="0">
      <w:lvlJc w:val="left"/>
      <w:lvlText w:val="---"/>
      <w:numFmt w:val="bullet"/>
      <w:start w:val="1"/>
    </w:lvl>
    <w:lvl w:ilvl="1">
      <w:lvlJc w:val="left"/>
      <w:lvlText w:val="----"/>
      <w:numFmt w:val="bullet"/>
      <w:start w:val="1"/>
    </w:lvl>
  </w:abstractNum>
  <w:abstractNum w:abstractNumId="204">
    <w:nsid w:val="4A0FFA11"/>
    <w:multiLevelType w:val="hybridMultilevel"/>
    <w:lvl w:ilvl="0">
      <w:lvlJc w:val="left"/>
      <w:lvlText w:val="(%1)"/>
      <w:numFmt w:val="decimal"/>
      <w:start w:val="2"/>
    </w:lvl>
  </w:abstractNum>
  <w:abstractNum w:abstractNumId="205">
    <w:nsid w:val="5E446208"/>
    <w:multiLevelType w:val="hybridMultilevel"/>
    <w:lvl w:ilvl="0">
      <w:lvlJc w:val="left"/>
      <w:lvlText w:val="&amp;"/>
      <w:numFmt w:val="bullet"/>
      <w:start w:val="1"/>
    </w:lvl>
  </w:abstractNum>
  <w:abstractNum w:abstractNumId="206">
    <w:nsid w:val="5F3272DB"/>
    <w:multiLevelType w:val="hybridMultilevel"/>
    <w:lvl w:ilvl="0">
      <w:lvlJc w:val="left"/>
      <w:lvlText w:val="&amp;"/>
      <w:numFmt w:val="bullet"/>
      <w:start w:val="1"/>
    </w:lvl>
  </w:abstractNum>
  <w:abstractNum w:abstractNumId="207">
    <w:nsid w:val="7616D704"/>
    <w:multiLevelType w:val="hybridMultilevel"/>
    <w:lvl w:ilvl="0">
      <w:lvlJc w:val="left"/>
      <w:lvlText w:val="1"/>
      <w:numFmt w:val="bullet"/>
      <w:start w:val="1"/>
    </w:lvl>
  </w:abstractNum>
  <w:abstractNum w:abstractNumId="208">
    <w:nsid w:val="C56F860"/>
    <w:multiLevelType w:val="hybridMultilevel"/>
    <w:lvl w:ilvl="0">
      <w:lvlJc w:val="left"/>
      <w:lvlText w:val="&amp;"/>
      <w:numFmt w:val="bullet"/>
      <w:start w:val="1"/>
    </w:lvl>
  </w:abstractNum>
  <w:abstractNum w:abstractNumId="209">
    <w:nsid w:val="64D17722"/>
    <w:multiLevelType w:val="hybridMultilevel"/>
    <w:lvl w:ilvl="0">
      <w:lvlJc w:val="left"/>
      <w:lvlText w:val="1"/>
      <w:numFmt w:val="bullet"/>
      <w:start w:val="1"/>
    </w:lvl>
  </w:abstractNum>
  <w:abstractNum w:abstractNumId="210">
    <w:nsid w:val="7924CA0A"/>
    <w:multiLevelType w:val="hybridMultilevel"/>
    <w:lvl w:ilvl="0">
      <w:lvlJc w:val="left"/>
      <w:lvlText w:val="&amp;"/>
      <w:numFmt w:val="bullet"/>
      <w:start w:val="1"/>
    </w:lvl>
  </w:abstractNum>
  <w:abstractNum w:abstractNumId="211">
    <w:nsid w:val="CFD4EA7"/>
    <w:multiLevelType w:val="hybridMultilevel"/>
    <w:lvl w:ilvl="0">
      <w:lvlJc w:val="left"/>
      <w:lvlText w:val="&amp;"/>
      <w:numFmt w:val="bullet"/>
      <w:start w:val="1"/>
    </w:lvl>
  </w:abstractNum>
  <w:abstractNum w:abstractNumId="212">
    <w:nsid w:val="232FCF4D"/>
    <w:multiLevelType w:val="hybridMultilevel"/>
    <w:lvl w:ilvl="0">
      <w:lvlJc w:val="left"/>
      <w:lvlText w:val="&amp;"/>
      <w:numFmt w:val="bullet"/>
      <w:start w:val="1"/>
    </w:lvl>
  </w:abstractNum>
  <w:abstractNum w:abstractNumId="213">
    <w:nsid w:val="1EA21031"/>
    <w:multiLevelType w:val="hybridMultilevel"/>
    <w:lvl w:ilvl="0">
      <w:lvlJc w:val="left"/>
      <w:lvlText w:val="1"/>
      <w:numFmt w:val="bullet"/>
      <w:start w:val="1"/>
    </w:lvl>
  </w:abstractNum>
  <w:abstractNum w:abstractNumId="214">
    <w:nsid w:val="67A5A6B5"/>
    <w:multiLevelType w:val="hybridMultilevel"/>
    <w:lvl w:ilvl="0">
      <w:lvlJc w:val="left"/>
      <w:lvlText w:val="1"/>
      <w:numFmt w:val="bullet"/>
      <w:start w:val="1"/>
    </w:lvl>
  </w:abstractNum>
  <w:abstractNum w:abstractNumId="215">
    <w:nsid w:val="C2A5C5B"/>
    <w:multiLevelType w:val="hybridMultilevel"/>
    <w:lvl w:ilvl="0">
      <w:lvlJc w:val="left"/>
      <w:lvlText w:val="(%1)"/>
      <w:numFmt w:val="decimal"/>
      <w:start w:val="1"/>
    </w:lvl>
  </w:abstractNum>
  <w:abstractNum w:abstractNumId="216">
    <w:nsid w:val="5F94DC03"/>
    <w:multiLevelType w:val="hybridMultilevel"/>
    <w:lvl w:ilvl="0">
      <w:lvlJc w:val="left"/>
      <w:lvlText w:val="(%1)"/>
      <w:numFmt w:val="decimal"/>
      <w:start w:val="1"/>
    </w:lvl>
  </w:abstractNum>
  <w:abstractNum w:abstractNumId="217">
    <w:nsid w:val="237BBCA0"/>
    <w:multiLevelType w:val="hybridMultilevel"/>
    <w:lvl w:ilvl="0">
      <w:lvlJc w:val="left"/>
      <w:lvlText w:val="a"/>
      <w:numFmt w:val="bullet"/>
      <w:start w:val="1"/>
    </w:lvl>
  </w:abstractNum>
  <w:abstractNum w:abstractNumId="218">
    <w:nsid w:val="162EB70D"/>
    <w:multiLevelType w:val="hybridMultilevel"/>
    <w:lvl w:ilvl="0">
      <w:lvlJc w:val="left"/>
      <w:lvlText w:val="-----"/>
      <w:numFmt w:val="bullet"/>
      <w:start w:val="1"/>
    </w:lvl>
  </w:abstractNum>
  <w:abstractNum w:abstractNumId="219">
    <w:nsid w:val="78070222"/>
    <w:multiLevelType w:val="hybridMultilevel"/>
    <w:lvl w:ilvl="0">
      <w:lvlJc w:val="left"/>
      <w:lvlText w:val="-----"/>
      <w:numFmt w:val="bullet"/>
      <w:start w:val="1"/>
    </w:lvl>
  </w:abstractNum>
  <w:abstractNum w:abstractNumId="220">
    <w:nsid w:val="6163ED0D"/>
    <w:multiLevelType w:val="hybridMultilevel"/>
    <w:lvl w:ilvl="0">
      <w:lvlJc w:val="left"/>
      <w:lvlText w:val="%1."/>
      <w:numFmt w:val="upperLetter"/>
      <w:start w:val="10"/>
    </w:lvl>
    <w:lvl w:ilvl="1">
      <w:lvlJc w:val="left"/>
      <w:lvlText w:val="%2"/>
      <w:numFmt w:val="upperLetter"/>
      <w:start w:val="1"/>
    </w:lvl>
  </w:abstractNum>
  <w:abstractNum w:abstractNumId="221">
    <w:nsid w:val="C600E47"/>
    <w:multiLevelType w:val="hybridMultilevel"/>
    <w:lvl w:ilvl="0">
      <w:lvlJc w:val="left"/>
      <w:lvlText w:val="%1"/>
      <w:numFmt w:val="decimal"/>
      <w:start w:val="23"/>
    </w:lvl>
  </w:abstractNum>
  <w:abstractNum w:abstractNumId="222">
    <w:nsid w:val="7D94F75D"/>
    <w:multiLevelType w:val="hybridMultilevel"/>
    <w:lvl w:ilvl="0">
      <w:lvlJc w:val="left"/>
      <w:lvlText w:val="-"/>
      <w:numFmt w:val="bullet"/>
      <w:start w:val="1"/>
    </w:lvl>
    <w:lvl w:ilvl="1">
      <w:lvlJc w:val="left"/>
      <w:lvlText w:val="*"/>
      <w:numFmt w:val="bullet"/>
      <w:start w:val="1"/>
    </w:lvl>
  </w:abstractNum>
  <w:abstractNum w:abstractNumId="223">
    <w:nsid w:val="6C31E7CD"/>
    <w:multiLevelType w:val="hybridMultilevel"/>
    <w:lvl w:ilvl="0">
      <w:lvlJc w:val="left"/>
      <w:lvlText w:val="-"/>
      <w:numFmt w:val="bullet"/>
      <w:start w:val="1"/>
    </w:lvl>
    <w:lvl w:ilvl="1">
      <w:lvlJc w:val="left"/>
      <w:lvlText w:val="**"/>
      <w:numFmt w:val="bullet"/>
      <w:start w:val="1"/>
    </w:lvl>
  </w:abstractNum>
  <w:abstractNum w:abstractNumId="224">
    <w:nsid w:val="2BB7929B"/>
    <w:multiLevelType w:val="hybridMultilevel"/>
    <w:lvl w:ilvl="0">
      <w:lvlJc w:val="left"/>
      <w:lvlText w:val="%1."/>
      <w:numFmt w:val="decimal"/>
      <w:start w:val="1"/>
    </w:lvl>
  </w:abstractNum>
  <w:abstractNum w:abstractNumId="225">
    <w:nsid w:val="58A2A487"/>
    <w:multiLevelType w:val="hybridMultilevel"/>
    <w:lvl w:ilvl="0">
      <w:lvlJc w:val="left"/>
      <w:lvlText w:val="(%1)"/>
      <w:numFmt w:val="lowerRoman"/>
      <w:start w:val="2"/>
    </w:lvl>
    <w:lvl w:ilvl="1">
      <w:lvlJc w:val="left"/>
      <w:lvlText w:val="%2."/>
      <w:numFmt w:val="decimal"/>
      <w:start w:val="4"/>
    </w:lvl>
  </w:abstractNum>
  <w:abstractNum w:abstractNumId="226">
    <w:nsid w:val="3A6F0E78"/>
    <w:multiLevelType w:val="hybridMultilevel"/>
    <w:lvl w:ilvl="0">
      <w:lvlJc w:val="left"/>
      <w:lvlText w:val="%1."/>
      <w:numFmt w:val="decimal"/>
      <w:start w:val="1"/>
    </w:lvl>
    <w:lvl w:ilvl="1">
      <w:lvlJc w:val="left"/>
      <w:lvlText w:val="%2"/>
      <w:numFmt w:val="upperLetter"/>
      <w:start w:val="1"/>
    </w:lvl>
  </w:abstractNum>
  <w:abstractNum w:abstractNumId="227">
    <w:nsid w:val="379A5B56"/>
    <w:multiLevelType w:val="hybridMultilevel"/>
    <w:lvl w:ilvl="0">
      <w:lvlJc w:val="left"/>
      <w:lvlText w:val="(%1)"/>
      <w:numFmt w:val="lowerLetter"/>
      <w:start w:val="1"/>
    </w:lvl>
  </w:abstractNum>
  <w:abstractNum w:abstractNumId="228">
    <w:nsid w:val="53B735D5"/>
    <w:multiLevelType w:val="hybridMultilevel"/>
    <w:lvl w:ilvl="0">
      <w:lvlJc w:val="left"/>
      <w:lvlText w:val="(%1)"/>
      <w:numFmt w:val="lowerLetter"/>
      <w:start w:val="2"/>
    </w:lvl>
  </w:abstractNum>
  <w:abstractNum w:abstractNumId="229">
    <w:nsid w:val="29784870"/>
    <w:multiLevelType w:val="hybridMultilevel"/>
    <w:lvl w:ilvl="0">
      <w:lvlJc w:val="left"/>
      <w:lvlText w:val="(%1)"/>
      <w:numFmt w:val="lowerLetter"/>
      <w:start w:val="3"/>
    </w:lvl>
  </w:abstractNum>
  <w:abstractNum w:abstractNumId="230">
    <w:nsid w:val="4CDCED4C"/>
    <w:multiLevelType w:val="hybridMultilevel"/>
    <w:lvl w:ilvl="0">
      <w:lvlJc w:val="left"/>
      <w:lvlText w:val="(%1)"/>
      <w:numFmt w:val="lowerLetter"/>
      <w:start w:val="4"/>
    </w:lvl>
  </w:abstractNum>
  <w:abstractNum w:abstractNumId="231">
    <w:nsid w:val="10A30D9C"/>
    <w:multiLevelType w:val="hybridMultilevel"/>
    <w:lvl w:ilvl="0">
      <w:lvlJc w:val="left"/>
      <w:lvlText w:val="(%1)"/>
      <w:numFmt w:val="lowerLetter"/>
      <w:start w:val="5"/>
    </w:lvl>
  </w:abstractNum>
  <w:abstractNum w:abstractNumId="232">
    <w:nsid w:val="A66E486"/>
    <w:multiLevelType w:val="hybridMultilevel"/>
    <w:lvl w:ilvl="0">
      <w:lvlJc w:val="left"/>
      <w:lvlText w:val="(%1)"/>
      <w:numFmt w:val="lowerLetter"/>
      <w:start w:val="1"/>
    </w:lvl>
  </w:abstractNum>
  <w:abstractNum w:abstractNumId="233">
    <w:nsid w:val="306235EA"/>
    <w:multiLevelType w:val="hybridMultilevel"/>
    <w:lvl w:ilvl="0">
      <w:lvlJc w:val="left"/>
      <w:lvlText w:val="(%1)"/>
      <w:numFmt w:val="lowerLetter"/>
      <w:start w:val="2"/>
    </w:lvl>
  </w:abstractNum>
  <w:abstractNum w:abstractNumId="234">
    <w:nsid w:val="1187C70F"/>
    <w:multiLevelType w:val="hybridMultilevel"/>
    <w:lvl w:ilvl="0">
      <w:lvlJc w:val="left"/>
      <w:lvlText w:val="%1."/>
      <w:numFmt w:val="decimal"/>
      <w:start w:val="2"/>
    </w:lvl>
  </w:abstractNum>
  <w:abstractNum w:abstractNumId="235">
    <w:nsid w:val="5476DE98"/>
    <w:multiLevelType w:val="hybridMultilevel"/>
    <w:lvl w:ilvl="0">
      <w:lvlJc w:val="left"/>
      <w:lvlText w:val="(%1)"/>
      <w:numFmt w:val="lowerLetter"/>
      <w:start w:val="1"/>
    </w:lvl>
    <w:lvl w:ilvl="1">
      <w:lvlJc w:val="left"/>
      <w:lvlText w:val="(%2)"/>
      <w:numFmt w:val="lowerRoman"/>
      <w:start w:val="1"/>
    </w:lvl>
  </w:abstractNum>
  <w:abstractNum w:abstractNumId="236">
    <w:nsid w:val="EA697F2"/>
    <w:multiLevelType w:val="hybridMultilevel"/>
    <w:lvl w:ilvl="0">
      <w:lvlJc w:val="left"/>
      <w:lvlText w:val="(%1)"/>
      <w:numFmt w:val="lowerLetter"/>
      <w:start w:val="3"/>
    </w:lvl>
  </w:abstractNum>
  <w:abstractNum w:abstractNumId="237">
    <w:nsid w:val="70BA39EB"/>
    <w:multiLevelType w:val="hybridMultilevel"/>
    <w:lvl w:ilvl="0">
      <w:lvlJc w:val="left"/>
      <w:lvlText w:val="%1."/>
      <w:numFmt w:val="decimal"/>
      <w:start w:val="4"/>
    </w:lvl>
  </w:abstractNum>
  <w:abstractNum w:abstractNumId="238">
    <w:nsid w:val="4A8DB59C"/>
    <w:multiLevelType w:val="hybridMultilevel"/>
    <w:lvl w:ilvl="0">
      <w:lvlJc w:val="left"/>
      <w:lvlText w:val="(%1)"/>
      <w:numFmt w:val="lowerLetter"/>
      <w:start w:val="1"/>
    </w:lvl>
    <w:lvl w:ilvl="1">
      <w:lvlJc w:val="left"/>
      <w:lvlText w:val="(%2)"/>
      <w:numFmt w:val="lowerRoman"/>
      <w:start w:val="1"/>
    </w:lvl>
  </w:abstractNum>
  <w:abstractNum w:abstractNumId="239">
    <w:nsid w:val="1AFD9053"/>
    <w:multiLevelType w:val="hybridMultilevel"/>
    <w:lvl w:ilvl="0">
      <w:lvlJc w:val="left"/>
      <w:lvlText w:val="%1"/>
      <w:numFmt w:val="lowerLetter"/>
      <w:start w:val="1"/>
    </w:lvl>
    <w:lvl w:ilvl="1">
      <w:lvlJc w:val="left"/>
      <w:lvlText w:val="(%2)"/>
      <w:numFmt w:val="lowerLetter"/>
      <w:start w:val="35"/>
    </w:lvl>
  </w:abstractNum>
  <w:abstractNum w:abstractNumId="240">
    <w:nsid w:val="558BB10D"/>
    <w:multiLevelType w:val="hybridMultilevel"/>
    <w:lvl w:ilvl="0">
      <w:lvlJc w:val="left"/>
      <w:lvlText w:val="(%1)"/>
      <w:numFmt w:val="lowerLetter"/>
      <w:start w:val="2"/>
    </w:lvl>
    <w:lvl w:ilvl="1">
      <w:lvlJc w:val="left"/>
      <w:lvlText w:val="%2"/>
      <w:numFmt w:val="lowerLetter"/>
      <w:start w:val="1"/>
    </w:lvl>
  </w:abstractNum>
  <w:abstractNum w:abstractNumId="241">
    <w:nsid w:val="43B27FA7"/>
    <w:multiLevelType w:val="hybridMultilevel"/>
    <w:lvl w:ilvl="0">
      <w:lvlJc w:val="left"/>
      <w:lvlText w:val="(%1)"/>
      <w:numFmt w:val="lowerLetter"/>
      <w:start w:val="1"/>
    </w:lvl>
  </w:abstractNum>
  <w:abstractNum w:abstractNumId="242">
    <w:nsid w:val="27FADEFA"/>
    <w:multiLevelType w:val="hybridMultilevel"/>
    <w:lvl w:ilvl="0">
      <w:lvlJc w:val="left"/>
      <w:lvlText w:val="(%1)"/>
      <w:numFmt w:val="lowerLetter"/>
      <w:start w:val="2"/>
    </w:lvl>
  </w:abstractNum>
  <w:abstractNum w:abstractNumId="243">
    <w:nsid w:val="78BB805A"/>
    <w:multiLevelType w:val="hybridMultilevel"/>
    <w:lvl w:ilvl="0">
      <w:lvlJc w:val="left"/>
      <w:lvlText w:val="%1."/>
      <w:numFmt w:val="decimal"/>
      <w:start w:val="7"/>
    </w:lvl>
  </w:abstractNum>
  <w:abstractNum w:abstractNumId="244">
    <w:nsid w:val="62548FD8"/>
    <w:multiLevelType w:val="hybridMultilevel"/>
    <w:lvl w:ilvl="0">
      <w:lvlJc w:val="left"/>
      <w:lvlText w:val="%1."/>
      <w:numFmt w:val="decimal"/>
      <w:start w:val="14"/>
    </w:lvl>
  </w:abstractNum>
  <w:abstractNum w:abstractNumId="245">
    <w:nsid w:val="FA085B0"/>
    <w:multiLevelType w:val="hybridMultilevel"/>
    <w:lvl w:ilvl="0">
      <w:lvlJc w:val="left"/>
      <w:lvlText w:val="(%1)"/>
      <w:numFmt w:val="lowerLetter"/>
      <w:start w:val="1"/>
    </w:lvl>
  </w:abstractNum>
  <w:abstractNum w:abstractNumId="246">
    <w:nsid w:val="4E5DCB5"/>
    <w:multiLevelType w:val="hybridMultilevel"/>
    <w:lvl w:ilvl="0">
      <w:lvlJc w:val="left"/>
      <w:lvlText w:val="(%1)"/>
      <w:numFmt w:val="decimal"/>
      <w:start w:val="1"/>
    </w:lvl>
  </w:abstractNum>
  <w:abstractNum w:abstractNumId="247">
    <w:nsid w:val="41E96BDB"/>
    <w:multiLevelType w:val="hybridMultilevel"/>
    <w:lvl w:ilvl="0">
      <w:lvlJc w:val="left"/>
      <w:lvlText w:val="(%1)"/>
      <w:numFmt w:val="decimal"/>
      <w:start w:val="14"/>
    </w:lvl>
  </w:abstractNum>
  <w:abstractNum w:abstractNumId="248">
    <w:nsid w:val="331C4250"/>
    <w:multiLevelType w:val="hybridMultilevel"/>
    <w:lvl w:ilvl="0">
      <w:lvlJc w:val="left"/>
      <w:lvlText w:val="(%1)"/>
      <w:numFmt w:val="lowerLetter"/>
      <w:start w:val="1"/>
    </w:lvl>
  </w:abstractNum>
  <w:abstractNum w:abstractNumId="249">
    <w:nsid w:val="1B1493C2"/>
    <w:multiLevelType w:val="hybridMultilevel"/>
    <w:lvl w:ilvl="0">
      <w:lvlJc w:val="left"/>
      <w:lvlText w:val="(%1)"/>
      <w:numFmt w:val="decimal"/>
      <w:start w:val="1"/>
    </w:lvl>
  </w:abstractNum>
  <w:abstractNum w:abstractNumId="250">
    <w:nsid w:val="39F06DFD"/>
    <w:multiLevelType w:val="hybridMultilevel"/>
    <w:lvl w:ilvl="0">
      <w:lvlJc w:val="left"/>
      <w:lvlText w:val="(%1)"/>
      <w:numFmt w:val="decimal"/>
      <w:start w:val="1"/>
    </w:lvl>
  </w:abstractNum>
  <w:abstractNum w:abstractNumId="251">
    <w:nsid w:val="14802F5D"/>
    <w:multiLevelType w:val="hybridMultilevel"/>
    <w:lvl w:ilvl="0">
      <w:lvlJc w:val="left"/>
      <w:lvlText w:val="(%1)"/>
      <w:numFmt w:val="decimal"/>
      <w:start w:val="1"/>
    </w:lvl>
  </w:abstractNum>
  <w:abstractNum w:abstractNumId="252">
    <w:nsid w:val="2774A209"/>
    <w:multiLevelType w:val="hybridMultilevel"/>
    <w:lvl w:ilvl="0">
      <w:lvlJc w:val="left"/>
      <w:lvlText w:val="(%1)"/>
      <w:numFmt w:val="decimal"/>
      <w:start w:val="1"/>
    </w:lvl>
  </w:abstractNum>
  <w:abstractNum w:abstractNumId="253">
    <w:nsid w:val="3785655A"/>
    <w:multiLevelType w:val="hybridMultilevel"/>
    <w:lvl w:ilvl="0">
      <w:lvlJc w:val="left"/>
      <w:lvlText w:val="(%1)"/>
      <w:numFmt w:val="decimal"/>
      <w:start w:val="1"/>
    </w:lvl>
  </w:abstractNum>
  <w:abstractNum w:abstractNumId="254">
    <w:nsid w:val="B2172A"/>
    <w:multiLevelType w:val="hybridMultilevel"/>
    <w:lvl w:ilvl="0">
      <w:lvlJc w:val="left"/>
      <w:lvlText w:val="(%1)"/>
      <w:numFmt w:val="decimal"/>
      <w:start w:val="4"/>
    </w:lvl>
  </w:abstractNum>
  <w:abstractNum w:abstractNumId="255">
    <w:nsid w:val="532C34A5"/>
    <w:multiLevelType w:val="hybridMultilevel"/>
    <w:lvl w:ilvl="0">
      <w:lvlJc w:val="left"/>
      <w:lvlText w:val="(%1)"/>
      <w:numFmt w:val="decimal"/>
      <w:start w:val="1"/>
    </w:lvl>
  </w:abstractNum>
  <w:abstractNum w:abstractNumId="256">
    <w:nsid w:val="102809E2"/>
    <w:multiLevelType w:val="hybridMultilevel"/>
    <w:lvl w:ilvl="0">
      <w:lvlJc w:val="left"/>
      <w:lvlText w:val="(%1)"/>
      <w:numFmt w:val="decimal"/>
      <w:start w:val="1"/>
    </w:lvl>
  </w:abstractNum>
  <w:abstractNum w:abstractNumId="257">
    <w:nsid w:val="3B2125A3"/>
    <w:multiLevelType w:val="hybridMultilevel"/>
    <w:lvl w:ilvl="0">
      <w:lvlJc w:val="left"/>
      <w:lvlText w:val="(%1)"/>
      <w:numFmt w:val="decimal"/>
      <w:start w:val="1"/>
    </w:lvl>
  </w:abstractNum>
  <w:abstractNum w:abstractNumId="258">
    <w:nsid w:val="AC68FFB"/>
    <w:multiLevelType w:val="hybridMultilevel"/>
    <w:lvl w:ilvl="0">
      <w:lvlJc w:val="left"/>
      <w:lvlText w:val="(%1)"/>
      <w:numFmt w:val="decimal"/>
      <w:start w:val="3"/>
    </w:lvl>
  </w:abstractNum>
  <w:abstractNum w:abstractNumId="259">
    <w:nsid w:val="63DF3FB7"/>
    <w:multiLevelType w:val="hybridMultilevel"/>
    <w:lvl w:ilvl="0">
      <w:lvlJc w:val="left"/>
      <w:lvlText w:val="(%1)"/>
      <w:numFmt w:val="decimal"/>
      <w:start w:val="1"/>
    </w:lvl>
  </w:abstractNum>
  <w:abstractNum w:abstractNumId="260">
    <w:nsid w:val="64996E13"/>
    <w:multiLevelType w:val="hybridMultilevel"/>
    <w:lvl w:ilvl="0">
      <w:lvlJc w:val="left"/>
      <w:lvlText w:val="(%1)"/>
      <w:numFmt w:val="decimal"/>
      <w:start w:val="1"/>
    </w:lvl>
  </w:abstractNum>
  <w:abstractNum w:abstractNumId="261">
    <w:nsid w:val="57A37D47"/>
    <w:multiLevelType w:val="hybridMultilevel"/>
    <w:lvl w:ilvl="0">
      <w:lvlJc w:val="left"/>
      <w:lvlText w:val="(%1)"/>
      <w:numFmt w:val="decimal"/>
      <w:start w:val="1"/>
    </w:lvl>
  </w:abstractNum>
  <w:abstractNum w:abstractNumId="262">
    <w:nsid w:val="74824D54"/>
    <w:multiLevelType w:val="hybridMultilevel"/>
    <w:lvl w:ilvl="0">
      <w:lvlJc w:val="left"/>
      <w:lvlText w:val="(%1)"/>
      <w:numFmt w:val="decimal"/>
      <w:start w:val="1"/>
    </w:lvl>
  </w:abstractNum>
  <w:abstractNum w:abstractNumId="263">
    <w:nsid w:val="6F00529A"/>
    <w:multiLevelType w:val="hybridMultilevel"/>
    <w:lvl w:ilvl="0">
      <w:lvlJc w:val="left"/>
      <w:lvlText w:val="(%1)"/>
      <w:numFmt w:val="decimal"/>
      <w:start w:val="1"/>
    </w:lvl>
  </w:abstractNum>
  <w:abstractNum w:abstractNumId="264">
    <w:nsid w:val="805B331"/>
    <w:multiLevelType w:val="hybridMultilevel"/>
    <w:lvl w:ilvl="0">
      <w:lvlJc w:val="left"/>
      <w:lvlText w:val="(%1)"/>
      <w:numFmt w:val="decimal"/>
      <w:start w:val="2"/>
    </w:lvl>
  </w:abstractNum>
  <w:abstractNum w:abstractNumId="265">
    <w:nsid w:val="60A1463"/>
    <w:multiLevelType w:val="hybridMultilevel"/>
    <w:lvl w:ilvl="0">
      <w:lvlJc w:val="left"/>
      <w:lvlText w:val="(%1)"/>
      <w:numFmt w:val="decimal"/>
      <w:start w:val="1"/>
    </w:lvl>
  </w:abstractNum>
  <w:abstractNum w:abstractNumId="266">
    <w:nsid w:val="43773132"/>
    <w:multiLevelType w:val="hybridMultilevel"/>
    <w:lvl w:ilvl="0">
      <w:lvlJc w:val="left"/>
      <w:lvlText w:val="(%1)"/>
      <w:numFmt w:val="decimal"/>
      <w:start w:val="1"/>
    </w:lvl>
  </w:abstractNum>
  <w:abstractNum w:abstractNumId="267">
    <w:nsid w:val="16AC4B23"/>
    <w:multiLevelType w:val="hybridMultilevel"/>
    <w:lvl w:ilvl="0">
      <w:lvlJc w:val="left"/>
      <w:lvlText w:val="%1"/>
      <w:numFmt w:val="lowerLetter"/>
      <w:start w:val="1"/>
    </w:lvl>
    <w:lvl w:ilvl="1">
      <w:lvlJc w:val="left"/>
      <w:lvlText w:val="(%2)"/>
      <w:numFmt w:val="decimal"/>
      <w:start w:val="1"/>
    </w:lvl>
  </w:abstractNum>
  <w:abstractNum w:abstractNumId="268">
    <w:nsid w:val="76C44E4E"/>
    <w:multiLevelType w:val="hybridMultilevel"/>
    <w:lvl w:ilvl="0">
      <w:lvlJc w:val="left"/>
      <w:lvlText w:val="(%1)"/>
      <w:numFmt w:val="lowerLetter"/>
      <w:start w:val="1"/>
    </w:lvl>
    <w:lvl w:ilvl="1">
      <w:lvlJc w:val="left"/>
      <w:lvlText w:val="(%2)"/>
      <w:numFmt w:val="decimal"/>
      <w:start w:val="2"/>
    </w:lvl>
  </w:abstractNum>
  <w:abstractNum w:abstractNumId="269">
    <w:nsid w:val="E04E6CE"/>
    <w:multiLevelType w:val="hybridMultilevel"/>
    <w:lvl w:ilvl="0">
      <w:lvlJc w:val="left"/>
      <w:lvlText w:val="(%1)"/>
      <w:numFmt w:val="decimal"/>
      <w:start w:val="1"/>
    </w:lvl>
    <w:lvl w:ilvl="1">
      <w:lvlJc w:val="left"/>
      <w:lvlText w:val="(%2)"/>
      <w:numFmt w:val="lowerLetter"/>
      <w:start w:val="1"/>
    </w:lvl>
  </w:abstractNum>
  <w:abstractNum w:abstractNumId="270">
    <w:nsid w:val="31A9DB76"/>
    <w:multiLevelType w:val="hybridMultilevel"/>
    <w:lvl w:ilvl="0">
      <w:lvlJc w:val="left"/>
      <w:lvlText w:val="(%1)"/>
      <w:numFmt w:val="decimal"/>
      <w:start w:val="8"/>
    </w:lvl>
  </w:abstractNum>
  <w:abstractNum w:abstractNumId="271">
    <w:nsid w:val="4C4FFF5B"/>
    <w:multiLevelType w:val="hybridMultilevel"/>
    <w:lvl w:ilvl="0">
      <w:lvlJc w:val="left"/>
      <w:lvlText w:val="(%1)"/>
      <w:numFmt w:val="decimal"/>
      <w:start w:val="1"/>
    </w:lvl>
  </w:abstractNum>
  <w:abstractNum w:abstractNumId="272">
    <w:nsid w:val="51B76675"/>
    <w:multiLevelType w:val="hybridMultilevel"/>
    <w:lvl w:ilvl="0">
      <w:lvlJc w:val="left"/>
      <w:lvlText w:val="(%1)"/>
      <w:numFmt w:val="decimal"/>
      <w:start w:val="11"/>
    </w:lvl>
  </w:abstractNum>
  <w:abstractNum w:abstractNumId="273">
    <w:nsid w:val="59A4BA71"/>
    <w:multiLevelType w:val="hybridMultilevel"/>
    <w:lvl w:ilvl="0">
      <w:lvlJc w:val="left"/>
      <w:lvlText w:val="(%1)"/>
      <w:numFmt w:val="decimal"/>
      <w:start w:val="1"/>
    </w:lvl>
  </w:abstractNum>
  <w:abstractNum w:abstractNumId="274">
    <w:nsid w:val="450B7FB6"/>
    <w:multiLevelType w:val="hybridMultilevel"/>
    <w:lvl w:ilvl="0">
      <w:lvlJc w:val="left"/>
      <w:lvlText w:val="(%1)"/>
      <w:numFmt w:val="decimal"/>
      <w:start w:val="1"/>
    </w:lvl>
  </w:abstractNum>
  <w:abstractNum w:abstractNumId="275">
    <w:nsid w:val="340BF64D"/>
    <w:multiLevelType w:val="hybridMultilevel"/>
    <w:lvl w:ilvl="0">
      <w:lvlJc w:val="left"/>
      <w:lvlText w:val="(%1)"/>
      <w:numFmt w:val="decimal"/>
      <w:start w:val="2"/>
    </w:lvl>
  </w:abstractNum>
  <w:abstractNum w:abstractNumId="276">
    <w:nsid w:val="69454021"/>
    <w:multiLevelType w:val="hybridMultilevel"/>
    <w:lvl w:ilvl="0">
      <w:lvlJc w:val="left"/>
      <w:lvlText w:val="(%1)"/>
      <w:numFmt w:val="decimal"/>
      <w:start w:val="1"/>
    </w:lvl>
  </w:abstractNum>
  <w:abstractNum w:abstractNumId="277">
    <w:nsid w:val="49F15C6B"/>
    <w:multiLevelType w:val="hybridMultilevel"/>
    <w:lvl w:ilvl="0">
      <w:lvlJc w:val="left"/>
      <w:lvlText w:val="(%1)"/>
      <w:numFmt w:val="lowerLetter"/>
      <w:start w:val="3"/>
    </w:lvl>
  </w:abstractNum>
  <w:abstractNum w:abstractNumId="278">
    <w:nsid w:val="75F56228"/>
    <w:multiLevelType w:val="hybridMultilevel"/>
    <w:lvl w:ilvl="0">
      <w:lvlJc w:val="left"/>
      <w:lvlText w:val="(%1)"/>
      <w:numFmt w:val="decimal"/>
      <w:start w:val="1"/>
    </w:lvl>
  </w:abstractNum>
  <w:abstractNum w:abstractNumId="279">
    <w:nsid w:val="1C618271"/>
    <w:multiLevelType w:val="hybridMultilevel"/>
    <w:lvl w:ilvl="0">
      <w:lvlJc w:val="left"/>
      <w:lvlText w:val="(%1)"/>
      <w:numFmt w:val="decimal"/>
      <w:start w:val="2"/>
    </w:lvl>
  </w:abstractNum>
  <w:abstractNum w:abstractNumId="280">
    <w:nsid w:val="6505F02E"/>
    <w:multiLevelType w:val="hybridMultilevel"/>
    <w:lvl w:ilvl="0">
      <w:lvlJc w:val="left"/>
      <w:lvlText w:val="(%1)"/>
      <w:numFmt w:val="decimal"/>
      <w:start w:val="1"/>
    </w:lvl>
  </w:abstractNum>
  <w:abstractNum w:abstractNumId="281">
    <w:nsid w:val="2FE5D025"/>
    <w:multiLevelType w:val="hybridMultilevel"/>
    <w:lvl w:ilvl="0">
      <w:lvlJc w:val="left"/>
      <w:lvlText w:val="(%1)"/>
      <w:numFmt w:val="decimal"/>
      <w:start w:val="1"/>
    </w:lvl>
  </w:abstractNum>
  <w:abstractNum w:abstractNumId="282">
    <w:nsid w:val="30E1B1CF"/>
    <w:multiLevelType w:val="hybridMultilevel"/>
    <w:lvl w:ilvl="0">
      <w:lvlJc w:val="left"/>
      <w:lvlText w:val="(%1)"/>
      <w:numFmt w:val="decimal"/>
      <w:start w:val="1"/>
    </w:lvl>
  </w:abstractNum>
  <w:abstractNum w:abstractNumId="283">
    <w:nsid w:val="C7A9237"/>
    <w:multiLevelType w:val="hybridMultilevel"/>
    <w:lvl w:ilvl="0">
      <w:lvlJc w:val="left"/>
      <w:lvlText w:val="(%1)"/>
      <w:numFmt w:val="lowerRoman"/>
      <w:start w:val="1"/>
    </w:lvl>
  </w:abstractNum>
  <w:abstractNum w:abstractNumId="284">
    <w:nsid w:val="676B3580"/>
    <w:multiLevelType w:val="hybridMultilevel"/>
    <w:lvl w:ilvl="0">
      <w:lvlJc w:val="left"/>
      <w:lvlText w:val="%1"/>
      <w:numFmt w:val="lowerRoman"/>
      <w:start w:val="1"/>
    </w:lvl>
    <w:lvl w:ilvl="1">
      <w:lvlJc w:val="left"/>
      <w:lvlText w:val="(%2)"/>
      <w:numFmt w:val="lowerRoman"/>
      <w:start w:val="3"/>
    </w:lvl>
    <w:lvl w:ilvl="2">
      <w:lvlJc w:val="left"/>
      <w:lvlText w:val="(%3)"/>
      <w:numFmt w:val="upperLetter"/>
      <w:start w:val="1"/>
    </w:lvl>
  </w:abstractNum>
  <w:abstractNum w:abstractNumId="285">
    <w:nsid w:val="3193C8F9"/>
    <w:multiLevelType w:val="hybridMultilevel"/>
    <w:lvl w:ilvl="0">
      <w:lvlJc w:val="left"/>
      <w:lvlText w:val="(%1)"/>
      <w:numFmt w:val="lowerRoman"/>
      <w:start w:val="4"/>
    </w:lvl>
    <w:lvl w:ilvl="1">
      <w:lvlJc w:val="left"/>
      <w:lvlText w:val="%2"/>
      <w:numFmt w:val="lowerRoman"/>
      <w:start w:val="1"/>
    </w:lvl>
    <w:lvl w:ilvl="2">
      <w:lvlJc w:val="left"/>
      <w:lvlText w:val="%3"/>
      <w:numFmt w:val="upperLetter"/>
      <w:start w:val="1"/>
    </w:lvl>
  </w:abstractNum>
  <w:abstractNum w:abstractNumId="286">
    <w:nsid w:val="5FA6C6DC"/>
    <w:multiLevelType w:val="hybridMultilevel"/>
    <w:lvl w:ilvl="0">
      <w:lvlJc w:val="left"/>
      <w:lvlText w:val="(%1)"/>
      <w:numFmt w:val="upperLetter"/>
      <w:start w:val="1"/>
    </w:lvl>
    <w:lvl w:ilvl="1">
      <w:lvlJc w:val="left"/>
      <w:lvlText w:val="(%2)"/>
      <w:numFmt w:val="decimal"/>
      <w:start w:val="1"/>
    </w:lvl>
  </w:abstractNum>
  <w:abstractNum w:abstractNumId="287">
    <w:nsid w:val="77933F62"/>
    <w:multiLevelType w:val="hybridMultilevel"/>
    <w:lvl w:ilvl="0">
      <w:lvlJc w:val="left"/>
      <w:lvlText w:val="(%1)"/>
      <w:numFmt w:val="lowerRoman"/>
      <w:start w:val="1"/>
    </w:lvl>
    <w:lvl w:ilvl="1">
      <w:lvlJc w:val="left"/>
      <w:lvlText w:val="(%2)"/>
      <w:numFmt w:val="upperLetter"/>
      <w:start w:val="1"/>
    </w:lvl>
  </w:abstractNum>
  <w:abstractNum w:abstractNumId="288">
    <w:nsid w:val="6CB4EE9C"/>
    <w:multiLevelType w:val="hybridMultilevel"/>
    <w:lvl w:ilvl="0">
      <w:lvlJc w:val="left"/>
      <w:lvlText w:val="(%1)"/>
      <w:numFmt w:val="upperLetter"/>
      <w:start w:val="4"/>
    </w:lvl>
  </w:abstractNum>
  <w:abstractNum w:abstractNumId="289">
    <w:nsid w:val="6A6D56D7"/>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290">
    <w:nsid w:val="5B727F19"/>
    <w:multiLevelType w:val="hybridMultilevel"/>
    <w:lvl w:ilvl="0">
      <w:lvlJc w:val="left"/>
      <w:lvlText w:val="(%1)"/>
      <w:numFmt w:val="lowerRoman"/>
      <w:start w:val="3"/>
    </w:lvl>
  </w:abstractNum>
  <w:abstractNum w:abstractNumId="291">
    <w:nsid w:val="514E5CB0"/>
    <w:multiLevelType w:val="hybridMultilevel"/>
    <w:lvl w:ilvl="0">
      <w:lvlJc w:val="left"/>
      <w:lvlText w:val="(%1)"/>
      <w:numFmt w:val="lowerLetter"/>
      <w:start w:val="4"/>
    </w:lvl>
  </w:abstractNum>
  <w:abstractNum w:abstractNumId="292">
    <w:nsid w:val="4210D41E"/>
    <w:multiLevelType w:val="hybridMultilevel"/>
    <w:lvl w:ilvl="0">
      <w:lvlJc w:val="left"/>
      <w:lvlText w:val="(%1)"/>
      <w:numFmt w:val="lowerRoman"/>
      <w:start w:val="1"/>
    </w:lvl>
    <w:lvl w:ilvl="1">
      <w:lvlJc w:val="left"/>
      <w:lvlText w:val="(%2)"/>
      <w:numFmt w:val="upperLetter"/>
      <w:start w:val="1"/>
    </w:lvl>
  </w:abstractNum>
  <w:abstractNum w:abstractNumId="293">
    <w:nsid w:val="4FF4CC6D"/>
    <w:multiLevelType w:val="hybridMultilevel"/>
    <w:lvl w:ilvl="0">
      <w:lvlJc w:val="left"/>
      <w:lvlText w:val="%1"/>
      <w:numFmt w:val="upperLetter"/>
      <w:start w:val="1"/>
    </w:lvl>
    <w:lvl w:ilvl="1">
      <w:lvlJc w:val="left"/>
      <w:lvlText w:val="(%2)"/>
      <w:numFmt w:val="upperLetter"/>
      <w:start w:val="4"/>
    </w:lvl>
  </w:abstractNum>
  <w:abstractNum w:abstractNumId="294">
    <w:nsid w:val="404EAF4A"/>
    <w:multiLevelType w:val="hybridMultilevel"/>
    <w:lvl w:ilvl="0">
      <w:lvlJc w:val="left"/>
      <w:lvlText w:val="(%1)"/>
      <w:numFmt w:val="upperLetter"/>
      <w:start w:val="2"/>
    </w:lvl>
    <w:lvl w:ilvl="1">
      <w:lvlJc w:val="left"/>
      <w:lvlText w:val="(%2)"/>
      <w:numFmt w:val="upperLetter"/>
      <w:start w:val="6"/>
    </w:lvl>
  </w:abstractNum>
  <w:abstractNum w:abstractNumId="295">
    <w:nsid w:val="4A16874F"/>
    <w:multiLevelType w:val="hybridMultilevel"/>
    <w:lvl w:ilvl="0">
      <w:lvlJc w:val="left"/>
      <w:lvlText w:val="(%1)"/>
      <w:numFmt w:val="lowerRoman"/>
      <w:start w:val="2"/>
    </w:lvl>
    <w:lvl w:ilvl="1">
      <w:lvlJc w:val="left"/>
      <w:lvlText w:val="(%2)"/>
      <w:numFmt w:val="upperLetter"/>
      <w:start w:val="1"/>
    </w:lvl>
  </w:abstractNum>
  <w:abstractNum w:abstractNumId="296">
    <w:nsid w:val="55FEE0D1"/>
    <w:multiLevelType w:val="hybridMultilevel"/>
    <w:lvl w:ilvl="0">
      <w:lvlJc w:val="left"/>
      <w:lvlText w:val="(%1)"/>
      <w:numFmt w:val="upperLetter"/>
      <w:start w:val="3"/>
    </w:lvl>
    <w:lvl w:ilvl="1">
      <w:lvlJc w:val="left"/>
      <w:lvlText w:val="(%2)"/>
      <w:numFmt w:val="decimal"/>
      <w:start w:val="1"/>
    </w:lvl>
  </w:abstractNum>
  <w:abstractNum w:abstractNumId="297">
    <w:nsid w:val="3C5E07C"/>
    <w:multiLevelType w:val="hybridMultilevel"/>
    <w:lvl w:ilvl="0">
      <w:lvlJc w:val="left"/>
      <w:lvlText w:val="(%1)"/>
      <w:numFmt w:val="lowerRoman"/>
      <w:start w:val="3"/>
    </w:lvl>
  </w:abstractNum>
  <w:abstractNum w:abstractNumId="298">
    <w:nsid w:val="60C2D273"/>
    <w:multiLevelType w:val="hybridMultilevel"/>
    <w:lvl w:ilvl="0">
      <w:lvlJc w:val="left"/>
      <w:lvlText w:val="(%1)"/>
      <w:numFmt w:val="lowerRoman"/>
      <w:start w:val="1"/>
    </w:lvl>
    <w:lvl w:ilvl="1">
      <w:lvlJc w:val="left"/>
      <w:lvlText w:val="(%2)"/>
      <w:numFmt w:val="upperLetter"/>
      <w:start w:val="1"/>
    </w:lvl>
  </w:abstractNum>
  <w:abstractNum w:abstractNumId="299">
    <w:nsid w:val="4CC32F1F"/>
    <w:multiLevelType w:val="hybridMultilevel"/>
    <w:lvl w:ilvl="0">
      <w:lvlJc w:val="left"/>
      <w:lvlText w:val="(%1)"/>
      <w:numFmt w:val="decimal"/>
      <w:start w:val="1"/>
    </w:lvl>
  </w:abstractNum>
  <w:abstractNum w:abstractNumId="300">
    <w:nsid w:val="11CAC74A"/>
    <w:multiLevelType w:val="hybridMultilevel"/>
    <w:lvl w:ilvl="0">
      <w:lvlJc w:val="left"/>
      <w:lvlText w:val="(%1)"/>
      <w:numFmt w:val="lowerRoman"/>
      <w:start w:val="3"/>
    </w:lvl>
  </w:abstractNum>
  <w:abstractNum w:abstractNumId="301">
    <w:nsid w:val="126CADE9"/>
    <w:multiLevelType w:val="hybridMultilevel"/>
    <w:lvl w:ilvl="0">
      <w:lvlJc w:val="left"/>
      <w:lvlText w:val="(%1)"/>
      <w:numFmt w:val="lowerLetter"/>
      <w:start w:val="7"/>
    </w:lvl>
  </w:abstractNum>
  <w:abstractNum w:abstractNumId="302">
    <w:nsid w:val="19132E7B"/>
    <w:multiLevelType w:val="hybridMultilevel"/>
    <w:lvl w:ilvl="0">
      <w:lvlJc w:val="left"/>
      <w:lvlText w:val="(%1)"/>
      <w:numFmt w:val="lowerRoman"/>
      <w:start w:val="1"/>
    </w:lvl>
  </w:abstractNum>
  <w:abstractNum w:abstractNumId="303">
    <w:nsid w:val="63822DC0"/>
    <w:multiLevelType w:val="hybridMultilevel"/>
    <w:lvl w:ilvl="0">
      <w:lvlJc w:val="left"/>
      <w:lvlText w:val="(%1)"/>
      <w:numFmt w:val="upperLetter"/>
      <w:start w:val="1"/>
    </w:lvl>
  </w:abstractNum>
  <w:abstractNum w:abstractNumId="304">
    <w:nsid w:val="6C11685A"/>
    <w:multiLevelType w:val="hybridMultilevel"/>
    <w:lvl w:ilvl="0">
      <w:lvlJc w:val="left"/>
      <w:lvlText w:val="%1"/>
      <w:numFmt w:val="lowerRoman"/>
      <w:start w:val="1"/>
    </w:lvl>
    <w:lvl w:ilvl="1">
      <w:lvlJc w:val="left"/>
      <w:lvlText w:val="(%2)"/>
      <w:numFmt w:val="upperLetter"/>
      <w:start w:val="2"/>
    </w:lvl>
  </w:abstractNum>
  <w:abstractNum w:abstractNumId="305">
    <w:nsid w:val="5E1EAE31"/>
    <w:multiLevelType w:val="hybridMultilevel"/>
    <w:lvl w:ilvl="0">
      <w:lvlJc w:val="left"/>
      <w:lvlText w:val="(%1)"/>
      <w:numFmt w:val="lowerRoman"/>
      <w:start w:val="2"/>
    </w:lvl>
    <w:lvl w:ilvl="1">
      <w:lvlJc w:val="left"/>
      <w:lvlText w:val="%2"/>
      <w:numFmt w:val="upperLetter"/>
      <w:start w:val="1"/>
    </w:lvl>
  </w:abstractNum>
  <w:abstractNum w:abstractNumId="306">
    <w:nsid w:val="178E240D"/>
    <w:multiLevelType w:val="hybridMultilevel"/>
    <w:lvl w:ilvl="0">
      <w:lvlJc w:val="left"/>
      <w:lvlText w:val="(%1)"/>
      <w:numFmt w:val="lowerLetter"/>
      <w:start w:val="8"/>
    </w:lvl>
  </w:abstractNum>
  <w:abstractNum w:abstractNumId="307">
    <w:nsid w:val="5556A87B"/>
    <w:multiLevelType w:val="hybridMultilevel"/>
    <w:lvl w:ilvl="0">
      <w:lvlJc w:val="left"/>
      <w:lvlText w:val="(%1)"/>
      <w:numFmt w:val="lowerRoman"/>
      <w:start w:val="1"/>
    </w:lvl>
  </w:abstractNum>
  <w:abstractNum w:abstractNumId="308">
    <w:nsid w:val="28100A9C"/>
    <w:multiLevelType w:val="hybridMultilevel"/>
    <w:lvl w:ilvl="0">
      <w:lvlJc w:val="left"/>
      <w:lvlText w:val="(%1)"/>
      <w:numFmt w:val="lowerRoman"/>
      <w:start w:val="7"/>
    </w:lvl>
  </w:abstractNum>
  <w:abstractNum w:abstractNumId="309">
    <w:nsid w:val="D838636"/>
    <w:multiLevelType w:val="hybridMultilevel"/>
    <w:lvl w:ilvl="0">
      <w:lvlJc w:val="left"/>
      <w:lvlText w:val="(%1)"/>
      <w:numFmt w:val="lowerLetter"/>
      <w:start w:val="1"/>
    </w:lvl>
  </w:abstractNum>
  <w:abstractNum w:abstractNumId="310">
    <w:nsid w:val="71B82AED"/>
    <w:multiLevelType w:val="hybridMultilevel"/>
    <w:lvl w:ilvl="0">
      <w:lvlJc w:val="left"/>
      <w:lvlText w:val="(%1)"/>
      <w:numFmt w:val="lowerLetter"/>
      <w:start w:val="1"/>
    </w:lvl>
  </w:abstractNum>
  <w:abstractNum w:abstractNumId="311">
    <w:nsid w:val="D15FACA"/>
    <w:multiLevelType w:val="hybridMultilevel"/>
    <w:lvl w:ilvl="0">
      <w:lvlJc w:val="left"/>
      <w:lvlText w:val="(%1)"/>
      <w:numFmt w:val="lowerLetter"/>
      <w:start w:val="2"/>
    </w:lvl>
  </w:abstractNum>
  <w:abstractNum w:abstractNumId="312">
    <w:nsid w:val="3D69565B"/>
    <w:multiLevelType w:val="hybridMultilevel"/>
    <w:lvl w:ilvl="0">
      <w:lvlJc w:val="left"/>
      <w:lvlText w:val="(%1)"/>
      <w:numFmt w:val="decimal"/>
      <w:start w:val="1"/>
    </w:lvl>
  </w:abstractNum>
  <w:abstractNum w:abstractNumId="313">
    <w:nsid w:val="2299DCBC"/>
    <w:multiLevelType w:val="hybridMultilevel"/>
    <w:lvl w:ilvl="0">
      <w:lvlJc w:val="left"/>
      <w:lvlText w:val="(%1)"/>
      <w:numFmt w:val="decimal"/>
      <w:start w:val="3"/>
    </w:lvl>
  </w:abstractNum>
  <w:abstractNum w:abstractNumId="314">
    <w:nsid w:val="19908D02"/>
    <w:multiLevelType w:val="hybridMultilevel"/>
    <w:lvl w:ilvl="0">
      <w:lvlJc w:val="left"/>
      <w:lvlText w:val="(%1)"/>
      <w:numFmt w:val="lowerLetter"/>
      <w:start w:val="3"/>
    </w:lvl>
  </w:abstractNum>
  <w:abstractNum w:abstractNumId="315">
    <w:nsid w:val="24D48BDB"/>
    <w:multiLevelType w:val="hybridMultilevel"/>
    <w:lvl w:ilvl="0">
      <w:lvlJc w:val="left"/>
      <w:lvlText w:val="(%1)"/>
      <w:numFmt w:val="lowerLetter"/>
      <w:start w:val="4"/>
    </w:lvl>
  </w:abstractNum>
  <w:abstractNum w:abstractNumId="316">
    <w:nsid w:val="542DA5B5"/>
    <w:multiLevelType w:val="hybridMultilevel"/>
    <w:lvl w:ilvl="0">
      <w:lvlJc w:val="left"/>
      <w:lvlText w:val="(%1)"/>
      <w:numFmt w:val="lowerLetter"/>
      <w:start w:val="1"/>
    </w:lvl>
  </w:abstractNum>
  <w:abstractNum w:abstractNumId="317">
    <w:nsid w:val="793753DE"/>
    <w:multiLevelType w:val="hybridMultilevel"/>
    <w:lvl w:ilvl="0">
      <w:lvlJc w:val="left"/>
      <w:lvlText w:val="(%1)"/>
      <w:numFmt w:val="lowerLetter"/>
      <w:start w:val="7"/>
    </w:lvl>
  </w:abstractNum>
  <w:abstractNum w:abstractNumId="318">
    <w:nsid w:val="1C67CB3D"/>
    <w:multiLevelType w:val="hybridMultilevel"/>
    <w:lvl w:ilvl="0">
      <w:lvlJc w:val="left"/>
      <w:lvlText w:val="(%1)"/>
      <w:numFmt w:val="decimal"/>
      <w:start w:val="1"/>
    </w:lvl>
  </w:abstractNum>
  <w:abstractNum w:abstractNumId="319">
    <w:nsid w:val="40E29452"/>
    <w:multiLevelType w:val="hybridMultilevel"/>
    <w:lvl w:ilvl="0">
      <w:lvlJc w:val="left"/>
      <w:lvlText w:val="(%1)"/>
      <w:numFmt w:val="lowerLetter"/>
      <w:start w:val="1"/>
    </w:lvl>
  </w:abstractNum>
  <w:abstractNum w:abstractNumId="320">
    <w:nsid w:val="63A4AAB6"/>
    <w:multiLevelType w:val="hybridMultilevel"/>
    <w:lvl w:ilvl="0">
      <w:lvlJc w:val="left"/>
      <w:lvlText w:val="(%1)"/>
      <w:numFmt w:val="decimal"/>
      <w:start w:val="1"/>
    </w:lvl>
  </w:abstractNum>
  <w:abstractNum w:abstractNumId="321">
    <w:nsid w:val="77DA4A57"/>
    <w:multiLevelType w:val="hybridMultilevel"/>
    <w:lvl w:ilvl="0">
      <w:lvlJc w:val="left"/>
      <w:lvlText w:val="(%1)"/>
      <w:numFmt w:val="decimal"/>
      <w:start w:val="1"/>
    </w:lvl>
  </w:abstractNum>
  <w:abstractNum w:abstractNumId="322">
    <w:nsid w:val="1230F102"/>
    <w:multiLevelType w:val="hybridMultilevel"/>
    <w:lvl w:ilvl="0">
      <w:lvlJc w:val="left"/>
      <w:lvlText w:val="(%1)"/>
      <w:numFmt w:val="decimal"/>
      <w:start w:val="3"/>
    </w:lvl>
    <w:lvl w:ilvl="1">
      <w:lvlJc w:val="left"/>
      <w:lvlText w:val="(%2)"/>
      <w:numFmt w:val="lowerLetter"/>
      <w:start w:val="1"/>
    </w:lvl>
  </w:abstractNum>
  <w:abstractNum w:abstractNumId="323">
    <w:nsid w:val="25B57ED4"/>
    <w:multiLevelType w:val="hybridMultilevel"/>
    <w:lvl w:ilvl="0">
      <w:lvlJc w:val="left"/>
      <w:lvlText w:val="(%1)"/>
      <w:numFmt w:val="decimal"/>
      <w:start w:val="1"/>
    </w:lvl>
  </w:abstractNum>
  <w:abstractNum w:abstractNumId="324">
    <w:nsid w:val="47CF16C4"/>
    <w:multiLevelType w:val="hybridMultilevel"/>
    <w:lvl w:ilvl="0">
      <w:lvlJc w:val="left"/>
      <w:lvlText w:val="(%1)"/>
      <w:numFmt w:val="decimal"/>
      <w:start w:val="5"/>
    </w:lvl>
  </w:abstractNum>
  <w:abstractNum w:abstractNumId="325">
    <w:nsid w:val="527FA04C"/>
    <w:multiLevelType w:val="hybridMultilevel"/>
    <w:lvl w:ilvl="0">
      <w:lvlJc w:val="left"/>
      <w:lvlText w:val="(%1)"/>
      <w:numFmt w:val="decimal"/>
      <w:start w:val="1"/>
    </w:lvl>
  </w:abstractNum>
  <w:abstractNum w:abstractNumId="326">
    <w:nsid w:val="6FCC0624"/>
    <w:multiLevelType w:val="hybridMultilevel"/>
    <w:lvl w:ilvl="0">
      <w:lvlJc w:val="left"/>
      <w:lvlText w:val="(%1)"/>
      <w:numFmt w:val="decimal"/>
      <w:start w:val="2"/>
    </w:lvl>
  </w:abstractNum>
  <w:abstractNum w:abstractNumId="327">
    <w:nsid w:val="1DCDF795"/>
    <w:multiLevelType w:val="hybridMultilevel"/>
    <w:lvl w:ilvl="0">
      <w:lvlJc w:val="left"/>
      <w:lvlText w:val="(%1)"/>
      <w:numFmt w:val="decimal"/>
      <w:start w:val="1"/>
    </w:lvl>
  </w:abstractNum>
  <w:abstractNum w:abstractNumId="328">
    <w:nsid w:val="564580C8"/>
    <w:multiLevelType w:val="hybridMultilevel"/>
    <w:lvl w:ilvl="0">
      <w:lvlJc w:val="left"/>
      <w:lvlText w:val="(%1)"/>
      <w:numFmt w:val="decimal"/>
      <w:start w:val="9"/>
    </w:lvl>
  </w:abstractNum>
  <w:abstractNum w:abstractNumId="329">
    <w:nsid w:val="508ED897"/>
    <w:multiLevelType w:val="hybridMultilevel"/>
    <w:lvl w:ilvl="0">
      <w:lvlJc w:val="left"/>
      <w:lvlText w:val="(%1)"/>
      <w:numFmt w:val="decimal"/>
      <w:start w:val="1"/>
    </w:lvl>
  </w:abstractNum>
  <w:abstractNum w:abstractNumId="330">
    <w:nsid w:val="6A9126B5"/>
    <w:multiLevelType w:val="hybridMultilevel"/>
    <w:lvl w:ilvl="0">
      <w:lvlJc w:val="left"/>
      <w:lvlText w:val="(%1)"/>
      <w:numFmt w:val="decimal"/>
      <w:start w:val="2"/>
    </w:lvl>
    <w:lvl w:ilvl="1">
      <w:lvlJc w:val="left"/>
      <w:lvlText w:val="(%2)"/>
      <w:numFmt w:val="lowerLetter"/>
      <w:start w:val="1"/>
    </w:lvl>
  </w:abstractNum>
  <w:abstractNum w:abstractNumId="331">
    <w:nsid w:val="68104812"/>
    <w:multiLevelType w:val="hybridMultilevel"/>
    <w:lvl w:ilvl="0">
      <w:lvlJc w:val="left"/>
      <w:lvlText w:val="(%1)"/>
      <w:numFmt w:val="decimal"/>
      <w:start w:val="9"/>
    </w:lvl>
  </w:abstractNum>
  <w:abstractNum w:abstractNumId="332">
    <w:nsid w:val="62FB8680"/>
    <w:multiLevelType w:val="hybridMultilevel"/>
    <w:lvl w:ilvl="0">
      <w:lvlJc w:val="left"/>
      <w:lvlText w:val="(%1)"/>
      <w:numFmt w:val="decimal"/>
      <w:start w:val="1"/>
    </w:lvl>
    <w:lvl w:ilvl="1">
      <w:lvlJc w:val="left"/>
      <w:lvlText w:val="(%2)"/>
      <w:numFmt w:val="lowerLetter"/>
      <w:start w:val="1"/>
    </w:lvl>
  </w:abstractNum>
  <w:abstractNum w:abstractNumId="333">
    <w:nsid w:val="3A45530"/>
    <w:multiLevelType w:val="hybridMultilevel"/>
    <w:lvl w:ilvl="0">
      <w:lvlJc w:val="left"/>
      <w:lvlText w:val="(%1)"/>
      <w:numFmt w:val="lowerLetter"/>
      <w:start w:val="2"/>
    </w:lvl>
    <w:lvl w:ilvl="1">
      <w:lvlJc w:val="left"/>
      <w:lvlText w:val="(%2)"/>
      <w:numFmt w:val="lowerRoman"/>
      <w:start w:val="1"/>
    </w:lvl>
  </w:abstractNum>
  <w:abstractNum w:abstractNumId="334">
    <w:nsid w:val="4B9275D2"/>
    <w:multiLevelType w:val="hybridMultilevel"/>
    <w:lvl w:ilvl="0">
      <w:lvlJc w:val="left"/>
      <w:lvlText w:val="(%1)"/>
      <w:numFmt w:val="decimal"/>
      <w:start w:val="1"/>
    </w:lvl>
  </w:abstractNum>
  <w:abstractNum w:abstractNumId="335">
    <w:nsid w:val="4F0CEEDB"/>
    <w:multiLevelType w:val="hybridMultilevel"/>
    <w:lvl w:ilvl="0">
      <w:lvlJc w:val="left"/>
      <w:lvlText w:val="(%1)"/>
      <w:numFmt w:val="decimal"/>
      <w:start w:val="1"/>
    </w:lvl>
    <w:lvl w:ilvl="1">
      <w:lvlJc w:val="left"/>
      <w:lvlText w:val="(%2)"/>
      <w:numFmt w:val="lowerLetter"/>
      <w:start w:val="1"/>
    </w:lvl>
  </w:abstractNum>
  <w:abstractNum w:abstractNumId="336">
    <w:nsid w:val="61C30361"/>
    <w:multiLevelType w:val="hybridMultilevel"/>
    <w:lvl w:ilvl="0">
      <w:lvlJc w:val="left"/>
      <w:lvlText w:val="(%1)"/>
      <w:numFmt w:val="decimal"/>
      <w:start w:val="1"/>
    </w:lvl>
  </w:abstractNum>
  <w:abstractNum w:abstractNumId="337">
    <w:nsid w:val="632099E0"/>
    <w:multiLevelType w:val="hybridMultilevel"/>
    <w:lvl w:ilvl="0">
      <w:lvlJc w:val="left"/>
      <w:lvlText w:val="(%1)"/>
      <w:numFmt w:val="decimal"/>
      <w:start w:val="3"/>
    </w:lvl>
  </w:abstractNum>
  <w:abstractNum w:abstractNumId="338">
    <w:nsid w:val="24639756"/>
    <w:multiLevelType w:val="hybridMultilevel"/>
    <w:lvl w:ilvl="0">
      <w:lvlJc w:val="left"/>
      <w:lvlText w:val="(%1)"/>
      <w:numFmt w:val="lowerLetter"/>
      <w:start w:val="1"/>
    </w:lvl>
    <w:lvl w:ilvl="1">
      <w:lvlJc w:val="left"/>
      <w:lvlText w:val="(%2)"/>
      <w:numFmt w:val="decimal"/>
      <w:start w:val="1"/>
    </w:lvl>
  </w:abstractNum>
  <w:abstractNum w:abstractNumId="339">
    <w:nsid w:val="9D30DFD"/>
    <w:multiLevelType w:val="hybridMultilevel"/>
    <w:lvl w:ilvl="0">
      <w:lvlJc w:val="left"/>
      <w:lvlText w:val="(%1)"/>
      <w:numFmt w:val="lowerLetter"/>
      <w:start w:val="3"/>
    </w:lvl>
  </w:abstractNum>
  <w:abstractNum w:abstractNumId="340">
    <w:nsid w:val="70A42016"/>
    <w:multiLevelType w:val="hybridMultilevel"/>
    <w:lvl w:ilvl="0">
      <w:lvlJc w:val="left"/>
      <w:lvlText w:val="(%1)"/>
      <w:numFmt w:val="lowerLetter"/>
      <w:start w:val="1"/>
    </w:lvl>
    <w:lvl w:ilvl="1">
      <w:lvlJc w:val="left"/>
      <w:lvlText w:val="(%2)"/>
      <w:numFmt w:val="decimal"/>
      <w:start w:val="1"/>
    </w:lvl>
  </w:abstractNum>
  <w:abstractNum w:abstractNumId="341">
    <w:nsid w:val="161BC243"/>
    <w:multiLevelType w:val="hybridMultilevel"/>
    <w:lvl w:ilvl="0">
      <w:lvlJc w:val="left"/>
      <w:lvlText w:val="(%1)"/>
      <w:numFmt w:val="lowerLetter"/>
      <w:start w:val="2"/>
    </w:lvl>
    <w:lvl w:ilvl="1">
      <w:lvlJc w:val="left"/>
      <w:lvlText w:val="(%2)"/>
      <w:numFmt w:val="decimal"/>
      <w:start w:val="1"/>
    </w:lvl>
  </w:abstractNum>
  <w:abstractNum w:abstractNumId="342">
    <w:nsid w:val="16E908C8"/>
    <w:multiLevelType w:val="hybridMultilevel"/>
    <w:lvl w:ilvl="0">
      <w:lvlJc w:val="left"/>
      <w:lvlText w:val="(%1)"/>
      <w:numFmt w:val="decimal"/>
      <w:start w:val="1"/>
    </w:lvl>
  </w:abstractNum>
  <w:abstractNum w:abstractNumId="343">
    <w:nsid w:val="2E0D7671"/>
    <w:multiLevelType w:val="hybridMultilevel"/>
    <w:lvl w:ilvl="0">
      <w:lvlJc w:val="left"/>
      <w:lvlText w:val="(%1)"/>
      <w:numFmt w:val="lowerLetter"/>
      <w:start w:val="1"/>
    </w:lvl>
  </w:abstractNum>
  <w:abstractNum w:abstractNumId="344">
    <w:nsid w:val="38B59EFF"/>
    <w:multiLevelType w:val="hybridMultilevel"/>
    <w:lvl w:ilvl="0">
      <w:lvlJc w:val="left"/>
      <w:lvlText w:val="(%1)"/>
      <w:numFmt w:val="decimal"/>
      <w:start w:val="7"/>
    </w:lvl>
  </w:abstractNum>
  <w:abstractNum w:abstractNumId="345">
    <w:nsid w:val="307995CA"/>
    <w:multiLevelType w:val="hybridMultilevel"/>
    <w:lvl w:ilvl="0">
      <w:lvlJc w:val="left"/>
      <w:lvlText w:val="(%1)"/>
      <w:numFmt w:val="decimal"/>
      <w:start w:val="9"/>
    </w:lvl>
  </w:abstractNum>
  <w:abstractNum w:abstractNumId="346">
    <w:nsid w:val="52E2024D"/>
    <w:multiLevelType w:val="hybridMultilevel"/>
    <w:lvl w:ilvl="0">
      <w:lvlJc w:val="left"/>
      <w:lvlText w:val="(%1)"/>
      <w:numFmt w:val="lowerLetter"/>
      <w:start w:val="2"/>
    </w:lvl>
  </w:abstractNum>
  <w:abstractNum w:abstractNumId="347">
    <w:nsid w:val="CE344B5"/>
    <w:multiLevelType w:val="hybridMultilevel"/>
    <w:lvl w:ilvl="0">
      <w:lvlJc w:val="left"/>
      <w:lvlText w:val="(%1)"/>
      <w:numFmt w:val="decimal"/>
      <w:start w:val="10"/>
    </w:lvl>
  </w:abstractNum>
  <w:abstractNum w:abstractNumId="348">
    <w:nsid w:val="29B0E9A8"/>
    <w:multiLevelType w:val="hybridMultilevel"/>
    <w:lvl w:ilvl="0">
      <w:lvlJc w:val="left"/>
      <w:lvlText w:val="(%1)"/>
      <w:numFmt w:val="lowerLetter"/>
      <w:start w:val="1"/>
    </w:lvl>
  </w:abstractNum>
  <w:abstractNum w:abstractNumId="349">
    <w:nsid w:val="6F49CD8A"/>
    <w:multiLevelType w:val="hybridMultilevel"/>
    <w:lvl w:ilvl="0">
      <w:lvlJc w:val="left"/>
      <w:lvlText w:val="(%1)"/>
      <w:numFmt w:val="lowerLetter"/>
      <w:start w:val="1"/>
    </w:lvl>
  </w:abstractNum>
  <w:abstractNum w:abstractNumId="350">
    <w:nsid w:val="4DC5D907"/>
    <w:multiLevelType w:val="hybridMultilevel"/>
    <w:lvl w:ilvl="0">
      <w:lvlJc w:val="left"/>
      <w:lvlText w:val="(%1)"/>
      <w:numFmt w:val="lowerLetter"/>
      <w:start w:val="1"/>
    </w:lvl>
  </w:abstractNum>
  <w:abstractNum w:abstractNumId="351">
    <w:nsid w:val="D55945E"/>
    <w:multiLevelType w:val="hybridMultilevel"/>
    <w:lvl w:ilvl="0">
      <w:lvlJc w:val="left"/>
      <w:lvlText w:val="(%1)"/>
      <w:numFmt w:val="lowerRoman"/>
      <w:start w:val="1"/>
    </w:lvl>
  </w:abstractNum>
  <w:abstractNum w:abstractNumId="352">
    <w:nsid w:val="672417E1"/>
    <w:multiLevelType w:val="hybridMultilevel"/>
    <w:lvl w:ilvl="0">
      <w:lvlJc w:val="left"/>
      <w:lvlText w:val="(%1)"/>
      <w:numFmt w:val="lowerLetter"/>
      <w:start w:val="3"/>
    </w:lvl>
  </w:abstractNum>
  <w:abstractNum w:abstractNumId="353">
    <w:nsid w:val="5FF6CA09"/>
    <w:multiLevelType w:val="hybridMultilevel"/>
    <w:lvl w:ilvl="0">
      <w:lvlJc w:val="left"/>
      <w:lvlText w:val="(%1)"/>
      <w:numFmt w:val="lowerRoman"/>
      <w:start w:val="1"/>
    </w:lvl>
  </w:abstractNum>
  <w:abstractNum w:abstractNumId="354">
    <w:nsid w:val="330B1333"/>
    <w:multiLevelType w:val="hybridMultilevel"/>
    <w:lvl w:ilvl="0">
      <w:lvlJc w:val="left"/>
      <w:lvlText w:val="(%1)"/>
      <w:numFmt w:val="lowerLetter"/>
      <w:start w:val="4"/>
    </w:lvl>
  </w:abstractNum>
  <w:abstractNum w:abstractNumId="355">
    <w:nsid w:val="2EF32EA6"/>
    <w:multiLevelType w:val="hybridMultilevel"/>
    <w:lvl w:ilvl="0">
      <w:lvlJc w:val="left"/>
      <w:lvlText w:val="(%1)"/>
      <w:numFmt w:val="lowerLetter"/>
      <w:start w:val="1"/>
    </w:lvl>
  </w:abstractNum>
  <w:abstractNum w:abstractNumId="356">
    <w:nsid w:val="32766A55"/>
    <w:multiLevelType w:val="hybridMultilevel"/>
    <w:lvl w:ilvl="0">
      <w:lvlJc w:val="left"/>
      <w:lvlText w:val="(%1)"/>
      <w:numFmt w:val="lowerLetter"/>
      <w:start w:val="8"/>
    </w:lvl>
  </w:abstractNum>
  <w:abstractNum w:abstractNumId="357">
    <w:nsid w:val="22D71957"/>
    <w:multiLevelType w:val="hybridMultilevel"/>
    <w:lvl w:ilvl="0">
      <w:lvlJc w:val="left"/>
      <w:lvlText w:val="(%1)"/>
      <w:numFmt w:val="lowerLetter"/>
      <w:start w:val="1"/>
    </w:lvl>
  </w:abstractNum>
  <w:abstractNum w:abstractNumId="358">
    <w:nsid w:val="4CC1263B"/>
    <w:multiLevelType w:val="hybridMultilevel"/>
    <w:lvl w:ilvl="0">
      <w:lvlJc w:val="left"/>
      <w:lvlText w:val="(%1)"/>
      <w:numFmt w:val="lowerLetter"/>
      <w:start w:val="1"/>
    </w:lvl>
  </w:abstractNum>
  <w:abstractNum w:abstractNumId="359">
    <w:nsid w:val="8BBEB1D"/>
    <w:multiLevelType w:val="hybridMultilevel"/>
    <w:lvl w:ilvl="0">
      <w:lvlJc w:val="left"/>
      <w:lvlText w:val="(%1)"/>
      <w:numFmt w:val="lowerLetter"/>
      <w:start w:val="2"/>
    </w:lvl>
  </w:abstractNum>
  <w:abstractNum w:abstractNumId="360">
    <w:nsid w:val="7365F1EE"/>
    <w:multiLevelType w:val="hybridMultilevel"/>
    <w:lvl w:ilvl="0">
      <w:lvlJc w:val="left"/>
      <w:lvlText w:val="(%1)"/>
      <w:numFmt w:val="lowerLetter"/>
      <w:start w:val="1"/>
    </w:lvl>
  </w:abstractNum>
  <w:abstractNum w:abstractNumId="361">
    <w:nsid w:val="37524CF0"/>
    <w:multiLevelType w:val="hybridMultilevel"/>
    <w:lvl w:ilvl="0">
      <w:lvlJc w:val="left"/>
      <w:lvlText w:val="(%1)"/>
      <w:numFmt w:val="lowerLetter"/>
      <w:start w:val="1"/>
    </w:lvl>
  </w:abstractNum>
  <w:abstractNum w:abstractNumId="362">
    <w:nsid w:val="70CC332F"/>
    <w:multiLevelType w:val="hybridMultilevel"/>
    <w:lvl w:ilvl="0">
      <w:lvlJc w:val="left"/>
      <w:lvlText w:val="(%1)"/>
      <w:numFmt w:val="decimal"/>
      <w:start w:val="1"/>
    </w:lvl>
  </w:abstractNum>
  <w:abstractNum w:abstractNumId="363">
    <w:nsid w:val="5661786E"/>
    <w:multiLevelType w:val="hybridMultilevel"/>
    <w:lvl w:ilvl="0">
      <w:lvlJc w:val="left"/>
      <w:lvlText w:val="(%1)"/>
      <w:numFmt w:val="decimal"/>
      <w:start w:val="1"/>
    </w:lvl>
  </w:abstractNum>
  <w:abstractNum w:abstractNumId="364">
    <w:nsid w:val="3AF6A220"/>
    <w:multiLevelType w:val="hybridMultilevel"/>
    <w:lvl w:ilvl="0">
      <w:lvlJc w:val="left"/>
      <w:lvlText w:val="(%1)"/>
      <w:numFmt w:val="decimal"/>
      <w:start w:val="1"/>
    </w:lvl>
  </w:abstractNum>
  <w:abstractNum w:abstractNumId="365">
    <w:nsid w:val="3C5EA902"/>
    <w:multiLevelType w:val="hybridMultilevel"/>
    <w:lvl w:ilvl="0">
      <w:lvlJc w:val="left"/>
      <w:lvlText w:val="(%1)"/>
      <w:numFmt w:val="decimal"/>
      <w:start w:val="1"/>
    </w:lvl>
  </w:abstractNum>
  <w:abstractNum w:abstractNumId="366">
    <w:nsid w:val="256E6749"/>
    <w:multiLevelType w:val="hybridMultilevel"/>
    <w:lvl w:ilvl="0">
      <w:lvlJc w:val="left"/>
      <w:lvlText w:val="(%1)"/>
      <w:numFmt w:val="decimal"/>
      <w:start w:val="2"/>
    </w:lvl>
  </w:abstractNum>
  <w:abstractNum w:abstractNumId="367">
    <w:nsid w:val="1CB9A581"/>
    <w:multiLevelType w:val="hybridMultilevel"/>
    <w:lvl w:ilvl="0">
      <w:lvlJc w:val="left"/>
      <w:lvlText w:val="(%1)"/>
      <w:numFmt w:val="lowerRoman"/>
      <w:start w:val="1"/>
    </w:lvl>
  </w:abstractNum>
  <w:abstractNum w:abstractNumId="368">
    <w:nsid w:val="1F7F42E2"/>
    <w:multiLevelType w:val="hybridMultilevel"/>
    <w:lvl w:ilvl="0">
      <w:lvlJc w:val="left"/>
      <w:lvlText w:val="(%1)"/>
      <w:numFmt w:val="decimal"/>
      <w:start w:val="1"/>
    </w:lvl>
  </w:abstractNum>
  <w:abstractNum w:abstractNumId="369">
    <w:nsid w:val="49D1FEA0"/>
    <w:multiLevelType w:val="hybridMultilevel"/>
    <w:lvl w:ilvl="0">
      <w:lvlJc w:val="left"/>
      <w:lvlText w:val="(%1)"/>
      <w:numFmt w:val="decimal"/>
      <w:start w:val="1"/>
    </w:lvl>
  </w:abstractNum>
  <w:abstractNum w:abstractNumId="370">
    <w:nsid w:val="268CB37F"/>
    <w:multiLevelType w:val="hybridMultilevel"/>
    <w:lvl w:ilvl="0">
      <w:lvlJc w:val="left"/>
      <w:lvlText w:val="(%1)"/>
      <w:numFmt w:val="lowerLetter"/>
      <w:start w:val="1"/>
    </w:lvl>
  </w:abstractNum>
  <w:abstractNum w:abstractNumId="371">
    <w:nsid w:val="102362F8"/>
    <w:multiLevelType w:val="hybridMultilevel"/>
    <w:lvl w:ilvl="0">
      <w:lvlJc w:val="left"/>
      <w:lvlText w:val="(%1)"/>
      <w:numFmt w:val="lowerLetter"/>
      <w:start w:val="1"/>
    </w:lvl>
  </w:abstractNum>
  <w:abstractNum w:abstractNumId="372">
    <w:nsid w:val="5FEDC0E3"/>
    <w:multiLevelType w:val="hybridMultilevel"/>
    <w:lvl w:ilvl="0">
      <w:lvlJc w:val="left"/>
      <w:lvlText w:val="(%1)"/>
      <w:numFmt w:val="lowerRoman"/>
      <w:start w:val="1"/>
    </w:lvl>
  </w:abstractNum>
  <w:abstractNum w:abstractNumId="373">
    <w:nsid w:val="3D75BC47"/>
    <w:multiLevelType w:val="hybridMultilevel"/>
    <w:lvl w:ilvl="0">
      <w:lvlJc w:val="left"/>
      <w:lvlText w:val="(%1)"/>
      <w:numFmt w:val="lowerLetter"/>
      <w:start w:val="1"/>
    </w:lvl>
  </w:abstractNum>
  <w:abstractNum w:abstractNumId="374">
    <w:nsid w:val="3E30D969"/>
    <w:multiLevelType w:val="hybridMultilevel"/>
    <w:lvl w:ilvl="0">
      <w:lvlJc w:val="left"/>
      <w:lvlText w:val="(%1)"/>
      <w:numFmt w:val="lowerLetter"/>
      <w:start w:val="1"/>
    </w:lvl>
  </w:abstractNum>
  <w:abstractNum w:abstractNumId="375">
    <w:nsid w:val="18A35FE3"/>
    <w:multiLevelType w:val="hybridMultilevel"/>
    <w:lvl w:ilvl="0">
      <w:lvlJc w:val="left"/>
      <w:lvlText w:val="%1."/>
      <w:numFmt w:val="decimal"/>
      <w:start w:val="1"/>
    </w:lvl>
  </w:abstractNum>
  <w:abstractNum w:abstractNumId="376">
    <w:nsid w:val="6DEF5211"/>
    <w:multiLevelType w:val="hybridMultilevel"/>
    <w:lvl w:ilvl="0">
      <w:lvlJc w:val="left"/>
      <w:lvlText w:val="%1."/>
      <w:numFmt w:val="decimal"/>
      <w:start w:val="3"/>
    </w:lvl>
  </w:abstractNum>
  <w:abstractNum w:abstractNumId="377">
    <w:nsid w:val="1112DBB6"/>
    <w:multiLevelType w:val="hybridMultilevel"/>
    <w:lvl w:ilvl="0">
      <w:lvlJc w:val="left"/>
      <w:lvlText w:val="(%1)"/>
      <w:numFmt w:val="lowerLetter"/>
      <w:start w:val="1"/>
    </w:lvl>
  </w:abstractNum>
  <w:abstractNum w:abstractNumId="378">
    <w:nsid w:val="2586A498"/>
    <w:multiLevelType w:val="hybridMultilevel"/>
    <w:lvl w:ilvl="0">
      <w:lvlJc w:val="left"/>
      <w:lvlText w:val="(%1)"/>
      <w:numFmt w:val="lowerLetter"/>
      <w:start w:val="2"/>
    </w:lvl>
  </w:abstractNum>
  <w:abstractNum w:abstractNumId="379">
    <w:nsid w:val="17A03BB9"/>
    <w:multiLevelType w:val="hybridMultilevel"/>
    <w:lvl w:ilvl="0">
      <w:lvlJc w:val="left"/>
      <w:lvlText w:val="(%1)"/>
      <w:numFmt w:val="decimal"/>
      <w:start w:val="1"/>
    </w:lvl>
  </w:abstractNum>
  <w:abstractNum w:abstractNumId="380">
    <w:nsid w:val="5CA941"/>
    <w:multiLevelType w:val="hybridMultilevel"/>
    <w:lvl w:ilvl="0">
      <w:lvlJc w:val="left"/>
      <w:lvlText w:val="(%1)"/>
      <w:numFmt w:val="decimal"/>
      <w:start w:val="3"/>
    </w:lvl>
  </w:abstractNum>
  <w:abstractNum w:abstractNumId="381">
    <w:nsid w:val="734C7D9F"/>
    <w:multiLevelType w:val="hybridMultilevel"/>
    <w:lvl w:ilvl="0">
      <w:lvlJc w:val="left"/>
      <w:lvlText w:val="(%1)"/>
      <w:numFmt w:val="lowerLetter"/>
      <w:start w:val="3"/>
    </w:lvl>
  </w:abstractNum>
  <w:abstractNum w:abstractNumId="382">
    <w:nsid w:val="24F5D018"/>
    <w:multiLevelType w:val="hybridMultilevel"/>
    <w:lvl w:ilvl="0">
      <w:lvlJc w:val="left"/>
      <w:lvlText w:val="(%1)"/>
      <w:numFmt w:val="lowerLetter"/>
      <w:start w:val="1"/>
    </w:lvl>
  </w:abstractNum>
  <w:abstractNum w:abstractNumId="383">
    <w:nsid w:val="6780C122"/>
    <w:multiLevelType w:val="hybridMultilevel"/>
    <w:lvl w:ilvl="0">
      <w:lvlJc w:val="left"/>
      <w:lvlText w:val="(%1)"/>
      <w:numFmt w:val="lowerLetter"/>
      <w:start w:val="2"/>
    </w:lvl>
  </w:abstractNum>
  <w:abstractNum w:abstractNumId="384">
    <w:nsid w:val="534347A8"/>
    <w:multiLevelType w:val="hybridMultilevel"/>
    <w:lvl w:ilvl="0">
      <w:lvlJc w:val="left"/>
      <w:lvlText w:val="%1."/>
      <w:numFmt w:val="decimal"/>
      <w:start w:val="8"/>
    </w:lvl>
  </w:abstractNum>
  <w:abstractNum w:abstractNumId="385">
    <w:nsid w:val="5800E34B"/>
    <w:multiLevelType w:val="hybridMultilevel"/>
    <w:lvl w:ilvl="0">
      <w:lvlJc w:val="left"/>
      <w:lvlText w:val="%1."/>
      <w:numFmt w:val="decimal"/>
      <w:start w:val="11"/>
    </w:lvl>
  </w:abstractNum>
  <w:abstractNum w:abstractNumId="386">
    <w:nsid w:val="1673EFC8"/>
    <w:multiLevelType w:val="hybridMultilevel"/>
    <w:lvl w:ilvl="0">
      <w:lvlJc w:val="left"/>
      <w:lvlText w:val="(%1)"/>
      <w:numFmt w:val="lowerLetter"/>
      <w:start w:val="1"/>
    </w:lvl>
  </w:abstractNum>
  <w:abstractNum w:abstractNumId="387">
    <w:nsid w:val="5B9B1FD"/>
    <w:multiLevelType w:val="hybridMultilevel"/>
    <w:lvl w:ilvl="0">
      <w:lvlJc w:val="left"/>
      <w:lvlText w:val="(%1)"/>
      <w:numFmt w:val="lowerLetter"/>
      <w:start w:val="2"/>
    </w:lvl>
  </w:abstractNum>
  <w:abstractNum w:abstractNumId="388">
    <w:nsid w:val="7AD7FCA2"/>
    <w:multiLevelType w:val="hybridMultilevel"/>
    <w:lvl w:ilvl="0">
      <w:lvlJc w:val="left"/>
      <w:lvlText w:val="%1."/>
      <w:numFmt w:val="decimal"/>
      <w:start w:val="14"/>
    </w:lvl>
  </w:abstractNum>
  <w:abstractNum w:abstractNumId="389">
    <w:nsid w:val="63351604"/>
    <w:multiLevelType w:val="hybridMultilevel"/>
    <w:lvl w:ilvl="0">
      <w:lvlJc w:val="left"/>
      <w:lvlText w:val="%1."/>
      <w:numFmt w:val="decimal"/>
      <w:start w:val="17"/>
    </w:lvl>
  </w:abstractNum>
  <w:abstractNum w:abstractNumId="390">
    <w:nsid w:val="E759D1A"/>
    <w:multiLevelType w:val="hybridMultilevel"/>
    <w:lvl w:ilvl="0">
      <w:lvlJc w:val="left"/>
      <w:lvlText w:val="-"/>
      <w:numFmt w:val="bullet"/>
      <w:start w:val="1"/>
    </w:lvl>
  </w:abstractNum>
  <w:abstractNum w:abstractNumId="391">
    <w:nsid w:val="6E3DEE90"/>
    <w:multiLevelType w:val="hybridMultilevel"/>
    <w:lvl w:ilvl="0">
      <w:lvlJc w:val="left"/>
      <w:lvlText w:val="(%1)"/>
      <w:numFmt w:val="decimal"/>
      <w:start w:val="1"/>
    </w:lvl>
  </w:abstractNum>
  <w:abstractNum w:abstractNumId="392">
    <w:nsid w:val="1A8762F4"/>
    <w:multiLevelType w:val="hybridMultilevel"/>
    <w:lvl w:ilvl="0">
      <w:lvlJc w:val="left"/>
      <w:lvlText w:val="%1."/>
      <w:numFmt w:val="decimal"/>
      <w:start w:val="1"/>
    </w:lvl>
  </w:abstractNum>
  <w:abstractNum w:abstractNumId="393">
    <w:nsid w:val="7F41D049"/>
    <w:multiLevelType w:val="hybridMultilevel"/>
    <w:lvl w:ilvl="0">
      <w:lvlJc w:val="left"/>
      <w:lvlText w:val="%1."/>
      <w:numFmt w:val="decimal"/>
      <w:start w:val="3"/>
    </w:lvl>
    <w:lvl w:ilvl="1">
      <w:lvlJc w:val="left"/>
      <w:lvlText w:val="(%2)"/>
      <w:numFmt w:val="lowerLetter"/>
      <w:start w:val="1"/>
    </w:lvl>
  </w:abstractNum>
  <w:abstractNum w:abstractNumId="394">
    <w:nsid w:val="449F66FE"/>
    <w:multiLevelType w:val="hybridMultilevel"/>
    <w:lvl w:ilvl="0">
      <w:lvlJc w:val="left"/>
      <w:lvlText w:val="(%1)"/>
      <w:numFmt w:val="lowerLetter"/>
      <w:start w:val="2"/>
    </w:lvl>
  </w:abstractNum>
  <w:abstractNum w:abstractNumId="395">
    <w:nsid w:val="557E0515"/>
    <w:multiLevelType w:val="hybridMultilevel"/>
    <w:lvl w:ilvl="0">
      <w:lvlJc w:val="left"/>
      <w:lvlText w:val="(%1)"/>
      <w:numFmt w:val="lowerLetter"/>
      <w:start w:val="3"/>
    </w:lvl>
  </w:abstractNum>
  <w:abstractNum w:abstractNumId="396">
    <w:nsid w:val="3BA0794B"/>
    <w:multiLevelType w:val="hybridMultilevel"/>
    <w:lvl w:ilvl="0">
      <w:lvlJc w:val="left"/>
      <w:lvlText w:val="(%1)"/>
      <w:numFmt w:val="lowerLetter"/>
      <w:start w:val="4"/>
    </w:lvl>
  </w:abstractNum>
  <w:abstractNum w:abstractNumId="397">
    <w:nsid w:val="6A0DCE48"/>
    <w:multiLevelType w:val="hybridMultilevel"/>
    <w:lvl w:ilvl="0">
      <w:lvlJc w:val="left"/>
      <w:lvlText w:val="%1."/>
      <w:numFmt w:val="decimal"/>
      <w:start w:val="4"/>
    </w:lvl>
    <w:lvl w:ilvl="1">
      <w:lvlJc w:val="left"/>
      <w:lvlText w:val="(%2)"/>
      <w:numFmt w:val="lowerLetter"/>
      <w:start w:val="1"/>
    </w:lvl>
  </w:abstractNum>
  <w:abstractNum w:abstractNumId="398">
    <w:nsid w:val="7237AA96"/>
    <w:multiLevelType w:val="hybridMultilevel"/>
    <w:lvl w:ilvl="0">
      <w:lvlJc w:val="left"/>
      <w:lvlText w:val="%1"/>
      <w:numFmt w:val="decimal"/>
      <w:start w:val="904"/>
    </w:lvl>
    <w:lvl w:ilvl="1">
      <w:lvlJc w:val="left"/>
      <w:lvlText w:val="(%2)"/>
      <w:numFmt w:val="lowerLetter"/>
      <w:start w:val="3"/>
    </w:lvl>
  </w:abstractNum>
  <w:abstractNum w:abstractNumId="399">
    <w:nsid w:val="5B1FBC2D"/>
    <w:multiLevelType w:val="hybridMultilevel"/>
    <w:lvl w:ilvl="0">
      <w:lvlJc w:val="left"/>
      <w:lvlText w:val="%1"/>
      <w:numFmt w:val="decimal"/>
      <w:start w:val="903"/>
    </w:lvl>
    <w:lvl w:ilvl="1">
      <w:lvlJc w:val="left"/>
      <w:lvlText w:val="%2"/>
      <w:numFmt w:val="lowerLetter"/>
      <w:start w:val="1"/>
    </w:lvl>
  </w:abstractNum>
  <w:abstractNum w:abstractNumId="400">
    <w:nsid w:val="33DFCCE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01">
    <w:nsid w:val="18C45E15"/>
    <w:multiLevelType w:val="hybridMultilevel"/>
    <w:lvl w:ilvl="0">
      <w:lvlJc w:val="left"/>
      <w:lvlText w:val="(%1)"/>
      <w:numFmt w:val="lowerLetter"/>
      <w:start w:val="1"/>
    </w:lvl>
    <w:lvl w:ilvl="1">
      <w:lvlJc w:val="left"/>
      <w:lvlText w:val="(%2)"/>
      <w:numFmt w:val="lowerRoman"/>
      <w:start w:val="1"/>
    </w:lvl>
  </w:abstractNum>
  <w:abstractNum w:abstractNumId="402">
    <w:nsid w:val="6B431F25"/>
    <w:multiLevelType w:val="hybridMultilevel"/>
    <w:lvl w:ilvl="0">
      <w:lvlJc w:val="left"/>
      <w:lvlText w:val="%1."/>
      <w:numFmt w:val="decimal"/>
      <w:start w:val="1"/>
    </w:lvl>
    <w:lvl w:ilvl="1">
      <w:lvlJc w:val="left"/>
      <w:lvlText w:val="(%2)"/>
      <w:numFmt w:val="lowerLetter"/>
      <w:start w:val="1"/>
    </w:lvl>
  </w:abstractNum>
  <w:abstractNum w:abstractNumId="403">
    <w:nsid w:val="13CD8DCB"/>
    <w:multiLevelType w:val="hybridMultilevel"/>
    <w:lvl w:ilvl="0">
      <w:lvlJc w:val="left"/>
      <w:lvlText w:val="%1"/>
      <w:numFmt w:val="decimal"/>
      <w:start w:val="1"/>
    </w:lvl>
    <w:lvl w:ilvl="1">
      <w:lvlJc w:val="left"/>
      <w:lvlText w:val="(%2)"/>
      <w:numFmt w:val="lowerLetter"/>
      <w:start w:val="3"/>
    </w:lvl>
  </w:abstractNum>
  <w:abstractNum w:abstractNumId="404">
    <w:nsid w:val="563A1A5C"/>
    <w:multiLevelType w:val="hybridMultilevel"/>
    <w:lvl w:ilvl="0">
      <w:lvlJc w:val="left"/>
      <w:lvlText w:val="%1."/>
      <w:numFmt w:val="decimal"/>
      <w:start w:val="2"/>
    </w:lvl>
    <w:lvl w:ilvl="1">
      <w:lvlJc w:val="left"/>
      <w:lvlText w:val="(%2)"/>
      <w:numFmt w:val="lowerLetter"/>
      <w:start w:val="1"/>
    </w:lvl>
  </w:abstractNum>
  <w:abstractNum w:abstractNumId="405">
    <w:nsid w:val="2973F88F"/>
    <w:multiLevelType w:val="hybridMultilevel"/>
    <w:lvl w:ilvl="0">
      <w:lvlJc w:val="left"/>
      <w:lvlText w:val="(%1)"/>
      <w:numFmt w:val="lowerLetter"/>
      <w:start w:val="1"/>
    </w:lvl>
  </w:abstractNum>
  <w:abstractNum w:abstractNumId="406">
    <w:nsid w:val="2C70EDAE"/>
    <w:multiLevelType w:val="hybridMultilevel"/>
    <w:lvl w:ilvl="0">
      <w:lvlJc w:val="left"/>
      <w:lvlText w:val="%1."/>
      <w:numFmt w:val="decimal"/>
      <w:start w:val="1"/>
    </w:lvl>
  </w:abstractNum>
  <w:abstractNum w:abstractNumId="407">
    <w:nsid w:val="44296C6D"/>
    <w:multiLevelType w:val="hybridMultilevel"/>
    <w:lvl w:ilvl="0">
      <w:lvlJc w:val="left"/>
      <w:lvlText w:val="%1."/>
      <w:numFmt w:val="decimal"/>
      <w:start w:val="3"/>
    </w:lvl>
  </w:abstractNum>
  <w:abstractNum w:abstractNumId="408">
    <w:nsid w:val="3A86D445"/>
    <w:multiLevelType w:val="hybridMultilevel"/>
    <w:lvl w:ilvl="0">
      <w:lvlJc w:val="left"/>
      <w:lvlText w:val="%1."/>
      <w:numFmt w:val="decimal"/>
      <w:start w:val="1"/>
    </w:lvl>
  </w:abstractNum>
  <w:abstractNum w:abstractNumId="409">
    <w:nsid w:val="51F79246"/>
    <w:multiLevelType w:val="hybridMultilevel"/>
    <w:lvl w:ilvl="0">
      <w:lvlJc w:val="left"/>
      <w:lvlText w:val="(%1)"/>
      <w:numFmt w:val="lowerLetter"/>
      <w:start w:val="1"/>
    </w:lvl>
    <w:lvl w:ilvl="1">
      <w:lvlJc w:val="left"/>
      <w:lvlText w:val="(%2)"/>
      <w:numFmt w:val="lowerRoman"/>
      <w:start w:val="1"/>
    </w:lvl>
  </w:abstractNum>
  <w:abstractNum w:abstractNumId="410">
    <w:nsid w:val="5BC9A827"/>
    <w:multiLevelType w:val="hybridMultilevel"/>
    <w:lvl w:ilvl="0">
      <w:lvlJc w:val="left"/>
      <w:lvlText w:val="%1"/>
      <w:numFmt w:val="lowerLetter"/>
      <w:start w:val="1"/>
    </w:lvl>
    <w:lvl w:ilvl="1">
      <w:lvlJc w:val="left"/>
      <w:lvlText w:val="(%2)"/>
      <w:numFmt w:val="lowerLetter"/>
      <w:start w:val="35"/>
    </w:lvl>
  </w:abstractNum>
  <w:abstractNum w:abstractNumId="411">
    <w:nsid w:val="3AE37D86"/>
    <w:multiLevelType w:val="hybridMultilevel"/>
    <w:lvl w:ilvl="0">
      <w:lvlJc w:val="left"/>
      <w:lvlText w:val="(%1)"/>
      <w:numFmt w:val="lowerLetter"/>
      <w:start w:val="2"/>
    </w:lvl>
    <w:lvl w:ilvl="1">
      <w:lvlJc w:val="left"/>
      <w:lvlText w:val="%2"/>
      <w:numFmt w:val="lowerLetter"/>
      <w:start w:val="1"/>
    </w:lvl>
  </w:abstractNum>
  <w:abstractNum w:abstractNumId="412">
    <w:nsid w:val="45440FE5"/>
    <w:multiLevelType w:val="hybridMultilevel"/>
    <w:lvl w:ilvl="0">
      <w:lvlJc w:val="left"/>
      <w:lvlText w:val="(%1)"/>
      <w:numFmt w:val="lowerLetter"/>
      <w:start w:val="8"/>
    </w:lvl>
  </w:abstractNum>
  <w:abstractNum w:abstractNumId="413">
    <w:nsid w:val="BF783F"/>
    <w:multiLevelType w:val="hybridMultilevel"/>
    <w:lvl w:ilvl="0">
      <w:lvlJc w:val="left"/>
      <w:lvlText w:val="%1."/>
      <w:numFmt w:val="decimal"/>
      <w:start w:val="3"/>
    </w:lvl>
  </w:abstractNum>
  <w:abstractNum w:abstractNumId="414">
    <w:nsid w:val="22643EA9"/>
    <w:multiLevelType w:val="hybridMultilevel"/>
    <w:lvl w:ilvl="0">
      <w:lvlJc w:val="left"/>
      <w:lvlText w:val="(%1)"/>
      <w:numFmt w:val="lowerLetter"/>
      <w:start w:val="1"/>
    </w:lvl>
    <w:lvl w:ilvl="1">
      <w:lvlJc w:val="left"/>
      <w:lvlText w:val="(%2)"/>
      <w:numFmt w:val="lowerRoman"/>
      <w:start w:val="1"/>
    </w:lvl>
  </w:abstractNum>
  <w:abstractNum w:abstractNumId="415">
    <w:nsid w:val="1887578D"/>
    <w:multiLevelType w:val="hybridMultilevel"/>
    <w:lvl w:ilvl="0">
      <w:lvlJc w:val="left"/>
      <w:lvlText w:val="(%1)"/>
      <w:numFmt w:val="lowerLetter"/>
      <w:start w:val="3"/>
    </w:lvl>
  </w:abstractNum>
  <w:abstractNum w:abstractNumId="416">
    <w:nsid w:val="58C05B8A"/>
    <w:multiLevelType w:val="hybridMultilevel"/>
    <w:lvl w:ilvl="0">
      <w:lvlJc w:val="left"/>
      <w:lvlText w:val="%1."/>
      <w:numFmt w:val="decimal"/>
      <w:start w:val="5"/>
    </w:lvl>
  </w:abstractNum>
  <w:abstractNum w:abstractNumId="417">
    <w:nsid w:val="38D82E71"/>
    <w:multiLevelType w:val="hybridMultilevel"/>
    <w:lvl w:ilvl="0">
      <w:lvlJc w:val="left"/>
      <w:lvlText w:val="(%1)"/>
      <w:numFmt w:val="lowerLetter"/>
      <w:start w:val="1"/>
    </w:lvl>
  </w:abstractNum>
  <w:abstractNum w:abstractNumId="418">
    <w:nsid w:val="1E41098A"/>
    <w:multiLevelType w:val="hybridMultilevel"/>
    <w:lvl w:ilvl="0">
      <w:lvlJc w:val="left"/>
      <w:lvlText w:val="%1."/>
      <w:numFmt w:val="decimal"/>
      <w:start w:val="6"/>
    </w:lvl>
  </w:abstractNum>
  <w:abstractNum w:abstractNumId="419">
    <w:nsid w:val="5398582C"/>
    <w:multiLevelType w:val="hybridMultilevel"/>
    <w:lvl w:ilvl="0">
      <w:lvlJc w:val="left"/>
      <w:lvlText w:val="%1."/>
      <w:numFmt w:val="decimal"/>
      <w:start w:val="8"/>
    </w:lvl>
  </w:abstractNum>
  <w:abstractNum w:abstractNumId="420">
    <w:nsid w:val="1C0D4475"/>
    <w:multiLevelType w:val="hybridMultilevel"/>
    <w:lvl w:ilvl="0">
      <w:lvlJc w:val="left"/>
      <w:lvlText w:val="%1."/>
      <w:numFmt w:val="decimal"/>
      <w:start w:val="1"/>
    </w:lvl>
  </w:abstractNum>
  <w:abstractNum w:abstractNumId="421">
    <w:nsid w:val="2CB6A6A4"/>
    <w:multiLevelType w:val="hybridMultilevel"/>
    <w:lvl w:ilvl="0">
      <w:lvlJc w:val="left"/>
      <w:lvlText w:val="%1."/>
      <w:numFmt w:val="decimal"/>
      <w:start w:val="2"/>
    </w:lvl>
  </w:abstractNum>
  <w:abstractNum w:abstractNumId="422">
    <w:nsid w:val="41D646BC"/>
    <w:multiLevelType w:val="hybridMultilevel"/>
    <w:lvl w:ilvl="0">
      <w:lvlJc w:val="left"/>
      <w:lvlText w:val="(%1)"/>
      <w:numFmt w:val="lowerLetter"/>
      <w:start w:val="2"/>
    </w:lvl>
  </w:abstractNum>
  <w:abstractNum w:abstractNumId="423">
    <w:nsid w:val="3694A76A"/>
    <w:multiLevelType w:val="hybridMultilevel"/>
    <w:lvl w:ilvl="0">
      <w:lvlJc w:val="left"/>
      <w:lvlText w:val="%1"/>
      <w:numFmt w:val="lowerLetter"/>
      <w:start w:val="1"/>
    </w:lvl>
    <w:lvl w:ilvl="1">
      <w:lvlJc w:val="left"/>
      <w:lvlText w:val="(%2)"/>
      <w:numFmt w:val="lowerRoman"/>
      <w:start w:val="1"/>
    </w:lvl>
  </w:abstractNum>
  <w:abstractNum w:abstractNumId="424">
    <w:nsid w:val="2BF876EE"/>
    <w:multiLevelType w:val="hybridMultilevel"/>
    <w:lvl w:ilvl="0">
      <w:lvlJc w:val="left"/>
      <w:lvlText w:val="(%1)"/>
      <w:numFmt w:val="lowerLetter"/>
      <w:start w:val="4"/>
    </w:lvl>
    <w:lvl w:ilvl="1">
      <w:lvlJc w:val="left"/>
      <w:lvlText w:val="(%2)"/>
      <w:numFmt w:val="lowerRoman"/>
      <w:start w:val="1"/>
    </w:lvl>
  </w:abstractNum>
  <w:abstractNum w:abstractNumId="425">
    <w:nsid w:val="675ADBA"/>
    <w:multiLevelType w:val="hybridMultilevel"/>
    <w:lvl w:ilvl="0">
      <w:lvlJc w:val="left"/>
      <w:lvlText w:val="%1"/>
      <w:numFmt w:val="lowerLetter"/>
      <w:start w:val="1"/>
    </w:lvl>
    <w:lvl w:ilvl="1">
      <w:lvlJc w:val="left"/>
      <w:lvlText w:val="(%2)"/>
      <w:numFmt w:val="lowerLetter"/>
      <w:start w:val="61"/>
    </w:lvl>
  </w:abstractNum>
  <w:abstractNum w:abstractNumId="426">
    <w:nsid w:val="C12AC7F"/>
    <w:multiLevelType w:val="hybridMultilevel"/>
    <w:lvl w:ilvl="0">
      <w:lvlJc w:val="left"/>
      <w:lvlText w:val="(%1)"/>
      <w:numFmt w:val="lowerLetter"/>
      <w:start w:val="5"/>
    </w:lvl>
    <w:lvl w:ilvl="1">
      <w:lvlJc w:val="left"/>
      <w:lvlText w:val="%2"/>
      <w:numFmt w:val="lowerLetter"/>
      <w:start w:val="1"/>
    </w:lvl>
  </w:abstractNum>
  <w:abstractNum w:abstractNumId="427">
    <w:nsid w:val="6798F039"/>
    <w:multiLevelType w:val="hybridMultilevel"/>
    <w:lvl w:ilvl="0">
      <w:lvlJc w:val="left"/>
      <w:lvlText w:val="%1"/>
      <w:numFmt w:val="lowerLetter"/>
      <w:start w:val="1"/>
    </w:lvl>
    <w:lvl w:ilvl="1">
      <w:lvlJc w:val="left"/>
      <w:lvlText w:val="(%2)"/>
      <w:numFmt w:val="lowerRoman"/>
      <w:start w:val="1"/>
    </w:lvl>
  </w:abstractNum>
  <w:abstractNum w:abstractNumId="428">
    <w:nsid w:val="70837C02"/>
    <w:multiLevelType w:val="hybridMultilevel"/>
    <w:lvl w:ilvl="0">
      <w:lvlJc w:val="left"/>
      <w:lvlText w:val="(%1)"/>
      <w:numFmt w:val="lowerLetter"/>
      <w:start w:val="6"/>
    </w:lvl>
    <w:lvl w:ilvl="1">
      <w:lvlJc w:val="left"/>
      <w:lvlText w:val="%2"/>
      <w:numFmt w:val="lowerRoman"/>
      <w:start w:val="1"/>
    </w:lvl>
  </w:abstractNum>
  <w:abstractNum w:abstractNumId="429">
    <w:nsid w:val="7E4A5715"/>
    <w:multiLevelType w:val="hybridMultilevel"/>
    <w:lvl w:ilvl="0">
      <w:lvlJc w:val="left"/>
      <w:lvlText w:val="%1."/>
      <w:numFmt w:val="decimal"/>
      <w:start w:val="3"/>
    </w:lvl>
  </w:abstractNum>
  <w:abstractNum w:abstractNumId="430">
    <w:nsid w:val="42B8AC67"/>
    <w:multiLevelType w:val="hybridMultilevel"/>
    <w:lvl w:ilvl="0">
      <w:lvlJc w:val="left"/>
      <w:lvlText w:val="(%1)"/>
      <w:numFmt w:val="lowerLetter"/>
      <w:start w:val="2"/>
    </w:lvl>
    <w:lvl w:ilvl="1">
      <w:lvlJc w:val="left"/>
      <w:lvlText w:val="(%2)"/>
      <w:numFmt w:val="lowerLetter"/>
      <w:start w:val="35"/>
    </w:lvl>
  </w:abstractNum>
  <w:abstractNum w:abstractNumId="431">
    <w:nsid w:val="246348EA"/>
    <w:multiLevelType w:val="hybridMultilevel"/>
    <w:lvl w:ilvl="0">
      <w:lvlJc w:val="left"/>
      <w:lvlText w:val="%1"/>
      <w:numFmt w:val="decimal"/>
      <w:start w:val="1"/>
    </w:lvl>
    <w:lvl w:ilvl="1">
      <w:lvlJc w:val="left"/>
      <w:lvlText w:val="(%2)"/>
      <w:numFmt w:val="lowerRoman"/>
      <w:start w:val="2"/>
    </w:lvl>
  </w:abstractNum>
  <w:abstractNum w:abstractNumId="432">
    <w:nsid w:val="170EB52B"/>
    <w:multiLevelType w:val="hybridMultilevel"/>
    <w:lvl w:ilvl="0">
      <w:lvlJc w:val="left"/>
      <w:lvlText w:val="%1."/>
      <w:numFmt w:val="decimal"/>
      <w:start w:val="4"/>
    </w:lvl>
    <w:lvl w:ilvl="1">
      <w:lvlJc w:val="left"/>
      <w:lvlText w:val="%2"/>
      <w:numFmt w:val="lowerRoman"/>
      <w:start w:val="1"/>
    </w:lvl>
  </w:abstractNum>
  <w:abstractNum w:abstractNumId="433">
    <w:nsid w:val="2DFBCB8C"/>
    <w:multiLevelType w:val="hybridMultilevel"/>
    <w:lvl w:ilvl="0">
      <w:lvlJc w:val="left"/>
      <w:lvlText w:val="(%1)"/>
      <w:numFmt w:val="lowerLetter"/>
      <w:start w:val="1"/>
    </w:lvl>
    <w:lvl w:ilvl="1">
      <w:lvlJc w:val="left"/>
      <w:lvlText w:val="(%2)"/>
      <w:numFmt w:val="lowerRoman"/>
      <w:start w:val="1"/>
    </w:lvl>
  </w:abstractNum>
  <w:abstractNum w:abstractNumId="434">
    <w:nsid w:val="3830D6B6"/>
    <w:multiLevelType w:val="hybridMultilevel"/>
    <w:lvl w:ilvl="0">
      <w:lvlJc w:val="left"/>
      <w:lvlText w:val="%1"/>
      <w:numFmt w:val="lowerLetter"/>
      <w:start w:val="1"/>
    </w:lvl>
    <w:lvl w:ilvl="1">
      <w:lvlJc w:val="left"/>
      <w:lvlText w:val="(%2)"/>
      <w:numFmt w:val="lowerRoman"/>
      <w:start w:val="4"/>
    </w:lvl>
  </w:abstractNum>
  <w:abstractNum w:abstractNumId="435">
    <w:nsid w:val="6D48CF87"/>
    <w:multiLevelType w:val="hybridMultilevel"/>
    <w:lvl w:ilvl="0">
      <w:lvlJc w:val="left"/>
      <w:lvlText w:val="(%1)"/>
      <w:numFmt w:val="lowerLetter"/>
      <w:start w:val="2"/>
    </w:lvl>
    <w:lvl w:ilvl="1">
      <w:lvlJc w:val="left"/>
      <w:lvlText w:val="(%2)"/>
      <w:numFmt w:val="lowerRoman"/>
      <w:start w:val="1"/>
    </w:lvl>
  </w:abstractNum>
  <w:abstractNum w:abstractNumId="436">
    <w:nsid w:val="576FC41B"/>
    <w:multiLevelType w:val="hybridMultilevel"/>
    <w:lvl w:ilvl="0">
      <w:lvlJc w:val="left"/>
      <w:lvlText w:val="(%1)"/>
      <w:numFmt w:val="lowerLetter"/>
      <w:start w:val="4"/>
    </w:lvl>
  </w:abstractNum>
  <w:abstractNum w:abstractNumId="437">
    <w:nsid w:val="64A1C464"/>
    <w:multiLevelType w:val="hybridMultilevel"/>
    <w:lvl w:ilvl="0">
      <w:lvlJc w:val="left"/>
      <w:lvlText w:val="(%1)"/>
      <w:numFmt w:val="lowerLetter"/>
      <w:start w:val="10"/>
    </w:lvl>
    <w:lvl w:ilvl="1">
      <w:lvlJc w:val="left"/>
      <w:lvlText w:val="(%2)"/>
      <w:numFmt w:val="lowerLetter"/>
      <w:start w:val="35"/>
    </w:lvl>
  </w:abstractNum>
  <w:abstractNum w:abstractNumId="438">
    <w:nsid w:val="31723BF5"/>
    <w:multiLevelType w:val="hybridMultilevel"/>
    <w:lvl w:ilvl="0">
      <w:lvlJc w:val="left"/>
      <w:lvlText w:val="(%1)"/>
      <w:numFmt w:val="lowerLetter"/>
      <w:start w:val="13"/>
    </w:lvl>
    <w:lvl w:ilvl="1">
      <w:lvlJc w:val="left"/>
      <w:lvlText w:val="(%2)"/>
      <w:numFmt w:val="lowerRoman"/>
      <w:start w:val="1"/>
    </w:lvl>
  </w:abstractNum>
  <w:abstractNum w:abstractNumId="439">
    <w:nsid w:val="11F69861"/>
    <w:multiLevelType w:val="hybridMultilevel"/>
    <w:lvl w:ilvl="0">
      <w:lvlJc w:val="left"/>
      <w:lvlText w:val="(%1)"/>
      <w:numFmt w:val="lowerRoman"/>
      <w:start w:val="4"/>
    </w:lvl>
  </w:abstractNum>
  <w:abstractNum w:abstractNumId="440">
    <w:nsid w:val="369956AB"/>
    <w:multiLevelType w:val="hybridMultilevel"/>
    <w:lvl w:ilvl="0">
      <w:lvlJc w:val="left"/>
      <w:lvlText w:val="(%1)"/>
      <w:numFmt w:val="lowerLetter"/>
      <w:start w:val="18"/>
    </w:lvl>
    <w:lvl w:ilvl="1">
      <w:lvlJc w:val="left"/>
      <w:lvlText w:val="(%2)"/>
      <w:numFmt w:val="lowerRoman"/>
      <w:start w:val="1"/>
    </w:lvl>
  </w:abstractNum>
  <w:abstractNum w:abstractNumId="441">
    <w:nsid w:val="D3BE41C"/>
    <w:multiLevelType w:val="hybridMultilevel"/>
    <w:lvl w:ilvl="0">
      <w:lvlJc w:val="left"/>
      <w:lvlText w:val="(%1)"/>
      <w:numFmt w:val="lowerRoman"/>
      <w:start w:val="4"/>
    </w:lvl>
  </w:abstractNum>
  <w:abstractNum w:abstractNumId="442">
    <w:nsid w:val="4CDA15E7"/>
    <w:multiLevelType w:val="hybridMultilevel"/>
    <w:lvl w:ilvl="0">
      <w:lvlJc w:val="left"/>
      <w:lvlText w:val="(%1)"/>
      <w:numFmt w:val="lowerLetter"/>
      <w:start w:val="19"/>
    </w:lvl>
  </w:abstractNum>
  <w:abstractNum w:abstractNumId="443">
    <w:nsid w:val="7BDD6690"/>
    <w:multiLevelType w:val="hybridMultilevel"/>
    <w:lvl w:ilvl="0">
      <w:lvlJc w:val="left"/>
      <w:lvlText w:val="(%1)"/>
      <w:numFmt w:val="lowerRoman"/>
      <w:start w:val="5"/>
    </w:lvl>
  </w:abstractNum>
  <w:abstractNum w:abstractNumId="444">
    <w:nsid w:val="DFB5C5B"/>
    <w:multiLevelType w:val="hybridMultilevel"/>
    <w:lvl w:ilvl="0">
      <w:lvlJc w:val="left"/>
      <w:lvlText w:val="%1."/>
      <w:numFmt w:val="decimal"/>
      <w:start w:val="5"/>
    </w:lvl>
  </w:abstractNum>
  <w:abstractNum w:abstractNumId="445">
    <w:nsid w:val="6F3E5490"/>
    <w:multiLevelType w:val="hybridMultilevel"/>
    <w:lvl w:ilvl="0">
      <w:lvlJc w:val="left"/>
      <w:lvlText w:val="%1"/>
      <w:numFmt w:val="lowerLetter"/>
      <w:start w:val="1"/>
    </w:lvl>
    <w:lvl w:ilvl="1">
      <w:lvlJc w:val="left"/>
      <w:lvlText w:val="(%2)"/>
      <w:numFmt w:val="lowerLetter"/>
      <w:start w:val="2"/>
    </w:lvl>
  </w:abstractNum>
  <w:abstractNum w:abstractNumId="446">
    <w:nsid w:val="1464BE1E"/>
    <w:multiLevelType w:val="hybridMultilevel"/>
    <w:lvl w:ilvl="0">
      <w:lvlJc w:val="left"/>
      <w:lvlText w:val="(%1)"/>
      <w:numFmt w:val="lowerLetter"/>
      <w:start w:val="35"/>
    </w:lvl>
    <w:lvl w:ilvl="1">
      <w:lvlJc w:val="left"/>
      <w:lvlText w:val="%2"/>
      <w:numFmt w:val="lowerLetter"/>
      <w:start w:val="1"/>
    </w:lvl>
  </w:abstractNum>
  <w:abstractNum w:abstractNumId="447">
    <w:nsid w:val="66BBB7E5"/>
    <w:multiLevelType w:val="hybridMultilevel"/>
    <w:lvl w:ilvl="0">
      <w:lvlJc w:val="left"/>
      <w:lvlText w:val="(%1)"/>
      <w:numFmt w:val="lowerLetter"/>
      <w:start w:val="4"/>
    </w:lvl>
  </w:abstractNum>
  <w:abstractNum w:abstractNumId="448">
    <w:nsid w:val="28168302"/>
    <w:multiLevelType w:val="hybridMultilevel"/>
    <w:lvl w:ilvl="0">
      <w:lvlJc w:val="left"/>
      <w:lvlText w:val="(%1)"/>
      <w:numFmt w:val="lowerLetter"/>
      <w:start w:val="5"/>
    </w:lvl>
  </w:abstractNum>
  <w:abstractNum w:abstractNumId="449">
    <w:nsid w:val="32A5C7A8"/>
    <w:multiLevelType w:val="hybridMultilevel"/>
    <w:lvl w:ilvl="0">
      <w:lvlJc w:val="left"/>
      <w:lvlText w:val="%1."/>
      <w:numFmt w:val="decimal"/>
      <w:start w:val="7"/>
    </w:lvl>
  </w:abstractNum>
  <w:abstractNum w:abstractNumId="450">
    <w:nsid w:val="3A541011"/>
    <w:multiLevelType w:val="hybridMultilevel"/>
    <w:lvl w:ilvl="0">
      <w:lvlJc w:val="left"/>
      <w:lvlText w:val="(%1)"/>
      <w:numFmt w:val="lowerLetter"/>
      <w:start w:val="2"/>
    </w:lvl>
  </w:abstractNum>
  <w:abstractNum w:abstractNumId="451">
    <w:nsid w:val="4423C777"/>
    <w:multiLevelType w:val="hybridMultilevel"/>
    <w:lvl w:ilvl="0">
      <w:lvlJc w:val="left"/>
      <w:lvlText w:val="%1."/>
      <w:numFmt w:val="decimal"/>
      <w:start w:val="8"/>
    </w:lvl>
  </w:abstractNum>
  <w:abstractNum w:abstractNumId="452">
    <w:nsid w:val="5F5C6E4D"/>
    <w:multiLevelType w:val="hybridMultilevel"/>
    <w:lvl w:ilvl="0">
      <w:lvlJc w:val="left"/>
      <w:lvlText w:val="(%1)"/>
      <w:numFmt w:val="lowerLetter"/>
      <w:start w:val="1"/>
    </w:lvl>
  </w:abstractNum>
  <w:abstractNum w:abstractNumId="453">
    <w:nsid w:val="7C2A56CD"/>
    <w:multiLevelType w:val="hybridMultilevel"/>
    <w:lvl w:ilvl="0">
      <w:lvlJc w:val="left"/>
      <w:lvlText w:val="(%1)"/>
      <w:numFmt w:val="lowerLetter"/>
      <w:start w:val="2"/>
    </w:lvl>
  </w:abstractNum>
  <w:abstractNum w:abstractNumId="454">
    <w:nsid w:val="7AB86EE1"/>
    <w:multiLevelType w:val="hybridMultilevel"/>
    <w:lvl w:ilvl="0">
      <w:lvlJc w:val="left"/>
      <w:lvlText w:val="%1."/>
      <w:numFmt w:val="decimal"/>
      <w:start w:val="9"/>
    </w:lvl>
  </w:abstractNum>
  <w:abstractNum w:abstractNumId="455">
    <w:nsid w:val="B54E53B"/>
    <w:multiLevelType w:val="hybridMultilevel"/>
    <w:lvl w:ilvl="0">
      <w:lvlJc w:val="left"/>
      <w:lvlText w:val="%1."/>
      <w:numFmt w:val="decimal"/>
      <w:start w:val="11"/>
    </w:lvl>
  </w:abstractNum>
  <w:abstractNum w:abstractNumId="456">
    <w:nsid w:val="2A00487"/>
    <w:multiLevelType w:val="hybridMultilevel"/>
    <w:lvl w:ilvl="0">
      <w:lvlJc w:val="left"/>
      <w:lvlText w:val="(%1)"/>
      <w:numFmt w:val="lowerLetter"/>
      <w:start w:val="1"/>
    </w:lvl>
  </w:abstractNum>
  <w:abstractNum w:abstractNumId="457">
    <w:nsid w:val="6CB1B60"/>
    <w:multiLevelType w:val="hybridMultilevel"/>
    <w:lvl w:ilvl="0">
      <w:lvlJc w:val="left"/>
      <w:lvlText w:val="%1."/>
      <w:numFmt w:val="decimal"/>
      <w:start w:val="12"/>
    </w:lvl>
  </w:abstractNum>
  <w:abstractNum w:abstractNumId="458">
    <w:nsid w:val="72EDD574"/>
    <w:multiLevelType w:val="hybridMultilevel"/>
    <w:lvl w:ilvl="0">
      <w:lvlJc w:val="left"/>
      <w:lvlText w:val="%1."/>
      <w:numFmt w:val="decimal"/>
      <w:start w:val="17"/>
    </w:lvl>
  </w:abstractNum>
  <w:abstractNum w:abstractNumId="459">
    <w:nsid w:val="7323808A"/>
    <w:multiLevelType w:val="hybridMultilevel"/>
    <w:lvl w:ilvl="0">
      <w:lvlJc w:val="left"/>
      <w:lvlText w:val="-"/>
      <w:numFmt w:val="bullet"/>
      <w:start w:val="1"/>
    </w:lvl>
  </w:abstractNum>
  <w:abstractNum w:abstractNumId="460">
    <w:nsid w:val="5157276"/>
    <w:multiLevelType w:val="hybridMultilevel"/>
    <w:lvl w:ilvl="0">
      <w:lvlJc w:val="left"/>
      <w:lvlText w:val="(%1)"/>
      <w:numFmt w:val="lowerLetter"/>
      <w:start w:val="1"/>
    </w:lvl>
  </w:abstractNum>
  <w:abstractNum w:abstractNumId="461">
    <w:nsid w:val="35A681DB"/>
    <w:multiLevelType w:val="hybridMultilevel"/>
    <w:lvl w:ilvl="0">
      <w:lvlJc w:val="left"/>
      <w:lvlText w:val="(%1)"/>
      <w:numFmt w:val="lowerLetter"/>
      <w:start w:val="1"/>
    </w:lvl>
  </w:abstractNum>
  <w:abstractNum w:abstractNumId="462">
    <w:nsid w:val="1786C974"/>
    <w:multiLevelType w:val="hybridMultilevel"/>
    <w:lvl w:ilvl="0">
      <w:lvlJc w:val="left"/>
      <w:lvlText w:val="(%1)"/>
      <w:numFmt w:val="lowerLetter"/>
      <w:start w:val="4"/>
    </w:lvl>
  </w:abstractNum>
  <w:abstractNum w:abstractNumId="463">
    <w:nsid w:val="1C2427A1"/>
    <w:multiLevelType w:val="hybridMultilevel"/>
    <w:lvl w:ilvl="0">
      <w:lvlJc w:val="left"/>
      <w:lvlText w:val="(%1)"/>
      <w:numFmt w:val="lowerRoman"/>
      <w:start w:val="3"/>
    </w:lvl>
  </w:abstractNum>
  <w:abstractNum w:abstractNumId="464">
    <w:nsid w:val="63A24D68"/>
    <w:multiLevelType w:val="hybridMultilevel"/>
    <w:lvl w:ilvl="0">
      <w:lvlJc w:val="left"/>
      <w:lvlText w:val="(%1)"/>
      <w:numFmt w:val="lowerRoman"/>
      <w:start w:val="1"/>
    </w:lvl>
  </w:abstractNum>
  <w:abstractNum w:abstractNumId="465">
    <w:nsid w:val="4FB7A02A"/>
    <w:multiLevelType w:val="hybridMultilevel"/>
    <w:lvl w:ilvl="0">
      <w:lvlJc w:val="left"/>
      <w:lvlText w:val="(%1)"/>
      <w:numFmt w:val="lowerRoman"/>
      <w:start w:val="3"/>
    </w:lvl>
  </w:abstractNum>
  <w:abstractNum w:abstractNumId="466">
    <w:nsid w:val="96CF728"/>
    <w:multiLevelType w:val="hybridMultilevel"/>
    <w:lvl w:ilvl="0">
      <w:lvlJc w:val="left"/>
      <w:lvlText w:val="(%1)"/>
      <w:numFmt w:val="lowerRoman"/>
      <w:start w:val="8"/>
    </w:lvl>
  </w:abstractNum>
  <w:abstractNum w:abstractNumId="467">
    <w:nsid w:val="3B121183"/>
    <w:multiLevelType w:val="hybridMultilevel"/>
    <w:lvl w:ilvl="0">
      <w:lvlJc w:val="left"/>
      <w:lvlText w:val="(%1)"/>
      <w:numFmt w:val="lowerLetter"/>
      <w:start w:val="2"/>
    </w:lvl>
  </w:abstractNum>
  <w:abstractNum w:abstractNumId="468">
    <w:nsid w:val="3459648F"/>
    <w:multiLevelType w:val="hybridMultilevel"/>
    <w:lvl w:ilvl="0">
      <w:lvlJc w:val="left"/>
      <w:lvlText w:val="(%1)"/>
      <w:numFmt w:val="lowerRoman"/>
      <w:start w:val="1"/>
    </w:lvl>
    <w:lvl w:ilvl="1">
      <w:lvlJc w:val="left"/>
      <w:lvlText w:val="(%2)"/>
      <w:numFmt w:val="upperLetter"/>
      <w:start w:val="1"/>
    </w:lvl>
  </w:abstractNum>
  <w:abstractNum w:abstractNumId="469">
    <w:nsid w:val="3ADF331D"/>
    <w:multiLevelType w:val="hybridMultilevel"/>
    <w:lvl w:ilvl="0">
      <w:lvlJc w:val="left"/>
      <w:lvlText w:val="(%1)"/>
      <w:numFmt w:val="upperLetter"/>
      <w:start w:val="2"/>
    </w:lvl>
  </w:abstractNum>
  <w:abstractNum w:abstractNumId="470">
    <w:nsid w:val="4D08A9E4"/>
    <w:multiLevelType w:val="hybridMultilevel"/>
    <w:lvl w:ilvl="0">
      <w:lvlJc w:val="left"/>
      <w:lvlText w:val="(%1)"/>
      <w:numFmt w:val="lowerLetter"/>
      <w:start w:val="1"/>
    </w:lvl>
  </w:abstractNum>
  <w:abstractNum w:abstractNumId="471">
    <w:nsid w:val="6AF2BB3A"/>
    <w:multiLevelType w:val="hybridMultilevel"/>
    <w:lvl w:ilvl="0">
      <w:lvlJc w:val="left"/>
      <w:lvlText w:val="(%1)"/>
      <w:numFmt w:val="lowerLetter"/>
      <w:start w:val="5"/>
    </w:lvl>
  </w:abstractNum>
  <w:abstractNum w:abstractNumId="472">
    <w:nsid w:val="481B1739"/>
    <w:multiLevelType w:val="hybridMultilevel"/>
    <w:lvl w:ilvl="0">
      <w:lvlJc w:val="left"/>
      <w:lvlText w:val="(%1)"/>
      <w:numFmt w:val="lowerLetter"/>
      <w:start w:val="3"/>
    </w:lvl>
  </w:abstractNum>
  <w:abstractNum w:abstractNumId="473">
    <w:nsid w:val="19E2BFCC"/>
    <w:multiLevelType w:val="hybridMultilevel"/>
    <w:lvl w:ilvl="0">
      <w:lvlJc w:val="left"/>
      <w:lvlText w:val="(%1)"/>
      <w:numFmt w:val="lowerLetter"/>
      <w:start w:val="1"/>
    </w:lvl>
  </w:abstractNum>
  <w:abstractNum w:abstractNumId="474">
    <w:nsid w:val="66D021CA"/>
    <w:multiLevelType w:val="hybridMultilevel"/>
    <w:lvl w:ilvl="0">
      <w:lvlJc w:val="left"/>
      <w:lvlText w:val="(%1)"/>
      <w:numFmt w:val="lowerRoman"/>
      <w:start w:val="1"/>
    </w:lvl>
  </w:abstractNum>
  <w:abstractNum w:abstractNumId="475">
    <w:nsid w:val="56167394"/>
    <w:multiLevelType w:val="hybridMultilevel"/>
    <w:lvl w:ilvl="0">
      <w:lvlJc w:val="left"/>
      <w:lvlText w:val="(%1)"/>
      <w:numFmt w:val="lowerLetter"/>
      <w:start w:val="1"/>
    </w:lvl>
  </w:abstractNum>
  <w:abstractNum w:abstractNumId="476">
    <w:nsid w:val="921145C"/>
    <w:multiLevelType w:val="hybridMultilevel"/>
    <w:lvl w:ilvl="0">
      <w:lvlJc w:val="left"/>
      <w:lvlText w:val="(%1)"/>
      <w:numFmt w:val="lowerLetter"/>
      <w:start w:val="2"/>
    </w:lvl>
  </w:abstractNum>
  <w:abstractNum w:abstractNumId="477">
    <w:nsid w:val="7B34DFE8"/>
    <w:multiLevelType w:val="hybridMultilevel"/>
    <w:lvl w:ilvl="0">
      <w:lvlJc w:val="left"/>
      <w:lvlText w:val="(%1)"/>
      <w:numFmt w:val="lowerLetter"/>
      <w:start w:val="2"/>
    </w:lvl>
  </w:abstractNum>
  <w:abstractNum w:abstractNumId="478">
    <w:nsid w:val="3CD22B79"/>
    <w:multiLevelType w:val="hybridMultilevel"/>
    <w:lvl w:ilvl="0">
      <w:lvlJc w:val="left"/>
      <w:lvlText w:val="(%1)"/>
      <w:numFmt w:val="lowerLetter"/>
      <w:start w:val="2"/>
    </w:lvl>
  </w:abstractNum>
  <w:abstractNum w:abstractNumId="479">
    <w:nsid w:val="3137975E"/>
    <w:multiLevelType w:val="hybridMultilevel"/>
    <w:lvl w:ilvl="0">
      <w:lvlJc w:val="left"/>
      <w:lvlText w:val="(%1)"/>
      <w:numFmt w:val="lowerLetter"/>
      <w:start w:val="3"/>
    </w:lvl>
  </w:abstractNum>
  <w:abstractNum w:abstractNumId="480">
    <w:nsid w:val="2DDAA791"/>
    <w:multiLevelType w:val="hybridMultilevel"/>
    <w:lvl w:ilvl="0">
      <w:lvlJc w:val="left"/>
      <w:lvlText w:val="(%1)"/>
      <w:numFmt w:val="lowerLetter"/>
      <w:start w:val="2"/>
    </w:lvl>
  </w:abstractNum>
  <w:abstractNum w:abstractNumId="481">
    <w:nsid w:val="77263B8A"/>
    <w:multiLevelType w:val="hybridMultilevel"/>
    <w:lvl w:ilvl="0">
      <w:lvlJc w:val="left"/>
      <w:lvlText w:val="%1"/>
      <w:numFmt w:val="lowerLetter"/>
      <w:start w:val="1"/>
    </w:lvl>
    <w:lvl w:ilvl="1">
      <w:lvlJc w:val="left"/>
      <w:lvlText w:val="(%2)"/>
      <w:numFmt w:val="lowerLetter"/>
      <w:start w:val="2"/>
    </w:lvl>
  </w:abstractNum>
  <w:abstractNum w:abstractNumId="482">
    <w:nsid w:val="755B5ED6"/>
    <w:multiLevelType w:val="hybridMultilevel"/>
    <w:lvl w:ilvl="0">
      <w:lvlJc w:val="left"/>
      <w:lvlText w:val="(%1)"/>
      <w:numFmt w:val="lowerLetter"/>
      <w:start w:val="3"/>
    </w:lvl>
    <w:lvl w:ilvl="1">
      <w:lvlJc w:val="left"/>
      <w:lvlText w:val="(%2)"/>
      <w:numFmt w:val="lowerLetter"/>
      <w:start w:val="5"/>
    </w:lvl>
  </w:abstractNum>
  <w:abstractNum w:abstractNumId="483">
    <w:nsid w:val="D3715DE"/>
    <w:multiLevelType w:val="hybridMultilevel"/>
    <w:lvl w:ilvl="0">
      <w:lvlJc w:val="left"/>
      <w:lvlText w:val="(%1)"/>
      <w:numFmt w:val="lowerLetter"/>
      <w:start w:val="6"/>
    </w:lvl>
  </w:abstractNum>
  <w:abstractNum w:abstractNumId="484">
    <w:nsid w:val="73509257"/>
    <w:multiLevelType w:val="hybridMultilevel"/>
    <w:lvl w:ilvl="0">
      <w:lvlJc w:val="left"/>
      <w:lvlText w:val="(%1)"/>
      <w:numFmt w:val="lowerLetter"/>
      <w:start w:val="2"/>
    </w:lvl>
  </w:abstractNum>
  <w:abstractNum w:abstractNumId="485">
    <w:nsid w:val="7013CDB7"/>
    <w:multiLevelType w:val="hybridMultilevel"/>
    <w:lvl w:ilvl="0">
      <w:lvlJc w:val="left"/>
      <w:lvlText w:val="(%1)"/>
      <w:numFmt w:val="lowerLetter"/>
      <w:start w:val="1"/>
    </w:lvl>
  </w:abstractNum>
  <w:abstractNum w:abstractNumId="486">
    <w:nsid w:val="188BFB19"/>
    <w:multiLevelType w:val="hybridMultilevel"/>
    <w:lvl w:ilvl="0">
      <w:lvlJc w:val="left"/>
      <w:lvlText w:val="(%1)"/>
      <w:numFmt w:val="lowerLetter"/>
      <w:start w:val="2"/>
    </w:lvl>
  </w:abstractNum>
  <w:abstractNum w:abstractNumId="487">
    <w:nsid w:val="75F096DF"/>
    <w:multiLevelType w:val="hybridMultilevel"/>
    <w:lvl w:ilvl="0">
      <w:lvlJc w:val="left"/>
      <w:lvlText w:val="(%1)"/>
      <w:numFmt w:val="lowerLetter"/>
      <w:start w:val="3"/>
    </w:lvl>
  </w:abstractNum>
  <w:abstractNum w:abstractNumId="488">
    <w:nsid w:val="76DEE918"/>
    <w:multiLevelType w:val="hybridMultilevel"/>
    <w:lvl w:ilvl="0">
      <w:lvlJc w:val="left"/>
      <w:lvlText w:val="(%1)"/>
      <w:numFmt w:val="lowerLetter"/>
      <w:start w:val="2"/>
    </w:lvl>
  </w:abstractNum>
  <w:abstractNum w:abstractNumId="489">
    <w:nsid w:val="B79D08D"/>
    <w:multiLevelType w:val="hybridMultilevel"/>
    <w:lvl w:ilvl="0">
      <w:lvlJc w:val="left"/>
      <w:lvlText w:val="(%1)"/>
      <w:numFmt w:val="lowerLetter"/>
      <w:start w:val="6"/>
    </w:lvl>
  </w:abstractNum>
  <w:abstractNum w:abstractNumId="490">
    <w:nsid w:val="69141769"/>
    <w:multiLevelType w:val="hybridMultilevel"/>
    <w:lvl w:ilvl="0">
      <w:lvlJc w:val="left"/>
      <w:lvlText w:val="(%1)"/>
      <w:numFmt w:val="lowerRoman"/>
      <w:start w:val="1"/>
    </w:lvl>
  </w:abstractNum>
  <w:abstractNum w:abstractNumId="491">
    <w:nsid w:val="7BF45B8E"/>
    <w:multiLevelType w:val="hybridMultilevel"/>
    <w:lvl w:ilvl="0">
      <w:lvlJc w:val="left"/>
      <w:lvlText w:val="%1"/>
      <w:numFmt w:val="lowerLetter"/>
      <w:start w:val="1"/>
    </w:lvl>
    <w:lvl w:ilvl="1">
      <w:lvlJc w:val="left"/>
      <w:lvlText w:val="(%2)"/>
      <w:numFmt w:val="lowerLetter"/>
      <w:start w:val="2"/>
    </w:lvl>
  </w:abstractNum>
  <w:abstractNum w:abstractNumId="492">
    <w:nsid w:val="41205269"/>
    <w:multiLevelType w:val="hybridMultilevel"/>
    <w:lvl w:ilvl="0">
      <w:lvlJc w:val="left"/>
      <w:lvlText w:val="(%1)"/>
      <w:numFmt w:val="lowerLetter"/>
      <w:start w:val="25"/>
    </w:lvl>
    <w:lvl w:ilvl="1">
      <w:lvlJc w:val="left"/>
      <w:lvlText w:val="(%2)"/>
      <w:numFmt w:val="lowerLetter"/>
      <w:start w:val="3"/>
    </w:lvl>
  </w:abstractNum>
  <w:abstractNum w:abstractNumId="493">
    <w:nsid w:val="9AE0DD"/>
    <w:multiLevelType w:val="hybridMultilevel"/>
    <w:lvl w:ilvl="0">
      <w:lvlJc w:val="left"/>
      <w:lvlText w:val="(%1)"/>
      <w:numFmt w:val="lowerLetter"/>
      <w:start w:val="2"/>
    </w:lvl>
  </w:abstractNum>
  <w:abstractNum w:abstractNumId="494">
    <w:nsid w:val="1818832F"/>
    <w:multiLevelType w:val="hybridMultilevel"/>
    <w:lvl w:ilvl="0">
      <w:lvlJc w:val="left"/>
      <w:lvlText w:val="(%1)"/>
      <w:numFmt w:val="upperLetter"/>
      <w:start w:val="24"/>
    </w:lvl>
  </w:abstractNum>
  <w:abstractNum w:abstractNumId="495">
    <w:nsid w:val="24C29FD1"/>
    <w:multiLevelType w:val="hybridMultilevel"/>
    <w:lvl w:ilvl="0">
      <w:lvlJc w:val="left"/>
      <w:lvlText w:val="%1"/>
      <w:numFmt w:val="upperLetter"/>
      <w:start w:val="1"/>
    </w:lvl>
    <w:lvl w:ilvl="1">
      <w:lvlJc w:val="left"/>
      <w:lvlText w:val="(%2)"/>
      <w:numFmt w:val="lowerRoman"/>
      <w:start w:val="2"/>
    </w:lvl>
  </w:abstractNum>
  <w:abstractNum w:abstractNumId="496">
    <w:nsid w:val="50528108"/>
    <w:multiLevelType w:val="hybridMultilevel"/>
    <w:lvl w:ilvl="0">
      <w:lvlJc w:val="left"/>
      <w:lvlText w:val="(%1)"/>
      <w:numFmt w:val="upperLetter"/>
      <w:start w:val="25"/>
    </w:lvl>
    <w:lvl w:ilvl="1">
      <w:lvlJc w:val="left"/>
      <w:lvlText w:val="%2"/>
      <w:numFmt w:val="lowerRoman"/>
      <w:start w:val="1"/>
    </w:lvl>
  </w:abstractNum>
  <w:abstractNum w:abstractNumId="497">
    <w:nsid w:val="21857A57"/>
    <w:multiLevelType w:val="hybridMultilevel"/>
    <w:lvl w:ilvl="0">
      <w:lvlJc w:val="left"/>
      <w:lvlText w:val="(%1)"/>
      <w:numFmt w:val="decimal"/>
      <w:start w:val="2"/>
    </w:lvl>
  </w:abstractNum>
  <w:abstractNum w:abstractNumId="498">
    <w:nsid w:val="5FD4B154"/>
    <w:multiLevelType w:val="hybridMultilevel"/>
    <w:lvl w:ilvl="0">
      <w:lvlJc w:val="left"/>
      <w:lvlText w:val="%1"/>
      <w:numFmt w:val="lowerLetter"/>
      <w:start w:val="1"/>
    </w:lvl>
    <w:lvl w:ilvl="1">
      <w:lvlJc w:val="left"/>
      <w:lvlText w:val="(%2)"/>
      <w:numFmt w:val="lowerLetter"/>
      <w:start w:val="2"/>
    </w:lvl>
  </w:abstractNum>
  <w:abstractNum w:abstractNumId="499">
    <w:nsid w:val="4ABE597"/>
    <w:multiLevelType w:val="hybridMultilevel"/>
    <w:lvl w:ilvl="0">
      <w:lvlJc w:val="left"/>
      <w:lvlText w:val="(%1)"/>
      <w:numFmt w:val="lowerLetter"/>
      <w:start w:val="9"/>
    </w:lvl>
    <w:lvl w:ilvl="1">
      <w:lvlJc w:val="left"/>
      <w:lvlText w:val="%2"/>
      <w:numFmt w:val="lowerLetter"/>
      <w:start w:val="1"/>
    </w:lvl>
  </w:abstractNum>
  <w:abstractNum w:abstractNumId="500">
    <w:nsid w:val="5C64AD75"/>
    <w:multiLevelType w:val="hybridMultilevel"/>
    <w:lvl w:ilvl="0">
      <w:lvlJc w:val="left"/>
      <w:lvlText w:val="(%1)"/>
      <w:numFmt w:val="lowerLetter"/>
      <w:start w:val="2"/>
    </w:lvl>
  </w:abstractNum>
  <w:abstractNum w:abstractNumId="501">
    <w:nsid w:val="2CDD5B39"/>
    <w:multiLevelType w:val="hybridMultilevel"/>
    <w:lvl w:ilvl="0">
      <w:lvlJc w:val="left"/>
      <w:lvlText w:val="(%1)"/>
      <w:numFmt w:val="lowerLetter"/>
      <w:start w:val="2"/>
    </w:lvl>
  </w:abstractNum>
  <w:abstractNum w:abstractNumId="502">
    <w:nsid w:val="6F9EA0D1"/>
    <w:multiLevelType w:val="hybridMultilevel"/>
    <w:lvl w:ilvl="0">
      <w:lvlJc w:val="left"/>
      <w:lvlText w:val="(%1)"/>
      <w:numFmt w:val="lowerLetter"/>
      <w:start w:val="2"/>
    </w:lvl>
  </w:abstractNum>
  <w:abstractNum w:abstractNumId="503">
    <w:nsid w:val="247FC4AE"/>
    <w:multiLevelType w:val="hybridMultilevel"/>
    <w:lvl w:ilvl="0">
      <w:lvlJc w:val="left"/>
      <w:lvlText w:val="(%1)"/>
      <w:numFmt w:val="lowerLetter"/>
      <w:start w:val="2"/>
    </w:lvl>
  </w:abstractNum>
  <w:abstractNum w:abstractNumId="504">
    <w:nsid w:val="46C01B05"/>
    <w:multiLevelType w:val="hybridMultilevel"/>
    <w:lvl w:ilvl="0">
      <w:lvlJc w:val="left"/>
      <w:lvlText w:val="(%1)"/>
      <w:numFmt w:val="lowerLetter"/>
      <w:start w:val="3"/>
    </w:lvl>
  </w:abstractNum>
  <w:abstractNum w:abstractNumId="505">
    <w:nsid w:val="566EC29B"/>
    <w:multiLevelType w:val="hybridMultilevel"/>
    <w:lvl w:ilvl="0">
      <w:lvlJc w:val="left"/>
      <w:lvlText w:val="(%1)"/>
      <w:numFmt w:val="lowerLetter"/>
      <w:start w:val="2"/>
    </w:lvl>
  </w:abstractNum>
  <w:abstractNum w:abstractNumId="506">
    <w:nsid w:val="7A963843"/>
    <w:multiLevelType w:val="hybridMultilevel"/>
    <w:lvl w:ilvl="0">
      <w:lvlJc w:val="left"/>
      <w:lvlText w:val="(%1)"/>
      <w:numFmt w:val="lowerLetter"/>
      <w:start w:val="3"/>
    </w:lvl>
  </w:abstractNum>
  <w:abstractNum w:abstractNumId="507">
    <w:nsid w:val="4FE12F61"/>
    <w:multiLevelType w:val="hybridMultilevel"/>
    <w:lvl w:ilvl="0">
      <w:lvlJc w:val="left"/>
      <w:lvlText w:val="(%1)"/>
      <w:numFmt w:val="lowerLetter"/>
      <w:start w:val="2"/>
    </w:lvl>
  </w:abstractNum>
  <w:abstractNum w:abstractNumId="508">
    <w:nsid w:val="51A3A284"/>
    <w:multiLevelType w:val="hybridMultilevel"/>
    <w:lvl w:ilvl="0">
      <w:lvlJc w:val="left"/>
      <w:lvlText w:val="(%1)"/>
      <w:numFmt w:val="lowerLetter"/>
      <w:start w:val="3"/>
    </w:lvl>
  </w:abstractNum>
  <w:abstractNum w:abstractNumId="509">
    <w:nsid w:val="376863BC"/>
    <w:multiLevelType w:val="hybridMultilevel"/>
    <w:lvl w:ilvl="0">
      <w:lvlJc w:val="left"/>
      <w:lvlText w:val="(%1)"/>
      <w:numFmt w:val="lowerLetter"/>
      <w:start w:val="1"/>
    </w:lvl>
  </w:abstractNum>
  <w:abstractNum w:abstractNumId="510">
    <w:nsid w:val="118C6C0"/>
    <w:multiLevelType w:val="hybridMultilevel"/>
    <w:lvl w:ilvl="0">
      <w:lvlJc w:val="left"/>
      <w:lvlText w:val="(%1)"/>
      <w:numFmt w:val="lowerLetter"/>
      <w:start w:val="2"/>
    </w:lvl>
  </w:abstractNum>
  <w:abstractNum w:abstractNumId="511">
    <w:nsid w:val="7F7E4A15"/>
    <w:multiLevelType w:val="hybridMultilevel"/>
    <w:lvl w:ilvl="0">
      <w:lvlJc w:val="left"/>
      <w:lvlText w:val="(%1)"/>
      <w:numFmt w:val="lowerRoman"/>
      <w:start w:val="2"/>
    </w:lvl>
  </w:abstractNum>
  <w:abstractNum w:abstractNumId="512">
    <w:nsid w:val="2E8E9F47"/>
    <w:multiLevelType w:val="hybridMultilevel"/>
    <w:lvl w:ilvl="0">
      <w:lvlJc w:val="left"/>
      <w:lvlText w:val="%1"/>
      <w:numFmt w:val="lowerLetter"/>
      <w:start w:val="1"/>
    </w:lvl>
    <w:lvl w:ilvl="1">
      <w:lvlJc w:val="left"/>
      <w:lvlText w:val="(%2)"/>
      <w:numFmt w:val="lowerLetter"/>
      <w:start w:val="1"/>
    </w:lvl>
  </w:abstractNum>
  <w:abstractNum w:abstractNumId="513">
    <w:nsid w:val="76742596"/>
    <w:multiLevelType w:val="hybridMultilevel"/>
    <w:lvl w:ilvl="0">
      <w:lvlJc w:val="left"/>
      <w:lvlText w:val="(%1)"/>
      <w:numFmt w:val="lowerLetter"/>
      <w:start w:val="9"/>
    </w:lvl>
    <w:lvl w:ilvl="1">
      <w:lvlJc w:val="left"/>
      <w:lvlText w:val="(%2)"/>
      <w:numFmt w:val="lowerLetter"/>
      <w:start w:val="2"/>
    </w:lvl>
  </w:abstractNum>
  <w:abstractNum w:abstractNumId="514">
    <w:nsid w:val="CB55FF3"/>
    <w:multiLevelType w:val="hybridMultilevel"/>
    <w:lvl w:ilvl="0">
      <w:lvlJc w:val="left"/>
      <w:lvlText w:val="(%1)"/>
      <w:numFmt w:val="lowerLetter"/>
      <w:start w:val="2"/>
    </w:lvl>
  </w:abstractNum>
  <w:abstractNum w:abstractNumId="515">
    <w:nsid w:val="21DF319E"/>
    <w:multiLevelType w:val="hybridMultilevel"/>
    <w:lvl w:ilvl="0">
      <w:lvlJc w:val="left"/>
      <w:lvlText w:val="(%1)"/>
      <w:numFmt w:val="lowerLetter"/>
      <w:start w:val="2"/>
    </w:lvl>
  </w:abstractNum>
  <w:abstractNum w:abstractNumId="516">
    <w:nsid w:val="6687F34D"/>
    <w:multiLevelType w:val="hybridMultilevel"/>
    <w:lvl w:ilvl="0">
      <w:lvlJc w:val="left"/>
      <w:lvlText w:val="(%1)"/>
      <w:numFmt w:val="lowerLetter"/>
      <w:start w:val="1"/>
    </w:lvl>
  </w:abstractNum>
  <w:abstractNum w:abstractNumId="517">
    <w:nsid w:val="25415B0C"/>
    <w:multiLevelType w:val="hybridMultilevel"/>
    <w:lvl w:ilvl="0">
      <w:lvlJc w:val="left"/>
      <w:lvlText w:val="%1"/>
      <w:numFmt w:val="upperLetter"/>
      <w:start w:val="1"/>
    </w:lvl>
    <w:lvl w:ilvl="1">
      <w:lvlJc w:val="left"/>
      <w:lvlText w:val="(%2)"/>
      <w:numFmt w:val="lowerLetter"/>
      <w:start w:val="5"/>
    </w:lvl>
  </w:abstractNum>
  <w:abstractNum w:abstractNumId="518">
    <w:nsid w:val="17CFC87D"/>
    <w:multiLevelType w:val="hybridMultilevel"/>
    <w:lvl w:ilvl="0">
      <w:lvlJc w:val="left"/>
      <w:lvlText w:val="(%1)"/>
      <w:numFmt w:val="lowerLetter"/>
      <w:start w:val="8"/>
    </w:lvl>
  </w:abstractNum>
  <w:abstractNum w:abstractNumId="519">
    <w:nsid w:val="5D66DC65"/>
    <w:multiLevelType w:val="hybridMultilevel"/>
    <w:lvl w:ilvl="0">
      <w:lvlJc w:val="left"/>
      <w:lvlText w:val="(%1)"/>
      <w:numFmt w:val="lowerLetter"/>
      <w:start w:val="14"/>
    </w:lvl>
  </w:abstractNum>
  <w:abstractNum w:abstractNumId="520">
    <w:nsid w:val="30BB2B99"/>
    <w:multiLevelType w:val="hybridMultilevel"/>
    <w:lvl w:ilvl="0">
      <w:lvlJc w:val="left"/>
      <w:lvlText w:val="%1"/>
      <w:numFmt w:val="upperLetter"/>
      <w:start w:val="1"/>
    </w:lvl>
    <w:lvl w:ilvl="1">
      <w:lvlJc w:val="left"/>
      <w:lvlText w:val="(%2)"/>
      <w:numFmt w:val="lowerRoman"/>
      <w:start w:val="2"/>
    </w:lvl>
  </w:abstractNum>
  <w:abstractNum w:abstractNumId="521">
    <w:nsid w:val="E3DFE6"/>
    <w:multiLevelType w:val="hybridMultilevel"/>
    <w:lvl w:ilvl="0">
      <w:lvlJc w:val="left"/>
      <w:lvlText w:val="(%1)"/>
      <w:numFmt w:val="upperLetter"/>
      <w:start w:val="6"/>
    </w:lvl>
    <w:lvl w:ilvl="1">
      <w:lvlJc w:val="left"/>
      <w:lvlText w:val="(%2)"/>
      <w:numFmt w:val="lowerRoman"/>
      <w:start w:val="3"/>
    </w:lvl>
  </w:abstractNum>
  <w:abstractNum w:abstractNumId="522">
    <w:nsid w:val="595B37F3"/>
    <w:multiLevelType w:val="hybridMultilevel"/>
    <w:lvl w:ilvl="0">
      <w:lvlJc w:val="left"/>
      <w:lvlText w:val="(%1)"/>
      <w:numFmt w:val="upperLetter"/>
      <w:start w:val="2"/>
    </w:lvl>
    <w:lvl w:ilvl="1">
      <w:lvlJc w:val="left"/>
      <w:lvlText w:val="(%2)"/>
      <w:numFmt w:val="lowerRoman"/>
      <w:start w:val="4"/>
    </w:lvl>
  </w:abstractNum>
  <w:abstractNum w:abstractNumId="523">
    <w:nsid w:val="71DB7E02"/>
    <w:multiLevelType w:val="hybridMultilevel"/>
    <w:lvl w:ilvl="0">
      <w:lvlJc w:val="left"/>
      <w:lvlText w:val="(%1)"/>
      <w:numFmt w:val="lowerLetter"/>
      <w:start w:val="16"/>
    </w:lvl>
  </w:abstractNum>
  <w:abstractNum w:abstractNumId="524">
    <w:nsid w:val="17EC0C4"/>
    <w:multiLevelType w:val="hybridMultilevel"/>
    <w:lvl w:ilvl="0">
      <w:lvlJc w:val="left"/>
      <w:lvlText w:val="(%1)"/>
      <w:numFmt w:val="lowerLetter"/>
      <w:start w:val="1"/>
    </w:lvl>
  </w:abstractNum>
  <w:abstractNum w:abstractNumId="525">
    <w:nsid w:val="7173BB22"/>
    <w:multiLevelType w:val="hybridMultilevel"/>
    <w:lvl w:ilvl="0">
      <w:lvlJc w:val="left"/>
      <w:lvlText w:val="(%1)"/>
      <w:numFmt w:val="lowerRoman"/>
      <w:start w:val="1"/>
    </w:lvl>
  </w:abstractNum>
  <w:abstractNum w:abstractNumId="526">
    <w:nsid w:val="169E1DD3"/>
    <w:multiLevelType w:val="hybridMultilevel"/>
    <w:lvl w:ilvl="0">
      <w:lvlJc w:val="left"/>
      <w:lvlText w:val="%1"/>
      <w:numFmt w:val="lowerRoman"/>
      <w:start w:val="1"/>
    </w:lvl>
    <w:lvl w:ilvl="1">
      <w:lvlJc w:val="left"/>
      <w:lvlText w:val="(%2)"/>
      <w:numFmt w:val="lowerRoman"/>
      <w:start w:val="3"/>
    </w:lvl>
  </w:abstractNum>
  <w:abstractNum w:abstractNumId="527">
    <w:nsid w:val="51D141CC"/>
    <w:multiLevelType w:val="hybridMultilevel"/>
    <w:lvl w:ilvl="0">
      <w:lvlJc w:val="left"/>
      <w:lvlText w:val="(%1)"/>
      <w:numFmt w:val="lowerRoman"/>
      <w:start w:val="2"/>
    </w:lvl>
    <w:lvl w:ilvl="1">
      <w:lvlJc w:val="left"/>
      <w:lvlText w:val="%2"/>
      <w:numFmt w:val="lowerRoman"/>
      <w:start w:val="1"/>
    </w:lvl>
  </w:abstractNum>
  <w:abstractNum w:abstractNumId="528">
    <w:nsid w:val="12F9357A"/>
    <w:multiLevelType w:val="hybridMultilevel"/>
    <w:lvl w:ilvl="0">
      <w:lvlJc w:val="left"/>
      <w:lvlText w:val="(%1)"/>
      <w:numFmt w:val="lowerLetter"/>
      <w:start w:val="1"/>
    </w:lvl>
  </w:abstractNum>
  <w:abstractNum w:abstractNumId="529">
    <w:nsid w:val="7672CF28"/>
    <w:multiLevelType w:val="hybridMultilevel"/>
    <w:lvl w:ilvl="0">
      <w:lvlJc w:val="left"/>
      <w:lvlText w:val="%1"/>
      <w:numFmt w:val="lowerLetter"/>
      <w:start w:val="1"/>
    </w:lvl>
    <w:lvl w:ilvl="1">
      <w:lvlJc w:val="left"/>
      <w:lvlText w:val="(%2)"/>
      <w:numFmt w:val="lowerLetter"/>
      <w:start w:val="1"/>
    </w:lvl>
  </w:abstractNum>
  <w:abstractNum w:abstractNumId="530">
    <w:nsid w:val="567D2763"/>
    <w:multiLevelType w:val="hybridMultilevel"/>
    <w:lvl w:ilvl="0">
      <w:lvlJc w:val="left"/>
      <w:lvlText w:val="(%1)"/>
      <w:numFmt w:val="lowerLetter"/>
      <w:start w:val="1"/>
    </w:lvl>
    <w:lvl w:ilvl="1">
      <w:lvlJc w:val="left"/>
      <w:lvlText w:val="(%2)"/>
      <w:numFmt w:val="lowerLetter"/>
      <w:start w:val="2"/>
    </w:lvl>
  </w:abstractNum>
  <w:abstractNum w:abstractNumId="531">
    <w:nsid w:val="6F5DE2EF"/>
    <w:multiLevelType w:val="hybridMultilevel"/>
    <w:lvl w:ilvl="0">
      <w:lvlJc w:val="left"/>
      <w:lvlText w:val="(%1)"/>
      <w:numFmt w:val="lowerLetter"/>
      <w:start w:val="6"/>
    </w:lvl>
  </w:abstractNum>
  <w:abstractNum w:abstractNumId="532">
    <w:nsid w:val="23502A61"/>
    <w:multiLevelType w:val="hybridMultilevel"/>
    <w:lvl w:ilvl="0">
      <w:lvlJc w:val="left"/>
      <w:lvlText w:val="(%1)"/>
      <w:numFmt w:val="lowerLetter"/>
      <w:start w:val="1"/>
    </w:lvl>
  </w:abstractNum>
  <w:abstractNum w:abstractNumId="533">
    <w:nsid w:val="461BC834"/>
    <w:multiLevelType w:val="hybridMultilevel"/>
    <w:lvl w:ilvl="0">
      <w:lvlJc w:val="left"/>
      <w:lvlText w:val="(%1)"/>
      <w:numFmt w:val="lowerLetter"/>
      <w:start w:val="5"/>
    </w:lvl>
  </w:abstractNum>
  <w:abstractNum w:abstractNumId="534">
    <w:nsid w:val="13DDA79D"/>
    <w:multiLevelType w:val="hybridMultilevel"/>
    <w:lvl w:ilvl="0">
      <w:lvlJc w:val="left"/>
      <w:lvlText w:val="(%1)"/>
      <w:numFmt w:val="lowerLetter"/>
      <w:start w:val="25"/>
    </w:lvl>
    <w:lvl w:ilvl="1">
      <w:lvlJc w:val="left"/>
      <w:lvlText w:val="(%2)"/>
      <w:numFmt w:val="lowerLetter"/>
      <w:start w:val="2"/>
    </w:lvl>
  </w:abstractNum>
  <w:abstractNum w:abstractNumId="535">
    <w:nsid w:val="6A104566"/>
    <w:multiLevelType w:val="hybridMultilevel"/>
    <w:lvl w:ilvl="0">
      <w:lvlJc w:val="left"/>
      <w:lvlText w:val="(%1)"/>
      <w:numFmt w:val="lowerLetter"/>
      <w:start w:val="3"/>
    </w:lvl>
  </w:abstractNum>
  <w:abstractNum w:abstractNumId="536">
    <w:nsid w:val="1C8A8ACF"/>
    <w:multiLevelType w:val="hybridMultilevel"/>
    <w:lvl w:ilvl="0">
      <w:lvlJc w:val="left"/>
      <w:lvlText w:val="(%1)"/>
      <w:numFmt w:val="lowerLetter"/>
      <w:start w:val="5"/>
    </w:lvl>
  </w:abstractNum>
  <w:abstractNum w:abstractNumId="537">
    <w:nsid w:val="E73DFE0"/>
    <w:multiLevelType w:val="hybridMultilevel"/>
    <w:lvl w:ilvl="0">
      <w:lvlJc w:val="left"/>
      <w:lvlText w:val="(%1)"/>
      <w:numFmt w:val="lowerLetter"/>
      <w:start w:val="2"/>
    </w:lvl>
  </w:abstractNum>
  <w:abstractNum w:abstractNumId="538">
    <w:nsid w:val="39F174C7"/>
    <w:multiLevelType w:val="hybridMultilevel"/>
    <w:lvl w:ilvl="0">
      <w:lvlJc w:val="left"/>
      <w:lvlText w:val="(%1)"/>
      <w:numFmt w:val="lowerLetter"/>
      <w:start w:val="1"/>
    </w:lvl>
  </w:abstractNum>
  <w:abstractNum w:abstractNumId="539">
    <w:nsid w:val="6E2E2D53"/>
    <w:multiLevelType w:val="hybridMultilevel"/>
    <w:lvl w:ilvl="0">
      <w:lvlJc w:val="left"/>
      <w:lvlText w:val="(%1)"/>
      <w:numFmt w:val="lowerLetter"/>
      <w:start w:val="10"/>
    </w:lvl>
  </w:abstractNum>
  <w:abstractNum w:abstractNumId="540">
    <w:nsid w:val="45DC439D"/>
    <w:multiLevelType w:val="hybridMultilevel"/>
    <w:lvl w:ilvl="0">
      <w:lvlJc w:val="left"/>
      <w:lvlText w:val="(%1)"/>
      <w:numFmt w:val="lowerLetter"/>
      <w:start w:val="14"/>
    </w:lvl>
  </w:abstractNum>
  <w:abstractNum w:abstractNumId="541">
    <w:nsid w:val="3B0A3B87"/>
    <w:multiLevelType w:val="hybridMultilevel"/>
    <w:lvl w:ilvl="0">
      <w:lvlJc w:val="left"/>
      <w:lvlText w:val="(%1)"/>
      <w:numFmt w:val="lowerRoman"/>
      <w:start w:val="5"/>
    </w:lvl>
  </w:abstractNum>
  <w:abstractNum w:abstractNumId="542">
    <w:nsid w:val="6DAC7768"/>
    <w:multiLevelType w:val="hybridMultilevel"/>
    <w:lvl w:ilvl="0">
      <w:lvlJc w:val="left"/>
      <w:lvlText w:val="(%1)"/>
      <w:numFmt w:val="lowerLetter"/>
      <w:start w:val="1"/>
    </w:lvl>
  </w:abstractNum>
  <w:abstractNum w:abstractNumId="543">
    <w:nsid w:val="746AE2E4"/>
    <w:multiLevelType w:val="hybridMultilevel"/>
    <w:lvl w:ilvl="0">
      <w:lvlJc w:val="left"/>
      <w:lvlText w:val="(%1)"/>
      <w:numFmt w:val="lowerLetter"/>
      <w:start w:val="2"/>
    </w:lvl>
  </w:abstractNum>
  <w:abstractNum w:abstractNumId="544">
    <w:nsid w:val="317E611D"/>
    <w:multiLevelType w:val="hybridMultilevel"/>
    <w:lvl w:ilvl="0">
      <w:lvlJc w:val="left"/>
      <w:lvlText w:val="%1"/>
      <w:numFmt w:val="lowerLetter"/>
      <w:start w:val="1"/>
    </w:lvl>
    <w:lvl w:ilvl="1">
      <w:lvlJc w:val="left"/>
      <w:lvlText w:val="(%2)"/>
      <w:numFmt w:val="lowerLetter"/>
      <w:start w:val="1"/>
    </w:lvl>
  </w:abstractNum>
  <w:abstractNum w:abstractNumId="545">
    <w:nsid w:val="7A61D75B"/>
    <w:multiLevelType w:val="hybridMultilevel"/>
    <w:lvl w:ilvl="0">
      <w:lvlJc w:val="left"/>
      <w:lvlText w:val="(%1)"/>
      <w:numFmt w:val="lowerLetter"/>
      <w:start w:val="1"/>
    </w:lvl>
    <w:lvl w:ilvl="1">
      <w:lvlJc w:val="left"/>
      <w:lvlText w:val="(%2)"/>
      <w:numFmt w:val="lowerLetter"/>
      <w:start w:val="8"/>
    </w:lvl>
  </w:abstractNum>
  <w:abstractNum w:abstractNumId="546">
    <w:nsid w:val="164A1482"/>
    <w:multiLevelType w:val="hybridMultilevel"/>
    <w:lvl w:ilvl="0">
      <w:lvlJc w:val="left"/>
      <w:lvlText w:val="%1"/>
      <w:numFmt w:val="lowerLetter"/>
      <w:start w:val="1"/>
    </w:lvl>
    <w:lvl w:ilvl="1">
      <w:lvlJc w:val="left"/>
      <w:lvlText w:val="(%2)"/>
      <w:numFmt w:val="lowerLetter"/>
      <w:start w:val="10"/>
    </w:lvl>
  </w:abstractNum>
  <w:abstractNum w:abstractNumId="547">
    <w:nsid w:val="1806546B"/>
    <w:multiLevelType w:val="hybridMultilevel"/>
    <w:lvl w:ilvl="0">
      <w:lvlJc w:val="left"/>
      <w:lvlText w:val="(%1)"/>
      <w:numFmt w:val="lowerLetter"/>
      <w:start w:val="1"/>
    </w:lvl>
    <w:lvl w:ilvl="1">
      <w:lvlJc w:val="left"/>
      <w:lvlText w:val="%2"/>
      <w:numFmt w:val="lowerLetter"/>
      <w:start w:val="1"/>
    </w:lvl>
  </w:abstractNum>
  <w:abstractNum w:abstractNumId="548">
    <w:nsid w:val="1FA33267"/>
    <w:multiLevelType w:val="hybridMultilevel"/>
    <w:lvl w:ilvl="0">
      <w:lvlJc w:val="left"/>
      <w:lvlText w:val="(%1)"/>
      <w:numFmt w:val="lowerLetter"/>
      <w:start w:val="1"/>
    </w:lvl>
  </w:abstractNum>
  <w:abstractNum w:abstractNumId="549">
    <w:nsid w:val="2E19DD00"/>
    <w:multiLevelType w:val="hybridMultilevel"/>
    <w:lvl w:ilvl="0">
      <w:lvlJc w:val="left"/>
      <w:lvlText w:val="(%1)"/>
      <w:numFmt w:val="lowerLetter"/>
      <w:start w:val="8"/>
    </w:lvl>
  </w:abstractNum>
  <w:abstractNum w:abstractNumId="550">
    <w:nsid w:val="756D30D0"/>
    <w:multiLevelType w:val="hybridMultilevel"/>
    <w:lvl w:ilvl="0">
      <w:lvlJc w:val="left"/>
      <w:lvlText w:val="(%1)"/>
      <w:numFmt w:val="lowerLetter"/>
      <w:start w:val="1"/>
    </w:lvl>
  </w:abstractNum>
  <w:abstractNum w:abstractNumId="551">
    <w:nsid w:val="505E5E01"/>
    <w:multiLevelType w:val="hybridMultilevel"/>
    <w:lvl w:ilvl="0">
      <w:lvlJc w:val="left"/>
      <w:lvlText w:val="(%1)"/>
      <w:numFmt w:val="lowerLetter"/>
      <w:start w:val="1"/>
    </w:lvl>
  </w:abstractNum>
  <w:abstractNum w:abstractNumId="552">
    <w:nsid w:val="2EFDBCE6"/>
    <w:multiLevelType w:val="hybridMultilevel"/>
    <w:lvl w:ilvl="0">
      <w:lvlJc w:val="left"/>
      <w:lvlText w:val="(%1)"/>
      <w:numFmt w:val="lowerLetter"/>
      <w:start w:val="1"/>
    </w:lvl>
  </w:abstractNum>
  <w:abstractNum w:abstractNumId="553">
    <w:nsid w:val="4EC868C4"/>
    <w:multiLevelType w:val="hybridMultilevel"/>
    <w:lvl w:ilvl="0">
      <w:lvlJc w:val="left"/>
      <w:lvlText w:val="(%1)"/>
      <w:numFmt w:val="lowerLetter"/>
      <w:start w:val="2"/>
    </w:lvl>
  </w:abstractNum>
  <w:abstractNum w:abstractNumId="554">
    <w:nsid w:val="4239DC03"/>
    <w:multiLevelType w:val="hybridMultilevel"/>
    <w:lvl w:ilvl="0">
      <w:lvlJc w:val="left"/>
      <w:lvlText w:val="%1"/>
      <w:numFmt w:val="lowerRoman"/>
      <w:start w:val="1"/>
    </w:lvl>
    <w:lvl w:ilvl="1">
      <w:lvlJc w:val="left"/>
      <w:lvlText w:val="(%2)"/>
      <w:numFmt w:val="lowerLetter"/>
      <w:start w:val="7"/>
    </w:lvl>
  </w:abstractNum>
  <w:abstractNum w:abstractNumId="555">
    <w:nsid w:val="307C7DAA"/>
    <w:multiLevelType w:val="hybridMultilevel"/>
    <w:lvl w:ilvl="0">
      <w:lvlJc w:val="left"/>
      <w:lvlText w:val="(%1)"/>
      <w:numFmt w:val="lowerRoman"/>
      <w:start w:val="6"/>
    </w:lvl>
    <w:lvl w:ilvl="1">
      <w:lvlJc w:val="left"/>
      <w:lvlText w:val="(%2)"/>
      <w:numFmt w:val="lowerLetter"/>
      <w:start w:val="8"/>
    </w:lvl>
  </w:abstractNum>
  <w:abstractNum w:abstractNumId="556">
    <w:nsid w:val="403C23E6"/>
    <w:multiLevelType w:val="hybridMultilevel"/>
    <w:lvl w:ilvl="0">
      <w:lvlJc w:val="left"/>
      <w:lvlText w:val="(%1)"/>
      <w:numFmt w:val="lowerLetter"/>
      <w:start w:val="9"/>
    </w:lvl>
  </w:abstractNum>
  <w:abstractNum w:abstractNumId="557">
    <w:nsid w:val="58D7F9D7"/>
    <w:multiLevelType w:val="hybridMultilevel"/>
    <w:lvl w:ilvl="0">
      <w:lvlJc w:val="left"/>
      <w:lvlText w:val="(%1)"/>
      <w:numFmt w:val="lowerLetter"/>
      <w:start w:val="2"/>
    </w:lvl>
  </w:abstractNum>
  <w:abstractNum w:abstractNumId="558">
    <w:nsid w:val="24DBF76"/>
    <w:multiLevelType w:val="hybridMultilevel"/>
    <w:lvl w:ilvl="0">
      <w:lvlJc w:val="left"/>
      <w:lvlText w:val="(%1)"/>
      <w:numFmt w:val="lowerLetter"/>
      <w:start w:val="2"/>
    </w:lvl>
    <w:lvl w:ilvl="1">
      <w:lvlJc w:val="left"/>
      <w:lvlText w:val="(%2)"/>
      <w:numFmt w:val="lowerLetter"/>
      <w:start w:val="9"/>
    </w:lvl>
  </w:abstractNum>
  <w:abstractNum w:abstractNumId="559">
    <w:nsid w:val="53355960"/>
    <w:multiLevelType w:val="hybridMultilevel"/>
    <w:lvl w:ilvl="0">
      <w:lvlJc w:val="left"/>
      <w:lvlText w:val="(%1)"/>
      <w:numFmt w:val="lowerLetter"/>
      <w:start w:val="26"/>
    </w:lvl>
    <w:lvl w:ilvl="1">
      <w:lvlJc w:val="left"/>
      <w:lvlText w:val="(%2)"/>
      <w:numFmt w:val="lowerRoman"/>
      <w:start w:val="2"/>
    </w:lvl>
  </w:abstractNum>
  <w:abstractNum w:abstractNumId="560">
    <w:nsid w:val="4F4AC8FF"/>
    <w:multiLevelType w:val="hybridMultilevel"/>
    <w:lvl w:ilvl="0">
      <w:lvlJc w:val="left"/>
      <w:lvlText w:val="(%1)"/>
      <w:numFmt w:val="lowerLetter"/>
      <w:start w:val="3"/>
    </w:lvl>
  </w:abstractNum>
  <w:abstractNum w:abstractNumId="561">
    <w:nsid w:val="58CAE6D9"/>
    <w:multiLevelType w:val="hybridMultilevel"/>
    <w:lvl w:ilvl="0">
      <w:lvlJc w:val="left"/>
      <w:lvlText w:val="(%1)"/>
      <w:numFmt w:val="lowerLetter"/>
      <w:start w:val="35"/>
    </w:lvl>
    <w:lvl w:ilvl="1">
      <w:lvlJc w:val="left"/>
      <w:lvlText w:val="(%2)"/>
      <w:numFmt w:val="lowerLetter"/>
      <w:start w:val="2"/>
    </w:lvl>
  </w:abstractNum>
  <w:abstractNum w:abstractNumId="562">
    <w:nsid w:val="42933C4F"/>
    <w:multiLevelType w:val="hybridMultilevel"/>
    <w:lvl w:ilvl="0">
      <w:lvlJc w:val="left"/>
      <w:lvlText w:val="(%1)"/>
      <w:numFmt w:val="upperLetter"/>
      <w:start w:val="1"/>
    </w:lvl>
  </w:abstractNum>
  <w:abstractNum w:abstractNumId="563">
    <w:nsid w:val="729AF360"/>
    <w:multiLevelType w:val="hybridMultilevel"/>
    <w:lvl w:ilvl="0">
      <w:lvlJc w:val="left"/>
      <w:lvlText w:val="(%1)"/>
      <w:numFmt w:val="upperLetter"/>
      <w:start w:val="2"/>
    </w:lvl>
  </w:abstractNum>
  <w:abstractNum w:abstractNumId="564">
    <w:nsid w:val="1EE6AF0D"/>
    <w:multiLevelType w:val="hybridMultilevel"/>
    <w:lvl w:ilvl="0">
      <w:lvlJc w:val="left"/>
      <w:lvlText w:val="(%1)"/>
      <w:numFmt w:val="lowerRoman"/>
      <w:start w:val="2"/>
    </w:lvl>
  </w:abstractNum>
  <w:abstractNum w:abstractNumId="565">
    <w:nsid w:val="5670E3ED"/>
    <w:multiLevelType w:val="hybridMultilevel"/>
    <w:lvl w:ilvl="0">
      <w:lvlJc w:val="left"/>
      <w:lvlText w:val="(%1)"/>
      <w:numFmt w:val="upperLetter"/>
      <w:start w:val="1"/>
    </w:lvl>
  </w:abstractNum>
  <w:abstractNum w:abstractNumId="566">
    <w:nsid w:val="5CAB38C6"/>
    <w:multiLevelType w:val="hybridMultilevel"/>
    <w:lvl w:ilvl="0">
      <w:lvlJc w:val="left"/>
      <w:lvlText w:val="(%1)"/>
      <w:numFmt w:val="lowerRoman"/>
      <w:start w:val="3"/>
    </w:lvl>
  </w:abstractNum>
  <w:abstractNum w:abstractNumId="567">
    <w:nsid w:val="3B7139DD"/>
    <w:multiLevelType w:val="hybridMultilevel"/>
    <w:lvl w:ilvl="0">
      <w:lvlJc w:val="left"/>
      <w:lvlText w:val="%1"/>
      <w:numFmt w:val="lowerLetter"/>
      <w:start w:val="1"/>
    </w:lvl>
    <w:lvl w:ilvl="1">
      <w:lvlJc w:val="left"/>
      <w:lvlText w:val="(%2)"/>
      <w:numFmt w:val="lowerRoman"/>
      <w:start w:val="4"/>
    </w:lvl>
  </w:abstractNum>
  <w:abstractNum w:abstractNumId="568">
    <w:nsid w:val="64E4C3CD"/>
    <w:multiLevelType w:val="hybridMultilevel"/>
    <w:lvl w:ilvl="0">
      <w:lvlJc w:val="left"/>
      <w:lvlText w:val="(%1)"/>
      <w:numFmt w:val="lowerLetter"/>
      <w:start w:val="2"/>
    </w:lvl>
    <w:lvl w:ilvl="1">
      <w:lvlJc w:val="left"/>
      <w:lvlText w:val="%2"/>
      <w:numFmt w:val="lowerRoman"/>
      <w:start w:val="1"/>
    </w:lvl>
  </w:abstractNum>
  <w:abstractNum w:abstractNumId="569">
    <w:nsid w:val="169CAD8D"/>
    <w:multiLevelType w:val="hybridMultilevel"/>
    <w:lvl w:ilvl="0">
      <w:lvlJc w:val="left"/>
      <w:lvlText w:val="(%1)"/>
      <w:numFmt w:val="lowerLetter"/>
      <w:start w:val="3"/>
    </w:lvl>
  </w:abstractNum>
  <w:abstractNum w:abstractNumId="570">
    <w:nsid w:val="299F6730"/>
    <w:multiLevelType w:val="hybridMultilevel"/>
    <w:lvl w:ilvl="0">
      <w:lvlJc w:val="left"/>
      <w:lvlText w:val="(%1)"/>
      <w:numFmt w:val="lowerRoman"/>
      <w:start w:val="2"/>
    </w:lvl>
  </w:abstractNum>
  <w:abstractNum w:abstractNumId="571">
    <w:nsid w:val="2AC1076A"/>
    <w:multiLevelType w:val="hybridMultilevel"/>
    <w:lvl w:ilvl="0">
      <w:lvlJc w:val="left"/>
      <w:lvlText w:val="(%1)"/>
      <w:numFmt w:val="lowerLetter"/>
      <w:start w:val="4"/>
    </w:lvl>
  </w:abstractNum>
  <w:abstractNum w:abstractNumId="572">
    <w:nsid w:val="51A6E915"/>
    <w:multiLevelType w:val="hybridMultilevel"/>
    <w:lvl w:ilvl="0">
      <w:lvlJc w:val="left"/>
      <w:lvlText w:val="(%1)"/>
      <w:numFmt w:val="lowerLetter"/>
      <w:start w:val="2"/>
    </w:lvl>
  </w:abstractNum>
  <w:abstractNum w:abstractNumId="573">
    <w:nsid w:val="174BDE99"/>
    <w:multiLevelType w:val="hybridMultilevel"/>
    <w:lvl w:ilvl="0">
      <w:lvlJc w:val="left"/>
      <w:lvlText w:val="(%1)"/>
      <w:numFmt w:val="lowerLetter"/>
      <w:start w:val="3"/>
    </w:lvl>
  </w:abstractNum>
  <w:abstractNum w:abstractNumId="574">
    <w:nsid w:val="1F2BEA4E"/>
    <w:multiLevelType w:val="hybridMultilevel"/>
    <w:lvl w:ilvl="0">
      <w:lvlJc w:val="left"/>
      <w:lvlText w:val="(%1)"/>
      <w:numFmt w:val="lowerLetter"/>
      <w:start w:val="1"/>
    </w:lvl>
  </w:abstractNum>
  <w:abstractNum w:abstractNumId="575">
    <w:nsid w:val="3254A32"/>
    <w:multiLevelType w:val="hybridMultilevel"/>
    <w:lvl w:ilvl="0">
      <w:lvlJc w:val="left"/>
      <w:lvlText w:val="(%1)"/>
      <w:numFmt w:val="lowerLetter"/>
      <w:start w:val="7"/>
    </w:lvl>
  </w:abstractNum>
  <w:abstractNum w:abstractNumId="576">
    <w:nsid w:val="11ADB5F4"/>
    <w:multiLevelType w:val="hybridMultilevel"/>
    <w:lvl w:ilvl="0">
      <w:lvlJc w:val="left"/>
      <w:lvlText w:val="(%1)"/>
      <w:numFmt w:val="lowerLetter"/>
      <w:start w:val="1"/>
    </w:lvl>
  </w:abstractNum>
  <w:abstractNum w:abstractNumId="577">
    <w:nsid w:val="3575FED1"/>
    <w:multiLevelType w:val="hybridMultilevel"/>
    <w:lvl w:ilvl="0">
      <w:lvlJc w:val="left"/>
      <w:lvlText w:val="%1."/>
      <w:numFmt w:val="decimal"/>
      <w:start w:val="1"/>
    </w:lvl>
    <w:lvl w:ilvl="1">
      <w:lvlJc w:val="left"/>
      <w:lvlText w:val="(%2)"/>
      <w:numFmt w:val="decimal"/>
      <w:start w:val="1"/>
    </w:lvl>
  </w:abstractNum>
  <w:abstractNum w:abstractNumId="578">
    <w:nsid w:val="1B2B9E9D"/>
    <w:multiLevelType w:val="hybridMultilevel"/>
    <w:lvl w:ilvl="0">
      <w:lvlJc w:val="left"/>
      <w:lvlText w:val="%1"/>
      <w:numFmt w:val="decimal"/>
      <w:start w:val="1"/>
    </w:lvl>
    <w:lvl w:ilvl="1">
      <w:lvlJc w:val="left"/>
      <w:lvlText w:val="(%2)"/>
      <w:numFmt w:val="decimal"/>
      <w:start w:val="3"/>
    </w:lvl>
  </w:abstractNum>
  <w:abstractNum w:abstractNumId="579">
    <w:nsid w:val="3150E85C"/>
    <w:multiLevelType w:val="hybridMultilevel"/>
    <w:lvl w:ilvl="0">
      <w:lvlJc w:val="left"/>
      <w:lvlText w:val="%1."/>
      <w:numFmt w:val="decimal"/>
      <w:start w:val="3"/>
    </w:lvl>
    <w:lvl w:ilvl="1">
      <w:lvlJc w:val="left"/>
      <w:lvlText w:val="(%2)"/>
      <w:numFmt w:val="decimal"/>
      <w:start w:val="1"/>
    </w:lvl>
  </w:abstractNum>
  <w:abstractNum w:abstractNumId="580">
    <w:nsid w:val="638FDBD1"/>
    <w:multiLevelType w:val="hybridMultilevel"/>
    <w:lvl w:ilvl="0">
      <w:lvlJc w:val="left"/>
      <w:lvlText w:val="-"/>
      <w:numFmt w:val="bullet"/>
      <w:start w:val="1"/>
    </w:lvl>
  </w:abstractNum>
  <w:abstractNum w:abstractNumId="581">
    <w:nsid w:val="1098CF6E"/>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582">
    <w:nsid w:val="1AF465D"/>
    <w:multiLevelType w:val="hybridMultilevel"/>
    <w:lvl w:ilvl="0">
      <w:lvlJc w:val="left"/>
      <w:lvlText w:val="%1."/>
      <w:numFmt w:val="lowerLetter"/>
      <w:start w:val="2"/>
    </w:lvl>
    <w:lvl w:ilvl="1">
      <w:lvlJc w:val="left"/>
      <w:lvlText w:val="(%2)"/>
      <w:numFmt w:val="decimal"/>
      <w:start w:val="1"/>
    </w:lvl>
  </w:abstractNum>
  <w:abstractNum w:abstractNumId="583">
    <w:nsid w:val="128D98B7"/>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584">
    <w:nsid w:val="5F613832"/>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585">
    <w:nsid w:val="43E92260"/>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586">
    <w:nsid w:val="430A1662"/>
    <w:multiLevelType w:val="hybridMultilevel"/>
    <w:lvl w:ilvl="0">
      <w:lvlJc w:val="left"/>
      <w:lvlText w:val="%1."/>
      <w:numFmt w:val="lowerLetter"/>
      <w:start w:val="2"/>
    </w:lvl>
  </w:abstractNum>
  <w:abstractNum w:abstractNumId="587">
    <w:nsid w:val="1F9D5C18"/>
    <w:multiLevelType w:val="hybridMultilevel"/>
    <w:lvl w:ilvl="0">
      <w:lvlJc w:val="left"/>
      <w:lvlText w:val="-"/>
      <w:numFmt w:val="bullet"/>
      <w:start w:val="1"/>
    </w:lvl>
  </w:abstractNum>
  <w:abstractNum w:abstractNumId="588">
    <w:nsid w:val="1CC11C37"/>
    <w:multiLevelType w:val="hybridMultilevel"/>
    <w:lvl w:ilvl="0">
      <w:lvlJc w:val="left"/>
      <w:lvlText w:val="%1."/>
      <w:numFmt w:val="decimal"/>
      <w:start w:val="1"/>
    </w:lvl>
    <w:lvl w:ilvl="1">
      <w:lvlJc w:val="left"/>
      <w:lvlText w:val="(%2)"/>
      <w:numFmt w:val="lowerLetter"/>
      <w:start w:val="1"/>
    </w:lvl>
  </w:abstractNum>
  <w:abstractNum w:abstractNumId="589">
    <w:nsid w:val="4557D5D8"/>
    <w:multiLevelType w:val="hybridMultilevel"/>
    <w:lvl w:ilvl="0">
      <w:lvlJc w:val="left"/>
      <w:lvlText w:val="%1."/>
      <w:numFmt w:val="decimal"/>
      <w:start w:val="1"/>
    </w:lvl>
    <w:lvl w:ilvl="1">
      <w:lvlJc w:val="left"/>
      <w:lvlText w:val="(%2)"/>
      <w:numFmt w:val="lowerLetter"/>
      <w:start w:val="1"/>
    </w:lvl>
  </w:abstractNum>
  <w:abstractNum w:abstractNumId="590">
    <w:nsid w:val="72D2B579"/>
    <w:multiLevelType w:val="hybridMultilevel"/>
    <w:lvl w:ilvl="0">
      <w:lvlJc w:val="left"/>
      <w:lvlText w:val="%1)"/>
      <w:numFmt w:val="decimal"/>
      <w:start w:val="1"/>
    </w:lvl>
  </w:abstractNum>
  <w:abstractNum w:abstractNumId="591">
    <w:nsid w:val="6C0BE53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2019-12-20T02:15:33Z</dcterms:created>
  <dcterms:modified xsi:type="dcterms:W3CDTF">2019-12-20T02:15:33Z</dcterms:modified>
</cp:coreProperties>
</file>