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June 14, 1996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320"/>
        <w:spacing w:after="0"/>
        <w:rPr>
          <w:sz w:val="20"/>
          <w:szCs w:val="20"/>
          <w:color w:val="auto"/>
        </w:rPr>
      </w:pPr>
      <w:r>
        <w:rPr>
          <w:rFonts w:ascii="Courier New" w:cs="Courier New" w:eastAsia="Courier New" w:hAnsi="Courier New"/>
          <w:sz w:val="18"/>
          <w:szCs w:val="18"/>
          <w:color w:val="auto"/>
        </w:rPr>
        <w:t>Registration No. 333-________________</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ind w:left="19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the registrant as specified</w:t>
      </w:r>
    </w:p>
    <w:p>
      <w:pPr>
        <w:jc w:val="center"/>
        <w:ind w:right="1659"/>
        <w:spacing w:after="0" w:line="237" w:lineRule="auto"/>
        <w:rPr>
          <w:sz w:val="20"/>
          <w:szCs w:val="20"/>
          <w:color w:val="auto"/>
        </w:rPr>
      </w:pPr>
      <w:r>
        <w:rPr>
          <w:rFonts w:ascii="Courier New" w:cs="Courier New" w:eastAsia="Courier New" w:hAnsi="Courier New"/>
          <w:sz w:val="18"/>
          <w:szCs w:val="18"/>
          <w:color w:val="auto"/>
        </w:rPr>
        <w:t>in its charter)</w:t>
      </w:r>
    </w:p>
    <w:p>
      <w:pPr>
        <w:sectPr>
          <w:pgSz w:w="11900" w:h="16838" w:orient="portrait"/>
          <w:cols w:equalWidth="0" w:num="1">
            <w:col w:w="10219"/>
          </w:cols>
          <w:pgMar w:left="240" w:top="452" w:right="1440" w:bottom="0"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(I.R.S. Employer</w:t>
      </w:r>
    </w:p>
    <w:p>
      <w:pPr>
        <w:ind w:left="54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340" w:space="720"/>
            <w:col w:w="5159"/>
          </w:cols>
          <w:pgMar w:left="240" w:top="452" w:right="1440" w:bottom="0" w:gutter="0" w:footer="0" w:header="0"/>
          <w:type w:val="continuous"/>
        </w:sectPr>
      </w:pPr>
    </w:p>
    <w:p>
      <w:pPr>
        <w:spacing w:after="0" w:line="2" w:lineRule="exact"/>
        <w:rPr>
          <w:sz w:val="24"/>
          <w:szCs w:val="24"/>
          <w:color w:val="auto"/>
        </w:rPr>
      </w:pPr>
    </w:p>
    <w:p>
      <w:pPr>
        <w:spacing w:after="0"/>
        <w:tabs>
          <w:tab w:leader="none" w:pos="746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8"/>
          <w:szCs w:val="18"/>
          <w:color w:val="auto"/>
        </w:rPr>
        <w:t>43041</w:t>
      </w:r>
    </w:p>
    <w:p>
      <w:pPr>
        <w:sectPr>
          <w:pgSz w:w="11900" w:h="16838" w:orient="portrait"/>
          <w:cols w:equalWidth="0" w:num="1">
            <w:col w:w="10219"/>
          </w:cols>
          <w:pgMar w:left="240" w:top="452" w:right="1440" w:bottom="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(Address of Principal Executive</w:t>
      </w:r>
      <w:r>
        <w:rPr>
          <w:sz w:val="20"/>
          <w:szCs w:val="20"/>
          <w:color w:val="auto"/>
        </w:rPr>
        <w:tab/>
      </w:r>
      <w:r>
        <w:rPr>
          <w:rFonts w:ascii="Courier New" w:cs="Courier New" w:eastAsia="Courier New" w:hAnsi="Courier New"/>
          <w:sz w:val="16"/>
          <w:szCs w:val="16"/>
          <w:color w:val="auto"/>
        </w:rPr>
        <w:t>(Zip Code)</w:t>
      </w:r>
    </w:p>
    <w:p>
      <w:pPr>
        <w:spacing w:after="0" w:line="238" w:lineRule="auto"/>
        <w:rPr>
          <w:sz w:val="20"/>
          <w:szCs w:val="20"/>
          <w:color w:val="auto"/>
        </w:rPr>
      </w:pPr>
      <w:r>
        <w:rPr>
          <w:rFonts w:ascii="Courier New" w:cs="Courier New" w:eastAsia="Courier New" w:hAnsi="Courier New"/>
          <w:sz w:val="18"/>
          <w:szCs w:val="18"/>
          <w:color w:val="auto"/>
        </w:rPr>
        <w:t>Offices)</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Scotts Company</w:t>
      </w:r>
    </w:p>
    <w:p>
      <w:pPr>
        <w:jc w:val="center"/>
        <w:ind w:right="1999"/>
        <w:spacing w:after="0" w:line="238" w:lineRule="auto"/>
        <w:rPr>
          <w:sz w:val="20"/>
          <w:szCs w:val="20"/>
          <w:color w:val="auto"/>
        </w:rPr>
      </w:pPr>
      <w:r>
        <w:rPr>
          <w:rFonts w:ascii="Courier New" w:cs="Courier New" w:eastAsia="Courier New" w:hAnsi="Courier New"/>
          <w:sz w:val="18"/>
          <w:szCs w:val="18"/>
          <w:color w:val="auto"/>
        </w:rPr>
        <w:t>1996 Stock Option Plan</w:t>
      </w:r>
    </w:p>
    <w:p>
      <w:pPr>
        <w:jc w:val="center"/>
        <w:ind w:right="1999"/>
        <w:spacing w:after="0"/>
        <w:rPr>
          <w:sz w:val="20"/>
          <w:szCs w:val="20"/>
          <w:color w:val="auto"/>
        </w:rPr>
      </w:pPr>
      <w:r>
        <w:rPr>
          <w:rFonts w:ascii="Courier New" w:cs="Courier New" w:eastAsia="Courier New" w:hAnsi="Courier New"/>
          <w:sz w:val="18"/>
          <w:szCs w:val="18"/>
          <w:color w:val="auto"/>
        </w:rPr>
        <w:t>(Full title of the plan)</w:t>
      </w:r>
    </w:p>
    <w:p>
      <w:pPr>
        <w:sectPr>
          <w:pgSz w:w="11900" w:h="16838" w:orient="portrait"/>
          <w:cols w:equalWidth="0" w:num="1">
            <w:col w:w="10219"/>
          </w:cols>
          <w:pgMar w:left="240" w:top="452" w:right="1440" w:bottom="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Christiane W. Schmenk, Esq.</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7" w:lineRule="auto"/>
        <w:rPr>
          <w:sz w:val="20"/>
          <w:szCs w:val="20"/>
          <w:color w:val="auto"/>
        </w:rPr>
      </w:pPr>
      <w:r>
        <w:rPr>
          <w:rFonts w:ascii="Courier New" w:cs="Courier New" w:eastAsia="Courier New" w:hAnsi="Courier New"/>
          <w:sz w:val="18"/>
          <w:szCs w:val="18"/>
          <w:color w:val="auto"/>
        </w:rPr>
        <w:t>Marysville, Ohio 43041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Copy to:</w:t>
      </w:r>
    </w:p>
    <w:p>
      <w:pPr>
        <w:spacing w:after="0" w:line="238" w:lineRule="auto"/>
        <w:rPr>
          <w:sz w:val="20"/>
          <w:szCs w:val="20"/>
          <w:color w:val="auto"/>
        </w:rPr>
      </w:pPr>
      <w:r>
        <w:rPr>
          <w:rFonts w:ascii="Courier New" w:cs="Courier New" w:eastAsia="Courier New" w:hAnsi="Courier New"/>
          <w:sz w:val="18"/>
          <w:szCs w:val="18"/>
          <w:color w:val="auto"/>
        </w:rPr>
        <w:t>Elizabeth Turrell Farrar,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Vorys, Sater, Seymour and Pease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 East Gay Street</w:t>
      </w:r>
    </w:p>
    <w:p>
      <w:pPr>
        <w:spacing w:after="0" w:line="238" w:lineRule="auto"/>
        <w:rPr>
          <w:sz w:val="20"/>
          <w:szCs w:val="20"/>
          <w:color w:val="auto"/>
        </w:rPr>
      </w:pPr>
      <w:r>
        <w:rPr>
          <w:rFonts w:ascii="Courier New" w:cs="Courier New" w:eastAsia="Courier New" w:hAnsi="Courier New"/>
          <w:sz w:val="18"/>
          <w:szCs w:val="18"/>
          <w:color w:val="auto"/>
        </w:rPr>
        <w:t>P.O. Box 1008</w:t>
      </w:r>
    </w:p>
    <w:p>
      <w:pPr>
        <w:ind w:left="200"/>
        <w:spacing w:after="0"/>
        <w:rPr>
          <w:sz w:val="20"/>
          <w:szCs w:val="20"/>
          <w:color w:val="auto"/>
        </w:rPr>
      </w:pPr>
      <w:r>
        <w:rPr>
          <w:rFonts w:ascii="Courier New" w:cs="Courier New" w:eastAsia="Courier New" w:hAnsi="Courier New"/>
          <w:sz w:val="18"/>
          <w:szCs w:val="18"/>
          <w:color w:val="auto"/>
        </w:rPr>
        <w:t>Columbus, Ohio 43216-1008</w:t>
      </w:r>
    </w:p>
    <w:p>
      <w:pPr>
        <w:spacing w:after="0" w:line="401" w:lineRule="exact"/>
        <w:rPr>
          <w:sz w:val="24"/>
          <w:szCs w:val="24"/>
          <w:color w:val="auto"/>
        </w:rPr>
      </w:pPr>
    </w:p>
    <w:p>
      <w:pPr>
        <w:sectPr>
          <w:pgSz w:w="11900" w:h="16838" w:orient="portrait"/>
          <w:cols w:equalWidth="0" w:num="2">
            <w:col w:w="4320" w:space="640"/>
            <w:col w:w="5259"/>
          </w:cols>
          <w:pgMar w:left="240" w:top="452" w:right="1440" w:bottom="0" w:gutter="0" w:footer="0" w:header="0"/>
          <w:type w:val="continuous"/>
        </w:sect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(513) 644-0011</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0" w:gutter="0" w:footer="0" w:header="0"/>
          <w:type w:val="continuous"/>
        </w:sectPr>
      </w:pPr>
    </w:p>
    <w:p>
      <w:pPr>
        <w:spacing w:after="0" w:line="1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(Telephone number, including area code, of agent</w:t>
      </w:r>
    </w:p>
    <w:p>
      <w:pPr>
        <w:jc w:val="center"/>
        <w:ind w:right="1979"/>
        <w:spacing w:after="0" w:line="238" w:lineRule="auto"/>
        <w:rPr>
          <w:sz w:val="20"/>
          <w:szCs w:val="20"/>
          <w:color w:val="auto"/>
        </w:rPr>
      </w:pPr>
      <w:r>
        <w:rPr>
          <w:rFonts w:ascii="Courier New" w:cs="Courier New" w:eastAsia="Courier New" w:hAnsi="Courier New"/>
          <w:sz w:val="18"/>
          <w:szCs w:val="18"/>
          <w:color w:val="auto"/>
        </w:rPr>
        <w:t>for service)</w:t>
      </w:r>
    </w:p>
    <w:p>
      <w:pPr>
        <w:ind w:left="2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Page 1 of 35 Pages.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Index to Exhibits begins at Page II-14 (Page 16 as sequentially numbered).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[Continuation of Facing Page]</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Calculation of Registration Fee</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ind w:left="480"/>
              <w:spacing w:after="0"/>
              <w:rPr>
                <w:sz w:val="20"/>
                <w:szCs w:val="20"/>
                <w:color w:val="auto"/>
              </w:rPr>
            </w:pPr>
            <w:r>
              <w:rPr>
                <w:rFonts w:ascii="Courier New" w:cs="Courier New" w:eastAsia="Courier New" w:hAnsi="Courier New"/>
                <w:sz w:val="18"/>
                <w:szCs w:val="18"/>
                <w:color w:val="auto"/>
              </w:rPr>
              <w:t>Proposed</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5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w:t>
            </w:r>
          </w:p>
        </w:tc>
        <w:tc>
          <w:tcPr>
            <w:tcW w:w="1780" w:type="dxa"/>
            <w:vAlign w:val="bottom"/>
          </w:tcPr>
          <w:p>
            <w:pPr>
              <w:spacing w:after="0"/>
              <w:rPr>
                <w:sz w:val="17"/>
                <w:szCs w:val="17"/>
                <w:color w:val="auto"/>
              </w:rPr>
            </w:pPr>
          </w:p>
        </w:tc>
        <w:tc>
          <w:tcPr>
            <w:tcW w:w="1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maximum</w:t>
            </w:r>
          </w:p>
        </w:tc>
        <w:tc>
          <w:tcPr>
            <w:tcW w:w="15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Amount</w:t>
            </w:r>
          </w:p>
        </w:tc>
        <w:tc>
          <w:tcPr>
            <w:tcW w:w="1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5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Amount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7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to be</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1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registered</w:t>
            </w:r>
          </w:p>
        </w:tc>
        <w:tc>
          <w:tcPr>
            <w:tcW w:w="1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 unit (1)</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 (1)</w:t>
            </w:r>
          </w:p>
        </w:tc>
        <w:tc>
          <w:tcPr>
            <w:tcW w:w="15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8"/>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20"/>
                <w:szCs w:val="20"/>
                <w:color w:val="auto"/>
              </w:rPr>
            </w:pPr>
            <w:r>
              <w:rPr>
                <w:rFonts w:ascii="Courier New" w:cs="Courier New" w:eastAsia="Courier New" w:hAnsi="Courier New"/>
                <w:sz w:val="18"/>
                <w:szCs w:val="18"/>
                <w:color w:val="auto"/>
              </w:rPr>
              <w:t>Common Shares,</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1,500,000</w:t>
            </w:r>
          </w:p>
        </w:tc>
        <w:tc>
          <w:tcPr>
            <w:tcW w:w="348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$20.1875 for   $28,317,875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$9,765</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without par value</w:t>
            </w:r>
          </w:p>
        </w:tc>
        <w:tc>
          <w:tcPr>
            <w:tcW w:w="1360" w:type="dxa"/>
            <w:vAlign w:val="bottom"/>
          </w:tcPr>
          <w:p>
            <w:pPr>
              <w:spacing w:after="0"/>
              <w:rPr>
                <w:sz w:val="17"/>
                <w:szCs w:val="17"/>
                <w:color w:val="auto"/>
              </w:rPr>
            </w:pP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190,000</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w:t>
            </w:r>
          </w:p>
        </w:tc>
        <w:tc>
          <w:tcPr>
            <w:tcW w:w="100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$19.50</w:t>
            </w:r>
          </w:p>
        </w:tc>
        <w:tc>
          <w:tcPr>
            <w:tcW w:w="1000" w:type="dxa"/>
            <w:vAlign w:val="bottom"/>
          </w:tcPr>
          <w:p>
            <w:pPr>
              <w:spacing w:after="0"/>
              <w:rPr>
                <w:sz w:val="17"/>
                <w:szCs w:val="17"/>
                <w:color w:val="auto"/>
              </w:rPr>
            </w:pPr>
          </w:p>
        </w:tc>
      </w:tr>
    </w:tbl>
    <w:p>
      <w:pPr>
        <w:ind w:left="3800"/>
        <w:spacing w:after="0" w:line="238" w:lineRule="auto"/>
        <w:rPr>
          <w:sz w:val="20"/>
          <w:szCs w:val="20"/>
          <w:color w:val="auto"/>
        </w:rPr>
      </w:pPr>
      <w:r>
        <w:rPr>
          <w:rFonts w:ascii="Courier New" w:cs="Courier New" w:eastAsia="Courier New" w:hAnsi="Courier New"/>
          <w:sz w:val="18"/>
          <w:szCs w:val="18"/>
          <w:color w:val="auto"/>
        </w:rPr>
        <w:t>for 2,000</w:t>
      </w:r>
    </w:p>
    <w:p>
      <w:pPr>
        <w:ind w:left="3580"/>
        <w:spacing w:after="0"/>
        <w:rPr>
          <w:sz w:val="20"/>
          <w:szCs w:val="20"/>
          <w:color w:val="auto"/>
        </w:rPr>
      </w:pPr>
      <w:r>
        <w:rPr>
          <w:rFonts w:ascii="Courier New" w:cs="Courier New" w:eastAsia="Courier New" w:hAnsi="Courier New"/>
          <w:sz w:val="18"/>
          <w:szCs w:val="18"/>
          <w:color w:val="auto"/>
        </w:rPr>
        <w:t>common shares;</w:t>
      </w:r>
    </w:p>
    <w:p>
      <w:pPr>
        <w:sectPr>
          <w:pgSz w:w="11900" w:h="16838" w:orient="portrait"/>
          <w:cols w:equalWidth="0" w:num="1">
            <w:col w:w="10219"/>
          </w:cols>
          <w:pgMar w:left="240" w:top="452" w:right="1440" w:bottom="0" w:gutter="0" w:footer="0" w:header="0"/>
          <w:type w:val="continuous"/>
        </w:sectPr>
      </w:pPr>
    </w:p>
    <w:bookmarkStart w:id="1" w:name="page2"/>
    <w:bookmarkEnd w:id="1"/>
    <w:p>
      <w:pPr>
        <w:jc w:val="center"/>
        <w:ind w:right="1579"/>
        <w:spacing w:after="0"/>
        <w:rPr>
          <w:sz w:val="20"/>
          <w:szCs w:val="20"/>
          <w:color w:val="auto"/>
        </w:rPr>
      </w:pPr>
      <w:r>
        <w:rPr>
          <w:rFonts w:ascii="Courier New" w:cs="Courier New" w:eastAsia="Courier New" w:hAnsi="Courier New"/>
          <w:sz w:val="18"/>
          <w:szCs w:val="18"/>
          <w:color w:val="auto"/>
        </w:rPr>
        <w:t>$18.6875 for</w:t>
      </w:r>
    </w:p>
    <w:p>
      <w:pPr>
        <w:jc w:val="center"/>
        <w:ind w:right="1679"/>
        <w:spacing w:after="0" w:line="238" w:lineRule="auto"/>
        <w:rPr>
          <w:sz w:val="20"/>
          <w:szCs w:val="20"/>
          <w:color w:val="auto"/>
        </w:rPr>
      </w:pPr>
      <w:r>
        <w:rPr>
          <w:rFonts w:ascii="Courier New" w:cs="Courier New" w:eastAsia="Courier New" w:hAnsi="Courier New"/>
          <w:sz w:val="18"/>
          <w:szCs w:val="18"/>
          <w:color w:val="auto"/>
        </w:rPr>
        <w:t>1,308,000</w:t>
      </w:r>
    </w:p>
    <w:p>
      <w:pPr>
        <w:jc w:val="center"/>
        <w:ind w:right="1679"/>
        <w:spacing w:after="0"/>
        <w:rPr>
          <w:sz w:val="20"/>
          <w:szCs w:val="20"/>
          <w:color w:val="auto"/>
        </w:rPr>
      </w:pPr>
      <w:r>
        <w:rPr>
          <w:rFonts w:ascii="Courier New" w:cs="Courier New" w:eastAsia="Courier New" w:hAnsi="Courier New"/>
          <w:sz w:val="18"/>
          <w:szCs w:val="18"/>
          <w:color w:val="auto"/>
        </w:rPr>
        <w:t>common shares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both"/>
        <w:ind w:left="540" w:right="1999" w:hanging="532"/>
        <w:spacing w:after="0" w:line="270"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aggregate offering price and the registration fee pursuant to Rules 457(c) and 457(h) promulgated under the Securities Act of 1933, as amended, and computed on the basis of (a) $20.1875 per share for 190,000 common shares, which is the price at which options granted to purchase such common shares may be exercised; (b) $19.50 per share for 2,000 common shares, which is the price at which options granted to purchase such common shares may be exercised; and (c) $18.6875 per share for 1,308,000 common shares, which is the average of the high and low sales prices of the Common Shares as reported on the New York Stock Exchange on June 12, 1996.</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II-14</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jc w:val="both"/>
        <w:ind w:right="1999" w:firstLine="1264"/>
        <w:spacing w:after="0" w:line="275" w:lineRule="auto"/>
        <w:rPr>
          <w:sz w:val="20"/>
          <w:szCs w:val="20"/>
          <w:color w:val="auto"/>
        </w:rPr>
      </w:pPr>
      <w:r>
        <w:rPr>
          <w:rFonts w:ascii="Courier New" w:cs="Courier New" w:eastAsia="Courier New" w:hAnsi="Courier New"/>
          <w:sz w:val="16"/>
          <w:szCs w:val="16"/>
          <w:color w:val="auto"/>
        </w:rPr>
        <w:t>The following reports of The Scotts Company (the "Registrant") filed with the Securities and Exchange Commission (the "Commission") pursuant to the requirements of Section 13(a) of the Securities Exchange Act of 1934, as amended (the "Exchange Act"), are incorporated herein by this reference:</w:t>
      </w:r>
    </w:p>
    <w:p>
      <w:pPr>
        <w:spacing w:after="0" w:line="182" w:lineRule="exact"/>
        <w:rPr>
          <w:sz w:val="20"/>
          <w:szCs w:val="20"/>
          <w:color w:val="auto"/>
        </w:rPr>
      </w:pPr>
    </w:p>
    <w:p>
      <w:pPr>
        <w:jc w:val="both"/>
        <w:ind w:left="1900" w:right="1999" w:hanging="628"/>
        <w:spacing w:after="0" w:line="236"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for the fiscal year ended September 30, 1995, as amended by the Annual Report on Form 10-K/A for the fiscal year ended September 30, 1995;</w:t>
      </w:r>
    </w:p>
    <w:p>
      <w:pPr>
        <w:spacing w:after="0" w:line="208" w:lineRule="exact"/>
        <w:rPr>
          <w:rFonts w:ascii="Courier New" w:cs="Courier New" w:eastAsia="Courier New" w:hAnsi="Courier New"/>
          <w:sz w:val="18"/>
          <w:szCs w:val="18"/>
          <w:color w:val="auto"/>
        </w:rPr>
      </w:pPr>
    </w:p>
    <w:p>
      <w:pPr>
        <w:jc w:val="both"/>
        <w:ind w:left="1900" w:right="1999" w:hanging="628"/>
        <w:spacing w:after="0" w:line="237"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for the fiscal quarter ended December 30, 1995, as amended by the Quarterly Report on Form 10-Q/A for the fiscal quarter ended December 30, 1995;</w:t>
      </w:r>
    </w:p>
    <w:p>
      <w:pPr>
        <w:spacing w:after="0" w:line="207" w:lineRule="exact"/>
        <w:rPr>
          <w:rFonts w:ascii="Courier New" w:cs="Courier New" w:eastAsia="Courier New" w:hAnsi="Courier New"/>
          <w:sz w:val="18"/>
          <w:szCs w:val="18"/>
          <w:color w:val="auto"/>
        </w:rPr>
      </w:pPr>
    </w:p>
    <w:p>
      <w:pPr>
        <w:ind w:left="1900" w:right="3259" w:hanging="628"/>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Report on Form 8-K, dated and filed April 3, 1996; and</w:t>
      </w:r>
    </w:p>
    <w:p>
      <w:pPr>
        <w:spacing w:after="0" w:line="208" w:lineRule="exact"/>
        <w:rPr>
          <w:rFonts w:ascii="Courier New" w:cs="Courier New" w:eastAsia="Courier New" w:hAnsi="Courier New"/>
          <w:sz w:val="18"/>
          <w:szCs w:val="18"/>
          <w:color w:val="auto"/>
        </w:rPr>
      </w:pPr>
    </w:p>
    <w:p>
      <w:pPr>
        <w:ind w:left="1900" w:right="3259" w:hanging="628"/>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for the fiscal quarter ended March 30, 1996.</w:t>
      </w:r>
    </w:p>
    <w:p>
      <w:pPr>
        <w:spacing w:after="0" w:line="208" w:lineRule="exact"/>
        <w:rPr>
          <w:sz w:val="20"/>
          <w:szCs w:val="20"/>
          <w:color w:val="auto"/>
        </w:rPr>
      </w:pPr>
    </w:p>
    <w:p>
      <w:pPr>
        <w:jc w:val="both"/>
        <w:ind w:right="1999" w:firstLine="1264"/>
        <w:spacing w:after="0" w:line="237" w:lineRule="auto"/>
        <w:rPr>
          <w:sz w:val="20"/>
          <w:szCs w:val="20"/>
          <w:color w:val="auto"/>
        </w:rPr>
      </w:pPr>
      <w:r>
        <w:rPr>
          <w:rFonts w:ascii="Courier New" w:cs="Courier New" w:eastAsia="Courier New" w:hAnsi="Courier New"/>
          <w:sz w:val="18"/>
          <w:szCs w:val="18"/>
          <w:color w:val="auto"/>
        </w:rPr>
        <w:t>The description of the Registrant's Common Shares contained in the Registrant's Registration Statement on Form 8-A (File No. 1-11593) filed with the Commission on December 21, 1995, which incorporates by reference the description of such Common Shares contained in the Registrant's Proxy Statement/Prospectus dated March 15, 1995, contained in the Registrant's Registration Statement on Form S-4 (Registration No. 33-57575), or contained in any subsequent amendment or report filed for the purpose of updating such description, is hereby incorporated by reference.</w:t>
      </w:r>
    </w:p>
    <w:p>
      <w:pPr>
        <w:spacing w:after="0" w:line="212" w:lineRule="exact"/>
        <w:rPr>
          <w:sz w:val="20"/>
          <w:szCs w:val="20"/>
          <w:color w:val="auto"/>
        </w:rPr>
      </w:pPr>
    </w:p>
    <w:p>
      <w:pPr>
        <w:jc w:val="both"/>
        <w:ind w:right="1999" w:firstLine="1264"/>
        <w:spacing w:after="0" w:line="237" w:lineRule="auto"/>
        <w:rPr>
          <w:sz w:val="20"/>
          <w:szCs w:val="20"/>
          <w:color w:val="auto"/>
        </w:rPr>
      </w:pPr>
      <w:r>
        <w:rPr>
          <w:rFonts w:ascii="Courier New" w:cs="Courier New" w:eastAsia="Courier New" w:hAnsi="Courier New"/>
          <w:sz w:val="18"/>
          <w:szCs w:val="18"/>
          <w:color w:val="auto"/>
        </w:rPr>
        <w:t>Any definitive Proxy Statement or Information Statement filed pursuant to Section 14 of the Exchange Act and all documents which may be filed with the Commission pursuant to Sections 13, 14 or 15(d) of the Exchange Act subsequent to the date hereof and prior to the completion of the offering contemplated hereby, shall also be deemed to be incorporated herein by reference and to be made a part hereof from the date of filing of such documents; provided, however, that no report of the Compensation and Organization Committee of the Board of Directors of the Registrant on executive compensation and no performance graph included in any Proxy Statement or Information Statement filed pursuant to Section 14 of the Exchange Act shall be deemed to be incorporated herein by reference.</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jc w:val="both"/>
        <w:ind w:right="1999" w:firstLine="1264"/>
        <w:spacing w:after="0" w:line="237" w:lineRule="auto"/>
        <w:rPr>
          <w:sz w:val="20"/>
          <w:szCs w:val="20"/>
          <w:color w:val="auto"/>
        </w:rPr>
      </w:pPr>
      <w:r>
        <w:rPr>
          <w:rFonts w:ascii="Courier New" w:cs="Courier New" w:eastAsia="Courier New" w:hAnsi="Courier New"/>
          <w:sz w:val="18"/>
          <w:szCs w:val="18"/>
          <w:color w:val="auto"/>
        </w:rPr>
        <w:t>Section 10.5 of The Scotts Company 1996 Stock Option Plan (the "Plan") provides for indemnification of the Registrant's Board of Directors (the "Board") and the Compensation and Organization Committee of the Board (the "Committee") which administers the Plan as follows:</w:t>
      </w:r>
    </w:p>
    <w:p>
      <w:pPr>
        <w:spacing w:after="0" w:line="207" w:lineRule="exact"/>
        <w:rPr>
          <w:sz w:val="20"/>
          <w:szCs w:val="20"/>
          <w:color w:val="auto"/>
        </w:rPr>
      </w:pPr>
    </w:p>
    <w:p>
      <w:pPr>
        <w:jc w:val="both"/>
        <w:ind w:left="640" w:right="1999" w:firstLine="632"/>
        <w:spacing w:after="0" w:line="270" w:lineRule="auto"/>
        <w:rPr>
          <w:sz w:val="20"/>
          <w:szCs w:val="20"/>
          <w:color w:val="auto"/>
        </w:rPr>
      </w:pPr>
      <w:r>
        <w:rPr>
          <w:rFonts w:ascii="Courier New" w:cs="Courier New" w:eastAsia="Courier New" w:hAnsi="Courier New"/>
          <w:sz w:val="16"/>
          <w:szCs w:val="16"/>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w:t>
      </w:r>
    </w:p>
    <w:p>
      <w:pPr>
        <w:sectPr>
          <w:pgSz w:w="11900" w:h="16838" w:orient="portrait"/>
          <w:cols w:equalWidth="0" w:num="1">
            <w:col w:w="10219"/>
          </w:cols>
          <w:pgMar w:left="240" w:top="919" w:right="1440" w:bottom="0" w:gutter="0" w:footer="0" w:header="0"/>
        </w:sectPr>
      </w:pPr>
    </w:p>
    <w:bookmarkStart w:id="3" w:name="page4"/>
    <w:bookmarkEnd w:id="3"/>
    <w:p>
      <w:pPr>
        <w:jc w:val="both"/>
        <w:ind w:left="640" w:right="1999"/>
        <w:spacing w:after="0" w:line="273" w:lineRule="auto"/>
        <w:rPr>
          <w:sz w:val="20"/>
          <w:szCs w:val="20"/>
          <w:color w:val="auto"/>
        </w:rPr>
      </w:pPr>
      <w:r>
        <w:rPr>
          <w:rFonts w:ascii="Courier New" w:cs="Courier New" w:eastAsia="Courier New" w:hAnsi="Courier New"/>
          <w:sz w:val="16"/>
          <w:szCs w:val="16"/>
          <w:color w:val="auto"/>
        </w:rPr>
        <w:t>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185"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ARTICLE FIVE of the Regulations of the Registrant governs the indemnification of officers and directors of the Registrant. ARTICLE FIVE provides:</w:t>
      </w:r>
    </w:p>
    <w:p>
      <w:pPr>
        <w:spacing w:after="0" w:line="209" w:lineRule="exact"/>
        <w:rPr>
          <w:sz w:val="20"/>
          <w:szCs w:val="20"/>
          <w:color w:val="auto"/>
        </w:rPr>
      </w:pPr>
    </w:p>
    <w:p>
      <w:pPr>
        <w:jc w:val="both"/>
        <w:ind w:left="640" w:right="1999" w:firstLine="632"/>
        <w:spacing w:after="0" w:line="269"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39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Section 5.02.</w:t>
      </w:r>
    </w:p>
    <w:p>
      <w:pPr>
        <w:spacing w:after="0" w:line="16" w:lineRule="exact"/>
        <w:rPr>
          <w:sz w:val="20"/>
          <w:szCs w:val="20"/>
          <w:color w:val="auto"/>
        </w:rPr>
      </w:pPr>
    </w:p>
    <w:p>
      <w:pPr>
        <w:ind w:left="640"/>
        <w:spacing w:after="0"/>
        <w:tabs>
          <w:tab w:leader="none" w:pos="1780" w:val="left"/>
          <w:tab w:leader="none" w:pos="2200" w:val="left"/>
        </w:tabs>
        <w:rPr>
          <w:sz w:val="20"/>
          <w:szCs w:val="20"/>
          <w:color w:val="auto"/>
        </w:rPr>
      </w:pPr>
      <w:r>
        <w:rPr>
          <w:rFonts w:ascii="Courier New" w:cs="Courier New" w:eastAsia="Courier New" w:hAnsi="Courier New"/>
          <w:sz w:val="18"/>
          <w:szCs w:val="18"/>
          <w:color w:val="auto"/>
        </w:rPr>
        <w:t>contained</w:t>
        <w:tab/>
        <w:t>in</w:t>
      </w:r>
      <w:r>
        <w:rPr>
          <w:sz w:val="20"/>
          <w:szCs w:val="20"/>
          <w:color w:val="auto"/>
        </w:rPr>
        <w:tab/>
      </w: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firstLine="105"/>
        <w:spacing w:after="0" w:line="268" w:lineRule="auto"/>
        <w:rPr>
          <w:sz w:val="20"/>
          <w:szCs w:val="20"/>
          <w:color w:val="auto"/>
        </w:rPr>
      </w:pPr>
      <w:r>
        <w:rPr>
          <w:rFonts w:ascii="Courier New" w:cs="Courier New" w:eastAsia="Courier New" w:hAnsi="Courier New"/>
          <w:sz w:val="16"/>
          <w:szCs w:val="16"/>
          <w:color w:val="auto"/>
        </w:rPr>
        <w:t>Court-Approved Regulations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jc w:val="center"/>
        <w:spacing w:after="0" w:line="268" w:lineRule="auto"/>
        <w:rPr>
          <w:sz w:val="20"/>
          <w:szCs w:val="20"/>
          <w:color w:val="auto"/>
        </w:rPr>
      </w:pPr>
      <w:r>
        <w:rPr>
          <w:rFonts w:ascii="Courier New" w:cs="Courier New" w:eastAsia="Courier New" w:hAnsi="Courier New"/>
          <w:sz w:val="16"/>
          <w:szCs w:val="16"/>
          <w:color w:val="auto"/>
        </w:rPr>
        <w:t>Indemnification. elsewhere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Anything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contrary</w:t>
      </w:r>
    </w:p>
    <w:p>
      <w:pPr>
        <w:spacing w:after="0" w:line="21" w:lineRule="exact"/>
        <w:rPr>
          <w:sz w:val="20"/>
          <w:szCs w:val="20"/>
          <w:color w:val="auto"/>
        </w:rPr>
      </w:pPr>
    </w:p>
    <w:p>
      <w:pPr>
        <w:sectPr>
          <w:pgSz w:w="11900" w:h="16838" w:orient="portrait"/>
          <w:cols w:equalWidth="0" w:num="4">
            <w:col w:w="2640" w:space="220"/>
            <w:col w:w="1580" w:space="200"/>
            <w:col w:w="1900" w:space="200"/>
            <w:col w:w="3479"/>
          </w:cols>
          <w:pgMar w:left="240" w:top="142" w:right="1440" w:bottom="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notwithstanding:</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jc w:val="both"/>
        <w:ind w:left="640" w:right="1999" w:firstLine="632"/>
        <w:spacing w:after="0" w:line="238" w:lineRule="auto"/>
        <w:tabs>
          <w:tab w:leader="none" w:pos="169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09" w:lineRule="exact"/>
        <w:rPr>
          <w:rFonts w:ascii="Courier New" w:cs="Courier New" w:eastAsia="Courier New" w:hAnsi="Courier New"/>
          <w:sz w:val="18"/>
          <w:szCs w:val="18"/>
          <w:color w:val="auto"/>
        </w:rPr>
      </w:pPr>
    </w:p>
    <w:p>
      <w:pPr>
        <w:jc w:val="both"/>
        <w:ind w:left="640" w:right="1999" w:firstLine="632"/>
        <w:spacing w:after="0" w:line="236" w:lineRule="auto"/>
        <w:tabs>
          <w:tab w:leader="none" w:pos="179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promptly make any such unpaid indemnification as is determined by a court to be proper as contemplated by this Section 5.02.</w:t>
      </w:r>
    </w:p>
    <w:p>
      <w:pPr>
        <w:spacing w:after="0" w:line="209" w:lineRule="exact"/>
        <w:rPr>
          <w:sz w:val="20"/>
          <w:szCs w:val="20"/>
          <w:color w:val="auto"/>
        </w:rPr>
      </w:pPr>
    </w:p>
    <w:p>
      <w:pPr>
        <w:jc w:val="both"/>
        <w:ind w:left="640" w:right="1999" w:firstLine="632"/>
        <w:spacing w:after="0" w:line="271" w:lineRule="auto"/>
        <w:rPr>
          <w:sz w:val="20"/>
          <w:szCs w:val="20"/>
          <w:color w:val="auto"/>
        </w:rPr>
      </w:pPr>
      <w:r>
        <w:rPr>
          <w:rFonts w:ascii="Courier New" w:cs="Courier New" w:eastAsia="Courier New" w:hAnsi="Courier New"/>
          <w:sz w:val="16"/>
          <w:szCs w:val="16"/>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388" w:lineRule="exact"/>
        <w:rPr>
          <w:sz w:val="20"/>
          <w:szCs w:val="20"/>
          <w:color w:val="auto"/>
        </w:rPr>
      </w:pPr>
    </w:p>
    <w:p>
      <w:pPr>
        <w:jc w:val="both"/>
        <w:ind w:left="640" w:right="1999" w:firstLine="632"/>
        <w:spacing w:after="0" w:line="275"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w:t>
      </w:r>
    </w:p>
    <w:p>
      <w:pPr>
        <w:sectPr>
          <w:pgSz w:w="11900" w:h="16838" w:orient="portrait"/>
          <w:cols w:equalWidth="0" w:num="1">
            <w:col w:w="10219"/>
          </w:cols>
          <w:pgMar w:left="240" w:top="142" w:right="1440" w:bottom="0" w:gutter="0" w:footer="0" w:header="0"/>
          <w:type w:val="continuous"/>
        </w:sectPr>
      </w:pPr>
    </w:p>
    <w:bookmarkStart w:id="4" w:name="page5"/>
    <w:bookmarkEnd w:id="4"/>
    <w:p>
      <w:pPr>
        <w:jc w:val="both"/>
        <w:ind w:right="1999"/>
        <w:spacing w:after="0" w:line="268" w:lineRule="auto"/>
        <w:rPr>
          <w:sz w:val="20"/>
          <w:szCs w:val="20"/>
          <w:color w:val="auto"/>
        </w:rPr>
      </w:pPr>
      <w:r>
        <w:rPr>
          <w:rFonts w:ascii="Courier New" w:cs="Courier New" w:eastAsia="Courier New" w:hAnsi="Courier New"/>
          <w:sz w:val="16"/>
          <w:szCs w:val="16"/>
          <w:color w:val="auto"/>
        </w:rPr>
        <w:t>met the applicable standard of conduct set forth in Section 5.01. Such determination may be made only (A) by a majority vote of a quorum consisting of directors of the corporation who were not and are not parties to, or threatened with, any such action, suit or proceeding, or</w:t>
      </w:r>
    </w:p>
    <w:p>
      <w:pPr>
        <w:spacing w:after="0" w:line="1" w:lineRule="exact"/>
        <w:rPr>
          <w:sz w:val="20"/>
          <w:szCs w:val="20"/>
          <w:color w:val="auto"/>
        </w:rPr>
      </w:pPr>
    </w:p>
    <w:p>
      <w:pPr>
        <w:jc w:val="both"/>
        <w:ind w:right="1999"/>
        <w:spacing w:after="0" w:line="26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w:t>
      </w:r>
    </w:p>
    <w:p>
      <w:pPr>
        <w:spacing w:after="0" w:line="193" w:lineRule="exact"/>
        <w:rPr>
          <w:sz w:val="20"/>
          <w:szCs w:val="20"/>
          <w:color w:val="auto"/>
        </w:rPr>
      </w:pPr>
    </w:p>
    <w:p>
      <w:pPr>
        <w:jc w:val="both"/>
        <w:ind w:right="1999"/>
        <w:spacing w:after="0" w:line="238"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7" w:lineRule="exact"/>
        <w:rPr>
          <w:sz w:val="20"/>
          <w:szCs w:val="20"/>
          <w:color w:val="auto"/>
        </w:rPr>
      </w:pPr>
    </w:p>
    <w:p>
      <w:pPr>
        <w:jc w:val="both"/>
        <w:ind w:right="1999" w:firstLine="632"/>
        <w:spacing w:after="0" w:line="270"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ectPr>
          <w:pgSz w:w="11900" w:h="16838" w:orient="portrait"/>
          <w:cols w:equalWidth="0" w:num="1">
            <w:col w:w="9579"/>
          </w:cols>
          <w:pgMar w:left="880" w:top="142" w:right="1440" w:bottom="0" w:gutter="0" w:footer="0" w:header="0"/>
        </w:sectPr>
      </w:pPr>
    </w:p>
    <w:p>
      <w:pPr>
        <w:spacing w:after="0" w:line="189" w:lineRule="exact"/>
        <w:rPr>
          <w:sz w:val="20"/>
          <w:szCs w:val="20"/>
          <w:color w:val="auto"/>
        </w:rPr>
      </w:pPr>
    </w:p>
    <w:p>
      <w:pPr>
        <w:ind w:firstLine="632"/>
        <w:spacing w:after="0" w:line="279" w:lineRule="auto"/>
        <w:tabs>
          <w:tab w:leader="none" w:pos="10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it shall ultimately 5.04 that he is not entitled to be provided under Section 5.01; 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right"/>
        <w:ind w:right="1999"/>
        <w:spacing w:after="0" w:line="290" w:lineRule="auto"/>
        <w:rPr>
          <w:sz w:val="20"/>
          <w:szCs w:val="20"/>
          <w:color w:val="auto"/>
        </w:rPr>
      </w:pPr>
      <w:r>
        <w:rPr>
          <w:rFonts w:ascii="Courier New" w:cs="Courier New" w:eastAsia="Courier New" w:hAnsi="Courier New"/>
          <w:sz w:val="16"/>
          <w:szCs w:val="16"/>
          <w:color w:val="auto"/>
        </w:rPr>
        <w:t>be  determined as provided in Section indemnified  by the  corporation  as</w:t>
      </w:r>
    </w:p>
    <w:p>
      <w:pPr>
        <w:spacing w:after="0" w:line="372" w:lineRule="exact"/>
        <w:rPr>
          <w:sz w:val="20"/>
          <w:szCs w:val="20"/>
          <w:color w:val="auto"/>
        </w:rPr>
      </w:pPr>
    </w:p>
    <w:p>
      <w:pPr>
        <w:sectPr>
          <w:pgSz w:w="11900" w:h="16838" w:orient="portrait"/>
          <w:cols w:equalWidth="0" w:num="2">
            <w:col w:w="3580" w:space="100"/>
            <w:col w:w="5899"/>
          </w:cols>
          <w:pgMar w:left="880" w:top="142" w:right="1440" w:bottom="0" w:gutter="0" w:footer="0" w:header="0"/>
          <w:type w:val="continuous"/>
        </w:sectPr>
      </w:pPr>
    </w:p>
    <w:p>
      <w:pPr>
        <w:jc w:val="both"/>
        <w:ind w:right="1999" w:firstLine="632"/>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215"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215" w:lineRule="exact"/>
        <w:rPr>
          <w:sz w:val="20"/>
          <w:szCs w:val="20"/>
          <w:color w:val="auto"/>
        </w:rPr>
      </w:pPr>
    </w:p>
    <w:p>
      <w:pPr>
        <w:jc w:val="both"/>
        <w:ind w:right="1999" w:firstLine="632"/>
        <w:spacing w:after="0" w:line="271" w:lineRule="auto"/>
        <w:rPr>
          <w:sz w:val="20"/>
          <w:szCs w:val="20"/>
          <w:color w:val="auto"/>
        </w:rPr>
      </w:pPr>
      <w:r>
        <w:rPr>
          <w:rFonts w:ascii="Courier New" w:cs="Courier New" w:eastAsia="Courier New" w:hAnsi="Courier New"/>
          <w:sz w:val="16"/>
          <w:szCs w:val="16"/>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w:t>
      </w:r>
    </w:p>
    <w:p>
      <w:pPr>
        <w:sectPr>
          <w:pgSz w:w="11900" w:h="16838" w:orient="portrait"/>
          <w:cols w:equalWidth="0" w:num="1">
            <w:col w:w="9579"/>
          </w:cols>
          <w:pgMar w:left="880" w:top="142" w:right="1440" w:bottom="0" w:gutter="0" w:footer="0" w:header="0"/>
          <w:type w:val="continuous"/>
        </w:sectPr>
      </w:pPr>
    </w:p>
    <w:bookmarkStart w:id="5" w:name="page6"/>
    <w:bookmarkEnd w:id="5"/>
    <w:p>
      <w:pPr>
        <w:jc w:val="both"/>
        <w:ind w:left="640" w:right="1999"/>
        <w:spacing w:after="0" w:line="237" w:lineRule="auto"/>
        <w:rPr>
          <w:sz w:val="20"/>
          <w:szCs w:val="20"/>
          <w:color w:val="auto"/>
        </w:rPr>
      </w:pPr>
      <w:r>
        <w:rPr>
          <w:rFonts w:ascii="Courier New" w:cs="Courier New" w:eastAsia="Courier New" w:hAnsi="Courier New"/>
          <w:sz w:val="18"/>
          <w:szCs w:val="18"/>
          <w:color w:val="auto"/>
        </w:rPr>
        <w:t>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203" w:lineRule="exact"/>
        <w:rPr>
          <w:sz w:val="20"/>
          <w:szCs w:val="20"/>
          <w:color w:val="auto"/>
        </w:rPr>
      </w:pPr>
    </w:p>
    <w:p>
      <w:pPr>
        <w:ind w:left="1280"/>
        <w:spacing w:after="0"/>
        <w:tabs>
          <w:tab w:leader="none" w:pos="2840" w:val="left"/>
          <w:tab w:leader="none" w:pos="3780" w:val="left"/>
          <w:tab w:leader="none" w:pos="5260" w:val="left"/>
          <w:tab w:leader="none" w:pos="5780" w:val="left"/>
          <w:tab w:leader="none" w:pos="6840" w:val="left"/>
        </w:tabs>
        <w:rPr>
          <w:sz w:val="20"/>
          <w:szCs w:val="20"/>
          <w:color w:val="auto"/>
        </w:rPr>
      </w:pPr>
      <w:r>
        <w:rPr>
          <w:rFonts w:ascii="Courier New" w:cs="Courier New" w:eastAsia="Courier New" w:hAnsi="Courier New"/>
          <w:sz w:val="18"/>
          <w:szCs w:val="18"/>
          <w:color w:val="auto"/>
        </w:rPr>
        <w:t>Section 5.08.</w:t>
        <w:tab/>
        <w:t>Certain</w:t>
        <w:tab/>
        <w:t>Definitions.</w:t>
        <w:tab/>
        <w:t>For</w:t>
        <w:tab/>
        <w:t>purposes</w:t>
      </w:r>
      <w:r>
        <w:rPr>
          <w:sz w:val="20"/>
          <w:szCs w:val="20"/>
          <w:color w:val="auto"/>
        </w:rPr>
        <w:tab/>
      </w:r>
      <w:r>
        <w:rPr>
          <w:rFonts w:ascii="Courier New" w:cs="Courier New" w:eastAsia="Courier New" w:hAnsi="Courier New"/>
          <w:sz w:val="16"/>
          <w:szCs w:val="16"/>
          <w:color w:val="auto"/>
        </w:rPr>
        <w:t>of this</w:t>
      </w:r>
    </w:p>
    <w:p>
      <w:pPr>
        <w:ind w:left="640"/>
        <w:spacing w:after="0" w:line="238" w:lineRule="auto"/>
        <w:rPr>
          <w:sz w:val="20"/>
          <w:szCs w:val="20"/>
          <w:color w:val="auto"/>
        </w:rPr>
      </w:pPr>
      <w:r>
        <w:rPr>
          <w:rFonts w:ascii="Courier New" w:cs="Courier New" w:eastAsia="Courier New" w:hAnsi="Courier New"/>
          <w:sz w:val="18"/>
          <w:szCs w:val="18"/>
          <w:color w:val="auto"/>
        </w:rPr>
        <w:t>Article FIVE, and as examples and not by way of limitation:</w:t>
      </w:r>
    </w:p>
    <w:p>
      <w:pPr>
        <w:spacing w:after="0" w:line="207" w:lineRule="exact"/>
        <w:rPr>
          <w:sz w:val="20"/>
          <w:szCs w:val="20"/>
          <w:color w:val="auto"/>
        </w:rPr>
      </w:pPr>
    </w:p>
    <w:p>
      <w:pPr>
        <w:jc w:val="both"/>
        <w:ind w:left="640" w:right="1999" w:firstLine="632"/>
        <w:spacing w:after="0" w:line="237" w:lineRule="auto"/>
        <w:tabs>
          <w:tab w:leader="none" w:pos="169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215" w:lineRule="exact"/>
        <w:rPr>
          <w:rFonts w:ascii="Courier New" w:cs="Courier New" w:eastAsia="Courier New" w:hAnsi="Courier New"/>
          <w:sz w:val="18"/>
          <w:szCs w:val="18"/>
          <w:color w:val="auto"/>
        </w:rPr>
      </w:pPr>
    </w:p>
    <w:p>
      <w:pPr>
        <w:jc w:val="both"/>
        <w:ind w:left="640" w:right="1999" w:firstLine="632"/>
        <w:spacing w:after="0" w:line="238" w:lineRule="auto"/>
        <w:tabs>
          <w:tab w:leader="none" w:pos="179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207" w:lineRule="exact"/>
        <w:rPr>
          <w:sz w:val="20"/>
          <w:szCs w:val="20"/>
          <w:color w:val="auto"/>
        </w:rPr>
      </w:pPr>
    </w:p>
    <w:p>
      <w:pPr>
        <w:jc w:val="both"/>
        <w:ind w:left="640" w:right="1999" w:firstLine="632"/>
        <w:spacing w:after="0" w:line="237" w:lineRule="auto"/>
        <w:rPr>
          <w:sz w:val="20"/>
          <w:szCs w:val="20"/>
          <w:color w:val="auto"/>
        </w:rPr>
      </w:pPr>
      <w:r>
        <w:rPr>
          <w:rFonts w:ascii="Courier New" w:cs="Courier New" w:eastAsia="Courier New" w:hAnsi="Courier New"/>
          <w:sz w:val="18"/>
          <w:szCs w:val="18"/>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211"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Division (E) of Section 1701.13 of the Ohio Revised Code addresses indemnification by an Ohio corporation and provides as follows:</w:t>
      </w:r>
    </w:p>
    <w:p>
      <w:pPr>
        <w:spacing w:after="0" w:line="208" w:lineRule="exact"/>
        <w:rPr>
          <w:sz w:val="20"/>
          <w:szCs w:val="20"/>
          <w:color w:val="auto"/>
        </w:rPr>
      </w:pPr>
    </w:p>
    <w:p>
      <w:pPr>
        <w:jc w:val="both"/>
        <w:ind w:left="640" w:right="1999" w:firstLine="632"/>
        <w:spacing w:after="0" w:line="269" w:lineRule="auto"/>
        <w:rPr>
          <w:sz w:val="20"/>
          <w:szCs w:val="20"/>
          <w:color w:val="auto"/>
        </w:rPr>
      </w:pPr>
      <w:r>
        <w:rPr>
          <w:rFonts w:ascii="Courier New" w:cs="Courier New" w:eastAsia="Courier New" w:hAnsi="Courier New"/>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393" w:lineRule="exact"/>
        <w:rPr>
          <w:sz w:val="20"/>
          <w:szCs w:val="20"/>
          <w:color w:val="auto"/>
        </w:rPr>
      </w:pPr>
    </w:p>
    <w:p>
      <w:pPr>
        <w:jc w:val="both"/>
        <w:ind w:left="640" w:right="1999" w:firstLine="632"/>
        <w:spacing w:after="0" w:line="270" w:lineRule="auto"/>
        <w:tabs>
          <w:tab w:leader="none" w:pos="169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w:t>
      </w:r>
    </w:p>
    <w:p>
      <w:pPr>
        <w:sectPr>
          <w:pgSz w:w="11900" w:h="16838" w:orient="portrait"/>
          <w:cols w:equalWidth="0" w:num="1">
            <w:col w:w="10219"/>
          </w:cols>
          <w:pgMar w:left="240" w:top="142" w:right="1440" w:bottom="0" w:gutter="0" w:footer="0" w:header="0"/>
        </w:sectPr>
      </w:pPr>
    </w:p>
    <w:bookmarkStart w:id="6" w:name="page7"/>
    <w:bookmarkEnd w:id="6"/>
    <w:p>
      <w:pPr>
        <w:jc w:val="both"/>
        <w:ind w:right="1999"/>
        <w:spacing w:after="0" w:line="237" w:lineRule="auto"/>
        <w:rPr>
          <w:sz w:val="20"/>
          <w:szCs w:val="20"/>
          <w:color w:val="auto"/>
        </w:rPr>
      </w:pPr>
      <w:r>
        <w:rPr>
          <w:rFonts w:ascii="Courier New" w:cs="Courier New" w:eastAsia="Courier New" w:hAnsi="Courier New"/>
          <w:sz w:val="18"/>
          <w:szCs w:val="18"/>
          <w:color w:val="auto"/>
        </w:rPr>
        <w:t>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207" w:lineRule="exact"/>
        <w:rPr>
          <w:sz w:val="20"/>
          <w:szCs w:val="20"/>
          <w:color w:val="auto"/>
        </w:rPr>
      </w:pPr>
    </w:p>
    <w:p>
      <w:pPr>
        <w:jc w:val="both"/>
        <w:ind w:right="1999" w:firstLine="632"/>
        <w:spacing w:after="0" w:line="271" w:lineRule="auto"/>
        <w:tabs>
          <w:tab w:leader="none" w:pos="105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85" w:lineRule="exact"/>
        <w:rPr>
          <w:rFonts w:ascii="Courier New" w:cs="Courier New" w:eastAsia="Courier New" w:hAnsi="Courier New"/>
          <w:sz w:val="16"/>
          <w:szCs w:val="16"/>
          <w:color w:val="auto"/>
        </w:rPr>
      </w:pPr>
    </w:p>
    <w:p>
      <w:pPr>
        <w:ind w:right="1999" w:firstLine="632"/>
        <w:spacing w:after="0" w:line="235" w:lineRule="auto"/>
        <w:tabs>
          <w:tab w:leader="none" w:pos="10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suit in which the only liability asserted against a director is pursuant to section 1701.95 of the Revised Code.</w:t>
      </w:r>
    </w:p>
    <w:p>
      <w:pPr>
        <w:spacing w:after="0" w:line="208" w:lineRule="exact"/>
        <w:rPr>
          <w:sz w:val="20"/>
          <w:szCs w:val="20"/>
          <w:color w:val="auto"/>
        </w:rPr>
      </w:pPr>
    </w:p>
    <w:p>
      <w:pPr>
        <w:jc w:val="both"/>
        <w:ind w:right="1999" w:firstLine="632"/>
        <w:spacing w:after="0" w:line="237" w:lineRule="auto"/>
        <w:tabs>
          <w:tab w:leader="none" w:pos="10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211" w:lineRule="exact"/>
        <w:rPr>
          <w:rFonts w:ascii="Courier New" w:cs="Courier New" w:eastAsia="Courier New" w:hAnsi="Courier New"/>
          <w:sz w:val="18"/>
          <w:szCs w:val="18"/>
          <w:color w:val="auto"/>
        </w:rPr>
      </w:pPr>
    </w:p>
    <w:p>
      <w:pPr>
        <w:jc w:val="both"/>
        <w:ind w:right="1999" w:firstLine="632"/>
        <w:spacing w:after="0" w:line="237" w:lineRule="auto"/>
        <w:tabs>
          <w:tab w:leader="none" w:pos="11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w:t>
      </w:r>
    </w:p>
    <w:p>
      <w:pPr>
        <w:spacing w:after="0" w:line="4"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determination shall be made as follows:</w:t>
      </w:r>
    </w:p>
    <w:p>
      <w:pPr>
        <w:spacing w:after="0" w:line="207" w:lineRule="exact"/>
        <w:rPr>
          <w:sz w:val="20"/>
          <w:szCs w:val="20"/>
          <w:color w:val="auto"/>
        </w:rPr>
      </w:pPr>
    </w:p>
    <w:p>
      <w:pPr>
        <w:jc w:val="both"/>
        <w:ind w:right="1999" w:firstLine="632"/>
        <w:spacing w:after="0" w:line="237"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207" w:lineRule="exact"/>
        <w:rPr>
          <w:rFonts w:ascii="Courier New" w:cs="Courier New" w:eastAsia="Courier New" w:hAnsi="Courier New"/>
          <w:sz w:val="18"/>
          <w:szCs w:val="18"/>
          <w:color w:val="auto"/>
        </w:rPr>
      </w:pPr>
    </w:p>
    <w:p>
      <w:pPr>
        <w:jc w:val="both"/>
        <w:ind w:right="1999" w:firstLine="632"/>
        <w:spacing w:after="0" w:line="272" w:lineRule="auto"/>
        <w:tabs>
          <w:tab w:leader="none" w:pos="105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79" w:lineRule="exact"/>
        <w:rPr>
          <w:rFonts w:ascii="Courier New" w:cs="Courier New" w:eastAsia="Courier New" w:hAnsi="Courier New"/>
          <w:sz w:val="16"/>
          <w:szCs w:val="16"/>
          <w:color w:val="auto"/>
        </w:rPr>
      </w:pPr>
    </w:p>
    <w:p>
      <w:pPr>
        <w:ind w:left="1260" w:hanging="628"/>
        <w:spacing w:after="0"/>
        <w:tabs>
          <w:tab w:leader="none" w:pos="12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w:t>
      </w:r>
    </w:p>
    <w:p>
      <w:pPr>
        <w:spacing w:after="0" w:line="206" w:lineRule="exact"/>
        <w:rPr>
          <w:rFonts w:ascii="Courier New" w:cs="Courier New" w:eastAsia="Courier New" w:hAnsi="Courier New"/>
          <w:sz w:val="18"/>
          <w:szCs w:val="18"/>
          <w:color w:val="auto"/>
        </w:rPr>
      </w:pPr>
    </w:p>
    <w:p>
      <w:pPr>
        <w:jc w:val="both"/>
        <w:ind w:right="1999" w:firstLine="632"/>
        <w:spacing w:after="0" w:line="236" w:lineRule="auto"/>
        <w:tabs>
          <w:tab w:leader="none" w:pos="105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court of common pleas or the court in which the action, suit, or proceeding referred to in division (E)(1) or (2) of this section was brought.</w:t>
      </w:r>
    </w:p>
    <w:p>
      <w:pPr>
        <w:spacing w:after="0" w:line="209" w:lineRule="exact"/>
        <w:rPr>
          <w:sz w:val="20"/>
          <w:szCs w:val="20"/>
          <w:color w:val="auto"/>
        </w:rPr>
      </w:pPr>
    </w:p>
    <w:p>
      <w:pPr>
        <w:jc w:val="both"/>
        <w:ind w:right="1999" w:firstLine="632"/>
        <w:spacing w:after="0" w:line="271" w:lineRule="auto"/>
        <w:rPr>
          <w:sz w:val="20"/>
          <w:szCs w:val="20"/>
          <w:color w:val="auto"/>
        </w:rPr>
      </w:pPr>
      <w:r>
        <w:rPr>
          <w:rFonts w:ascii="Courier New" w:cs="Courier New" w:eastAsia="Courier New" w:hAnsi="Courier New"/>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86" w:lineRule="exact"/>
        <w:rPr>
          <w:sz w:val="20"/>
          <w:szCs w:val="20"/>
          <w:color w:val="auto"/>
        </w:rPr>
      </w:pPr>
    </w:p>
    <w:p>
      <w:pPr>
        <w:jc w:val="both"/>
        <w:ind w:right="1999" w:firstLine="632"/>
        <w:spacing w:after="0" w:line="270" w:lineRule="auto"/>
        <w:rPr>
          <w:sz w:val="20"/>
          <w:szCs w:val="20"/>
          <w:color w:val="auto"/>
        </w:rPr>
      </w:pPr>
      <w:r>
        <w:rPr>
          <w:rFonts w:ascii="Courier New" w:cs="Courier New" w:eastAsia="Courier New" w:hAnsi="Courier New"/>
          <w:sz w:val="16"/>
          <w:szCs w:val="16"/>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389" w:lineRule="exact"/>
        <w:rPr>
          <w:sz w:val="20"/>
          <w:szCs w:val="20"/>
          <w:color w:val="auto"/>
        </w:rPr>
      </w:pPr>
    </w:p>
    <w:p>
      <w:pPr>
        <w:jc w:val="both"/>
        <w:ind w:right="1999" w:firstLine="632"/>
        <w:spacing w:after="0" w:line="237"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ectPr>
          <w:pgSz w:w="11900" w:h="16838" w:orient="portrait"/>
          <w:cols w:equalWidth="0" w:num="1">
            <w:col w:w="9579"/>
          </w:cols>
          <w:pgMar w:left="880" w:top="142" w:right="1440" w:bottom="0" w:gutter="0" w:footer="0" w:header="0"/>
        </w:sectPr>
      </w:pPr>
    </w:p>
    <w:bookmarkStart w:id="7" w:name="page8"/>
    <w:bookmarkEnd w:id="7"/>
    <w:p>
      <w:pPr>
        <w:ind w:left="640" w:right="1999" w:firstLine="632"/>
        <w:spacing w:after="0" w:line="235" w:lineRule="auto"/>
        <w:tabs>
          <w:tab w:leader="none" w:pos="190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Reasonably cooperate with the corporation concerning the action, suit, or proceeding.</w:t>
      </w:r>
    </w:p>
    <w:p>
      <w:pPr>
        <w:spacing w:after="0" w:line="208" w:lineRule="exact"/>
        <w:rPr>
          <w:sz w:val="20"/>
          <w:szCs w:val="20"/>
          <w:color w:val="auto"/>
        </w:rPr>
      </w:pPr>
    </w:p>
    <w:p>
      <w:pPr>
        <w:jc w:val="both"/>
        <w:ind w:left="640" w:right="1999" w:firstLine="632"/>
        <w:spacing w:after="0" w:line="271" w:lineRule="auto"/>
        <w:tabs>
          <w:tab w:leader="none" w:pos="169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84" w:lineRule="exact"/>
        <w:rPr>
          <w:sz w:val="20"/>
          <w:szCs w:val="20"/>
          <w:color w:val="auto"/>
        </w:rPr>
      </w:pPr>
    </w:p>
    <w:p>
      <w:pPr>
        <w:jc w:val="both"/>
        <w:ind w:left="640" w:right="1999" w:firstLine="632"/>
        <w:spacing w:after="0" w:line="271" w:lineRule="auto"/>
        <w:tabs>
          <w:tab w:leader="none" w:pos="169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83" w:lineRule="exact"/>
        <w:rPr>
          <w:rFonts w:ascii="Courier New" w:cs="Courier New" w:eastAsia="Courier New" w:hAnsi="Courier New"/>
          <w:sz w:val="16"/>
          <w:szCs w:val="16"/>
          <w:color w:val="auto"/>
        </w:rPr>
      </w:pPr>
    </w:p>
    <w:p>
      <w:pPr>
        <w:jc w:val="both"/>
        <w:ind w:left="640" w:right="1999" w:firstLine="632"/>
        <w:spacing w:after="0" w:line="270" w:lineRule="auto"/>
        <w:tabs>
          <w:tab w:leader="none" w:pos="1693"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389" w:lineRule="exact"/>
        <w:rPr>
          <w:rFonts w:ascii="Courier New" w:cs="Courier New" w:eastAsia="Courier New" w:hAnsi="Courier New"/>
          <w:sz w:val="16"/>
          <w:szCs w:val="16"/>
          <w:color w:val="auto"/>
        </w:rPr>
      </w:pPr>
    </w:p>
    <w:p>
      <w:pPr>
        <w:jc w:val="both"/>
        <w:ind w:left="640" w:right="1999" w:firstLine="632"/>
        <w:spacing w:after="0" w:line="237" w:lineRule="auto"/>
        <w:tabs>
          <w:tab w:leader="none" w:pos="169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of a corporation to indemnify persons pursuant to division (E)(1) or (2) of this section does not limit the payment of expenses as they are incurred, indemnification, insurance, or other protection that may be provided pursuant to divisions (E)(5), (6), and</w:t>
      </w:r>
    </w:p>
    <w:p>
      <w:pPr>
        <w:spacing w:after="0" w:line="4" w:lineRule="exact"/>
        <w:rPr>
          <w:rFonts w:ascii="Courier New" w:cs="Courier New" w:eastAsia="Courier New" w:hAnsi="Courier New"/>
          <w:sz w:val="18"/>
          <w:szCs w:val="18"/>
          <w:color w:val="auto"/>
        </w:rPr>
      </w:pPr>
    </w:p>
    <w:p>
      <w:pPr>
        <w:jc w:val="both"/>
        <w:ind w:left="640" w:right="1999"/>
        <w:spacing w:after="0" w:line="236" w:lineRule="auto"/>
        <w:tabs>
          <w:tab w:leader="none" w:pos="106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Divisions (E)(1) and (2) of this section do not create any obligation to repay or return payments made by the corporation pursuant to division (E)(5), (6), or (7).</w:t>
      </w:r>
    </w:p>
    <w:p>
      <w:pPr>
        <w:spacing w:after="0" w:line="208" w:lineRule="exact"/>
        <w:rPr>
          <w:rFonts w:ascii="Courier New" w:cs="Courier New" w:eastAsia="Courier New" w:hAnsi="Courier New"/>
          <w:sz w:val="18"/>
          <w:szCs w:val="18"/>
          <w:color w:val="auto"/>
        </w:rPr>
      </w:pPr>
    </w:p>
    <w:p>
      <w:pPr>
        <w:jc w:val="both"/>
        <w:ind w:left="640" w:right="1999" w:firstLine="632"/>
        <w:spacing w:after="0" w:line="238" w:lineRule="auto"/>
        <w:tabs>
          <w:tab w:leader="none" w:pos="169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207" w:lineRule="exact"/>
        <w:rPr>
          <w:sz w:val="20"/>
          <w:szCs w:val="20"/>
          <w:color w:val="auto"/>
        </w:rPr>
      </w:pPr>
    </w:p>
    <w:p>
      <w:pPr>
        <w:jc w:val="both"/>
        <w:ind w:right="1999" w:firstLine="1264"/>
        <w:spacing w:after="0" w:line="236" w:lineRule="auto"/>
        <w:rPr>
          <w:sz w:val="20"/>
          <w:szCs w:val="20"/>
          <w:color w:val="auto"/>
        </w:rPr>
      </w:pPr>
      <w:r>
        <w:rPr>
          <w:rFonts w:ascii="Courier New" w:cs="Courier New" w:eastAsia="Courier New" w:hAnsi="Courier New"/>
          <w:sz w:val="18"/>
          <w:szCs w:val="18"/>
          <w:color w:val="auto"/>
        </w:rPr>
        <w:t>The Registrant has purchased insurance coverage under a policy which insures directors and officers against certain liabilities which might be incurred by them in such capacity.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See the Index to Exhibits attached hereto and beginning at page II-14 (page 16 as sequentially numbered).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900" w:right="1999" w:hanging="628"/>
        <w:spacing w:after="0" w:line="235" w:lineRule="auto"/>
        <w:tabs>
          <w:tab w:leader="none" w:pos="190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ectPr>
          <w:pgSz w:w="11900" w:h="16838" w:orient="portrait"/>
          <w:cols w:equalWidth="0" w:num="1">
            <w:col w:w="10219"/>
          </w:cols>
          <w:pgMar w:left="240" w:top="142" w:right="1440" w:bottom="0" w:gutter="0" w:footer="0" w:header="0"/>
        </w:sectPr>
      </w:pPr>
    </w:p>
    <w:bookmarkStart w:id="8" w:name="page9"/>
    <w:bookmarkEnd w:id="8"/>
    <w:p>
      <w:pPr>
        <w:jc w:val="both"/>
        <w:ind w:left="1892" w:right="1999" w:hanging="628"/>
        <w:spacing w:after="0" w:line="237" w:lineRule="auto"/>
        <w:tabs>
          <w:tab w:leader="none" w:pos="189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09" w:lineRule="exact"/>
        <w:rPr>
          <w:rFonts w:ascii="Courier New" w:cs="Courier New" w:eastAsia="Courier New" w:hAnsi="Courier New"/>
          <w:sz w:val="18"/>
          <w:szCs w:val="18"/>
          <w:color w:val="auto"/>
        </w:rPr>
      </w:pPr>
    </w:p>
    <w:p>
      <w:pPr>
        <w:jc w:val="both"/>
        <w:ind w:left="1892" w:right="1999" w:hanging="628"/>
        <w:spacing w:after="0" w:line="237" w:lineRule="auto"/>
        <w:tabs>
          <w:tab w:leader="none" w:pos="189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jc w:val="both"/>
        <w:ind w:left="1272" w:right="199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211" w:lineRule="exact"/>
        <w:rPr>
          <w:sz w:val="20"/>
          <w:szCs w:val="20"/>
          <w:color w:val="auto"/>
        </w:rPr>
      </w:pPr>
    </w:p>
    <w:p>
      <w:pPr>
        <w:jc w:val="both"/>
        <w:ind w:left="1272" w:right="1999" w:hanging="640"/>
        <w:spacing w:after="0" w:line="237" w:lineRule="auto"/>
        <w:tabs>
          <w:tab w:leader="none" w:pos="127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9" w:lineRule="exact"/>
        <w:rPr>
          <w:rFonts w:ascii="Courier New" w:cs="Courier New" w:eastAsia="Courier New" w:hAnsi="Courier New"/>
          <w:sz w:val="18"/>
          <w:szCs w:val="18"/>
          <w:color w:val="auto"/>
        </w:rPr>
      </w:pPr>
    </w:p>
    <w:p>
      <w:pPr>
        <w:jc w:val="both"/>
        <w:ind w:left="1272" w:right="1999" w:hanging="640"/>
        <w:spacing w:after="0" w:line="236" w:lineRule="auto"/>
        <w:tabs>
          <w:tab w:leader="none" w:pos="127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left="632" w:right="1999" w:hanging="632"/>
        <w:spacing w:after="0" w:line="237"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jc w:val="both"/>
        <w:ind w:left="632" w:right="1999" w:hanging="632"/>
        <w:spacing w:after="0" w:line="238"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1"/>
          </w:cols>
          <w:pgMar w:left="248" w:top="142" w:right="1440" w:bottom="1440" w:gutter="0" w:footer="0" w:header="0"/>
        </w:sectPr>
      </w:pPr>
    </w:p>
    <w:bookmarkStart w:id="9" w:name="page10"/>
    <w:bookmarkEnd w:id="9"/>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999" w:firstLine="1264"/>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13th day of June, 1996.</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Tadd C. Seitz</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Tadd C. Seitz, Chairman, Interim</w:t>
      </w:r>
    </w:p>
    <w:p>
      <w:pPr>
        <w:ind w:left="41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919" w:right="1440" w:bottom="0" w:gutter="0" w:footer="0" w:header="0"/>
        </w:sectPr>
      </w:pPr>
    </w:p>
    <w:p>
      <w:pPr>
        <w:spacing w:after="0" w:line="207" w:lineRule="exact"/>
        <w:rPr>
          <w:sz w:val="20"/>
          <w:szCs w:val="20"/>
          <w:color w:val="auto"/>
        </w:rPr>
      </w:pPr>
    </w:p>
    <w:p>
      <w:pPr>
        <w:ind w:firstLine="1264"/>
        <w:spacing w:after="0" w:line="236" w:lineRule="auto"/>
        <w:rPr>
          <w:sz w:val="20"/>
          <w:szCs w:val="20"/>
          <w:color w:val="auto"/>
        </w:rPr>
      </w:pPr>
      <w:r>
        <w:rPr>
          <w:rFonts w:ascii="Courier New" w:cs="Courier New" w:eastAsia="Courier New" w:hAnsi="Courier New"/>
          <w:sz w:val="18"/>
          <w:szCs w:val="18"/>
          <w:color w:val="auto"/>
        </w:rPr>
        <w:t>Pursuant to the requirements Registration Statement has been signed capacities indicated on June 13, 1996.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right"/>
        <w:ind w:right="1999"/>
        <w:spacing w:after="0" w:line="290" w:lineRule="auto"/>
        <w:rPr>
          <w:sz w:val="20"/>
          <w:szCs w:val="20"/>
          <w:color w:val="auto"/>
        </w:rPr>
      </w:pPr>
      <w:r>
        <w:rPr>
          <w:rFonts w:ascii="Courier New" w:cs="Courier New" w:eastAsia="Courier New" w:hAnsi="Courier New"/>
          <w:sz w:val="16"/>
          <w:szCs w:val="16"/>
          <w:color w:val="auto"/>
        </w:rPr>
        <w:t>of the Securities Act of 1933, this by the  following  persons  in the</w:t>
      </w:r>
    </w:p>
    <w:p>
      <w:pPr>
        <w:spacing w:after="0" w:line="363" w:lineRule="exact"/>
        <w:rPr>
          <w:sz w:val="20"/>
          <w:szCs w:val="20"/>
          <w:color w:val="auto"/>
        </w:rPr>
      </w:pPr>
    </w:p>
    <w:p>
      <w:pPr>
        <w:sectPr>
          <w:pgSz w:w="11900" w:h="16838" w:orient="portrait"/>
          <w:cols w:equalWidth="0" w:num="2">
            <w:col w:w="4440" w:space="100"/>
            <w:col w:w="5679"/>
          </w:cols>
          <w:pgMar w:left="240" w:top="919" w:right="1440" w:bottom="0" w:gutter="0" w:footer="0" w:header="0"/>
          <w:type w:val="continuous"/>
        </w:sectPr>
      </w:pPr>
    </w:p>
    <w:p>
      <w:pPr>
        <w:spacing w:after="0" w:line="206"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p>
    <w:p>
      <w:pPr>
        <w:spacing w:after="0"/>
        <w:tabs>
          <w:tab w:leader="none" w:pos="4840" w:val="left"/>
        </w:tabs>
        <w:rPr>
          <w:sz w:val="20"/>
          <w:szCs w:val="20"/>
          <w:color w:val="auto"/>
        </w:rPr>
      </w:pPr>
      <w:r>
        <w:rPr>
          <w:rFonts w:ascii="Courier New" w:cs="Courier New" w:eastAsia="Courier New" w:hAnsi="Courier New"/>
          <w:sz w:val="18"/>
          <w:szCs w:val="18"/>
          <w:color w:val="auto"/>
        </w:rPr>
        <w:t>James B Beard*</w:t>
      </w:r>
      <w:r>
        <w:rPr>
          <w:sz w:val="20"/>
          <w:szCs w:val="20"/>
          <w:color w:val="auto"/>
        </w:rPr>
        <w:tab/>
      </w:r>
      <w:r>
        <w:rPr>
          <w:rFonts w:ascii="Courier New" w:cs="Courier New" w:eastAsia="Courier New" w:hAnsi="Courier New"/>
          <w:sz w:val="16"/>
          <w:szCs w:val="16"/>
          <w:color w:val="auto"/>
        </w:rPr>
        <w:t>Director</w:t>
      </w: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B Beard</w:t>
      </w:r>
    </w:p>
    <w:p>
      <w:pPr>
        <w:spacing w:after="0" w:line="202"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John S. Chamberlin*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John S. Chamberlin</w:t>
      </w:r>
    </w:p>
    <w:p>
      <w:pPr>
        <w:spacing w:after="0" w:line="200"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Joseph P. Flannery*</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Joseph P. Flannery</w:t>
      </w:r>
    </w:p>
    <w:p>
      <w:pPr>
        <w:spacing w:after="0" w:line="200"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Horace Hagedorn*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Horace Hagedorn</w:t>
      </w:r>
    </w:p>
    <w:p>
      <w:pPr>
        <w:spacing w:after="0" w:line="200"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James Hagedorn*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James Hagedorn</w:t>
      </w:r>
    </w:p>
    <w:p>
      <w:pPr>
        <w:spacing w:after="0" w:line="200"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John Kenlon*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John Kenlon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Tadd C. Seitz</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Tadd C. Seitz</w:t>
      </w:r>
    </w:p>
    <w:p>
      <w:pPr>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Karen Gordon Mills*</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Karen Gordon Mills</w:t>
      </w:r>
    </w:p>
    <w:p>
      <w:pPr>
        <w:spacing w:after="0" w:line="200"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Tadd C. Seitz*</w:t>
      </w:r>
      <w:r>
        <w:rPr>
          <w:sz w:val="20"/>
          <w:szCs w:val="20"/>
          <w:color w:val="auto"/>
        </w:rPr>
        <w:tab/>
      </w:r>
      <w:r>
        <w:rPr>
          <w:rFonts w:ascii="Courier New" w:cs="Courier New" w:eastAsia="Courier New" w:hAnsi="Courier New"/>
          <w:sz w:val="16"/>
          <w:szCs w:val="16"/>
          <w:color w:val="auto"/>
        </w:rPr>
        <w:t>Chairman of the Board, Interim</w:t>
      </w:r>
    </w:p>
    <w:p>
      <w:pPr>
        <w:spacing w:after="0"/>
        <w:tabs>
          <w:tab w:leader="none" w:pos="5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President and Chief Executive</w:t>
      </w:r>
    </w:p>
    <w:p>
      <w:pPr>
        <w:spacing w:after="0"/>
        <w:tabs>
          <w:tab w:leader="none" w:pos="4840" w:val="left"/>
        </w:tabs>
        <w:rPr>
          <w:sz w:val="20"/>
          <w:szCs w:val="20"/>
          <w:color w:val="auto"/>
        </w:rPr>
      </w:pPr>
      <w:r>
        <w:rPr>
          <w:rFonts w:ascii="Courier New" w:cs="Courier New" w:eastAsia="Courier New" w:hAnsi="Courier New"/>
          <w:sz w:val="18"/>
          <w:szCs w:val="18"/>
          <w:color w:val="auto"/>
        </w:rPr>
        <w:t>Tadd C. Seitz</w:t>
      </w:r>
      <w:r>
        <w:rPr>
          <w:sz w:val="20"/>
          <w:szCs w:val="20"/>
          <w:color w:val="auto"/>
        </w:rPr>
        <w:tab/>
      </w:r>
      <w:r>
        <w:rPr>
          <w:rFonts w:ascii="Courier New" w:cs="Courier New" w:eastAsia="Courier New" w:hAnsi="Courier New"/>
          <w:sz w:val="16"/>
          <w:szCs w:val="16"/>
          <w:color w:val="auto"/>
        </w:rPr>
        <w:t>Officer, and Director</w:t>
      </w:r>
    </w:p>
    <w:p>
      <w:pPr>
        <w:spacing w:after="0" w:line="200"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Donald A. Sherman*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Donald A. Sherman</w:t>
      </w:r>
    </w:p>
    <w:p>
      <w:pPr>
        <w:spacing w:after="0" w:line="200"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John M. Sullivan*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John M. Sullivan</w:t>
      </w:r>
    </w:p>
    <w:p>
      <w:pPr>
        <w:spacing w:after="0" w:line="200"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L. Jack Van Fossen*</w:t>
      </w:r>
      <w:r>
        <w:rPr>
          <w:sz w:val="20"/>
          <w:szCs w:val="20"/>
          <w:color w:val="auto"/>
        </w:rPr>
        <w:tab/>
      </w:r>
      <w:r>
        <w:rPr>
          <w:rFonts w:ascii="Courier New" w:cs="Courier New" w:eastAsia="Courier New" w:hAnsi="Courier New"/>
          <w:sz w:val="16"/>
          <w:szCs w:val="16"/>
          <w:color w:val="auto"/>
        </w:rPr>
        <w:t>Director</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L. Jack Van Fossen</w:t>
      </w:r>
    </w:p>
    <w:p>
      <w:pPr>
        <w:spacing w:after="0" w:line="200" w:lineRule="exact"/>
        <w:rPr>
          <w:sz w:val="20"/>
          <w:szCs w:val="20"/>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Paul D. Yeager*</w:t>
      </w:r>
      <w:r>
        <w:rPr>
          <w:sz w:val="20"/>
          <w:szCs w:val="20"/>
          <w:color w:val="auto"/>
        </w:rPr>
        <w:tab/>
      </w:r>
      <w:r>
        <w:rPr>
          <w:rFonts w:ascii="Courier New" w:cs="Courier New" w:eastAsia="Courier New" w:hAnsi="Courier New"/>
          <w:sz w:val="16"/>
          <w:szCs w:val="16"/>
          <w:color w:val="auto"/>
        </w:rPr>
        <w:t>Executive Vice President and</w:t>
      </w:r>
    </w:p>
    <w:p>
      <w:pPr>
        <w:spacing w:after="0"/>
        <w:tabs>
          <w:tab w:leader="none" w:pos="5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Chief Financial Officer</w:t>
      </w:r>
    </w:p>
    <w:p>
      <w:pPr>
        <w:spacing w:after="0"/>
        <w:rPr>
          <w:sz w:val="20"/>
          <w:szCs w:val="20"/>
          <w:color w:val="auto"/>
        </w:rPr>
      </w:pPr>
      <w:r>
        <w:rPr>
          <w:rFonts w:ascii="Courier New" w:cs="Courier New" w:eastAsia="Courier New" w:hAnsi="Courier New"/>
          <w:sz w:val="18"/>
          <w:szCs w:val="18"/>
          <w:color w:val="auto"/>
        </w:rPr>
        <w:t>Paul D. Yeager</w:t>
      </w:r>
    </w:p>
    <w:p>
      <w:pPr>
        <w:sectPr>
          <w:pgSz w:w="11900" w:h="16838" w:orient="portrait"/>
          <w:cols w:equalWidth="0" w:num="1">
            <w:col w:w="10219"/>
          </w:cols>
          <w:pgMar w:left="240" w:top="919" w:right="1440" w:bottom="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Todd R. White*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Todd R. White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Controller and Principal</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Accounting Officer</w:t>
      </w:r>
    </w:p>
    <w:p>
      <w:pPr>
        <w:spacing w:after="0" w:line="402" w:lineRule="exact"/>
        <w:rPr>
          <w:sz w:val="20"/>
          <w:szCs w:val="20"/>
          <w:color w:val="auto"/>
        </w:rPr>
      </w:pPr>
    </w:p>
    <w:p>
      <w:pPr>
        <w:sectPr>
          <w:pgSz w:w="11900" w:h="16838" w:orient="portrait"/>
          <w:cols w:equalWidth="0" w:num="2">
            <w:col w:w="4140" w:space="720"/>
            <w:col w:w="5359"/>
          </w:cols>
          <w:pgMar w:left="240" w:top="136" w:right="1440" w:bottom="1440"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Tadd C. Seitz</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83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Tadd C. Seitz (Attorney-in-Fact)</w:t>
      </w:r>
    </w:p>
    <w:p>
      <w:pPr>
        <w:sectPr>
          <w:pgSz w:w="11900" w:h="16838" w:orient="portrait"/>
          <w:cols w:equalWidth="0" w:num="1">
            <w:col w:w="10219"/>
          </w:cols>
          <w:pgMar w:left="240" w:top="136" w:right="1440" w:bottom="1440" w:gutter="0" w:footer="0" w:header="0"/>
          <w:type w:val="continuous"/>
        </w:sectPr>
      </w:pPr>
    </w:p>
    <w:bookmarkStart w:id="11" w:name="page12"/>
    <w:bookmarkEnd w:id="11"/>
    <w:p>
      <w:pPr>
        <w:ind w:left="32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925" w:right="1440" w:bottom="1440" w:gutter="0" w:footer="0" w:header="0"/>
        </w:sect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3580" w:type="dxa"/>
            <w:vAlign w:val="bottom"/>
          </w:tcPr>
          <w:p>
            <w:pPr>
              <w:ind w:left="1260"/>
              <w:spacing w:after="0"/>
              <w:rPr>
                <w:sz w:val="20"/>
                <w:szCs w:val="20"/>
                <w:color w:val="auto"/>
              </w:rPr>
            </w:pPr>
            <w:r>
              <w:rPr>
                <w:rFonts w:ascii="Courier New" w:cs="Courier New" w:eastAsia="Courier New" w:hAnsi="Courier New"/>
                <w:sz w:val="18"/>
                <w:szCs w:val="18"/>
                <w:color w:val="auto"/>
              </w:rPr>
              <w:t>Description</w:t>
            </w:r>
          </w:p>
        </w:tc>
      </w:tr>
      <w:tr>
        <w:trPr>
          <w:trHeight w:val="405"/>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4(a)</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Amended Articles of</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of The Scotts</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as filed with the Ohio</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Secretary of State on</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 20, 1994</w:t>
            </w:r>
          </w:p>
        </w:tc>
      </w:tr>
      <w:tr>
        <w:trPr>
          <w:trHeight w:val="608"/>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4(b)</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Amendment by</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Shareholders to the Articles of</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of The Scotts</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as filed with the Ohio</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Secretary of State on May 4, 1995</w:t>
            </w:r>
          </w:p>
        </w:tc>
      </w:tr>
      <w:tr>
        <w:trPr>
          <w:trHeight w:val="608"/>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4(c)</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Regulations of The Scotts</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(reflecting amendments</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adopted by the shareholders of</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Scotts Company on April 6,</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w:t>
            </w:r>
          </w:p>
        </w:tc>
      </w:tr>
      <w:tr>
        <w:trPr>
          <w:trHeight w:val="608"/>
        </w:trPr>
        <w:tc>
          <w:tcPr>
            <w:tcW w:w="1280" w:type="dxa"/>
            <w:vAlign w:val="bottom"/>
          </w:tcPr>
          <w:p>
            <w:pPr>
              <w:ind w:left="420"/>
              <w:spacing w:after="0"/>
              <w:rPr>
                <w:sz w:val="20"/>
                <w:szCs w:val="20"/>
                <w:color w:val="auto"/>
              </w:rPr>
            </w:pPr>
            <w:r>
              <w:rPr>
                <w:rFonts w:ascii="Courier New" w:cs="Courier New" w:eastAsia="Courier New" w:hAnsi="Courier New"/>
                <w:sz w:val="18"/>
                <w:szCs w:val="18"/>
                <w:color w:val="auto"/>
              </w:rPr>
              <w:t>4(d)</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The Scotts Company 1996 Stock</w:t>
            </w:r>
          </w:p>
        </w:tc>
      </w:tr>
      <w:tr>
        <w:trPr>
          <w:trHeight w:val="203"/>
        </w:trPr>
        <w:tc>
          <w:tcPr>
            <w:tcW w:w="1280" w:type="dxa"/>
            <w:vAlign w:val="bottom"/>
          </w:tcPr>
          <w:p>
            <w:pPr>
              <w:spacing w:after="0"/>
              <w:rPr>
                <w:sz w:val="17"/>
                <w:szCs w:val="17"/>
                <w:color w:val="auto"/>
              </w:rPr>
            </w:pP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 Plan</w:t>
            </w:r>
          </w:p>
        </w:tc>
      </w:tr>
    </w:tbl>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Page No.</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Incorporated herein by reference to Exhibit 3(a) of the Registrant's Annual Report on Form 10-K for the fiscal year ended September 30, 1994 (File No. 0-19768)</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Incorporated herein by reference to Exhibit 4(b) of the Registrant's Quarterly Report on Form 10-Q for the fiscal quarter ended April 1, 1995 (File No. 0-19768)</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Incorporated herein by reference to Exhibit 4(c) of the Registrant's Quarterly Report on Form 10-Q for the fiscal quarter ended April 1, 1995 (File No. 0-19768)</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Incorporated herein by reference to Exhibit 10 of the Registrant's Quarterly Report on Form 10-Q for the fiscal quarter ended March 30, 1996 (File No. 1-11593)</w:t>
      </w:r>
    </w:p>
    <w:p>
      <w:pPr>
        <w:spacing w:after="0" w:line="200" w:lineRule="exact"/>
        <w:rPr>
          <w:sz w:val="20"/>
          <w:szCs w:val="20"/>
          <w:color w:val="auto"/>
        </w:rPr>
      </w:pPr>
    </w:p>
    <w:p>
      <w:pPr>
        <w:sectPr>
          <w:pgSz w:w="11900" w:h="16838" w:orient="portrait"/>
          <w:cols w:equalWidth="0" w:num="2">
            <w:col w:w="4860" w:space="300"/>
            <w:col w:w="5059"/>
          </w:cols>
          <w:pgMar w:left="240" w:top="925" w:right="1440" w:bottom="1440" w:gutter="0" w:footer="0" w:header="0"/>
          <w:type w:val="continuous"/>
        </w:sectPr>
      </w:pPr>
    </w:p>
    <w:p>
      <w:pPr>
        <w:spacing w:after="0" w:line="10" w:lineRule="exact"/>
        <w:rPr>
          <w:sz w:val="20"/>
          <w:szCs w:val="20"/>
          <w:color w:val="auto"/>
        </w:rPr>
      </w:pPr>
    </w:p>
    <w:p>
      <w:pPr>
        <w:ind w:left="1380" w:right="3259" w:hanging="845"/>
        <w:spacing w:after="0" w:line="235"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Vorys, Sater, Seymour Pages 17 through 19 and Pease as to legality</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23(a)</w:t>
            </w:r>
          </w:p>
        </w:tc>
        <w:tc>
          <w:tcPr>
            <w:tcW w:w="3740" w:type="dxa"/>
            <w:vAlign w:val="bottom"/>
          </w:tcPr>
          <w:p>
            <w:pPr>
              <w:ind w:left="260"/>
              <w:spacing w:after="0"/>
              <w:rPr>
                <w:sz w:val="20"/>
                <w:szCs w:val="20"/>
                <w:color w:val="auto"/>
              </w:rPr>
            </w:pPr>
            <w:r>
              <w:rPr>
                <w:rFonts w:ascii="Courier New" w:cs="Courier New" w:eastAsia="Courier New" w:hAnsi="Courier New"/>
                <w:sz w:val="18"/>
                <w:szCs w:val="18"/>
                <w:color w:val="auto"/>
              </w:rPr>
              <w:t>Consent of Coopers &amp; Lybrand</w:t>
            </w:r>
          </w:p>
        </w:tc>
        <w:tc>
          <w:tcPr>
            <w:tcW w:w="10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Pages 20</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and 21</w:t>
            </w:r>
          </w:p>
        </w:tc>
      </w:tr>
      <w:tr>
        <w:trPr>
          <w:trHeight w:val="203"/>
        </w:trPr>
        <w:tc>
          <w:tcPr>
            <w:tcW w:w="800" w:type="dxa"/>
            <w:vAlign w:val="bottom"/>
          </w:tcPr>
          <w:p>
            <w:pPr>
              <w:spacing w:after="0"/>
              <w:rPr>
                <w:sz w:val="17"/>
                <w:szCs w:val="17"/>
                <w:color w:val="auto"/>
              </w:rPr>
            </w:pP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L.L.P.</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23(b)</w:t>
            </w: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Consent of Vorys, Sater, Seymour</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Filed</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as part of Exhibit 5</w:t>
            </w:r>
          </w:p>
        </w:tc>
      </w:tr>
      <w:tr>
        <w:trPr>
          <w:trHeight w:val="203"/>
        </w:trPr>
        <w:tc>
          <w:tcPr>
            <w:tcW w:w="800" w:type="dxa"/>
            <w:vAlign w:val="bottom"/>
          </w:tcPr>
          <w:p>
            <w:pPr>
              <w:spacing w:after="0"/>
              <w:rPr>
                <w:sz w:val="17"/>
                <w:szCs w:val="17"/>
                <w:color w:val="auto"/>
              </w:rPr>
            </w:pPr>
          </w:p>
        </w:tc>
        <w:tc>
          <w:tcPr>
            <w:tcW w:w="3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Pease</w:t>
            </w: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24</w:t>
            </w:r>
          </w:p>
        </w:tc>
        <w:tc>
          <w:tcPr>
            <w:tcW w:w="3740" w:type="dxa"/>
            <w:vAlign w:val="bottom"/>
          </w:tcPr>
          <w:p>
            <w:pPr>
              <w:ind w:left="260"/>
              <w:spacing w:after="0"/>
              <w:rPr>
                <w:sz w:val="20"/>
                <w:szCs w:val="20"/>
                <w:color w:val="auto"/>
              </w:rPr>
            </w:pPr>
            <w:r>
              <w:rPr>
                <w:rFonts w:ascii="Courier New" w:cs="Courier New" w:eastAsia="Courier New" w:hAnsi="Courier New"/>
                <w:sz w:val="18"/>
                <w:szCs w:val="18"/>
                <w:color w:val="auto"/>
              </w:rPr>
              <w:t>Powers of Attorney</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Pages</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22</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through 35</w:t>
            </w:r>
          </w:p>
        </w:tc>
      </w:tr>
    </w:tbl>
    <w:p>
      <w:pPr>
        <w:sectPr>
          <w:pgSz w:w="11900" w:h="16838" w:orient="portrait"/>
          <w:cols w:equalWidth="0" w:num="1">
            <w:col w:w="10219"/>
          </w:cols>
          <w:pgMar w:left="240" w:top="925" w:right="1440" w:bottom="1440" w:gutter="0" w:footer="0" w:header="0"/>
          <w:type w:val="continuous"/>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OPINION OF VORYS, SATER, SEYMOUR</w:t>
      </w:r>
    </w:p>
    <w:p>
      <w:pPr>
        <w:ind w:left="3380"/>
        <w:spacing w:after="0" w:line="238" w:lineRule="auto"/>
        <w:rPr>
          <w:sz w:val="20"/>
          <w:szCs w:val="20"/>
          <w:color w:val="auto"/>
        </w:rPr>
      </w:pPr>
      <w:r>
        <w:rPr>
          <w:rFonts w:ascii="Courier New" w:cs="Courier New" w:eastAsia="Courier New" w:hAnsi="Courier New"/>
          <w:sz w:val="18"/>
          <w:szCs w:val="18"/>
          <w:color w:val="auto"/>
        </w:rPr>
        <w:t>AND PEASE AS TO</w:t>
      </w:r>
    </w:p>
    <w:p>
      <w:pPr>
        <w:ind w:left="3700"/>
        <w:spacing w:after="0"/>
        <w:rPr>
          <w:sz w:val="20"/>
          <w:szCs w:val="20"/>
          <w:color w:val="auto"/>
        </w:rPr>
      </w:pPr>
      <w:r>
        <w:rPr>
          <w:rFonts w:ascii="Courier New" w:cs="Courier New" w:eastAsia="Courier New" w:hAnsi="Courier New"/>
          <w:sz w:val="18"/>
          <w:szCs w:val="18"/>
          <w:color w:val="auto"/>
        </w:rPr>
        <w:t>LEGALITY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(614) 464-6400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June 14,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7" w:lineRule="auto"/>
        <w:rPr>
          <w:sz w:val="20"/>
          <w:szCs w:val="20"/>
          <w:color w:val="auto"/>
        </w:rPr>
      </w:pPr>
      <w:r>
        <w:rPr>
          <w:rFonts w:ascii="Courier New" w:cs="Courier New" w:eastAsia="Courier New" w:hAnsi="Courier New"/>
          <w:sz w:val="18"/>
          <w:szCs w:val="18"/>
          <w:color w:val="auto"/>
        </w:rPr>
        <w:t>Marysville, OH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1999" w:firstLine="632"/>
        <w:spacing w:after="0" w:line="238" w:lineRule="auto"/>
        <w:rPr>
          <w:sz w:val="20"/>
          <w:szCs w:val="20"/>
          <w:color w:val="auto"/>
        </w:rPr>
      </w:pPr>
      <w:r>
        <w:rPr>
          <w:rFonts w:ascii="Courier New" w:cs="Courier New" w:eastAsia="Courier New" w:hAnsi="Courier New"/>
          <w:sz w:val="18"/>
          <w:szCs w:val="18"/>
          <w:color w:val="auto"/>
        </w:rPr>
        <w:t>We are familiar with the proceedings taken and proposed to be taken by The Scotts Company, an Ohio corporation (the "Company"), in connection with the institution of The Scotts Company 1996 Stock Option Plan (the "Plan"), the granting of options to purchase common shares, without par value (the "Common Shares"), of the Company pursuant to the Plan, and the issuance and sale of Common Shares of the Company upon exercise of options to be granted under the Plan, as described in the Registration Statement on Form S-8 (the "Registration Statement") to be filed with the Securities and Exchange Commission on June 14, 1996. The purpose of the Registration Statement is to register the 1,500,000 Common Shares reserved for issuance under the Plan pursuant to the provisions of the Securities Act of 1933, as amended, and the rules and regulations promulgated thereunder.</w:t>
      </w:r>
    </w:p>
    <w:p>
      <w:pPr>
        <w:spacing w:after="0" w:line="207"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In connection with this opinion, we have examined an original or copy of, and have relied upon the accuracy of, without independent verification or investigation: (a) the Registration Statement; (b) the Plan; (c) the Company's Amended Articles of Incorporation, as amended; (d) the Company's Regulations, as amended; and (e) certain proceedings of the directors and of the shareholders of the Company. We have also relied upon such representations of the Company and officers of the Company and such authorities of law as we have deemed relevant as a basis for this opinion.</w:t>
      </w:r>
    </w:p>
    <w:p>
      <w:pPr>
        <w:sectPr>
          <w:pgSz w:w="11900" w:h="16838" w:orient="portrait"/>
          <w:cols w:equalWidth="0" w:num="1">
            <w:col w:w="10219"/>
          </w:cols>
          <w:pgMar w:left="240" w:top="74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June 14, 1996</w:t>
      </w:r>
    </w:p>
    <w:p>
      <w:pPr>
        <w:spacing w:after="0" w:line="237" w:lineRule="auto"/>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10"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We have relied solely upon the examinations and inquiries recited herein, and we have not undertaken any independent investigation to determine the existence or absence of any facts, and no inference as to our knowledge concerning such facts should be drawn.</w:t>
      </w:r>
    </w:p>
    <w:p>
      <w:pPr>
        <w:spacing w:after="0" w:line="207" w:lineRule="exact"/>
        <w:rPr>
          <w:sz w:val="20"/>
          <w:szCs w:val="20"/>
          <w:color w:val="auto"/>
        </w:rPr>
      </w:pPr>
    </w:p>
    <w:p>
      <w:pPr>
        <w:jc w:val="both"/>
        <w:ind w:right="1999" w:firstLine="632"/>
        <w:spacing w:after="0" w:line="271" w:lineRule="auto"/>
        <w:rPr>
          <w:sz w:val="20"/>
          <w:szCs w:val="20"/>
          <w:color w:val="auto"/>
        </w:rPr>
      </w:pPr>
      <w:r>
        <w:rPr>
          <w:rFonts w:ascii="Courier New" w:cs="Courier New" w:eastAsia="Courier New" w:hAnsi="Courier New"/>
          <w:sz w:val="16"/>
          <w:szCs w:val="16"/>
          <w:color w:val="auto"/>
        </w:rPr>
        <w:t>Based upon and subject to the foregoing and the further qualifications and limitations set forth below, as of the date hereof, we are of the opinion that after 1,500,000 Common Shares of the Company to be registered under the Registration Statement have been issued and delivered by the Company, upon the exercise of options granted under the Plan, against payment of the purchase price therefor, in accordance with the terms of the Plan, said Common Shares will be validly issued, fully paid and non-assessable, assuming compliance with applicable federal and state securities laws.</w:t>
      </w:r>
    </w:p>
    <w:p>
      <w:pPr>
        <w:spacing w:after="0" w:line="186" w:lineRule="exact"/>
        <w:rPr>
          <w:sz w:val="20"/>
          <w:szCs w:val="20"/>
          <w:color w:val="auto"/>
        </w:rPr>
      </w:pPr>
    </w:p>
    <w:p>
      <w:pPr>
        <w:jc w:val="both"/>
        <w:ind w:right="1999" w:firstLine="632"/>
        <w:spacing w:after="0" w:line="237" w:lineRule="auto"/>
        <w:rPr>
          <w:sz w:val="20"/>
          <w:szCs w:val="20"/>
          <w:color w:val="auto"/>
        </w:rPr>
      </w:pPr>
      <w:r>
        <w:rPr>
          <w:rFonts w:ascii="Courier New" w:cs="Courier New" w:eastAsia="Courier New" w:hAnsi="Courier New"/>
          <w:sz w:val="18"/>
          <w:szCs w:val="18"/>
          <w:color w:val="auto"/>
        </w:rPr>
        <w:t>Our opinion is limited to the General Corporation Law of Ohio in effect as of the date hereof. This opinion is furnished by us solely for the benefit of the Company in connection with the offering of the Common Shares pursuant to the Plan and the filing of the Registration Statement and any amendments thereto. This opinion may not be relied upon by any other person or assigned, quoted or otherwise used without our specific written consent.</w:t>
      </w:r>
    </w:p>
    <w:p>
      <w:pPr>
        <w:sectPr>
          <w:pgSz w:w="11900" w:h="16838" w:orient="portrait"/>
          <w:cols w:equalWidth="0" w:num="1">
            <w:col w:w="10219"/>
          </w:cols>
          <w:pgMar w:left="240" w:top="919" w:right="1440" w:bottom="1440" w:gutter="0" w:footer="0" w:header="0"/>
        </w:sectPr>
      </w:pPr>
    </w:p>
    <w:p>
      <w:pPr>
        <w:spacing w:after="0" w:line="210" w:lineRule="exact"/>
        <w:rPr>
          <w:sz w:val="20"/>
          <w:szCs w:val="20"/>
          <w:color w:val="auto"/>
        </w:rPr>
      </w:pPr>
    </w:p>
    <w:p>
      <w:pPr>
        <w:jc w:val="both"/>
        <w:ind w:firstLine="632"/>
        <w:spacing w:after="0" w:line="236" w:lineRule="auto"/>
        <w:rPr>
          <w:sz w:val="20"/>
          <w:szCs w:val="20"/>
          <w:color w:val="auto"/>
        </w:rPr>
      </w:pPr>
      <w:r>
        <w:rPr>
          <w:rFonts w:ascii="Courier New" w:cs="Courier New" w:eastAsia="Courier New" w:hAnsi="Courier New"/>
          <w:sz w:val="18"/>
          <w:szCs w:val="18"/>
          <w:color w:val="auto"/>
        </w:rPr>
        <w:t>Notwithstanding the foregoing, as an exhibit to the Registration therein.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we consent to the filing of this opinion Statement and to the reference to us</w:t>
      </w:r>
    </w:p>
    <w:p>
      <w:pPr>
        <w:spacing w:after="0" w:line="363" w:lineRule="exact"/>
        <w:rPr>
          <w:sz w:val="20"/>
          <w:szCs w:val="20"/>
          <w:color w:val="auto"/>
        </w:rPr>
      </w:pPr>
    </w:p>
    <w:p>
      <w:pPr>
        <w:sectPr>
          <w:pgSz w:w="11900" w:h="16838" w:orient="portrait"/>
          <w:cols w:equalWidth="0" w:num="2">
            <w:col w:w="3800" w:space="220"/>
            <w:col w:w="6199"/>
          </w:cols>
          <w:pgMar w:left="240" w:top="919" w:right="1440" w:bottom="1440" w:gutter="0" w:footer="0" w:header="0"/>
          <w:type w:val="continuous"/>
        </w:sectPr>
      </w:pPr>
    </w:p>
    <w:p>
      <w:pPr>
        <w:spacing w:after="0" w:line="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Vorys, Sater, Seymour and Pease</w:t>
      </w:r>
    </w:p>
    <w:p>
      <w:pPr>
        <w:spacing w:after="0" w:line="238" w:lineRule="auto"/>
        <w:rPr>
          <w:sz w:val="20"/>
          <w:szCs w:val="20"/>
          <w:color w:val="auto"/>
        </w:rPr>
      </w:pPr>
      <w:r>
        <w:rPr>
          <w:rFonts w:ascii="Courier New" w:cs="Courier New" w:eastAsia="Courier New" w:hAnsi="Courier New"/>
          <w:sz w:val="18"/>
          <w:szCs w:val="18"/>
          <w:color w:val="auto"/>
        </w:rPr>
        <w:t>ETF/jkf</w:t>
      </w:r>
    </w:p>
    <w:p>
      <w:pPr>
        <w:sectPr>
          <w:pgSz w:w="11900" w:h="16838" w:orient="portrait"/>
          <w:cols w:equalWidth="0" w:num="1">
            <w:col w:w="10219"/>
          </w:cols>
          <w:pgMar w:left="240" w:top="919" w:right="1440" w:bottom="1440" w:gutter="0" w:footer="0" w:header="0"/>
          <w:type w:val="continuous"/>
        </w:sectPr>
      </w:pPr>
    </w:p>
    <w:bookmarkStart w:id="14" w:name="page15"/>
    <w:bookmarkEnd w:id="14"/>
    <w:p>
      <w:pPr>
        <w:ind w:left="3480"/>
        <w:spacing w:after="0"/>
        <w:rPr>
          <w:sz w:val="20"/>
          <w:szCs w:val="20"/>
          <w:color w:val="auto"/>
        </w:rPr>
      </w:pPr>
      <w:r>
        <w:rPr>
          <w:rFonts w:ascii="Courier New" w:cs="Courier New" w:eastAsia="Courier New" w:hAnsi="Courier New"/>
          <w:sz w:val="18"/>
          <w:szCs w:val="18"/>
          <w:color w:val="auto"/>
        </w:rPr>
        <w:t>EXHIBIT 23(a)</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COOPERS &amp; LYBRAND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jc w:val="both"/>
        <w:ind w:right="1999" w:firstLine="527"/>
        <w:spacing w:after="0" w:line="235"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of The Scotts Company on Form S-8 (File No. 333-_______) of our</w:t>
      </w:r>
    </w:p>
    <w:p>
      <w:pPr>
        <w:spacing w:after="0" w:line="6"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report dated November 15, 1995 on our audits of the consolidated financial statements and our report dated November 15, 1995 on our audits of the financial statement schedules of The Scotts Company as of September 30, 1994 and 1995 and for the three years ended September 30, 1993, 1994 and 1995, as included in the Company's Form 10-K/A for the year ended September 30, 1995.</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June 14, 1996</w:t>
      </w:r>
    </w:p>
    <w:p>
      <w:pPr>
        <w:sectPr>
          <w:pgSz w:w="11900" w:h="16838" w:orient="portrait"/>
          <w:cols w:equalWidth="0" w:num="1">
            <w:col w:w="10219"/>
          </w:cols>
          <w:pgMar w:left="240" w:top="339" w:right="1440" w:bottom="1440" w:gutter="0" w:footer="0" w:header="0"/>
        </w:sectPr>
      </w:pPr>
    </w:p>
    <w:bookmarkStart w:id="15" w:name="page16"/>
    <w:bookmarkEnd w:id="15"/>
    <w:p>
      <w:pPr>
        <w:ind w:left="358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POWERS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/s/ James B Beard</w:t>
      </w:r>
    </w:p>
    <w:p>
      <w:pPr>
        <w:jc w:val="right"/>
        <w:ind w:right="4519"/>
        <w:spacing w:after="0" w:line="238" w:lineRule="auto"/>
        <w:rPr>
          <w:sz w:val="20"/>
          <w:szCs w:val="20"/>
          <w:color w:val="auto"/>
        </w:rPr>
      </w:pPr>
      <w:r>
        <w:rPr>
          <w:rFonts w:ascii="Courier New" w:cs="Courier New" w:eastAsia="Courier New" w:hAnsi="Courier New"/>
          <w:sz w:val="18"/>
          <w:szCs w:val="18"/>
          <w:color w:val="auto"/>
        </w:rPr>
        <w:t>James B Beard</w:t>
      </w:r>
    </w:p>
    <w:p>
      <w:pPr>
        <w:sectPr>
          <w:pgSz w:w="11900" w:h="16838" w:orient="portrait"/>
          <w:cols w:equalWidth="0" w:num="1">
            <w:col w:w="10219"/>
          </w:cols>
          <w:pgMar w:left="240" w:top="136" w:right="1440" w:bottom="1440" w:gutter="0" w:footer="0" w:header="0"/>
        </w:sectPr>
      </w:pPr>
    </w:p>
    <w:bookmarkStart w:id="16" w:name="page17"/>
    <w:bookmarkEnd w:id="16"/>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8th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/s/ John S. Chamberlin</w:t>
      </w:r>
    </w:p>
    <w:p>
      <w:pPr>
        <w:jc w:val="right"/>
        <w:ind w:right="3999"/>
        <w:spacing w:after="0" w:line="238" w:lineRule="auto"/>
        <w:rPr>
          <w:sz w:val="20"/>
          <w:szCs w:val="20"/>
          <w:color w:val="auto"/>
        </w:rPr>
      </w:pPr>
      <w:r>
        <w:rPr>
          <w:rFonts w:ascii="Courier New" w:cs="Courier New" w:eastAsia="Courier New" w:hAnsi="Courier New"/>
          <w:sz w:val="18"/>
          <w:szCs w:val="18"/>
          <w:color w:val="auto"/>
        </w:rPr>
        <w:t>John S. Chamberlin</w:t>
      </w:r>
    </w:p>
    <w:p>
      <w:pPr>
        <w:sectPr>
          <w:pgSz w:w="11900" w:h="16838" w:orient="portrait"/>
          <w:cols w:equalWidth="0" w:num="1">
            <w:col w:w="10219"/>
          </w:cols>
          <w:pgMar w:left="240" w:top="919" w:right="1440" w:bottom="1440" w:gutter="0" w:footer="0" w:header="0"/>
        </w:sectPr>
      </w:pPr>
    </w:p>
    <w:bookmarkStart w:id="17" w:name="page18"/>
    <w:bookmarkEnd w:id="17"/>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/s/ Joseph P. Flannery</w:t>
      </w:r>
    </w:p>
    <w:p>
      <w:pPr>
        <w:jc w:val="right"/>
        <w:ind w:right="3999"/>
        <w:spacing w:after="0" w:line="238" w:lineRule="auto"/>
        <w:rPr>
          <w:sz w:val="20"/>
          <w:szCs w:val="20"/>
          <w:color w:val="auto"/>
        </w:rPr>
      </w:pPr>
      <w:r>
        <w:rPr>
          <w:rFonts w:ascii="Courier New" w:cs="Courier New" w:eastAsia="Courier New" w:hAnsi="Courier New"/>
          <w:sz w:val="18"/>
          <w:szCs w:val="18"/>
          <w:color w:val="auto"/>
        </w:rPr>
        <w:t>Joseph P. Flannery</w:t>
      </w:r>
    </w:p>
    <w:p>
      <w:pPr>
        <w:sectPr>
          <w:pgSz w:w="11900" w:h="16838" w:orient="portrait"/>
          <w:cols w:equalWidth="0" w:num="1">
            <w:col w:w="10219"/>
          </w:cols>
          <w:pgMar w:left="240" w:top="919" w:right="1440" w:bottom="1440" w:gutter="0" w:footer="0" w:header="0"/>
        </w:sectPr>
      </w:pPr>
    </w:p>
    <w:bookmarkStart w:id="18" w:name="page19"/>
    <w:bookmarkEnd w:id="18"/>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/s/ Horace Hagedorn</w:t>
      </w:r>
    </w:p>
    <w:p>
      <w:pPr>
        <w:jc w:val="right"/>
        <w:ind w:right="4319"/>
        <w:spacing w:after="0" w:line="238" w:lineRule="auto"/>
        <w:rPr>
          <w:sz w:val="20"/>
          <w:szCs w:val="20"/>
          <w:color w:val="auto"/>
        </w:rPr>
      </w:pPr>
      <w:r>
        <w:rPr>
          <w:rFonts w:ascii="Courier New" w:cs="Courier New" w:eastAsia="Courier New" w:hAnsi="Courier New"/>
          <w:sz w:val="18"/>
          <w:szCs w:val="18"/>
          <w:color w:val="auto"/>
        </w:rPr>
        <w:t>Horace Hagedorn</w:t>
      </w:r>
    </w:p>
    <w:p>
      <w:pPr>
        <w:sectPr>
          <w:pgSz w:w="11900" w:h="16838" w:orient="portrait"/>
          <w:cols w:equalWidth="0" w:num="1">
            <w:col w:w="10219"/>
          </w:cols>
          <w:pgMar w:left="240" w:top="919" w:right="1440" w:bottom="1440" w:gutter="0" w:footer="0" w:header="0"/>
        </w:sectPr>
      </w:pPr>
    </w:p>
    <w:bookmarkStart w:id="19" w:name="page20"/>
    <w:bookmarkEnd w:id="19"/>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/s/ James Hagedorn</w:t>
      </w:r>
    </w:p>
    <w:p>
      <w:pPr>
        <w:jc w:val="right"/>
        <w:ind w:right="4419"/>
        <w:spacing w:after="0" w:line="238" w:lineRule="auto"/>
        <w:rPr>
          <w:sz w:val="20"/>
          <w:szCs w:val="20"/>
          <w:color w:val="auto"/>
        </w:rPr>
      </w:pPr>
      <w:r>
        <w:rPr>
          <w:rFonts w:ascii="Courier New" w:cs="Courier New" w:eastAsia="Courier New" w:hAnsi="Courier New"/>
          <w:sz w:val="18"/>
          <w:szCs w:val="18"/>
          <w:color w:val="auto"/>
        </w:rPr>
        <w:t>James Hagedorn</w:t>
      </w:r>
    </w:p>
    <w:p>
      <w:pPr>
        <w:sectPr>
          <w:pgSz w:w="11900" w:h="16838" w:orient="portrait"/>
          <w:cols w:equalWidth="0" w:num="1">
            <w:col w:w="10219"/>
          </w:cols>
          <w:pgMar w:left="240" w:top="919" w:right="1440" w:bottom="1440" w:gutter="0" w:footer="0" w:header="0"/>
        </w:sectPr>
      </w:pPr>
    </w:p>
    <w:bookmarkStart w:id="20" w:name="page21"/>
    <w:bookmarkEnd w:id="20"/>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739"/>
        <w:spacing w:after="0"/>
        <w:rPr>
          <w:sz w:val="20"/>
          <w:szCs w:val="20"/>
          <w:color w:val="auto"/>
        </w:rPr>
      </w:pPr>
      <w:r>
        <w:rPr>
          <w:rFonts w:ascii="Courier New" w:cs="Courier New" w:eastAsia="Courier New" w:hAnsi="Courier New"/>
          <w:sz w:val="18"/>
          <w:szCs w:val="18"/>
          <w:color w:val="auto"/>
        </w:rPr>
        <w:t>/s/ John Kenlon</w:t>
      </w:r>
    </w:p>
    <w:p>
      <w:pPr>
        <w:jc w:val="right"/>
        <w:ind w:right="4739"/>
        <w:spacing w:after="0" w:line="238" w:lineRule="auto"/>
        <w:rPr>
          <w:sz w:val="20"/>
          <w:szCs w:val="20"/>
          <w:color w:val="auto"/>
        </w:rPr>
      </w:pPr>
      <w:r>
        <w:rPr>
          <w:rFonts w:ascii="Courier New" w:cs="Courier New" w:eastAsia="Courier New" w:hAnsi="Courier New"/>
          <w:sz w:val="18"/>
          <w:szCs w:val="18"/>
          <w:color w:val="auto"/>
        </w:rPr>
        <w:t>John Kenlon</w:t>
      </w:r>
    </w:p>
    <w:p>
      <w:pPr>
        <w:sectPr>
          <w:pgSz w:w="11900" w:h="16838" w:orient="portrait"/>
          <w:cols w:equalWidth="0" w:num="1">
            <w:col w:w="10219"/>
          </w:cols>
          <w:pgMar w:left="240" w:top="919" w:right="1440" w:bottom="1440" w:gutter="0" w:footer="0" w:header="0"/>
        </w:sectPr>
      </w:pPr>
    </w:p>
    <w:bookmarkStart w:id="21" w:name="page22"/>
    <w:bookmarkEnd w:id="21"/>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/s/ Karen Gordon Mills</w:t>
      </w:r>
    </w:p>
    <w:p>
      <w:pPr>
        <w:jc w:val="right"/>
        <w:ind w:right="3999"/>
        <w:spacing w:after="0" w:line="238" w:lineRule="auto"/>
        <w:rPr>
          <w:sz w:val="20"/>
          <w:szCs w:val="20"/>
          <w:color w:val="auto"/>
        </w:rPr>
      </w:pPr>
      <w:r>
        <w:rPr>
          <w:rFonts w:ascii="Courier New" w:cs="Courier New" w:eastAsia="Courier New" w:hAnsi="Courier New"/>
          <w:sz w:val="18"/>
          <w:szCs w:val="18"/>
          <w:color w:val="auto"/>
        </w:rPr>
        <w:t>Karen Gordon Mills</w:t>
      </w:r>
    </w:p>
    <w:p>
      <w:pPr>
        <w:sectPr>
          <w:pgSz w:w="11900" w:h="16838" w:orient="portrait"/>
          <w:cols w:equalWidth="0" w:num="1">
            <w:col w:w="10219"/>
          </w:cols>
          <w:pgMar w:left="240" w:top="919" w:right="1440" w:bottom="1440" w:gutter="0" w:footer="0" w:header="0"/>
        </w:sectPr>
      </w:pPr>
    </w:p>
    <w:bookmarkStart w:id="22" w:name="page23"/>
    <w:bookmarkEnd w:id="22"/>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/s/ Tadd C. Seitz</w:t>
      </w:r>
    </w:p>
    <w:p>
      <w:pPr>
        <w:jc w:val="right"/>
        <w:ind w:right="4519"/>
        <w:spacing w:after="0" w:line="238" w:lineRule="auto"/>
        <w:rPr>
          <w:sz w:val="20"/>
          <w:szCs w:val="20"/>
          <w:color w:val="auto"/>
        </w:rPr>
      </w:pPr>
      <w:r>
        <w:rPr>
          <w:rFonts w:ascii="Courier New" w:cs="Courier New" w:eastAsia="Courier New" w:hAnsi="Courier New"/>
          <w:sz w:val="18"/>
          <w:szCs w:val="18"/>
          <w:color w:val="auto"/>
        </w:rPr>
        <w:t>Tadd C. Seitz</w:t>
      </w:r>
    </w:p>
    <w:p>
      <w:pPr>
        <w:sectPr>
          <w:pgSz w:w="11900" w:h="16838" w:orient="portrait"/>
          <w:cols w:equalWidth="0" w:num="1">
            <w:col w:w="10219"/>
          </w:cols>
          <w:pgMar w:left="240" w:top="919" w:right="1440" w:bottom="1440" w:gutter="0" w:footer="0" w:header="0"/>
        </w:sectPr>
      </w:pPr>
    </w:p>
    <w:bookmarkStart w:id="23" w:name="page24"/>
    <w:bookmarkEnd w:id="23"/>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099"/>
        <w:spacing w:after="0"/>
        <w:rPr>
          <w:sz w:val="20"/>
          <w:szCs w:val="20"/>
          <w:color w:val="auto"/>
        </w:rPr>
      </w:pPr>
      <w:r>
        <w:rPr>
          <w:rFonts w:ascii="Courier New" w:cs="Courier New" w:eastAsia="Courier New" w:hAnsi="Courier New"/>
          <w:sz w:val="18"/>
          <w:szCs w:val="18"/>
          <w:color w:val="auto"/>
        </w:rPr>
        <w:t>/s/ Donald A. Sherman</w:t>
      </w:r>
    </w:p>
    <w:p>
      <w:pPr>
        <w:jc w:val="right"/>
        <w:ind w:right="4099"/>
        <w:spacing w:after="0" w:line="238" w:lineRule="auto"/>
        <w:rPr>
          <w:sz w:val="20"/>
          <w:szCs w:val="20"/>
          <w:color w:val="auto"/>
        </w:rPr>
      </w:pPr>
      <w:r>
        <w:rPr>
          <w:rFonts w:ascii="Courier New" w:cs="Courier New" w:eastAsia="Courier New" w:hAnsi="Courier New"/>
          <w:sz w:val="18"/>
          <w:szCs w:val="18"/>
          <w:color w:val="auto"/>
        </w:rPr>
        <w:t>Donald A. Sherman</w:t>
      </w:r>
    </w:p>
    <w:p>
      <w:pPr>
        <w:sectPr>
          <w:pgSz w:w="11900" w:h="16838" w:orient="portrait"/>
          <w:cols w:equalWidth="0" w:num="1">
            <w:col w:w="10219"/>
          </w:cols>
          <w:pgMar w:left="240" w:top="919" w:right="1440" w:bottom="1440" w:gutter="0" w:footer="0" w:header="0"/>
        </w:sectPr>
      </w:pPr>
    </w:p>
    <w:bookmarkStart w:id="24" w:name="page25"/>
    <w:bookmarkEnd w:id="24"/>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/s/ John M. Sullivan</w:t>
      </w:r>
    </w:p>
    <w:p>
      <w:pPr>
        <w:jc w:val="right"/>
        <w:ind w:right="4199"/>
        <w:spacing w:after="0" w:line="238" w:lineRule="auto"/>
        <w:rPr>
          <w:sz w:val="20"/>
          <w:szCs w:val="20"/>
          <w:color w:val="auto"/>
        </w:rPr>
      </w:pPr>
      <w:r>
        <w:rPr>
          <w:rFonts w:ascii="Courier New" w:cs="Courier New" w:eastAsia="Courier New" w:hAnsi="Courier New"/>
          <w:sz w:val="18"/>
          <w:szCs w:val="18"/>
          <w:color w:val="auto"/>
        </w:rPr>
        <w:t>John M. Sullivan</w:t>
      </w:r>
    </w:p>
    <w:p>
      <w:pPr>
        <w:sectPr>
          <w:pgSz w:w="11900" w:h="16838" w:orient="portrait"/>
          <w:cols w:equalWidth="0" w:num="1">
            <w:col w:w="10219"/>
          </w:cols>
          <w:pgMar w:left="240" w:top="919" w:right="1440" w:bottom="1440" w:gutter="0" w:footer="0" w:header="0"/>
        </w:sectPr>
      </w:pPr>
    </w:p>
    <w:bookmarkStart w:id="25" w:name="page26"/>
    <w:bookmarkEnd w:id="25"/>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/s/ L. Jack Van Fossen</w:t>
      </w:r>
    </w:p>
    <w:p>
      <w:pPr>
        <w:jc w:val="right"/>
        <w:ind w:right="3999"/>
        <w:spacing w:after="0" w:line="238" w:lineRule="auto"/>
        <w:rPr>
          <w:sz w:val="20"/>
          <w:szCs w:val="20"/>
          <w:color w:val="auto"/>
        </w:rPr>
      </w:pPr>
      <w:r>
        <w:rPr>
          <w:rFonts w:ascii="Courier New" w:cs="Courier New" w:eastAsia="Courier New" w:hAnsi="Courier New"/>
          <w:sz w:val="18"/>
          <w:szCs w:val="18"/>
          <w:color w:val="auto"/>
        </w:rPr>
        <w:t>L. Jack Van Fossen</w:t>
      </w:r>
    </w:p>
    <w:p>
      <w:pPr>
        <w:sectPr>
          <w:pgSz w:w="11900" w:h="16838" w:orient="portrait"/>
          <w:cols w:equalWidth="0" w:num="1">
            <w:col w:w="10219"/>
          </w:cols>
          <w:pgMar w:left="240" w:top="919" w:right="1440" w:bottom="1440" w:gutter="0" w:footer="0" w:header="0"/>
        </w:sectPr>
      </w:pPr>
    </w:p>
    <w:bookmarkStart w:id="26" w:name="page27"/>
    <w:bookmarkEnd w:id="26"/>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4th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419"/>
        <w:spacing w:after="0"/>
        <w:rPr>
          <w:sz w:val="20"/>
          <w:szCs w:val="20"/>
          <w:color w:val="auto"/>
        </w:rPr>
      </w:pPr>
      <w:r>
        <w:rPr>
          <w:rFonts w:ascii="Courier New" w:cs="Courier New" w:eastAsia="Courier New" w:hAnsi="Courier New"/>
          <w:sz w:val="18"/>
          <w:szCs w:val="18"/>
          <w:color w:val="auto"/>
        </w:rPr>
        <w:t>/s/ Paul D. Yeager</w:t>
      </w:r>
    </w:p>
    <w:p>
      <w:pPr>
        <w:jc w:val="right"/>
        <w:ind w:right="4419"/>
        <w:spacing w:after="0" w:line="238" w:lineRule="auto"/>
        <w:rPr>
          <w:sz w:val="20"/>
          <w:szCs w:val="20"/>
          <w:color w:val="auto"/>
        </w:rPr>
      </w:pPr>
      <w:r>
        <w:rPr>
          <w:rFonts w:ascii="Courier New" w:cs="Courier New" w:eastAsia="Courier New" w:hAnsi="Courier New"/>
          <w:sz w:val="18"/>
          <w:szCs w:val="18"/>
          <w:color w:val="auto"/>
        </w:rPr>
        <w:t>Paul D. Yeager</w:t>
      </w:r>
    </w:p>
    <w:p>
      <w:pPr>
        <w:sectPr>
          <w:pgSz w:w="11900" w:h="16838" w:orient="portrait"/>
          <w:cols w:equalWidth="0" w:num="1">
            <w:col w:w="10219"/>
          </w:cols>
          <w:pgMar w:left="240" w:top="919" w:right="1440" w:bottom="1440" w:gutter="0" w:footer="0" w:header="0"/>
        </w:sectPr>
      </w:pPr>
    </w:p>
    <w:bookmarkStart w:id="27" w:name="page28"/>
    <w:bookmarkEnd w:id="27"/>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jc w:val="both"/>
        <w:ind w:right="199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Common Shares for offering and sale pursuant to The Scotts Company 1996 Stock Option Plan hereby constitutes and appoints Tadd C. Seitz and Christiane W. Schmenk,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395" w:lineRule="exact"/>
        <w:rPr>
          <w:sz w:val="20"/>
          <w:szCs w:val="20"/>
          <w:color w:val="auto"/>
        </w:rPr>
      </w:pPr>
    </w:p>
    <w:p>
      <w:pPr>
        <w:jc w:val="both"/>
        <w:ind w:right="199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this 3rd day of June,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4519"/>
        <w:spacing w:after="0"/>
        <w:rPr>
          <w:sz w:val="20"/>
          <w:szCs w:val="20"/>
          <w:color w:val="auto"/>
        </w:rPr>
      </w:pPr>
      <w:r>
        <w:rPr>
          <w:rFonts w:ascii="Courier New" w:cs="Courier New" w:eastAsia="Courier New" w:hAnsi="Courier New"/>
          <w:sz w:val="18"/>
          <w:szCs w:val="18"/>
          <w:color w:val="auto"/>
        </w:rPr>
        <w:t>/s/ Todd R. White</w:t>
      </w:r>
    </w:p>
    <w:p>
      <w:pPr>
        <w:jc w:val="right"/>
        <w:ind w:right="4519"/>
        <w:spacing w:after="0" w:line="238" w:lineRule="auto"/>
        <w:rPr>
          <w:sz w:val="20"/>
          <w:szCs w:val="20"/>
          <w:color w:val="auto"/>
        </w:rPr>
      </w:pPr>
      <w:r>
        <w:rPr>
          <w:rFonts w:ascii="Courier New" w:cs="Courier New" w:eastAsia="Courier New" w:hAnsi="Courier New"/>
          <w:sz w:val="18"/>
          <w:szCs w:val="18"/>
          <w:color w:val="auto"/>
        </w:rPr>
        <w:t>Todd R. White</w:t>
      </w:r>
    </w:p>
    <w:p>
      <w:pPr>
        <w:sectPr>
          <w:pgSz w:w="11900" w:h="16838" w:orient="portrait"/>
          <w:cols w:equalWidth="0" w:num="1">
            <w:col w:w="10219"/>
          </w:cols>
          <w:pgMar w:left="240" w:top="919" w:right="1440" w:bottom="1440" w:gutter="0" w:footer="0" w:header="0"/>
        </w:sectPr>
      </w:pPr>
    </w:p>
    <w:bookmarkStart w:id="28" w:name="page29"/>
    <w:bookmarkEnd w:id="28"/>
    <w:p>
      <w:pPr>
        <w:jc w:val="center"/>
        <w:ind w:right="3139"/>
        <w:spacing w:after="0"/>
        <w:rPr>
          <w:sz w:val="20"/>
          <w:szCs w:val="20"/>
          <w:color w:val="auto"/>
        </w:rPr>
      </w:pPr>
      <w:r>
        <w:rPr>
          <w:rFonts w:ascii="Courier New" w:cs="Courier New" w:eastAsia="Courier New" w:hAnsi="Courier New"/>
          <w:sz w:val="18"/>
          <w:szCs w:val="18"/>
          <w:color w:val="auto"/>
        </w:rPr>
        <w:t>FORM S-8</w:t>
      </w:r>
    </w:p>
    <w:p>
      <w:pPr>
        <w:spacing w:after="0" w:line="20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Scotts Company</w:t>
      </w:r>
    </w:p>
    <w:sectPr>
      <w:pgSz w:w="11900" w:h="16838" w:orient="portrait"/>
      <w:cols w:equalWidth="0" w:num="1">
        <w:col w:w="9059"/>
      </w:cols>
      <w:pgMar w:left="140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12"/>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upperLetter"/>
      <w:start w:val="1"/>
    </w:lvl>
  </w:abstractNum>
  <w:abstractNum w:abstractNumId="4">
    <w:nsid w:val="1BEFD79F"/>
    <w:multiLevelType w:val="hybridMultilevel"/>
    <w:lvl w:ilvl="0">
      <w:lvlJc w:val="left"/>
      <w:lvlText w:val="(%1)"/>
      <w:numFmt w:val="upperLetter"/>
      <w:start w:val="2"/>
    </w:lvl>
  </w:abstractNum>
  <w:abstractNum w:abstractNumId="5">
    <w:nsid w:val="41A7C4C9"/>
    <w:multiLevelType w:val="hybridMultilevel"/>
    <w:lvl w:ilvl="0">
      <w:lvlJc w:val="left"/>
      <w:lvlText w:val="(%1)"/>
      <w:numFmt w:val="upperLetter"/>
      <w:start w:val="1"/>
    </w:lvl>
  </w:abstractNum>
  <w:abstractNum w:abstractNumId="6">
    <w:nsid w:val="6B68079A"/>
    <w:multiLevelType w:val="hybridMultilevel"/>
    <w:lvl w:ilvl="0">
      <w:lvlJc w:val="left"/>
      <w:lvlText w:val="(%1)"/>
      <w:numFmt w:val="upperLetter"/>
      <w:start w:val="1"/>
    </w:lvl>
  </w:abstractNum>
  <w:abstractNum w:abstractNumId="7">
    <w:nsid w:val="4E6AFB66"/>
    <w:multiLevelType w:val="hybridMultilevel"/>
    <w:lvl w:ilvl="0">
      <w:lvlJc w:val="left"/>
      <w:lvlText w:val="(%1)"/>
      <w:numFmt w:val="upperLetter"/>
      <w:start w:val="2"/>
    </w:lvl>
  </w:abstractNum>
  <w:abstractNum w:abstractNumId="8">
    <w:nsid w:val="25E45D32"/>
    <w:multiLevelType w:val="hybridMultilevel"/>
    <w:lvl w:ilvl="0">
      <w:lvlJc w:val="left"/>
      <w:lvlText w:val="(%1)"/>
      <w:numFmt w:val="upperLetter"/>
      <w:start w:val="1"/>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decimal"/>
      <w:start w:val="3"/>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lowerRoman"/>
      <w:start w:val="1"/>
    </w:lvl>
  </w:abstractNum>
  <w:abstractNum w:abstractNumId="14">
    <w:nsid w:val="62BBD95A"/>
    <w:multiLevelType w:val="hybridMultilevel"/>
    <w:lvl w:ilvl="0">
      <w:lvlJc w:val="left"/>
      <w:lvlText w:val="(%1)"/>
      <w:numFmt w:val="lowerRoman"/>
      <w:start w:val="2"/>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decimal"/>
      <w:start w:val="1"/>
    </w:lvl>
    <w:lvl w:ilvl="1">
      <w:lvlJc w:val="left"/>
      <w:lvlText w:val="(%2)"/>
      <w:numFmt w:val="decimal"/>
      <w:start w:val="6"/>
    </w:lvl>
  </w:abstractNum>
  <w:abstractNum w:abstractNumId="17">
    <w:nsid w:val="333AB105"/>
    <w:multiLevelType w:val="hybridMultilevel"/>
    <w:lvl w:ilvl="0">
      <w:lvlJc w:val="left"/>
      <w:lvlText w:val="(%1)"/>
      <w:numFmt w:val="decimal"/>
      <w:start w:val="7"/>
    </w:lvl>
    <w:lvl w:ilvl="1">
      <w:lvlJc w:val="left"/>
      <w:lvlText w:val="(%2)"/>
      <w:numFmt w:val="decimal"/>
      <w:start w:val="9"/>
    </w:lvl>
  </w:abstractNum>
  <w:abstractNum w:abstractNumId="18">
    <w:nsid w:val="721DA317"/>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9">
    <w:nsid w:val="2443A858"/>
    <w:multiLevelType w:val="hybridMultilevel"/>
    <w:lvl w:ilvl="0">
      <w:lvlJc w:val="left"/>
      <w:lvlText w:val="(%1)"/>
      <w:numFmt w:val="lowerRoman"/>
      <w:start w:val="2"/>
    </w:lvl>
  </w:abstractNum>
  <w:abstractNum w:abstractNumId="20">
    <w:nsid w:val="2D1D5AE9"/>
    <w:multiLevelType w:val="hybridMultilevel"/>
    <w:lvl w:ilvl="0">
      <w:lvlJc w:val="left"/>
      <w:lvlText w:val="%1"/>
      <w:numFmt w:val="upperLetter"/>
      <w:start w:val="1"/>
    </w:lvl>
    <w:lvl w:ilvl="1">
      <w:lvlJc w:val="left"/>
      <w:lvlText w:val="(%2)"/>
      <w:numFmt w:val="decimal"/>
      <w:start w:val="2"/>
    </w:lvl>
  </w:abstractNum>
  <w:abstractNum w:abstractNumId="21">
    <w:nsid w:val="6763845E"/>
    <w:multiLevelType w:val="hybridMultilevel"/>
    <w:lvl w:ilvl="0">
      <w:lvlJc w:val="left"/>
      <w:lvlText w:val="%1."/>
      <w:numFmt w:val="upperLetter"/>
      <w:start w:val="2"/>
    </w:lvl>
    <w:lvl w:ilvl="1">
      <w:lvlJc w:val="left"/>
      <w:lvlText w:val="%2"/>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2019-12-12T07:03:53Z</dcterms:created>
  <dcterms:modified xsi:type="dcterms:W3CDTF">2019-12-12T07:03:53Z</dcterms:modified>
</cp:coreProperties>
</file>