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As filed with the Securities and Exchange Commission on April 11, 2003</w:t>
      </w:r>
    </w:p>
    <w:p>
      <w:pPr>
        <w:ind w:left="2640"/>
        <w:spacing w:after="0" w:line="238" w:lineRule="auto"/>
        <w:rPr>
          <w:sz w:val="20"/>
          <w:szCs w:val="20"/>
          <w:color w:val="auto"/>
        </w:rPr>
      </w:pPr>
      <w:r>
        <w:rPr>
          <w:rFonts w:ascii="Courier New" w:cs="Courier New" w:eastAsia="Courier New" w:hAnsi="Courier New"/>
          <w:sz w:val="18"/>
          <w:szCs w:val="18"/>
          <w:color w:val="auto"/>
        </w:rPr>
        <w:t>Registration No. 333 - _______</w:t>
      </w:r>
    </w:p>
    <w:p>
      <w:pPr>
        <w:spacing w:after="0" w:line="207" w:lineRule="exact"/>
        <w:rPr>
          <w:sz w:val="24"/>
          <w:szCs w:val="24"/>
          <w:color w:val="auto"/>
        </w:rPr>
      </w:pPr>
    </w:p>
    <w:p>
      <w:pPr>
        <w:jc w:val="center"/>
        <w:ind w:right="1879"/>
        <w:spacing w:after="0" w:line="536" w:lineRule="auto"/>
        <w:rPr>
          <w:sz w:val="20"/>
          <w:szCs w:val="20"/>
          <w:color w:val="auto"/>
        </w:rPr>
      </w:pPr>
      <w:r>
        <w:rPr>
          <w:rFonts w:ascii="Courier New" w:cs="Courier New" w:eastAsia="Courier New" w:hAnsi="Courier New"/>
          <w:sz w:val="16"/>
          <w:szCs w:val="16"/>
          <w:color w:val="auto"/>
        </w:rPr>
        <w:t>=============================================================================== UNITED STATES SECURITIES AND EXCHANGE COMMISSION Washington, D.C. 20549</w:t>
      </w:r>
    </w:p>
    <w:p>
      <w:pPr>
        <w:ind w:left="2000"/>
        <w:spacing w:after="0" w:line="234" w:lineRule="auto"/>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REGISTRATION STATEMENT UNDER THE SECURITIES ACT OF 1933</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4"/>
          <w:szCs w:val="24"/>
          <w:color w:val="auto"/>
        </w:rPr>
      </w:pPr>
    </w:p>
    <w:p>
      <w:pPr>
        <w:jc w:val="both"/>
        <w:ind w:left="1380" w:right="3159" w:firstLine="105"/>
        <w:spacing w:after="0" w:line="290" w:lineRule="auto"/>
        <w:rPr>
          <w:sz w:val="20"/>
          <w:szCs w:val="20"/>
          <w:color w:val="auto"/>
        </w:rPr>
      </w:pPr>
      <w:r>
        <w:rPr>
          <w:rFonts w:ascii="Courier New" w:cs="Courier New" w:eastAsia="Courier New" w:hAnsi="Courier New"/>
          <w:sz w:val="16"/>
          <w:szCs w:val="16"/>
          <w:color w:val="auto"/>
        </w:rPr>
        <w:t>----------------------------------------------------- (Exact name of registrant as specified in its charter)</w:t>
      </w:r>
    </w:p>
    <w:p>
      <w:pPr>
        <w:sectPr>
          <w:pgSz w:w="11900" w:h="16838" w:orient="portrait"/>
          <w:cols w:equalWidth="0" w:num="1">
            <w:col w:w="10219"/>
          </w:cols>
          <w:pgMar w:left="240" w:top="447" w:right="1440" w:bottom="1440" w:gutter="0" w:footer="0" w:header="0"/>
        </w:sectPr>
      </w:pPr>
    </w:p>
    <w:p>
      <w:pPr>
        <w:spacing w:after="0" w:line="16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1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31-1414921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5180" w:space="720"/>
            <w:col w:w="4319"/>
          </w:cols>
          <w:pgMar w:left="240" w:top="447" w:right="1440" w:bottom="1440" w:gutter="0" w:footer="0" w:header="0"/>
          <w:type w:val="continuous"/>
        </w:sectPr>
      </w:pPr>
    </w:p>
    <w:p>
      <w:pPr>
        <w:spacing w:after="0" w:line="204" w:lineRule="exact"/>
        <w:rPr>
          <w:sz w:val="24"/>
          <w:szCs w:val="24"/>
          <w:color w:val="auto"/>
        </w:rPr>
      </w:pPr>
    </w:p>
    <w:p>
      <w:pPr>
        <w:spacing w:after="0"/>
        <w:tabs>
          <w:tab w:leader="none" w:pos="7460" w:val="left"/>
        </w:tabs>
        <w:rPr>
          <w:sz w:val="20"/>
          <w:szCs w:val="20"/>
          <w:color w:val="auto"/>
        </w:rPr>
      </w:pPr>
      <w:r>
        <w:rPr>
          <w:rFonts w:ascii="Courier New" w:cs="Courier New" w:eastAsia="Courier New" w:hAnsi="Courier New"/>
          <w:sz w:val="18"/>
          <w:szCs w:val="18"/>
          <w:color w:val="auto"/>
        </w:rPr>
        <w:t>14111 Scottslawn Road, Marysville, Ohio</w:t>
      </w:r>
      <w:r>
        <w:rPr>
          <w:sz w:val="20"/>
          <w:szCs w:val="20"/>
          <w:color w:val="auto"/>
        </w:rPr>
        <w:tab/>
      </w:r>
      <w:r>
        <w:rPr>
          <w:rFonts w:ascii="Courier New" w:cs="Courier New" w:eastAsia="Courier New" w:hAnsi="Courier New"/>
          <w:sz w:val="18"/>
          <w:szCs w:val="18"/>
          <w:color w:val="auto"/>
        </w:rPr>
        <w:t>43041</w:t>
      </w:r>
    </w:p>
    <w:p>
      <w:pPr>
        <w:sectPr>
          <w:pgSz w:w="11900" w:h="16838" w:orient="portrait"/>
          <w:cols w:equalWidth="0" w:num="1">
            <w:col w:w="10219"/>
          </w:cols>
          <w:pgMar w:left="240" w:top="447" w:right="1440"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The Scotts Company</w:t>
      </w:r>
    </w:p>
    <w:p>
      <w:pPr>
        <w:jc w:val="center"/>
        <w:ind w:right="1659"/>
        <w:spacing w:after="0" w:line="238" w:lineRule="auto"/>
        <w:rPr>
          <w:sz w:val="20"/>
          <w:szCs w:val="20"/>
          <w:color w:val="auto"/>
        </w:rPr>
      </w:pPr>
      <w:r>
        <w:rPr>
          <w:rFonts w:ascii="Courier New" w:cs="Courier New" w:eastAsia="Courier New" w:hAnsi="Courier New"/>
          <w:sz w:val="18"/>
          <w:szCs w:val="18"/>
          <w:color w:val="auto"/>
        </w:rPr>
        <w:t>2003 Stock Option and Incentive Equity Plan</w:t>
      </w:r>
    </w:p>
    <w:p>
      <w:pPr>
        <w:ind w:left="2000"/>
        <w:spacing w:after="0"/>
        <w:rPr>
          <w:sz w:val="20"/>
          <w:szCs w:val="20"/>
          <w:color w:val="auto"/>
        </w:rPr>
      </w:pPr>
      <w:r>
        <w:rPr>
          <w:rFonts w:ascii="Courier New" w:cs="Courier New" w:eastAsia="Courier New" w:hAnsi="Courier New"/>
          <w:sz w:val="18"/>
          <w:szCs w:val="18"/>
          <w:color w:val="auto"/>
        </w:rPr>
        <w:t>-------------------------------------------</w:t>
      </w:r>
    </w:p>
    <w:p>
      <w:pPr>
        <w:ind w:left="2960"/>
        <w:spacing w:after="0" w:line="237" w:lineRule="auto"/>
        <w:rPr>
          <w:sz w:val="20"/>
          <w:szCs w:val="20"/>
          <w:color w:val="auto"/>
        </w:rPr>
      </w:pPr>
      <w:r>
        <w:rPr>
          <w:rFonts w:ascii="Courier New" w:cs="Courier New" w:eastAsia="Courier New" w:hAnsi="Courier New"/>
          <w:sz w:val="18"/>
          <w:szCs w:val="18"/>
          <w:color w:val="auto"/>
        </w:rPr>
        <w:t>(Full title of the plan)</w:t>
      </w:r>
    </w:p>
    <w:p>
      <w:pPr>
        <w:sectPr>
          <w:pgSz w:w="11900" w:h="16838" w:orient="portrait"/>
          <w:cols w:equalWidth="0" w:num="1">
            <w:col w:w="10219"/>
          </w:cols>
          <w:pgMar w:left="240" w:top="447" w:right="1440" w:bottom="144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David M. Aronowitz, Esq.</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237" w:lineRule="auto"/>
        <w:rPr>
          <w:sz w:val="20"/>
          <w:szCs w:val="20"/>
          <w:color w:val="auto"/>
        </w:rPr>
      </w:pPr>
      <w:r>
        <w:rPr>
          <w:rFonts w:ascii="Courier New" w:cs="Courier New" w:eastAsia="Courier New" w:hAnsi="Courier New"/>
          <w:sz w:val="18"/>
          <w:szCs w:val="18"/>
          <w:color w:val="auto"/>
        </w:rPr>
        <w:t>Marysville, Ohio 43041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Copy to:</w:t>
      </w:r>
    </w:p>
    <w:p>
      <w:pPr>
        <w:spacing w:after="0" w:line="238" w:lineRule="auto"/>
        <w:rPr>
          <w:sz w:val="20"/>
          <w:szCs w:val="20"/>
          <w:color w:val="auto"/>
        </w:rPr>
      </w:pPr>
      <w:r>
        <w:rPr>
          <w:rFonts w:ascii="Courier New" w:cs="Courier New" w:eastAsia="Courier New" w:hAnsi="Courier New"/>
          <w:sz w:val="18"/>
          <w:szCs w:val="18"/>
          <w:color w:val="auto"/>
        </w:rPr>
        <w:t>Elizabeth Turrell Farrar, Esq.</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Vorys, Sater, Seymour and Pease LLP</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52 East Gay Street</w:t>
      </w:r>
    </w:p>
    <w:p>
      <w:pPr>
        <w:spacing w:after="0" w:line="238" w:lineRule="auto"/>
        <w:rPr>
          <w:sz w:val="20"/>
          <w:szCs w:val="20"/>
          <w:color w:val="auto"/>
        </w:rPr>
      </w:pPr>
      <w:r>
        <w:rPr>
          <w:rFonts w:ascii="Courier New" w:cs="Courier New" w:eastAsia="Courier New" w:hAnsi="Courier New"/>
          <w:sz w:val="18"/>
          <w:szCs w:val="18"/>
          <w:color w:val="auto"/>
        </w:rPr>
        <w:t>P.O. Box 1008</w:t>
      </w:r>
    </w:p>
    <w:p>
      <w:pPr>
        <w:ind w:left="200"/>
        <w:spacing w:after="0"/>
        <w:rPr>
          <w:sz w:val="20"/>
          <w:szCs w:val="20"/>
          <w:color w:val="auto"/>
        </w:rPr>
      </w:pPr>
      <w:r>
        <w:rPr>
          <w:rFonts w:ascii="Courier New" w:cs="Courier New" w:eastAsia="Courier New" w:hAnsi="Courier New"/>
          <w:sz w:val="18"/>
          <w:szCs w:val="18"/>
          <w:color w:val="auto"/>
        </w:rPr>
        <w:t>Columbus, Ohio 43216-1008</w:t>
      </w:r>
    </w:p>
    <w:p>
      <w:pPr>
        <w:spacing w:after="0" w:line="401" w:lineRule="exact"/>
        <w:rPr>
          <w:sz w:val="24"/>
          <w:szCs w:val="24"/>
          <w:color w:val="auto"/>
        </w:rPr>
      </w:pPr>
    </w:p>
    <w:p>
      <w:pPr>
        <w:sectPr>
          <w:pgSz w:w="11900" w:h="16838" w:orient="portrait"/>
          <w:cols w:equalWidth="0" w:num="2">
            <w:col w:w="4320" w:space="220"/>
            <w:col w:w="5679"/>
          </w:cols>
          <w:pgMar w:left="240" w:top="447" w:right="1440" w:bottom="1440" w:gutter="0" w:footer="0" w:header="0"/>
          <w:type w:val="continuous"/>
        </w:sectPr>
      </w:pPr>
    </w:p>
    <w:p>
      <w:pPr>
        <w:spacing w:after="0" w:line="204"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644-0011</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(Telephone number, including area code, of agent for service)</w:t>
      </w:r>
    </w:p>
    <w:p>
      <w:pPr>
        <w:spacing w:after="0" w:line="200" w:lineRule="exact"/>
        <w:rPr>
          <w:sz w:val="24"/>
          <w:szCs w:val="24"/>
          <w:color w:val="auto"/>
        </w:rPr>
      </w:pPr>
    </w:p>
    <w:p>
      <w:pPr>
        <w:spacing w:after="0" w:line="22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Index to Exhibits begins at page 17.</w:t>
      </w:r>
    </w:p>
    <w:p>
      <w:pPr>
        <w:sectPr>
          <w:pgSz w:w="11900" w:h="16838" w:orient="portrait"/>
          <w:cols w:equalWidth="0" w:num="1">
            <w:col w:w="10219"/>
          </w:cols>
          <w:pgMar w:left="240" w:top="447" w:right="1440" w:bottom="1440" w:gutter="0" w:footer="0" w:header="0"/>
          <w:type w:val="continuous"/>
        </w:sectPr>
      </w:pPr>
    </w:p>
    <w:bookmarkStart w:id="1" w:name="page2"/>
    <w:bookmarkEnd w:id="1"/>
    <w:p>
      <w:pPr>
        <w:jc w:val="right"/>
        <w:ind w:right="3040"/>
        <w:spacing w:after="0"/>
        <w:rPr>
          <w:sz w:val="20"/>
          <w:szCs w:val="20"/>
          <w:color w:val="auto"/>
        </w:rPr>
      </w:pPr>
      <w:r>
        <w:rPr>
          <w:rFonts w:ascii="Courier New" w:cs="Courier New" w:eastAsia="Courier New" w:hAnsi="Courier New"/>
          <w:sz w:val="18"/>
          <w:szCs w:val="18"/>
          <w:color w:val="auto"/>
        </w:rPr>
        <w:t>[Continuation of Facing Page]</w:t>
      </w:r>
    </w:p>
    <w:p>
      <w:pPr>
        <w:spacing w:after="0" w:line="4" w:lineRule="exact"/>
        <w:rPr>
          <w:sz w:val="20"/>
          <w:szCs w:val="20"/>
          <w:color w:val="auto"/>
        </w:rPr>
      </w:pPr>
    </w:p>
    <w:p>
      <w:pPr>
        <w:jc w:val="right"/>
        <w:ind w:right="30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5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Proposed</w:t>
            </w:r>
          </w:p>
        </w:tc>
        <w:tc>
          <w:tcPr>
            <w:tcW w:w="22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Proposed</w:t>
            </w:r>
          </w:p>
        </w:tc>
        <w:tc>
          <w:tcPr>
            <w:tcW w:w="178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2480" w:type="dxa"/>
            <w:vAlign w:val="bottom"/>
          </w:tcPr>
          <w:p>
            <w:pPr>
              <w:spacing w:after="0"/>
              <w:rPr>
                <w:sz w:val="17"/>
                <w:szCs w:val="17"/>
                <w:color w:val="auto"/>
              </w:rPr>
            </w:pPr>
          </w:p>
        </w:tc>
        <w:tc>
          <w:tcPr>
            <w:tcW w:w="25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maximum</w:t>
            </w:r>
          </w:p>
        </w:tc>
        <w:tc>
          <w:tcPr>
            <w:tcW w:w="2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maximum</w:t>
            </w:r>
          </w:p>
        </w:tc>
        <w:tc>
          <w:tcPr>
            <w:tcW w:w="178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2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Amount</w:t>
            </w:r>
          </w:p>
        </w:tc>
        <w:tc>
          <w:tcPr>
            <w:tcW w:w="25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offering</w:t>
            </w:r>
          </w:p>
        </w:tc>
        <w:tc>
          <w:tcPr>
            <w:tcW w:w="2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aggregate</w:t>
            </w:r>
          </w:p>
        </w:tc>
        <w:tc>
          <w:tcPr>
            <w:tcW w:w="17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2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 be</w:t>
            </w:r>
          </w:p>
        </w:tc>
        <w:tc>
          <w:tcPr>
            <w:tcW w:w="25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price</w:t>
            </w:r>
          </w:p>
        </w:tc>
        <w:tc>
          <w:tcPr>
            <w:tcW w:w="2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offering</w:t>
            </w:r>
          </w:p>
        </w:tc>
        <w:tc>
          <w:tcPr>
            <w:tcW w:w="17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24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registered</w:t>
            </w:r>
          </w:p>
        </w:tc>
        <w:tc>
          <w:tcPr>
            <w:tcW w:w="2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per share (1)</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price (1)</w:t>
            </w:r>
          </w:p>
        </w:tc>
        <w:tc>
          <w:tcPr>
            <w:tcW w:w="1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fee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Common Shares,</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1,800,000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$50.50</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for 189,000</w:t>
            </w:r>
          </w:p>
        </w:tc>
        <w:tc>
          <w:tcPr>
            <w:tcW w:w="22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$96,968,340</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$7,845</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without par value</w:t>
            </w:r>
          </w:p>
        </w:tc>
        <w:tc>
          <w:tcPr>
            <w:tcW w:w="1900" w:type="dxa"/>
            <w:vAlign w:val="bottom"/>
          </w:tcPr>
          <w:p>
            <w:pPr>
              <w:spacing w:after="0"/>
              <w:rPr>
                <w:sz w:val="17"/>
                <w:szCs w:val="17"/>
                <w:color w:val="auto"/>
              </w:rPr>
            </w:pPr>
          </w:p>
        </w:tc>
        <w:tc>
          <w:tcPr>
            <w:tcW w:w="29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common shares;</w:t>
            </w:r>
          </w:p>
        </w:tc>
        <w:tc>
          <w:tcPr>
            <w:tcW w:w="2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$51.24</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63,000</w:t>
            </w:r>
          </w:p>
        </w:tc>
        <w:tc>
          <w:tcPr>
            <w:tcW w:w="2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9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common shares</w:t>
            </w:r>
          </w:p>
        </w:tc>
        <w:tc>
          <w:tcPr>
            <w:tcW w:w="2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$54.39</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1,548,000</w:t>
            </w:r>
          </w:p>
        </w:tc>
        <w:tc>
          <w:tcPr>
            <w:tcW w:w="2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9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common shares</w:t>
            </w:r>
          </w:p>
        </w:tc>
        <w:tc>
          <w:tcPr>
            <w:tcW w:w="2220" w:type="dxa"/>
            <w:vAlign w:val="bottom"/>
          </w:tcPr>
          <w:p>
            <w:pPr>
              <w:spacing w:after="0"/>
              <w:rPr>
                <w:sz w:val="17"/>
                <w:szCs w:val="17"/>
                <w:color w:val="auto"/>
              </w:rPr>
            </w:pPr>
          </w:p>
        </w:tc>
        <w:tc>
          <w:tcPr>
            <w:tcW w:w="130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40" w:right="3040"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aggregate offering price and the registration fee pursuant to Rules 457(c) and 457 (h) promulgated under the Securities Act of 1933, as amended, and computed on the basis of: (a) the respective prices at which options to purchase such common shares may be exercised in respect of an aggregate of 252,000 of the common shares to be registered and (b) $54.39 per share for 1,548,000 of the common shares, which is the average of the high and low sales prices of the common shares as reported on the New York Stock Exchange on April 9, 2003.</w:t>
      </w:r>
    </w:p>
    <w:p>
      <w:pPr>
        <w:sectPr>
          <w:pgSz w:w="11900" w:h="16838" w:orient="portrait"/>
          <w:cols w:equalWidth="0" w:num="1">
            <w:col w:w="11380"/>
          </w:cols>
          <w:pgMar w:left="240" w:top="1122" w:right="279" w:bottom="1440" w:gutter="0" w:footer="0" w:header="0"/>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The following reports of The Scotts Company (the "Registrant") filed with the Securities and Exchange Commission (the "Commission") pursuant to the requirements of Section 13(a) of the Securities Exchange Act of 1934, as amended (the "Exchange Act"), are incorporated herein by the reference:</w:t>
      </w:r>
    </w:p>
    <w:p>
      <w:pPr>
        <w:spacing w:after="0" w:line="207" w:lineRule="exact"/>
        <w:rPr>
          <w:sz w:val="20"/>
          <w:szCs w:val="20"/>
          <w:color w:val="auto"/>
        </w:rPr>
      </w:pPr>
    </w:p>
    <w:p>
      <w:pPr>
        <w:ind w:left="1280" w:right="1999" w:hanging="640"/>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Report on Form 10-K for the fiscal year ended September 30, 2002; and</w:t>
      </w:r>
    </w:p>
    <w:p>
      <w:pPr>
        <w:spacing w:after="0" w:line="208" w:lineRule="exact"/>
        <w:rPr>
          <w:rFonts w:ascii="Courier New" w:cs="Courier New" w:eastAsia="Courier New" w:hAnsi="Courier New"/>
          <w:sz w:val="18"/>
          <w:szCs w:val="18"/>
          <w:color w:val="auto"/>
        </w:rPr>
      </w:pPr>
    </w:p>
    <w:p>
      <w:pPr>
        <w:ind w:left="1280" w:right="2419" w:hanging="640"/>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for the fiscal quarter ended December 28, 2002.</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description of the Registrant's common shares contained in the Registrant's amended Registration Statement on Form 8-A/A (Amendment No. 1) filed with the Commission on April 7, 2003 (File No. 1-13292), or contained in any subsequent amendment or report filed for the purpose of updating such description, is hereby incorporated by reference.</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Any definitive proxy statement or information statement filed by the Registrant pursuant to Section 14 of the Exchange Act and all documents which may be filed by the Registrant with the Commission pursuant to Sections 13, 14 or 15(d) of the Exchange Act subsequent to the date hereof and prior to the completion of the offering contemplated hereby, shall also be deemed to be incorporated herein by reference and to be made a part hereof from the date of filing of such documents.</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1264"/>
        <w:spacing w:after="0" w:line="275" w:lineRule="auto"/>
        <w:rPr>
          <w:sz w:val="20"/>
          <w:szCs w:val="20"/>
          <w:color w:val="auto"/>
        </w:rPr>
      </w:pPr>
      <w:r>
        <w:rPr>
          <w:rFonts w:ascii="Courier New" w:cs="Courier New" w:eastAsia="Courier New" w:hAnsi="Courier New"/>
          <w:sz w:val="16"/>
          <w:szCs w:val="16"/>
          <w:color w:val="auto"/>
        </w:rPr>
        <w:t>Section 14.05 of The Scotts Company 2003 Stock Option and Incentive Equity Plan (the "Plan"), provides for indemnification of the Registrant's Board of Directors (the "Board") and the Compensation and Organization Committee of the Board (the "Committee") which administers the plan as follows:</w:t>
      </w:r>
    </w:p>
    <w:p>
      <w:pPr>
        <w:spacing w:after="0" w:line="200" w:lineRule="exact"/>
        <w:rPr>
          <w:sz w:val="20"/>
          <w:szCs w:val="20"/>
          <w:color w:val="auto"/>
        </w:rPr>
      </w:pP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ind w:left="640" w:right="1779" w:firstLine="632"/>
        <w:spacing w:after="0" w:line="269" w:lineRule="auto"/>
        <w:rPr>
          <w:sz w:val="20"/>
          <w:szCs w:val="20"/>
          <w:color w:val="auto"/>
        </w:rPr>
      </w:pPr>
      <w:r>
        <w:rPr>
          <w:rFonts w:ascii="Courier New" w:cs="Courier New" w:eastAsia="Courier New" w:hAnsi="Courier New"/>
          <w:sz w:val="16"/>
          <w:szCs w:val="16"/>
          <w:color w:val="auto"/>
        </w:rPr>
        <w:t>14.05 INDEMNIFICATION. Each individual who is or was a member of the Committee or of the Board will be indemnified and held harmless by the Company against and from any loss, cost, liability or expense that may be imposed upon or reasonably incurred by him or her in connection with or resulting from any claim, action, suit or proceeding to which he or she may be made a party or in which he or she may be involved by reason of any action taken or failure to take action under the Plan as a Committee member and against and from any and all amounts paid, with the Company's approval, by him or her in settlement of any matter related to or arising from the Plan as a Committee member or paid by him or her in satisfaction of any judgment in any action, suit or proceeding relating to or arising from the Plan against him or her as a Committee member, but only if he or she gives the Company an opportunity, at its own expense, to handle and defend the matter before he or she undertakes to handle and defend it in his or her own behalf. The right of indemnification described in this section is not exclusive and is independent of any other rights of indemnification to which the individual may be entitled under the Company's organizational documents, by contract, as a matter of law or otherwise. The foregoing right of indemnification is not exclusive and is independent of any other rights of indemnification to which the person may be entitled under the Company's organizational documents, by contract, as a matter of law or otherwise.</w:t>
      </w:r>
    </w:p>
    <w:p>
      <w:pPr>
        <w:spacing w:after="0" w:line="200" w:lineRule="exact"/>
        <w:rPr>
          <w:sz w:val="20"/>
          <w:szCs w:val="20"/>
          <w:color w:val="auto"/>
        </w:rPr>
      </w:pPr>
    </w:p>
    <w:p>
      <w:pPr>
        <w:spacing w:after="0" w:line="395"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ARTICLE FIVE of the Code of Regulations of the Registrant governs the indemnification of officers and directors of the Registrant. ARTICLE FIVE provides:</w:t>
      </w:r>
    </w:p>
    <w:p>
      <w:pPr>
        <w:spacing w:after="0" w:line="209" w:lineRule="exact"/>
        <w:rPr>
          <w:sz w:val="20"/>
          <w:szCs w:val="20"/>
          <w:color w:val="auto"/>
        </w:rPr>
      </w:pPr>
    </w:p>
    <w:p>
      <w:pPr>
        <w:ind w:left="640" w:right="1779" w:firstLine="632"/>
        <w:spacing w:after="0" w:line="269" w:lineRule="auto"/>
        <w:rPr>
          <w:sz w:val="20"/>
          <w:szCs w:val="20"/>
          <w:color w:val="auto"/>
        </w:rPr>
      </w:pPr>
      <w:r>
        <w:rPr>
          <w:rFonts w:ascii="Courier New" w:cs="Courier New" w:eastAsia="Courier New" w:hAnsi="Courier New"/>
          <w:sz w:val="16"/>
          <w:szCs w:val="16"/>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579"/>
          </w:cols>
          <w:pgMar w:left="880" w:top="723" w:right="1440" w:bottom="1440" w:gutter="0" w:footer="0" w:header="0"/>
        </w:sectPr>
      </w:pPr>
    </w:p>
    <w:bookmarkStart w:id="4" w:name="page5"/>
    <w:bookmarkEnd w:id="4"/>
    <w:p>
      <w:pPr>
        <w:ind w:left="80" w:right="1779"/>
        <w:spacing w:after="0" w:line="237" w:lineRule="auto"/>
        <w:rPr>
          <w:sz w:val="20"/>
          <w:szCs w:val="20"/>
          <w:color w:val="auto"/>
        </w:rPr>
      </w:pPr>
      <w:r>
        <w:rPr>
          <w:rFonts w:ascii="Courier New" w:cs="Courier New" w:eastAsia="Courier New" w:hAnsi="Courier New"/>
          <w:sz w:val="18"/>
          <w:szCs w:val="18"/>
          <w:color w:val="auto"/>
        </w:rPr>
        <w:t>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211" w:lineRule="exact"/>
        <w:rPr>
          <w:sz w:val="20"/>
          <w:szCs w:val="20"/>
          <w:color w:val="auto"/>
        </w:rPr>
      </w:pPr>
    </w:p>
    <w:p>
      <w:pPr>
        <w:ind w:left="80" w:right="2619" w:firstLine="632"/>
        <w:spacing w:after="0" w:line="236" w:lineRule="auto"/>
        <w:rPr>
          <w:sz w:val="20"/>
          <w:szCs w:val="20"/>
          <w:color w:val="auto"/>
        </w:rPr>
      </w:pPr>
      <w:r>
        <w:rPr>
          <w:rFonts w:ascii="Courier New" w:cs="Courier New" w:eastAsia="Courier New" w:hAnsi="Courier New"/>
          <w:sz w:val="18"/>
          <w:szCs w:val="18"/>
          <w:color w:val="auto"/>
        </w:rPr>
        <w:t>Section 5.02. Court-Approved Indemnification. Anything contained in the Regulations or elsewhere to the contrary notwithstanding:</w:t>
      </w:r>
    </w:p>
    <w:p>
      <w:pPr>
        <w:spacing w:after="0" w:line="209" w:lineRule="exact"/>
        <w:rPr>
          <w:sz w:val="20"/>
          <w:szCs w:val="20"/>
          <w:color w:val="auto"/>
        </w:rPr>
      </w:pPr>
    </w:p>
    <w:p>
      <w:pPr>
        <w:ind w:left="80" w:right="1879" w:firstLine="624"/>
        <w:spacing w:after="0" w:line="269" w:lineRule="auto"/>
        <w:tabs>
          <w:tab w:leader="none" w:pos="113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80" w:right="2519" w:firstLine="624"/>
        <w:spacing w:after="0" w:line="236" w:lineRule="auto"/>
        <w:tabs>
          <w:tab w:leader="none" w:pos="11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promptly make any such unpaid indemnification as is determined by a court to be proper as contemplated by this Section 5.02.</w:t>
      </w:r>
    </w:p>
    <w:p>
      <w:pPr>
        <w:spacing w:after="0" w:line="209" w:lineRule="exact"/>
        <w:rPr>
          <w:sz w:val="20"/>
          <w:szCs w:val="20"/>
          <w:color w:val="auto"/>
        </w:rPr>
      </w:pPr>
    </w:p>
    <w:p>
      <w:pPr>
        <w:ind w:left="80" w:right="1779" w:firstLine="632"/>
        <w:spacing w:after="0" w:line="237" w:lineRule="auto"/>
        <w:rPr>
          <w:sz w:val="20"/>
          <w:szCs w:val="20"/>
          <w:color w:val="auto"/>
        </w:rPr>
      </w:pPr>
      <w:r>
        <w:rPr>
          <w:rFonts w:ascii="Courier New" w:cs="Courier New" w:eastAsia="Courier New" w:hAnsi="Courier New"/>
          <w:sz w:val="18"/>
          <w:szCs w:val="18"/>
          <w:color w:val="auto"/>
        </w:rPr>
        <w:t>Section 5.03. Indemnification for Expenses. Anything contained in the Regulations or elsewhere to the contrary notwithstanding, to the extent that an officer or director of the corporation has been successful on the merits or otherwise in defense of any action, suit or proceeding referred to in 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215" w:lineRule="exact"/>
        <w:rPr>
          <w:sz w:val="20"/>
          <w:szCs w:val="20"/>
          <w:color w:val="auto"/>
        </w:rPr>
      </w:pPr>
    </w:p>
    <w:p>
      <w:pPr>
        <w:ind w:left="80" w:right="2199" w:firstLine="632"/>
        <w:spacing w:after="0" w:line="236" w:lineRule="auto"/>
        <w:rPr>
          <w:sz w:val="20"/>
          <w:szCs w:val="20"/>
          <w:color w:val="auto"/>
        </w:rPr>
      </w:pPr>
      <w:r>
        <w:rPr>
          <w:rFonts w:ascii="Courier New" w:cs="Courier New" w:eastAsia="Courier New" w:hAnsi="Courier New"/>
          <w:sz w:val="18"/>
          <w:szCs w:val="18"/>
          <w:color w:val="auto"/>
        </w:rPr>
        <w:t>Section 5.04. Determination Required. Any indemnification required under Section 5.01 and not precluded under Section 5.02 shall be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520" w:right="1440" w:bottom="1440" w:gutter="0" w:footer="0" w:header="0"/>
        </w:sectPr>
      </w:pPr>
    </w:p>
    <w:bookmarkStart w:id="5" w:name="page6"/>
    <w:bookmarkEnd w:id="5"/>
    <w:p>
      <w:pPr>
        <w:ind w:left="80" w:right="1779"/>
        <w:spacing w:after="0" w:line="268" w:lineRule="auto"/>
        <w:rPr>
          <w:sz w:val="20"/>
          <w:szCs w:val="20"/>
          <w:color w:val="auto"/>
        </w:rPr>
      </w:pPr>
      <w:r>
        <w:rPr>
          <w:rFonts w:ascii="Courier New" w:cs="Courier New" w:eastAsia="Courier New" w:hAnsi="Courier New"/>
          <w:sz w:val="16"/>
          <w:szCs w:val="16"/>
          <w:color w:val="auto"/>
        </w:rPr>
        <w:t>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right="1779" w:firstLine="632"/>
        <w:spacing w:after="0" w:line="237" w:lineRule="auto"/>
        <w:rPr>
          <w:sz w:val="20"/>
          <w:szCs w:val="20"/>
          <w:color w:val="auto"/>
        </w:rPr>
      </w:pPr>
      <w:r>
        <w:rPr>
          <w:rFonts w:ascii="Courier New" w:cs="Courier New" w:eastAsia="Courier New" w:hAnsi="Courier New"/>
          <w:sz w:val="18"/>
          <w:szCs w:val="18"/>
          <w:color w:val="auto"/>
        </w:rPr>
        <w:t>Section 5.05. Advances for Expenses.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723" w:right="1440" w:bottom="1440" w:gutter="0" w:footer="0" w:header="0"/>
        </w:sectPr>
      </w:pPr>
    </w:p>
    <w:bookmarkStart w:id="6" w:name="page7"/>
    <w:bookmarkEnd w:id="6"/>
    <w:p>
      <w:pPr>
        <w:jc w:val="both"/>
        <w:ind w:left="80" w:right="2519" w:firstLine="624"/>
        <w:spacing w:after="0" w:line="236" w:lineRule="auto"/>
        <w:tabs>
          <w:tab w:leader="none" w:pos="113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it shall ultimately be determined as provided in Section 5.04 that he is not entitled to be indemnified by the corporation as provided under Section 5.01; or</w:t>
      </w:r>
    </w:p>
    <w:p>
      <w:pPr>
        <w:spacing w:after="0" w:line="208" w:lineRule="exact"/>
        <w:rPr>
          <w:rFonts w:ascii="Courier New" w:cs="Courier New" w:eastAsia="Courier New" w:hAnsi="Courier New"/>
          <w:sz w:val="18"/>
          <w:szCs w:val="18"/>
          <w:color w:val="auto"/>
        </w:rPr>
      </w:pPr>
    </w:p>
    <w:p>
      <w:pPr>
        <w:ind w:left="80" w:right="1779" w:firstLine="624"/>
        <w:spacing w:after="0" w:line="237" w:lineRule="auto"/>
        <w:tabs>
          <w:tab w:leader="none" w:pos="113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216" w:lineRule="exact"/>
        <w:rPr>
          <w:sz w:val="20"/>
          <w:szCs w:val="20"/>
          <w:color w:val="auto"/>
        </w:rPr>
      </w:pPr>
    </w:p>
    <w:p>
      <w:pPr>
        <w:ind w:left="80" w:right="1879" w:firstLine="632"/>
        <w:spacing w:after="0" w:line="271" w:lineRule="auto"/>
        <w:rPr>
          <w:sz w:val="20"/>
          <w:szCs w:val="20"/>
          <w:color w:val="auto"/>
        </w:rPr>
      </w:pPr>
      <w:r>
        <w:rPr>
          <w:rFonts w:ascii="Courier New" w:cs="Courier New" w:eastAsia="Courier New" w:hAnsi="Courier New"/>
          <w:sz w:val="16"/>
          <w:szCs w:val="16"/>
          <w:color w:val="auto"/>
        </w:rPr>
        <w:t>Section 5.06. Article FIVE Not Exclusive.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386" w:lineRule="exact"/>
        <w:rPr>
          <w:sz w:val="20"/>
          <w:szCs w:val="20"/>
          <w:color w:val="auto"/>
        </w:rPr>
      </w:pPr>
    </w:p>
    <w:p>
      <w:pPr>
        <w:ind w:left="80" w:right="1779" w:firstLine="632"/>
        <w:spacing w:after="0" w:line="238" w:lineRule="auto"/>
        <w:rPr>
          <w:sz w:val="20"/>
          <w:szCs w:val="20"/>
          <w:color w:val="auto"/>
        </w:rPr>
      </w:pPr>
      <w:r>
        <w:rPr>
          <w:rFonts w:ascii="Courier New" w:cs="Courier New" w:eastAsia="Courier New" w:hAnsi="Courier New"/>
          <w:sz w:val="18"/>
          <w:szCs w:val="18"/>
          <w:color w:val="auto"/>
        </w:rPr>
        <w:t>Section 5.07. Insurance.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202"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Section 5.08. Certain Definitions. For purposes of this</w:t>
      </w:r>
    </w:p>
    <w:p>
      <w:pPr>
        <w:ind w:left="80"/>
        <w:spacing w:after="0" w:line="238" w:lineRule="auto"/>
        <w:rPr>
          <w:sz w:val="20"/>
          <w:szCs w:val="20"/>
          <w:color w:val="auto"/>
        </w:rPr>
      </w:pPr>
      <w:r>
        <w:rPr>
          <w:rFonts w:ascii="Courier New" w:cs="Courier New" w:eastAsia="Courier New" w:hAnsi="Courier New"/>
          <w:sz w:val="18"/>
          <w:szCs w:val="18"/>
          <w:color w:val="auto"/>
        </w:rPr>
        <w:t>Article FIVE, and as examples and not by way of limitation:</w:t>
      </w:r>
    </w:p>
    <w:p>
      <w:pPr>
        <w:spacing w:after="0" w:line="207" w:lineRule="exact"/>
        <w:rPr>
          <w:sz w:val="20"/>
          <w:szCs w:val="20"/>
          <w:color w:val="auto"/>
        </w:rPr>
      </w:pPr>
    </w:p>
    <w:p>
      <w:pPr>
        <w:ind w:left="80" w:right="1879" w:firstLine="624"/>
        <w:spacing w:after="0" w:line="237" w:lineRule="auto"/>
        <w:tabs>
          <w:tab w:leader="none" w:pos="113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claiming indemnification under this Article FIVE shall be deemed to have been successful on the merits or otherwise in defense of any action, suit or proceeding referred to in Section 5.01, or 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019"/>
          </w:cols>
          <w:pgMar w:left="1440" w:top="723" w:right="1440" w:bottom="1440" w:gutter="0" w:footer="0" w:header="0"/>
        </w:sectPr>
      </w:pPr>
    </w:p>
    <w:bookmarkStart w:id="7" w:name="page8"/>
    <w:bookmarkEnd w:id="7"/>
    <w:p>
      <w:pPr>
        <w:ind w:left="640" w:right="1779"/>
        <w:spacing w:after="0" w:line="237" w:lineRule="auto"/>
        <w:rPr>
          <w:sz w:val="20"/>
          <w:szCs w:val="20"/>
          <w:color w:val="auto"/>
        </w:rPr>
      </w:pPr>
      <w:r>
        <w:rPr>
          <w:rFonts w:ascii="Courier New" w:cs="Courier New" w:eastAsia="Courier New" w:hAnsi="Courier New"/>
          <w:sz w:val="18"/>
          <w:szCs w:val="18"/>
          <w:color w:val="auto"/>
        </w:rPr>
        <w:t>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214" w:lineRule="exact"/>
        <w:rPr>
          <w:sz w:val="20"/>
          <w:szCs w:val="20"/>
          <w:color w:val="auto"/>
        </w:rPr>
      </w:pPr>
    </w:p>
    <w:p>
      <w:pPr>
        <w:ind w:left="640" w:right="1779" w:firstLine="624"/>
        <w:spacing w:after="0" w:line="270" w:lineRule="auto"/>
        <w:tabs>
          <w:tab w:leader="none" w:pos="169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389" w:lineRule="exact"/>
        <w:rPr>
          <w:sz w:val="20"/>
          <w:szCs w:val="20"/>
          <w:color w:val="auto"/>
        </w:rPr>
      </w:pPr>
    </w:p>
    <w:p>
      <w:pPr>
        <w:ind w:left="640" w:right="1779" w:firstLine="632"/>
        <w:spacing w:after="0" w:line="237" w:lineRule="auto"/>
        <w:rPr>
          <w:sz w:val="20"/>
          <w:szCs w:val="20"/>
          <w:color w:val="auto"/>
        </w:rPr>
      </w:pPr>
      <w:r>
        <w:rPr>
          <w:rFonts w:ascii="Courier New" w:cs="Courier New" w:eastAsia="Courier New" w:hAnsi="Courier New"/>
          <w:sz w:val="18"/>
          <w:szCs w:val="18"/>
          <w:color w:val="auto"/>
        </w:rPr>
        <w:t>Section 5.09. Venue.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212" w:lineRule="exact"/>
        <w:rPr>
          <w:sz w:val="20"/>
          <w:szCs w:val="20"/>
          <w:color w:val="auto"/>
        </w:rPr>
      </w:pPr>
    </w:p>
    <w:p>
      <w:pPr>
        <w:ind w:right="1879" w:firstLine="1264"/>
        <w:spacing w:after="0" w:line="290" w:lineRule="auto"/>
        <w:rPr>
          <w:sz w:val="20"/>
          <w:szCs w:val="20"/>
          <w:color w:val="auto"/>
        </w:rPr>
      </w:pPr>
      <w:r>
        <w:rPr>
          <w:rFonts w:ascii="Courier New" w:cs="Courier New" w:eastAsia="Courier New" w:hAnsi="Courier New"/>
          <w:sz w:val="16"/>
          <w:szCs w:val="16"/>
          <w:color w:val="auto"/>
        </w:rPr>
        <w:t>Division (E) of Section 1701.13 of the Ohio Revised Code addresses indemnification by an Ohio corporation and provides as follows:</w:t>
      </w:r>
    </w:p>
    <w:p>
      <w:pPr>
        <w:spacing w:after="0" w:line="170" w:lineRule="exact"/>
        <w:rPr>
          <w:sz w:val="20"/>
          <w:szCs w:val="20"/>
          <w:color w:val="auto"/>
        </w:rPr>
      </w:pPr>
    </w:p>
    <w:p>
      <w:pPr>
        <w:ind w:left="640" w:right="1779" w:firstLine="632"/>
        <w:spacing w:after="0" w:line="270" w:lineRule="auto"/>
        <w:rPr>
          <w:sz w:val="20"/>
          <w:szCs w:val="20"/>
          <w:color w:val="auto"/>
        </w:rPr>
      </w:pPr>
      <w:r>
        <w:rPr>
          <w:rFonts w:ascii="Courier New" w:cs="Courier New" w:eastAsia="Courier New" w:hAnsi="Courier New"/>
          <w:sz w:val="16"/>
          <w:szCs w:val="16"/>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579"/>
          </w:cols>
          <w:pgMar w:left="880" w:top="723" w:right="1440" w:bottom="1440" w:gutter="0" w:footer="0" w:header="0"/>
        </w:sectPr>
      </w:pPr>
    </w:p>
    <w:bookmarkStart w:id="8" w:name="page9"/>
    <w:bookmarkEnd w:id="8"/>
    <w:p>
      <w:pPr>
        <w:ind w:left="80" w:right="1779"/>
        <w:spacing w:after="0" w:line="270" w:lineRule="auto"/>
        <w:rPr>
          <w:sz w:val="20"/>
          <w:szCs w:val="20"/>
          <w:color w:val="auto"/>
        </w:rPr>
      </w:pPr>
      <w:r>
        <w:rPr>
          <w:rFonts w:ascii="Courier New" w:cs="Courier New" w:eastAsia="Courier New" w:hAnsi="Courier New"/>
          <w:sz w:val="16"/>
          <w:szCs w:val="16"/>
          <w:color w:val="auto"/>
        </w:rPr>
        <w:t>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189" w:lineRule="exact"/>
        <w:rPr>
          <w:sz w:val="20"/>
          <w:szCs w:val="20"/>
          <w:color w:val="auto"/>
        </w:rPr>
      </w:pPr>
    </w:p>
    <w:p>
      <w:pPr>
        <w:ind w:left="80" w:right="1779" w:firstLine="624"/>
        <w:spacing w:after="0" w:line="238" w:lineRule="auto"/>
        <w:tabs>
          <w:tab w:leader="none" w:pos="113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208" w:lineRule="exact"/>
        <w:rPr>
          <w:sz w:val="20"/>
          <w:szCs w:val="20"/>
          <w:color w:val="auto"/>
        </w:rPr>
      </w:pPr>
    </w:p>
    <w:p>
      <w:pPr>
        <w:ind w:left="80" w:right="1779" w:firstLine="624"/>
        <w:spacing w:after="0" w:line="237" w:lineRule="auto"/>
        <w:tabs>
          <w:tab w:leader="none" w:pos="11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213" w:lineRule="exact"/>
        <w:rPr>
          <w:rFonts w:ascii="Courier New" w:cs="Courier New" w:eastAsia="Courier New" w:hAnsi="Courier New"/>
          <w:sz w:val="18"/>
          <w:szCs w:val="18"/>
          <w:color w:val="auto"/>
        </w:rPr>
      </w:pPr>
    </w:p>
    <w:p>
      <w:pPr>
        <w:ind w:left="80" w:right="2099" w:firstLine="624"/>
        <w:spacing w:after="0" w:line="236" w:lineRule="auto"/>
        <w:tabs>
          <w:tab w:leader="none" w:pos="11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or suit in which the only liability asserted against a director is pursuant to section 1701.95 of the Revised Code.</w:t>
      </w:r>
    </w:p>
    <w:p>
      <w:pPr>
        <w:spacing w:after="0" w:line="209" w:lineRule="exact"/>
        <w:rPr>
          <w:sz w:val="20"/>
          <w:szCs w:val="20"/>
          <w:color w:val="auto"/>
        </w:rPr>
      </w:pPr>
    </w:p>
    <w:p>
      <w:pPr>
        <w:ind w:left="80" w:right="1779" w:firstLine="624"/>
        <w:spacing w:after="0" w:line="271" w:lineRule="auto"/>
        <w:tabs>
          <w:tab w:leader="none" w:pos="113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200" w:lineRule="exact"/>
        <w:rPr>
          <w:sz w:val="20"/>
          <w:szCs w:val="20"/>
          <w:color w:val="auto"/>
        </w:rPr>
      </w:pPr>
    </w:p>
    <w:p>
      <w:pPr>
        <w:spacing w:after="0" w:line="387"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019"/>
          </w:cols>
          <w:pgMar w:left="1440" w:top="520" w:right="1440" w:bottom="1440" w:gutter="0" w:footer="0" w:header="0"/>
        </w:sectPr>
      </w:pPr>
    </w:p>
    <w:bookmarkStart w:id="9" w:name="page10"/>
    <w:bookmarkEnd w:id="9"/>
    <w:p>
      <w:pPr>
        <w:ind w:left="80" w:right="1779" w:firstLine="624"/>
        <w:spacing w:after="0" w:line="268" w:lineRule="auto"/>
        <w:tabs>
          <w:tab w:leader="none" w:pos="1133"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w:t>
      </w:r>
    </w:p>
    <w:p>
      <w:pPr>
        <w:ind w:left="500" w:hanging="428"/>
        <w:spacing w:after="0" w:line="238" w:lineRule="auto"/>
        <w:tabs>
          <w:tab w:leader="none" w:pos="5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Such determination shall be made as follows:</w:t>
      </w:r>
    </w:p>
    <w:p>
      <w:pPr>
        <w:spacing w:after="0" w:line="207" w:lineRule="exact"/>
        <w:rPr>
          <w:sz w:val="20"/>
          <w:szCs w:val="20"/>
          <w:color w:val="auto"/>
        </w:rPr>
      </w:pPr>
    </w:p>
    <w:p>
      <w:pPr>
        <w:jc w:val="both"/>
        <w:ind w:left="80" w:right="1879" w:firstLine="624"/>
        <w:spacing w:after="0" w:line="237" w:lineRule="auto"/>
        <w:tabs>
          <w:tab w:leader="none" w:pos="113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207" w:lineRule="exact"/>
        <w:rPr>
          <w:rFonts w:ascii="Courier New" w:cs="Courier New" w:eastAsia="Courier New" w:hAnsi="Courier New"/>
          <w:sz w:val="18"/>
          <w:szCs w:val="18"/>
          <w:color w:val="auto"/>
        </w:rPr>
      </w:pPr>
    </w:p>
    <w:p>
      <w:pPr>
        <w:ind w:left="80" w:right="1879" w:firstLine="624"/>
        <w:spacing w:after="0" w:line="237" w:lineRule="auto"/>
        <w:tabs>
          <w:tab w:leader="none" w:pos="113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205" w:lineRule="exact"/>
        <w:rPr>
          <w:rFonts w:ascii="Courier New" w:cs="Courier New" w:eastAsia="Courier New" w:hAnsi="Courier New"/>
          <w:sz w:val="18"/>
          <w:szCs w:val="18"/>
          <w:color w:val="auto"/>
        </w:rPr>
      </w:pPr>
    </w:p>
    <w:p>
      <w:pPr>
        <w:ind w:left="1120" w:hanging="416"/>
        <w:spacing w:after="0"/>
        <w:tabs>
          <w:tab w:leader="none" w:pos="11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shareholders;</w:t>
      </w:r>
    </w:p>
    <w:p>
      <w:pPr>
        <w:spacing w:after="0" w:line="206" w:lineRule="exact"/>
        <w:rPr>
          <w:rFonts w:ascii="Courier New" w:cs="Courier New" w:eastAsia="Courier New" w:hAnsi="Courier New"/>
          <w:sz w:val="18"/>
          <w:szCs w:val="18"/>
          <w:color w:val="auto"/>
        </w:rPr>
      </w:pPr>
    </w:p>
    <w:p>
      <w:pPr>
        <w:ind w:left="80" w:right="1779" w:firstLine="624"/>
        <w:spacing w:after="0" w:line="236" w:lineRule="auto"/>
        <w:tabs>
          <w:tab w:leader="none" w:pos="113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court of common pleas or the court in which the action, suit, or proceeding referred to in division (E)(1) or (2) of this section was brought.</w:t>
      </w:r>
    </w:p>
    <w:p>
      <w:pPr>
        <w:spacing w:after="0" w:line="209" w:lineRule="exact"/>
        <w:rPr>
          <w:sz w:val="20"/>
          <w:szCs w:val="20"/>
          <w:color w:val="auto"/>
        </w:rPr>
      </w:pPr>
    </w:p>
    <w:p>
      <w:pPr>
        <w:ind w:left="80" w:right="1779"/>
        <w:spacing w:after="0" w:line="237" w:lineRule="auto"/>
        <w:rPr>
          <w:sz w:val="20"/>
          <w:szCs w:val="20"/>
          <w:color w:val="auto"/>
        </w:rPr>
      </w:pPr>
      <w:r>
        <w:rPr>
          <w:rFonts w:ascii="Courier New" w:cs="Courier New" w:eastAsia="Courier New" w:hAnsi="Courier New"/>
          <w:sz w:val="18"/>
          <w:szCs w:val="18"/>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214" w:lineRule="exact"/>
        <w:rPr>
          <w:sz w:val="20"/>
          <w:szCs w:val="20"/>
          <w:color w:val="auto"/>
        </w:rPr>
      </w:pPr>
    </w:p>
    <w:p>
      <w:pPr>
        <w:ind w:left="80" w:right="1779" w:firstLine="632"/>
        <w:spacing w:after="0" w:line="238" w:lineRule="auto"/>
        <w:rPr>
          <w:sz w:val="20"/>
          <w:szCs w:val="20"/>
          <w:color w:val="auto"/>
        </w:rPr>
      </w:pPr>
      <w:r>
        <w:rPr>
          <w:rFonts w:ascii="Courier New" w:cs="Courier New" w:eastAsia="Courier New" w:hAnsi="Courier New"/>
          <w:sz w:val="18"/>
          <w:szCs w:val="18"/>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019"/>
          </w:cols>
          <w:pgMar w:left="1440" w:top="723" w:right="1440" w:bottom="1440" w:gutter="0" w:footer="0" w:header="0"/>
        </w:sectPr>
      </w:pPr>
    </w:p>
    <w:bookmarkStart w:id="10" w:name="page11"/>
    <w:bookmarkEnd w:id="10"/>
    <w:p>
      <w:pPr>
        <w:ind w:left="80" w:right="2099"/>
        <w:spacing w:after="0" w:line="235" w:lineRule="auto"/>
        <w:rPr>
          <w:sz w:val="20"/>
          <w:szCs w:val="20"/>
          <w:color w:val="auto"/>
        </w:rPr>
      </w:pPr>
      <w:r>
        <w:rPr>
          <w:rFonts w:ascii="Courier New" w:cs="Courier New" w:eastAsia="Courier New" w:hAnsi="Courier New"/>
          <w:sz w:val="18"/>
          <w:szCs w:val="18"/>
          <w:color w:val="auto"/>
        </w:rPr>
        <w:t>proceeding, upon receipt of an undertaking by or on behalf of the director in which he agrees to do both of the following:</w:t>
      </w:r>
    </w:p>
    <w:p>
      <w:pPr>
        <w:spacing w:after="0" w:line="208" w:lineRule="exact"/>
        <w:rPr>
          <w:sz w:val="20"/>
          <w:szCs w:val="20"/>
          <w:color w:val="auto"/>
        </w:rPr>
      </w:pPr>
    </w:p>
    <w:p>
      <w:pPr>
        <w:ind w:left="80" w:right="1879" w:firstLine="624"/>
        <w:spacing w:after="0" w:line="273" w:lineRule="auto"/>
        <w:tabs>
          <w:tab w:leader="none" w:pos="113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184" w:lineRule="exact"/>
        <w:rPr>
          <w:rFonts w:ascii="Courier New" w:cs="Courier New" w:eastAsia="Courier New" w:hAnsi="Courier New"/>
          <w:sz w:val="16"/>
          <w:szCs w:val="16"/>
          <w:color w:val="auto"/>
        </w:rPr>
      </w:pPr>
    </w:p>
    <w:p>
      <w:pPr>
        <w:ind w:left="80" w:right="1879" w:firstLine="624"/>
        <w:spacing w:after="0" w:line="235" w:lineRule="auto"/>
        <w:tabs>
          <w:tab w:leader="none" w:pos="12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Reasonably cooperate with the corporation concerning the action, suit, or proceeding.</w:t>
      </w:r>
    </w:p>
    <w:p>
      <w:pPr>
        <w:spacing w:after="0" w:line="208" w:lineRule="exact"/>
        <w:rPr>
          <w:sz w:val="20"/>
          <w:szCs w:val="20"/>
          <w:color w:val="auto"/>
        </w:rPr>
      </w:pPr>
    </w:p>
    <w:p>
      <w:pPr>
        <w:ind w:left="80" w:right="1779" w:firstLine="624"/>
        <w:spacing w:after="0" w:line="237" w:lineRule="auto"/>
        <w:tabs>
          <w:tab w:leader="none" w:pos="11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215" w:lineRule="exact"/>
        <w:rPr>
          <w:sz w:val="20"/>
          <w:szCs w:val="20"/>
          <w:color w:val="auto"/>
        </w:rPr>
      </w:pPr>
    </w:p>
    <w:p>
      <w:pPr>
        <w:ind w:left="80" w:right="1879" w:firstLine="624"/>
        <w:spacing w:after="0" w:line="271" w:lineRule="auto"/>
        <w:tabs>
          <w:tab w:leader="none" w:pos="113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386" w:lineRule="exact"/>
        <w:rPr>
          <w:rFonts w:ascii="Courier New" w:cs="Courier New" w:eastAsia="Courier New" w:hAnsi="Courier New"/>
          <w:sz w:val="16"/>
          <w:szCs w:val="16"/>
          <w:color w:val="auto"/>
        </w:rPr>
      </w:pPr>
    </w:p>
    <w:p>
      <w:pPr>
        <w:ind w:left="80" w:right="1779" w:firstLine="624"/>
        <w:spacing w:after="0" w:line="270" w:lineRule="auto"/>
        <w:tabs>
          <w:tab w:leader="none" w:pos="113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019"/>
          </w:cols>
          <w:pgMar w:left="1440" w:top="723" w:right="1440" w:bottom="1440" w:gutter="0" w:footer="0" w:header="0"/>
        </w:sectPr>
      </w:pPr>
    </w:p>
    <w:bookmarkStart w:id="11" w:name="page12"/>
    <w:bookmarkEnd w:id="11"/>
    <w:p>
      <w:pPr>
        <w:ind w:left="1280" w:right="1779" w:firstLine="624"/>
        <w:spacing w:after="0" w:line="268" w:lineRule="auto"/>
        <w:tabs>
          <w:tab w:leader="none" w:pos="2333"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of a corporation to indemnify persons pursuant to division (E)(1) or (2) of this section does not limit the payment of expenses as they are incurred, indemnification, insurance, or other protection that may be provided pursuant to divisions (E)(5), (6), and (7) of this section. Divisions (E)(1) and</w:t>
      </w:r>
    </w:p>
    <w:p>
      <w:pPr>
        <w:ind w:left="1280" w:right="1879" w:hanging="8"/>
        <w:spacing w:after="0" w:line="236" w:lineRule="auto"/>
        <w:tabs>
          <w:tab w:leader="none" w:pos="170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do not create any obligation to repay or return payments made by the corporation pursuant to division (E)(5), (6), or (7).</w:t>
      </w:r>
    </w:p>
    <w:p>
      <w:pPr>
        <w:spacing w:after="0" w:line="208" w:lineRule="exact"/>
        <w:rPr>
          <w:rFonts w:ascii="Courier New" w:cs="Courier New" w:eastAsia="Courier New" w:hAnsi="Courier New"/>
          <w:sz w:val="18"/>
          <w:szCs w:val="18"/>
          <w:color w:val="auto"/>
        </w:rPr>
      </w:pPr>
    </w:p>
    <w:p>
      <w:pPr>
        <w:ind w:left="1280" w:right="1779" w:firstLine="624"/>
        <w:spacing w:after="0" w:line="270" w:lineRule="auto"/>
        <w:tabs>
          <w:tab w:leader="none" w:pos="2333"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division (E) of this section, references to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8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The Registrant has purchased insurance coverage under a policy which insures directors and officers against certain liabilities which might be incurred by them in such capacity.</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the Index to Exhibits attached hereto and beginning at</w:t>
      </w:r>
    </w:p>
    <w:p>
      <w:pPr>
        <w:spacing w:after="0" w:line="238" w:lineRule="auto"/>
        <w:rPr>
          <w:sz w:val="20"/>
          <w:szCs w:val="20"/>
          <w:color w:val="auto"/>
        </w:rPr>
      </w:pPr>
      <w:r>
        <w:rPr>
          <w:rFonts w:ascii="Courier New" w:cs="Courier New" w:eastAsia="Courier New" w:hAnsi="Courier New"/>
          <w:sz w:val="18"/>
          <w:szCs w:val="18"/>
          <w:color w:val="auto"/>
        </w:rPr>
        <w:t>page 17.</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900" w:right="1879" w:hanging="628"/>
        <w:spacing w:after="0" w:line="235" w:lineRule="auto"/>
        <w:tabs>
          <w:tab w:leader="none" w:pos="190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900" w:right="1779" w:hanging="628"/>
        <w:spacing w:after="0" w:line="237" w:lineRule="auto"/>
        <w:tabs>
          <w:tab w:leader="none" w:pos="190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2" w:name="page13"/>
    <w:bookmarkEnd w:id="12"/>
    <w:p>
      <w:pPr>
        <w:ind w:left="1892" w:right="1999"/>
        <w:spacing w:after="0" w:line="235" w:lineRule="auto"/>
        <w:rPr>
          <w:sz w:val="20"/>
          <w:szCs w:val="20"/>
          <w:color w:val="auto"/>
        </w:rPr>
      </w:pPr>
      <w:r>
        <w:rPr>
          <w:rFonts w:ascii="Courier New" w:cs="Courier New" w:eastAsia="Courier New" w:hAnsi="Courier New"/>
          <w:sz w:val="18"/>
          <w:szCs w:val="18"/>
          <w:color w:val="auto"/>
        </w:rPr>
        <w:t>aggregate, represent a fundamental change in the information set forth in the registration statement; and</w:t>
      </w:r>
    </w:p>
    <w:p>
      <w:pPr>
        <w:spacing w:after="0" w:line="208" w:lineRule="exact"/>
        <w:rPr>
          <w:sz w:val="20"/>
          <w:szCs w:val="20"/>
          <w:color w:val="auto"/>
        </w:rPr>
      </w:pPr>
    </w:p>
    <w:p>
      <w:pPr>
        <w:ind w:left="1892" w:right="1999" w:hanging="628"/>
        <w:spacing w:after="0" w:line="237" w:lineRule="auto"/>
        <w:tabs>
          <w:tab w:leader="none" w:pos="189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left="1272" w:right="1779"/>
        <w:spacing w:after="0" w:line="272" w:lineRule="auto"/>
        <w:rPr>
          <w:sz w:val="20"/>
          <w:szCs w:val="20"/>
          <w:color w:val="auto"/>
        </w:rPr>
      </w:pPr>
      <w:r>
        <w:rPr>
          <w:rFonts w:ascii="Courier New" w:cs="Courier New" w:eastAsia="Courier New" w:hAnsi="Courier New"/>
          <w:sz w:val="16"/>
          <w:szCs w:val="16"/>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86" w:lineRule="exact"/>
        <w:rPr>
          <w:sz w:val="20"/>
          <w:szCs w:val="20"/>
          <w:color w:val="auto"/>
        </w:rPr>
      </w:pPr>
    </w:p>
    <w:p>
      <w:pPr>
        <w:ind w:left="1272" w:right="1779" w:hanging="640"/>
        <w:spacing w:after="0" w:line="273" w:lineRule="auto"/>
        <w:tabs>
          <w:tab w:leader="none" w:pos="1272"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4" w:lineRule="exact"/>
        <w:rPr>
          <w:rFonts w:ascii="Courier New" w:cs="Courier New" w:eastAsia="Courier New" w:hAnsi="Courier New"/>
          <w:sz w:val="16"/>
          <w:szCs w:val="16"/>
          <w:color w:val="auto"/>
        </w:rPr>
      </w:pPr>
    </w:p>
    <w:p>
      <w:pPr>
        <w:ind w:left="1272" w:right="1999" w:hanging="640"/>
        <w:spacing w:after="0" w:line="236" w:lineRule="auto"/>
        <w:tabs>
          <w:tab w:leader="none" w:pos="127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632" w:right="1779" w:hanging="632"/>
        <w:spacing w:after="0" w:line="237" w:lineRule="auto"/>
        <w:tabs>
          <w:tab w:leader="none" w:pos="6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2" w:lineRule="exact"/>
        <w:rPr>
          <w:rFonts w:ascii="Courier New" w:cs="Courier New" w:eastAsia="Courier New" w:hAnsi="Courier New"/>
          <w:sz w:val="18"/>
          <w:szCs w:val="18"/>
          <w:color w:val="auto"/>
        </w:rPr>
      </w:pPr>
    </w:p>
    <w:p>
      <w:pPr>
        <w:ind w:left="632" w:right="1779" w:hanging="632"/>
        <w:spacing w:after="0" w:line="270" w:lineRule="auto"/>
        <w:tabs>
          <w:tab w:leader="none" w:pos="63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provisions described in Item 6 of this Part II,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1"/>
          </w:cols>
          <w:pgMar w:left="248" w:top="520" w:right="1440" w:bottom="1440" w:gutter="0" w:footer="0" w:header="0"/>
        </w:sectPr>
      </w:pPr>
    </w:p>
    <w:bookmarkStart w:id="13" w:name="page14"/>
    <w:bookmarkEnd w:id="13"/>
    <w:p>
      <w:pPr>
        <w:jc w:val="both"/>
        <w:ind w:right="1999"/>
        <w:spacing w:after="0" w:line="290" w:lineRule="auto"/>
        <w:rPr>
          <w:sz w:val="20"/>
          <w:szCs w:val="20"/>
          <w:color w:val="auto"/>
        </w:rPr>
      </w:pPr>
      <w:r>
        <w:rPr>
          <w:rFonts w:ascii="Courier New" w:cs="Courier New" w:eastAsia="Courier New" w:hAnsi="Courier New"/>
          <w:sz w:val="16"/>
          <w:szCs w:val="16"/>
          <w:color w:val="auto"/>
        </w:rPr>
        <w:t>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579"/>
          </w:cols>
          <w:pgMar w:left="880" w:top="723" w:right="1440" w:bottom="1440" w:gutter="0" w:footer="0" w:header="0"/>
        </w:sectPr>
      </w:pPr>
    </w:p>
    <w:bookmarkStart w:id="14" w:name="page15"/>
    <w:bookmarkEnd w:id="1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Marysville, State of Ohio, on the 11th day of April, 2003.</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James Hagedorn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James Hagedorn, Chairman of the Board,</w:t>
      </w:r>
    </w:p>
    <w:p>
      <w:pPr>
        <w:ind w:left="4220"/>
        <w:spacing w:after="0" w:line="237"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10"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April 11, 2003.</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240" w:space="720"/>
            <w:col w:w="525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Lynn J. Beasley*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 w:lineRule="exact"/>
        <w:rPr>
          <w:sz w:val="20"/>
          <w:szCs w:val="20"/>
          <w:color w:val="auto"/>
        </w:rPr>
      </w:pPr>
    </w:p>
    <w:p>
      <w:pPr>
        <w:sectPr>
          <w:pgSz w:w="11900" w:h="16838" w:orient="portrait"/>
          <w:cols w:equalWidth="0" w:num="2">
            <w:col w:w="3820" w:space="720"/>
            <w:col w:w="5679"/>
          </w:cols>
          <w:pgMar w:left="240" w:top="717" w:right="1440" w:bottom="1440" w:gutter="0" w:footer="0" w:header="0"/>
          <w:type w:val="continuous"/>
        </w:sect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Lynn J. Beasley</w:t>
      </w:r>
    </w:p>
    <w:p>
      <w:pPr>
        <w:sectPr>
          <w:pgSz w:w="11900" w:h="16838" w:orient="portrait"/>
          <w:cols w:equalWidth="0" w:num="1">
            <w:col w:w="10219"/>
          </w:cols>
          <w:pgMar w:left="240" w:top="717" w:right="1440" w:bottom="144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Arnold W. Donald*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Arnold W. Donald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020" w:space="520"/>
            <w:col w:w="567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P. Flannery*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P. Flannery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020" w:space="520"/>
            <w:col w:w="567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Hagedorn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Hagedorn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Chairman of the Board, President,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Chief Executive Officer and Director</w:t>
      </w:r>
    </w:p>
    <w:p>
      <w:pPr>
        <w:spacing w:after="0" w:line="419" w:lineRule="exact"/>
        <w:rPr>
          <w:sz w:val="20"/>
          <w:szCs w:val="20"/>
          <w:color w:val="auto"/>
        </w:rPr>
      </w:pPr>
    </w:p>
    <w:p>
      <w:pPr>
        <w:sectPr>
          <w:pgSz w:w="11900" w:h="16838" w:orient="portrait"/>
          <w:cols w:equalWidth="0" w:num="2">
            <w:col w:w="4020" w:space="520"/>
            <w:col w:w="567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Albert E. Harris*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Albert E. Harris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020" w:space="520"/>
            <w:col w:w="5679"/>
          </w:cols>
          <w:pgMar w:left="240" w:top="717" w:right="1440" w:bottom="1440" w:gutter="0" w:footer="0" w:header="0"/>
          <w:type w:val="continuous"/>
        </w:sectPr>
      </w:pPr>
    </w:p>
    <w:p>
      <w:pPr>
        <w:spacing w:after="0" w:line="1"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Katherine Hagedorn Littlefield*</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Katherine Hagedorn Littlefield</w:t>
      </w:r>
    </w:p>
    <w:p>
      <w:pPr>
        <w:spacing w:after="0" w:line="202"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Karen G. Mills*</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Karen G. Mills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Hagedorn</w:t>
      </w:r>
    </w:p>
    <w:p>
      <w:pPr>
        <w:ind w:left="220" w:hanging="212"/>
        <w:spacing w:after="0" w:line="238" w:lineRule="auto"/>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3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James Hagedorn (Attorney-in-Fact)</w:t>
      </w:r>
    </w:p>
    <w:p>
      <w:pPr>
        <w:spacing w:after="0" w:line="200" w:lineRule="exact"/>
        <w:rPr>
          <w:sz w:val="20"/>
          <w:szCs w:val="20"/>
          <w:color w:val="auto"/>
        </w:rPr>
      </w:pPr>
    </w:p>
    <w:p>
      <w:pPr>
        <w:spacing w:after="0" w:line="3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Patrick J. Norton*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Patrick J. Norton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020" w:space="520"/>
            <w:col w:w="5679"/>
          </w:cols>
          <w:pgMar w:left="240" w:top="919" w:right="1440" w:bottom="1440" w:gutter="0" w:footer="0" w:header="0"/>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M. Shern*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M. Shern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020" w:space="520"/>
            <w:col w:w="5679"/>
          </w:cols>
          <w:pgMar w:left="240" w:top="919"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M. Sullivan*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M. Sullivan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020" w:space="520"/>
            <w:col w:w="5679"/>
          </w:cols>
          <w:pgMar w:left="240" w:top="919"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 Jack Van Fossen*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 Jack Van Fossen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020" w:space="520"/>
            <w:col w:w="5679"/>
          </w:cols>
          <w:pgMar w:left="240" w:top="919"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Walker, Ph.D.*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Walker,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020" w:space="520"/>
            <w:col w:w="5679"/>
          </w:cols>
          <w:pgMar w:left="240" w:top="919"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Christopher L. Nagel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Christopher L. Nagel</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of Finance</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and Chief Financial Officer</w:t>
      </w:r>
    </w:p>
    <w:p>
      <w:pPr>
        <w:spacing w:after="0" w:line="238" w:lineRule="auto"/>
        <w:rPr>
          <w:sz w:val="20"/>
          <w:szCs w:val="20"/>
          <w:color w:val="auto"/>
        </w:rPr>
      </w:pPr>
      <w:r>
        <w:rPr>
          <w:rFonts w:ascii="Courier New" w:cs="Courier New" w:eastAsia="Courier New" w:hAnsi="Courier New"/>
          <w:sz w:val="18"/>
          <w:szCs w:val="18"/>
          <w:color w:val="auto"/>
        </w:rPr>
        <w:t>(Principal Financial and</w:t>
      </w:r>
    </w:p>
    <w:p>
      <w:pPr>
        <w:spacing w:after="0"/>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2">
            <w:col w:w="4020" w:space="520"/>
            <w:col w:w="5679"/>
          </w:cols>
          <w:pgMar w:left="240" w:top="919"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Hagedorn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Hagedorn</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919"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INDEX TO</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EXHIBITS</w:t>
            </w:r>
          </w:p>
        </w:tc>
      </w:tr>
      <w:tr>
        <w:trPr>
          <w:trHeight w:val="810"/>
        </w:trPr>
        <w:tc>
          <w:tcPr>
            <w:tcW w:w="16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2640" w:type="dxa"/>
            <w:vAlign w:val="bottom"/>
            <w:gridSpan w:val="2"/>
          </w:tcPr>
          <w:p>
            <w:pPr>
              <w:ind w:left="1220"/>
              <w:spacing w:after="0"/>
              <w:rPr>
                <w:sz w:val="20"/>
                <w:szCs w:val="20"/>
                <w:color w:val="auto"/>
              </w:rPr>
            </w:pPr>
            <w:r>
              <w:rPr>
                <w:rFonts w:ascii="Courier New" w:cs="Courier New" w:eastAsia="Courier New" w:hAnsi="Courier New"/>
                <w:sz w:val="18"/>
                <w:szCs w:val="18"/>
                <w:color w:val="auto"/>
              </w:rPr>
              <w:t>Description</w:t>
            </w:r>
          </w:p>
        </w:tc>
        <w:tc>
          <w:tcPr>
            <w:tcW w:w="1200" w:type="dxa"/>
            <w:vAlign w:val="bottom"/>
          </w:tcPr>
          <w:p>
            <w:pPr>
              <w:spacing w:after="0"/>
              <w:rPr>
                <w:sz w:val="24"/>
                <w:szCs w:val="24"/>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spacing w:after="0"/>
              <w:rPr>
                <w:sz w:val="17"/>
                <w:szCs w:val="17"/>
                <w:color w:val="auto"/>
              </w:rPr>
            </w:pP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4(a)</w:t>
            </w:r>
          </w:p>
        </w:tc>
        <w:tc>
          <w:tcPr>
            <w:tcW w:w="384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6"/>
              </w:rPr>
              <w:t>Restated Articles of Incorporation</w:t>
            </w:r>
          </w:p>
        </w:tc>
      </w:tr>
      <w:tr>
        <w:trPr>
          <w:trHeight w:val="203"/>
        </w:trPr>
        <w:tc>
          <w:tcPr>
            <w:tcW w:w="1640" w:type="dxa"/>
            <w:vAlign w:val="bottom"/>
          </w:tcPr>
          <w:p>
            <w:pPr>
              <w:spacing w:after="0"/>
              <w:rPr>
                <w:sz w:val="17"/>
                <w:szCs w:val="17"/>
                <w:color w:val="auto"/>
              </w:rPr>
            </w:pPr>
          </w:p>
        </w:tc>
        <w:tc>
          <w:tcPr>
            <w:tcW w:w="2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of The Scotts Company,</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filed</w:t>
            </w:r>
          </w:p>
        </w:tc>
      </w:tr>
      <w:tr>
        <w:trPr>
          <w:trHeight w:val="203"/>
        </w:trPr>
        <w:tc>
          <w:tcPr>
            <w:tcW w:w="1640" w:type="dxa"/>
            <w:vAlign w:val="bottom"/>
          </w:tcPr>
          <w:p>
            <w:pPr>
              <w:spacing w:after="0"/>
              <w:rPr>
                <w:sz w:val="17"/>
                <w:szCs w:val="17"/>
                <w:color w:val="auto"/>
              </w:rPr>
            </w:pPr>
          </w:p>
        </w:tc>
        <w:tc>
          <w:tcPr>
            <w:tcW w:w="384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with the Ohio Secretary of State</w:t>
            </w:r>
          </w:p>
        </w:tc>
      </w:tr>
      <w:tr>
        <w:trPr>
          <w:trHeight w:val="203"/>
        </w:trPr>
        <w:tc>
          <w:tcPr>
            <w:tcW w:w="1640" w:type="dxa"/>
            <w:vAlign w:val="bottom"/>
          </w:tcPr>
          <w:p>
            <w:pPr>
              <w:spacing w:after="0"/>
              <w:rPr>
                <w:sz w:val="17"/>
                <w:szCs w:val="17"/>
                <w:color w:val="auto"/>
              </w:rPr>
            </w:pP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on January</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29, 2001</w:t>
            </w:r>
          </w:p>
        </w:tc>
        <w:tc>
          <w:tcPr>
            <w:tcW w:w="1200" w:type="dxa"/>
            <w:vAlign w:val="bottom"/>
          </w:tcPr>
          <w:p>
            <w:pPr>
              <w:spacing w:after="0"/>
              <w:rPr>
                <w:sz w:val="17"/>
                <w:szCs w:val="17"/>
                <w:color w:val="auto"/>
              </w:rPr>
            </w:pPr>
          </w:p>
        </w:tc>
      </w:tr>
      <w:tr>
        <w:trPr>
          <w:trHeight w:val="810"/>
        </w:trPr>
        <w:tc>
          <w:tcPr>
            <w:tcW w:w="1640" w:type="dxa"/>
            <w:vAlign w:val="bottom"/>
          </w:tcPr>
          <w:p>
            <w:pPr>
              <w:spacing w:after="0"/>
              <w:rPr>
                <w:sz w:val="20"/>
                <w:szCs w:val="20"/>
                <w:color w:val="auto"/>
              </w:rPr>
            </w:pPr>
            <w:r>
              <w:rPr>
                <w:rFonts w:ascii="Courier New" w:cs="Courier New" w:eastAsia="Courier New" w:hAnsi="Courier New"/>
                <w:sz w:val="18"/>
                <w:szCs w:val="18"/>
                <w:color w:val="auto"/>
              </w:rPr>
              <w:t>4(b)</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Code of Regulations of</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The Scotts</w:t>
            </w:r>
          </w:p>
        </w:tc>
      </w:tr>
      <w:tr>
        <w:trPr>
          <w:trHeight w:val="203"/>
        </w:trPr>
        <w:tc>
          <w:tcPr>
            <w:tcW w:w="1640" w:type="dxa"/>
            <w:vAlign w:val="bottom"/>
          </w:tcPr>
          <w:p>
            <w:pPr>
              <w:spacing w:after="0"/>
              <w:rPr>
                <w:sz w:val="17"/>
                <w:szCs w:val="17"/>
                <w:color w:val="auto"/>
              </w:rPr>
            </w:pPr>
          </w:p>
        </w:tc>
        <w:tc>
          <w:tcPr>
            <w:tcW w:w="384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Company (reflecting amendments</w:t>
            </w:r>
          </w:p>
        </w:tc>
      </w:tr>
      <w:tr>
        <w:trPr>
          <w:trHeight w:val="203"/>
        </w:trPr>
        <w:tc>
          <w:tcPr>
            <w:tcW w:w="1640" w:type="dxa"/>
            <w:vAlign w:val="bottom"/>
          </w:tcPr>
          <w:p>
            <w:pPr>
              <w:spacing w:after="0"/>
              <w:rPr>
                <w:sz w:val="17"/>
                <w:szCs w:val="17"/>
                <w:color w:val="auto"/>
              </w:rPr>
            </w:pP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adopted by</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the shareholders of The</w:t>
            </w:r>
          </w:p>
        </w:tc>
      </w:tr>
      <w:tr>
        <w:trPr>
          <w:trHeight w:val="203"/>
        </w:trPr>
        <w:tc>
          <w:tcPr>
            <w:tcW w:w="1640" w:type="dxa"/>
            <w:vAlign w:val="bottom"/>
          </w:tcPr>
          <w:p>
            <w:pPr>
              <w:spacing w:after="0"/>
              <w:rPr>
                <w:sz w:val="17"/>
                <w:szCs w:val="17"/>
                <w:color w:val="auto"/>
              </w:rPr>
            </w:pPr>
          </w:p>
        </w:tc>
        <w:tc>
          <w:tcPr>
            <w:tcW w:w="2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Scotts Company through</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January 18,</w:t>
            </w:r>
          </w:p>
        </w:tc>
      </w:tr>
      <w:tr>
        <w:trPr>
          <w:trHeight w:val="203"/>
        </w:trPr>
        <w:tc>
          <w:tcPr>
            <w:tcW w:w="1640" w:type="dxa"/>
            <w:vAlign w:val="bottom"/>
          </w:tcPr>
          <w:p>
            <w:pPr>
              <w:spacing w:after="0"/>
              <w:rPr>
                <w:sz w:val="17"/>
                <w:szCs w:val="17"/>
                <w:color w:val="auto"/>
              </w:rPr>
            </w:pP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2001)</w:t>
            </w: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08"/>
        </w:trPr>
        <w:tc>
          <w:tcPr>
            <w:tcW w:w="1640" w:type="dxa"/>
            <w:vAlign w:val="bottom"/>
          </w:tcPr>
          <w:p>
            <w:pPr>
              <w:spacing w:after="0"/>
              <w:rPr>
                <w:sz w:val="20"/>
                <w:szCs w:val="20"/>
                <w:color w:val="auto"/>
              </w:rPr>
            </w:pPr>
            <w:r>
              <w:rPr>
                <w:rFonts w:ascii="Courier New" w:cs="Courier New" w:eastAsia="Courier New" w:hAnsi="Courier New"/>
                <w:sz w:val="18"/>
                <w:szCs w:val="18"/>
                <w:color w:val="auto"/>
              </w:rPr>
              <w:t>4(c)</w:t>
            </w:r>
          </w:p>
        </w:tc>
        <w:tc>
          <w:tcPr>
            <w:tcW w:w="1380" w:type="dxa"/>
            <w:vAlign w:val="bottom"/>
          </w:tcPr>
          <w:p>
            <w:pPr>
              <w:ind w:left="260"/>
              <w:spacing w:after="0"/>
              <w:rPr>
                <w:sz w:val="20"/>
                <w:szCs w:val="20"/>
                <w:color w:val="auto"/>
              </w:rPr>
            </w:pPr>
            <w:r>
              <w:rPr>
                <w:rFonts w:ascii="Courier New" w:cs="Courier New" w:eastAsia="Courier New" w:hAnsi="Courier New"/>
                <w:sz w:val="18"/>
                <w:szCs w:val="18"/>
                <w:color w:val="auto"/>
              </w:rPr>
              <w:t>The Scotts</w:t>
            </w:r>
          </w:p>
        </w:tc>
        <w:tc>
          <w:tcPr>
            <w:tcW w:w="24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Company 2003 Stock</w:t>
            </w:r>
          </w:p>
        </w:tc>
      </w:tr>
      <w:tr>
        <w:trPr>
          <w:trHeight w:val="203"/>
        </w:trPr>
        <w:tc>
          <w:tcPr>
            <w:tcW w:w="1640" w:type="dxa"/>
            <w:vAlign w:val="bottom"/>
          </w:tcPr>
          <w:p>
            <w:pPr>
              <w:spacing w:after="0"/>
              <w:rPr>
                <w:sz w:val="17"/>
                <w:szCs w:val="17"/>
                <w:color w:val="auto"/>
              </w:rPr>
            </w:pP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Option and</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Incentive Equity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Opinion of Vorys, Sater, Seymour</w:t>
            </w:r>
          </w:p>
        </w:tc>
      </w:tr>
      <w:tr>
        <w:trPr>
          <w:trHeight w:val="203"/>
        </w:trPr>
        <w:tc>
          <w:tcPr>
            <w:tcW w:w="1220" w:type="dxa"/>
            <w:vAlign w:val="bottom"/>
          </w:tcPr>
          <w:p>
            <w:pPr>
              <w:spacing w:after="0"/>
              <w:rPr>
                <w:sz w:val="17"/>
                <w:szCs w:val="17"/>
                <w:color w:val="auto"/>
              </w:rPr>
            </w:pPr>
          </w:p>
        </w:tc>
        <w:tc>
          <w:tcPr>
            <w:tcW w:w="1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and Pease</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LLP as to legality</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23(a)</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7"/>
              </w:rPr>
              <w:t>Consent of PricewaterhouseCoopers</w:t>
            </w:r>
          </w:p>
        </w:tc>
      </w:tr>
      <w:tr>
        <w:trPr>
          <w:trHeight w:val="203"/>
        </w:trPr>
        <w:tc>
          <w:tcPr>
            <w:tcW w:w="1220" w:type="dxa"/>
            <w:vAlign w:val="bottom"/>
          </w:tcPr>
          <w:p>
            <w:pPr>
              <w:spacing w:after="0"/>
              <w:rPr>
                <w:sz w:val="17"/>
                <w:szCs w:val="17"/>
                <w:color w:val="auto"/>
              </w:rPr>
            </w:pPr>
          </w:p>
        </w:tc>
        <w:tc>
          <w:tcPr>
            <w:tcW w:w="1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LLP</w:t>
            </w:r>
          </w:p>
        </w:tc>
        <w:tc>
          <w:tcPr>
            <w:tcW w:w="248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23(b)</w:t>
            </w:r>
          </w:p>
        </w:tc>
        <w:tc>
          <w:tcPr>
            <w:tcW w:w="416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Consent of Vorys, Sater, Seymour</w:t>
            </w:r>
          </w:p>
        </w:tc>
      </w:tr>
      <w:tr>
        <w:trPr>
          <w:trHeight w:val="203"/>
        </w:trPr>
        <w:tc>
          <w:tcPr>
            <w:tcW w:w="1220" w:type="dxa"/>
            <w:vAlign w:val="bottom"/>
          </w:tcPr>
          <w:p>
            <w:pPr>
              <w:spacing w:after="0"/>
              <w:rPr>
                <w:sz w:val="17"/>
                <w:szCs w:val="17"/>
                <w:color w:val="auto"/>
              </w:rPr>
            </w:pPr>
          </w:p>
        </w:tc>
        <w:tc>
          <w:tcPr>
            <w:tcW w:w="1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and Pease</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LLP</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24</w:t>
            </w:r>
          </w:p>
        </w:tc>
        <w:tc>
          <w:tcPr>
            <w:tcW w:w="1680" w:type="dxa"/>
            <w:vAlign w:val="bottom"/>
          </w:tcPr>
          <w:p>
            <w:pPr>
              <w:ind w:left="680"/>
              <w:spacing w:after="0"/>
              <w:rPr>
                <w:sz w:val="20"/>
                <w:szCs w:val="20"/>
                <w:color w:val="auto"/>
              </w:rPr>
            </w:pPr>
            <w:r>
              <w:rPr>
                <w:rFonts w:ascii="Courier New" w:cs="Courier New" w:eastAsia="Courier New" w:hAnsi="Courier New"/>
                <w:sz w:val="18"/>
                <w:szCs w:val="18"/>
                <w:color w:val="auto"/>
              </w:rPr>
              <w:t>Powers of</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Attorney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8"/>
          <w:szCs w:val="18"/>
          <w:color w:val="auto"/>
        </w:rPr>
        <w:t>Location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519"/>
        <w:spacing w:after="0" w:line="237" w:lineRule="auto"/>
        <w:rPr>
          <w:sz w:val="20"/>
          <w:szCs w:val="20"/>
          <w:color w:val="auto"/>
        </w:rPr>
      </w:pPr>
      <w:r>
        <w:rPr>
          <w:rFonts w:ascii="Courier New" w:cs="Courier New" w:eastAsia="Courier New" w:hAnsi="Courier New"/>
          <w:sz w:val="18"/>
          <w:szCs w:val="18"/>
          <w:color w:val="auto"/>
        </w:rPr>
        <w:t>Incorporated herein by reference to Exhibit 3(a)(2) of the Registrant's Quarterly Report on Form 10-Q for the fiscal quarter ended December 30, 2000 (File No. 1-13292)</w:t>
      </w:r>
    </w:p>
    <w:p>
      <w:pPr>
        <w:spacing w:after="0" w:line="210" w:lineRule="exact"/>
        <w:rPr>
          <w:sz w:val="20"/>
          <w:szCs w:val="20"/>
          <w:color w:val="auto"/>
        </w:rPr>
      </w:pPr>
    </w:p>
    <w:p>
      <w:pPr>
        <w:ind w:right="519"/>
        <w:spacing w:after="0" w:line="237" w:lineRule="auto"/>
        <w:rPr>
          <w:sz w:val="20"/>
          <w:szCs w:val="20"/>
          <w:color w:val="auto"/>
        </w:rPr>
      </w:pPr>
      <w:r>
        <w:rPr>
          <w:rFonts w:ascii="Courier New" w:cs="Courier New" w:eastAsia="Courier New" w:hAnsi="Courier New"/>
          <w:sz w:val="18"/>
          <w:szCs w:val="18"/>
          <w:color w:val="auto"/>
        </w:rPr>
        <w:t>Incorporated herein by reference to Exhibit 3(b)(2) of the Registrant's Quarterly Report on Form 10-Q for the fiscal quarter ended December 30, 2000 (File No. 1-13292)</w:t>
      </w:r>
    </w:p>
    <w:p>
      <w:pPr>
        <w:spacing w:after="0" w:line="210" w:lineRule="exact"/>
        <w:rPr>
          <w:sz w:val="20"/>
          <w:szCs w:val="20"/>
          <w:color w:val="auto"/>
        </w:rPr>
      </w:pPr>
    </w:p>
    <w:p>
      <w:pPr>
        <w:ind w:right="519"/>
        <w:spacing w:after="0" w:line="237" w:lineRule="auto"/>
        <w:rPr>
          <w:sz w:val="20"/>
          <w:szCs w:val="20"/>
          <w:color w:val="auto"/>
        </w:rPr>
      </w:pPr>
      <w:r>
        <w:rPr>
          <w:rFonts w:ascii="Courier New" w:cs="Courier New" w:eastAsia="Courier New" w:hAnsi="Courier New"/>
          <w:sz w:val="18"/>
          <w:szCs w:val="18"/>
          <w:color w:val="auto"/>
        </w:rPr>
        <w:t>Incorporated herein by reference to Exhibit 10(w) of the Registrant's Quarterly Report on Form 10-Q for the fiscal quarter ended December 28, 2002 (File No. 1-13292)</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herewith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herewith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as part of Exhibit 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herewith</w:t>
      </w:r>
    </w:p>
    <w:p>
      <w:pPr>
        <w:sectPr>
          <w:pgSz w:w="11900" w:h="16838" w:orient="portrait"/>
          <w:cols w:equalWidth="0" w:num="2">
            <w:col w:w="5600" w:space="720"/>
            <w:col w:w="3899"/>
          </w:cols>
          <w:pgMar w:left="240" w:top="717" w:right="1440" w:bottom="1440" w:gutter="0" w:footer="0" w:header="0"/>
        </w:sectPr>
      </w:pPr>
    </w:p>
    <w:bookmarkStart w:id="17" w:name="page18"/>
    <w:bookmarkEnd w:id="17"/>
    <w:p>
      <w:pPr>
        <w:ind w:left="2500"/>
        <w:spacing w:after="0"/>
        <w:rPr>
          <w:sz w:val="20"/>
          <w:szCs w:val="20"/>
          <w:color w:val="auto"/>
        </w:rPr>
      </w:pPr>
      <w:r>
        <w:rPr>
          <w:rFonts w:ascii="Courier New" w:cs="Courier New" w:eastAsia="Courier New" w:hAnsi="Courier New"/>
          <w:sz w:val="18"/>
          <w:szCs w:val="18"/>
          <w:color w:val="auto"/>
        </w:rPr>
        <w:t>EXHIBIT 5</w:t>
      </w:r>
    </w:p>
    <w:p>
      <w:pPr>
        <w:ind w:left="25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OPINION OF VORYS, SATER, SEYMOUR AND PEASE LLP</w:t>
      </w:r>
    </w:p>
    <w:p>
      <w:pPr>
        <w:spacing w:after="0" w:line="1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AS TO LEGALITY</w:t>
      </w:r>
    </w:p>
    <w:p>
      <w:pPr>
        <w:sectPr>
          <w:pgSz w:w="11900" w:h="16838" w:orient="portrait"/>
          <w:cols w:equalWidth="0" w:num="1">
            <w:col w:w="9019"/>
          </w:cols>
          <w:pgMar w:left="1440" w:top="135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[LETTERHEAD]</w:t>
      </w:r>
    </w:p>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WRITER'S DIRECT DIAL NUMBER</w:t>
      </w:r>
    </w:p>
    <w:p>
      <w:pPr>
        <w:ind w:left="6220"/>
        <w:spacing w:after="0" w:line="238" w:lineRule="auto"/>
        <w:rPr>
          <w:sz w:val="20"/>
          <w:szCs w:val="20"/>
          <w:color w:val="auto"/>
        </w:rPr>
      </w:pPr>
      <w:r>
        <w:rPr>
          <w:rFonts w:ascii="Courier New" w:cs="Courier New" w:eastAsia="Courier New" w:hAnsi="Courier New"/>
          <w:sz w:val="18"/>
          <w:szCs w:val="18"/>
          <w:color w:val="auto"/>
        </w:rPr>
        <w:t>(614) 464-6400</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April 11,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237" w:lineRule="auto"/>
        <w:rPr>
          <w:sz w:val="20"/>
          <w:szCs w:val="20"/>
          <w:color w:val="auto"/>
        </w:rPr>
      </w:pPr>
      <w:r>
        <w:rPr>
          <w:rFonts w:ascii="Courier New" w:cs="Courier New" w:eastAsia="Courier New" w:hAnsi="Courier New"/>
          <w:sz w:val="18"/>
          <w:szCs w:val="18"/>
          <w:color w:val="auto"/>
        </w:rPr>
        <w:t>Marysville, OH 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We have acted as counsel to The Scotts Company, an Ohio corporation (the "Company"), in connection with the Company's Registration Statement on Form S-8 (the "Registration Statement") filed with the Securities and Exchange Commission on the date hereof in order to register 1,800,000 common shares, without par value (the "Common Shares"), under the provisions of the Securities Act of 1933, as amended (the "Act"), and the rules and regulations promulgated thereunder (the "Rules and Regulations"), for issuance pursuant to awards under The Scotts Company 2003 Stock Option and Incentive Equity Plan (the "Plan").</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connection with rendering this opinion, we have examined an original or copy of, and have relied upon the accuracy of, without independent verification or investigation: (a) the Registration Statement; (b) the Plan; (c) the Company's Restated Articles of Incorporation; (d) the Company's Code of Regulations, as amended; and (e) certain corporate records of the Company, including resolutions adopted by the directors and by the shareholders of the Company. We have also relied upon such representations of the Company and officers of the Company and examined such authorities of law as we have deemed relevant as a basis for this opinion.</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our examination of the aforesaid documents, we have assumed, without independent investigation, the genuineness of all signatures, the legal capacity of all individuals who have executed any of the aforesaid documents, the authenticity of all documents submitted to us as originals, the conformity with originals of all documents submitted to us as copies (and the authenticity of the originals of such copies), and the accuracy and completeness of all public records reviewed by us.</w:t>
      </w:r>
    </w:p>
    <w:p>
      <w:pPr>
        <w:spacing w:after="0" w:line="211"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We have relied solely upon the examinations and inquiries recited herein, and we have not undertaken any independent investigation to determine the existence or absence of any facts, and no inference as to our knowledge concerning such facts should be drawn.</w:t>
      </w:r>
    </w:p>
    <w:p>
      <w:pPr>
        <w:sectPr>
          <w:pgSz w:w="11900" w:h="16838" w:orient="portrait"/>
          <w:cols w:equalWidth="0" w:num="1">
            <w:col w:w="10219"/>
          </w:cols>
          <w:pgMar w:left="240" w:top="717" w:right="1440" w:bottom="1440" w:gutter="0" w:footer="0" w:header="0"/>
        </w:sectPr>
      </w:pPr>
    </w:p>
    <w:bookmarkStart w:id="19" w:name="page20"/>
    <w:bookmarkEnd w:id="19"/>
    <w:p>
      <w:pPr>
        <w:ind w:left="3580"/>
        <w:spacing w:after="0"/>
        <w:rPr>
          <w:sz w:val="20"/>
          <w:szCs w:val="20"/>
          <w:color w:val="auto"/>
        </w:rPr>
      </w:pPr>
      <w:r>
        <w:rPr>
          <w:rFonts w:ascii="Courier New" w:cs="Courier New" w:eastAsia="Courier New" w:hAnsi="Courier New"/>
          <w:sz w:val="18"/>
          <w:szCs w:val="18"/>
          <w:color w:val="auto"/>
        </w:rPr>
        <w:t>[LETTERHEAD]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April 11, 2003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Based upon and subject to the foregoing and the further qualifications and limitations set forth below, as of the date hereof, we are of the opinion that the 1,800,000 Common Shares available for issuance under the Plan, when issued, delivered and paid for in accordance with the terms and conditions of the Plan and the applicable award agreements, will be validly issued, fully paid and non-assessable, assuming compliance with applicable securities laws.</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are members of the Bar of the State of Ohio and do not purport to be experts in the laws of any jurisdiction other than the laws of the State of Ohio, including the applicable provisions of the Ohio Constitution and the reported judicial decisions interpreting those laws, and the United States of America.</w:t>
      </w:r>
    </w:p>
    <w:p>
      <w:pPr>
        <w:spacing w:after="0" w:line="209"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This opinion is based upon the laws and legal interpretations in effect, and the facts and circumstances existing, on the date hereof, and we assume no obligation to revise or supplement this opinion should any such law or legal interpretation be changed by legislative action, judicial interpretation or otherwise or should there be any change in such facts or circumstances.</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opinion is furnished by us solely for the benefit of the Company in connection with the offering of Common Shares pursuant to the Plan and the filing of the Registration Statement and any amendments thereto. This opinion may not be relied upon by any other person or assigned, quoted or otherwise used without our specific written consent.</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Notwithstanding the foregoing, we consent to the filing of this opinion as an exhibit to the Registration Statement and to the reference to us therein. By giving such consent, we do not thereby admit that we come within the category of persons whose consent is required under Section 7 of the Act or the Rules and Regulations.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Vorys, Sater, Seymour and Pease LLP</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VORYS, SATER, SEYMOUR AND PEASE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ETF/ces</w:t>
      </w:r>
    </w:p>
    <w:p>
      <w:pPr>
        <w:sectPr>
          <w:pgSz w:w="11900" w:h="16838" w:orient="portrait"/>
          <w:cols w:equalWidth="0" w:num="1">
            <w:col w:w="10219"/>
          </w:cols>
          <w:pgMar w:left="240" w:top="717" w:right="1440" w:bottom="1440" w:gutter="0" w:footer="0" w:header="0"/>
        </w:sectPr>
      </w:pPr>
    </w:p>
    <w:bookmarkStart w:id="20" w:name="page21"/>
    <w:bookmarkEnd w:id="20"/>
    <w:p>
      <w:pPr>
        <w:spacing w:after="0" w:line="317"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EXHIBIT 23(a)</w:t>
      </w:r>
    </w:p>
    <w:p>
      <w:pPr>
        <w:spacing w:after="0" w:line="200" w:lineRule="exact"/>
        <w:rPr>
          <w:sz w:val="20"/>
          <w:szCs w:val="20"/>
          <w:color w:val="auto"/>
        </w:rPr>
      </w:pPr>
    </w:p>
    <w:p>
      <w:pPr>
        <w:spacing w:after="0" w:line="209"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CONSENT OF PRICEWATERHOUSECOOPERS LLP</w:t>
      </w:r>
    </w:p>
    <w:p>
      <w:pPr>
        <w:sectPr>
          <w:pgSz w:w="11900" w:h="16838" w:orient="portrait"/>
          <w:cols w:equalWidth="0" w:num="1">
            <w:col w:w="9019"/>
          </w:cols>
          <w:pgMar w:left="1440" w:top="1440" w:right="1440" w:bottom="1440" w:gutter="0" w:footer="0" w:header="0"/>
        </w:sectPr>
      </w:pPr>
    </w:p>
    <w:bookmarkStart w:id="21" w:name="page22"/>
    <w:bookmarkEnd w:id="21"/>
    <w:p>
      <w:pPr>
        <w:jc w:val="center"/>
        <w:ind w:right="1779"/>
        <w:spacing w:after="0"/>
        <w:rPr>
          <w:sz w:val="20"/>
          <w:szCs w:val="20"/>
          <w:color w:val="auto"/>
        </w:rPr>
      </w:pPr>
      <w:r>
        <w:rPr>
          <w:rFonts w:ascii="Courier New" w:cs="Courier New" w:eastAsia="Courier New" w:hAnsi="Courier New"/>
          <w:sz w:val="18"/>
          <w:szCs w:val="18"/>
          <w:color w:val="auto"/>
        </w:rPr>
        <w:t>[Letterhead]</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S-8 of our reports dated October 30, 2002 relating to the financial statements and financial statement schedules of The Scotts Company, which appear in The Scotts Company's Annual Report on Form 10-K for the year ended September 30, 2002.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11, 2003</w:t>
      </w:r>
    </w:p>
    <w:p>
      <w:pPr>
        <w:sectPr>
          <w:pgSz w:w="11900" w:h="16838" w:orient="portrait"/>
          <w:cols w:equalWidth="0" w:num="1">
            <w:col w:w="10219"/>
          </w:cols>
          <w:pgMar w:left="240" w:top="514" w:right="1440" w:bottom="1440" w:gutter="0" w:footer="0" w:header="0"/>
        </w:sectPr>
      </w:pPr>
    </w:p>
    <w:bookmarkStart w:id="22" w:name="page23"/>
    <w:bookmarkEnd w:id="22"/>
    <w:p>
      <w:pPr>
        <w:spacing w:after="0" w:line="200" w:lineRule="exact"/>
        <w:rPr>
          <w:sz w:val="20"/>
          <w:szCs w:val="20"/>
          <w:color w:val="auto"/>
        </w:rPr>
      </w:pPr>
    </w:p>
    <w:p>
      <w:pPr>
        <w:spacing w:after="0" w:line="320"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POWERS OF ATTORNEY</w:t>
      </w:r>
    </w:p>
    <w:p>
      <w:pPr>
        <w:sectPr>
          <w:pgSz w:w="11900" w:h="16838" w:orient="portrait"/>
          <w:cols w:equalWidth="0" w:num="1">
            <w:col w:w="9019"/>
          </w:cols>
          <w:pgMar w:left="1440" w:top="1440" w:right="1440" w:bottom="1440" w:gutter="0" w:footer="0" w:header="0"/>
        </w:sectPr>
      </w:pPr>
    </w:p>
    <w:bookmarkStart w:id="23" w:name="page24"/>
    <w:bookmarkEnd w:id="23"/>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2003 STOCK OPTION AND INCENTIVE EQUITY PLAN, hereby constitutes and appoints JAMES HAGEDORN and DAVID M. ARONOWITZ,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her hand this 3rd day of April, 2003.</w:t>
      </w:r>
    </w:p>
    <w:p>
      <w:pPr>
        <w:spacing w:after="0" w:line="200" w:lineRule="exact"/>
        <w:rPr>
          <w:sz w:val="20"/>
          <w:szCs w:val="20"/>
          <w:color w:val="auto"/>
        </w:rPr>
      </w:pPr>
    </w:p>
    <w:p>
      <w:pPr>
        <w:spacing w:after="0" w:line="205"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Lynn J. Beasley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jc w:val="center"/>
        <w:ind w:right="-20"/>
        <w:spacing w:after="0"/>
        <w:rPr>
          <w:sz w:val="20"/>
          <w:szCs w:val="20"/>
          <w:color w:val="auto"/>
        </w:rPr>
      </w:pPr>
      <w:r>
        <w:rPr>
          <w:rFonts w:ascii="Courier New" w:cs="Courier New" w:eastAsia="Courier New" w:hAnsi="Courier New"/>
          <w:sz w:val="18"/>
          <w:szCs w:val="18"/>
          <w:color w:val="auto"/>
        </w:rPr>
        <w:t>Lynn J. Beasley</w:t>
      </w:r>
    </w:p>
    <w:p>
      <w:pPr>
        <w:sectPr>
          <w:pgSz w:w="11900" w:h="16838" w:orient="portrait"/>
          <w:cols w:equalWidth="0" w:num="1">
            <w:col w:w="10219"/>
          </w:cols>
          <w:pgMar w:left="240" w:top="514" w:right="1440" w:bottom="1440" w:gutter="0" w:footer="0" w:header="0"/>
        </w:sectPr>
      </w:pPr>
    </w:p>
    <w:bookmarkStart w:id="24" w:name="page25"/>
    <w:bookmarkEnd w:id="24"/>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2003 STOCK OPTION AND INCENTIVE EQUITY PLAN, hereby constitutes and appoints JAMES HAGEDORN and DAVID M. ARONOWITZ,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3rd day of April, 2003.</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Arnold W. Donald</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jc w:val="center"/>
        <w:ind w:right="-120"/>
        <w:spacing w:after="0"/>
        <w:rPr>
          <w:sz w:val="20"/>
          <w:szCs w:val="20"/>
          <w:color w:val="auto"/>
        </w:rPr>
      </w:pPr>
      <w:r>
        <w:rPr>
          <w:rFonts w:ascii="Courier New" w:cs="Courier New" w:eastAsia="Courier New" w:hAnsi="Courier New"/>
          <w:sz w:val="18"/>
          <w:szCs w:val="18"/>
          <w:color w:val="auto"/>
        </w:rPr>
        <w:t>Arnold W. Donald</w:t>
      </w:r>
    </w:p>
    <w:p>
      <w:pPr>
        <w:sectPr>
          <w:pgSz w:w="11900" w:h="16838" w:orient="portrait"/>
          <w:cols w:equalWidth="0" w:num="1">
            <w:col w:w="10219"/>
          </w:cols>
          <w:pgMar w:left="240" w:top="919" w:right="1440" w:bottom="1440" w:gutter="0" w:footer="0" w:header="0"/>
        </w:sectPr>
      </w:pPr>
    </w:p>
    <w:bookmarkStart w:id="25" w:name="page26"/>
    <w:bookmarkEnd w:id="25"/>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2003 STOCK OPTION AND INCENTIVE EQUITY PLAN, hereby constitutes and appoints JAMES HAGEDORN and DAVID M. ARONOWITZ,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3rd day of April, 2003.</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Joseph P. Flannery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Joseph P. Flannery</w:t>
      </w:r>
    </w:p>
    <w:p>
      <w:pPr>
        <w:sectPr>
          <w:pgSz w:w="11900" w:h="16838" w:orient="portrait"/>
          <w:cols w:equalWidth="0" w:num="1">
            <w:col w:w="10219"/>
          </w:cols>
          <w:pgMar w:left="240" w:top="919" w:right="1440" w:bottom="1440" w:gutter="0" w:footer="0" w:header="0"/>
        </w:sectPr>
      </w:pPr>
    </w:p>
    <w:bookmarkStart w:id="26" w:name="page27"/>
    <w:bookmarkEnd w:id="26"/>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2003 STOCK OPTION AND INCENTIVE EQUITY PLAN, hereby constitutes and appoints DAVID M. ARONOWITZ as his true and lawful attorney-in-fact and agent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said attorney-in-fact and agent,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said attorney-in-fact and agent, or his substitute or substitutes, may lawfully do or cause to be done by virtue hereof.</w:t>
      </w:r>
    </w:p>
    <w:p>
      <w:pPr>
        <w:spacing w:after="0" w:line="395"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3rd day of April, 2003.</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James Hagedorn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jc w:val="center"/>
        <w:ind w:right="79"/>
        <w:spacing w:after="0"/>
        <w:rPr>
          <w:sz w:val="20"/>
          <w:szCs w:val="20"/>
          <w:color w:val="auto"/>
        </w:rPr>
      </w:pPr>
      <w:r>
        <w:rPr>
          <w:rFonts w:ascii="Courier New" w:cs="Courier New" w:eastAsia="Courier New" w:hAnsi="Courier New"/>
          <w:sz w:val="18"/>
          <w:szCs w:val="18"/>
          <w:color w:val="auto"/>
        </w:rPr>
        <w:t>James Hagedorn</w:t>
      </w:r>
    </w:p>
    <w:p>
      <w:pPr>
        <w:sectPr>
          <w:pgSz w:w="11900" w:h="16838" w:orient="portrait"/>
          <w:cols w:equalWidth="0" w:num="1">
            <w:col w:w="10219"/>
          </w:cols>
          <w:pgMar w:left="240" w:top="919" w:right="1440" w:bottom="1440" w:gutter="0" w:footer="0" w:header="0"/>
        </w:sectPr>
      </w:pPr>
    </w:p>
    <w:bookmarkStart w:id="27" w:name="page28"/>
    <w:bookmarkEnd w:id="27"/>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2003 STOCK OPTION AND INCENTIVE EQUITY PLAN, hereby constitutes and appoints JAMES HAGEDORN and DAVID M. ARONOWITZ,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3rd day of April, 2003.</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Albert E. Harris</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jc w:val="center"/>
        <w:ind w:right="-120"/>
        <w:spacing w:after="0"/>
        <w:rPr>
          <w:sz w:val="20"/>
          <w:szCs w:val="20"/>
          <w:color w:val="auto"/>
        </w:rPr>
      </w:pPr>
      <w:r>
        <w:rPr>
          <w:rFonts w:ascii="Courier New" w:cs="Courier New" w:eastAsia="Courier New" w:hAnsi="Courier New"/>
          <w:sz w:val="18"/>
          <w:szCs w:val="18"/>
          <w:color w:val="auto"/>
        </w:rPr>
        <w:t>Albert E. Harris</w:t>
      </w:r>
    </w:p>
    <w:p>
      <w:pPr>
        <w:sectPr>
          <w:pgSz w:w="11900" w:h="16838" w:orient="portrait"/>
          <w:cols w:equalWidth="0" w:num="1">
            <w:col w:w="10219"/>
          </w:cols>
          <w:pgMar w:left="240" w:top="919" w:right="1440" w:bottom="1440" w:gutter="0" w:footer="0" w:header="0"/>
        </w:sectPr>
      </w:pPr>
    </w:p>
    <w:bookmarkStart w:id="28" w:name="page29"/>
    <w:bookmarkEnd w:id="28"/>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2003 STOCK OPTION AND INCENTIVE EQUITY PLAN, hereby constitutes and appoints JAMES HAGEDORN and DAVID M. ARONOWITZ,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her hand this 3rd day of April, 2003.</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Katherine Hagedorn Littlefield</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Katherine Hagedorn Littlefield</w:t>
      </w:r>
    </w:p>
    <w:p>
      <w:pPr>
        <w:sectPr>
          <w:pgSz w:w="11900" w:h="16838" w:orient="portrait"/>
          <w:cols w:equalWidth="0" w:num="1">
            <w:col w:w="10219"/>
          </w:cols>
          <w:pgMar w:left="240" w:top="919" w:right="1440" w:bottom="1440" w:gutter="0" w:footer="0" w:header="0"/>
        </w:sectPr>
      </w:pPr>
    </w:p>
    <w:bookmarkStart w:id="29" w:name="page30"/>
    <w:bookmarkEnd w:id="29"/>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2003 STOCK OPTION AND INCENTIVE EQUITY PLAN, hereby constitutes and appoints JAMES HAGEDORN and DAVID M. ARONOWITZ,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her hand this 3rd day of April, 2003.</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Karen G. Mills</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jc w:val="center"/>
        <w:ind w:right="79"/>
        <w:spacing w:after="0"/>
        <w:rPr>
          <w:sz w:val="20"/>
          <w:szCs w:val="20"/>
          <w:color w:val="auto"/>
        </w:rPr>
      </w:pPr>
      <w:r>
        <w:rPr>
          <w:rFonts w:ascii="Courier New" w:cs="Courier New" w:eastAsia="Courier New" w:hAnsi="Courier New"/>
          <w:sz w:val="18"/>
          <w:szCs w:val="18"/>
          <w:color w:val="auto"/>
        </w:rPr>
        <w:t>Karen G. Mills</w:t>
      </w:r>
    </w:p>
    <w:p>
      <w:pPr>
        <w:sectPr>
          <w:pgSz w:w="11900" w:h="16838" w:orient="portrait"/>
          <w:cols w:equalWidth="0" w:num="1">
            <w:col w:w="10219"/>
          </w:cols>
          <w:pgMar w:left="240" w:top="919" w:right="1440" w:bottom="1440" w:gutter="0" w:footer="0" w:header="0"/>
        </w:sectPr>
      </w:pPr>
    </w:p>
    <w:bookmarkStart w:id="30" w:name="page31"/>
    <w:bookmarkEnd w:id="30"/>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2003 STOCK OPTION AND INCENTIVE EQUITY PLAN, hereby constitutes and appoints JAMES HAGEDORN and DAVID M. ARONOWITZ,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3rd day of April, 2003.</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Patrick J. Norton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jc w:val="center"/>
        <w:ind w:right="-220"/>
        <w:spacing w:after="0"/>
        <w:rPr>
          <w:sz w:val="20"/>
          <w:szCs w:val="20"/>
          <w:color w:val="auto"/>
        </w:rPr>
      </w:pPr>
      <w:r>
        <w:rPr>
          <w:rFonts w:ascii="Courier New" w:cs="Courier New" w:eastAsia="Courier New" w:hAnsi="Courier New"/>
          <w:sz w:val="18"/>
          <w:szCs w:val="18"/>
          <w:color w:val="auto"/>
        </w:rPr>
        <w:t>Patrick J. Norton</w:t>
      </w:r>
    </w:p>
    <w:p>
      <w:pPr>
        <w:sectPr>
          <w:pgSz w:w="11900" w:h="16838" w:orient="portrait"/>
          <w:cols w:equalWidth="0" w:num="1">
            <w:col w:w="10219"/>
          </w:cols>
          <w:pgMar w:left="240" w:top="919" w:right="1440" w:bottom="1440" w:gutter="0" w:footer="0" w:header="0"/>
        </w:sectPr>
      </w:pPr>
    </w:p>
    <w:bookmarkStart w:id="31" w:name="page32"/>
    <w:bookmarkEnd w:id="3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2003 STOCK OPTION AND INCENTIVE EQUITY PLAN, hereby constitutes and appoints JAMES HAGEDORN and DAVID M. ARONOWITZ,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her hand this 7th day of April, 2003.</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Stephanie M. Shern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Stephanie M. Shern</w:t>
      </w:r>
    </w:p>
    <w:p>
      <w:pPr>
        <w:sectPr>
          <w:pgSz w:w="11900" w:h="16838" w:orient="portrait"/>
          <w:cols w:equalWidth="0" w:num="1">
            <w:col w:w="10219"/>
          </w:cols>
          <w:pgMar w:left="240" w:top="919" w:right="1440" w:bottom="1440" w:gutter="0" w:footer="0" w:header="0"/>
        </w:sectPr>
      </w:pPr>
    </w:p>
    <w:bookmarkStart w:id="32" w:name="page33"/>
    <w:bookmarkEnd w:id="32"/>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2003 STOCK OPTION AND INCENTIVE EQUITY PLAN, hereby constitutes and appoints JAMES HAGEDORN and DAVID M. ARONOWITZ,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3rd day of April, 2003.</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John M. Sullivan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jc w:val="center"/>
        <w:ind w:right="-120"/>
        <w:spacing w:after="0"/>
        <w:rPr>
          <w:sz w:val="20"/>
          <w:szCs w:val="20"/>
          <w:color w:val="auto"/>
        </w:rPr>
      </w:pPr>
      <w:r>
        <w:rPr>
          <w:rFonts w:ascii="Courier New" w:cs="Courier New" w:eastAsia="Courier New" w:hAnsi="Courier New"/>
          <w:sz w:val="18"/>
          <w:szCs w:val="18"/>
          <w:color w:val="auto"/>
        </w:rPr>
        <w:t>John M. Sullivan</w:t>
      </w:r>
    </w:p>
    <w:p>
      <w:pPr>
        <w:sectPr>
          <w:pgSz w:w="11900" w:h="16838" w:orient="portrait"/>
          <w:cols w:equalWidth="0" w:num="1">
            <w:col w:w="10219"/>
          </w:cols>
          <w:pgMar w:left="240" w:top="919" w:right="1440" w:bottom="1440" w:gutter="0" w:footer="0" w:header="0"/>
        </w:sectPr>
      </w:pPr>
    </w:p>
    <w:bookmarkStart w:id="33" w:name="page34"/>
    <w:bookmarkEnd w:id="33"/>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2003 STOCK OPTION AND INCENTIVE EQUITY PLAN, hereby constitutes and appoints JAMES HAGEDORN and DAVID M. ARONOWITZ,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3rd day of April, 2003.</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L. Jack Van Fossen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L. Jack Van Fossen</w:t>
      </w:r>
    </w:p>
    <w:p>
      <w:pPr>
        <w:sectPr>
          <w:pgSz w:w="11900" w:h="16838" w:orient="portrait"/>
          <w:cols w:equalWidth="0" w:num="1">
            <w:col w:w="10219"/>
          </w:cols>
          <w:pgMar w:left="240" w:top="919" w:right="1440" w:bottom="1440" w:gutter="0" w:footer="0" w:header="0"/>
        </w:sectPr>
      </w:pPr>
    </w:p>
    <w:bookmarkStart w:id="34" w:name="page35"/>
    <w:bookmarkEnd w:id="34"/>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2003 STOCK OPTION AND INCENTIVE EQUITY PLAN, hereby constitutes and appoints JAMES HAGEDORN and DAVID M. ARONOWITZ,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10th day of April, 2003.</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John Walker, Ph.D.</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John Walker, Ph.D.</w:t>
      </w:r>
    </w:p>
    <w:p>
      <w:pPr>
        <w:sectPr>
          <w:pgSz w:w="11900" w:h="16838" w:orient="portrait"/>
          <w:cols w:equalWidth="0" w:num="1">
            <w:col w:w="10219"/>
          </w:cols>
          <w:pgMar w:left="240" w:top="919" w:right="1440" w:bottom="1440" w:gutter="0" w:footer="0" w:header="0"/>
        </w:sectPr>
      </w:pPr>
    </w:p>
    <w:bookmarkStart w:id="35" w:name="page36"/>
    <w:bookmarkEnd w:id="35"/>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2003 STOCK OPTION AND INCENTIVE EQUITY PLAN, hereby constitutes and appoints JAMES HAGEDORN and DAVID M. ARONOWITZ,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3rd day of April, 2003.</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Christopher L. Nagel</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Christopher L. Nagel</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937"/>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upperLetter"/>
      <w:start w:val="1"/>
    </w:lvl>
  </w:abstractNum>
  <w:abstractNum w:abstractNumId="6">
    <w:nsid w:val="431BD7B7"/>
    <w:multiLevelType w:val="hybridMultilevel"/>
    <w:lvl w:ilvl="0">
      <w:lvlJc w:val="left"/>
      <w:lvlText w:val="(%1)"/>
      <w:numFmt w:val="upperLetter"/>
      <w:start w:val="1"/>
    </w:lvl>
  </w:abstractNum>
  <w:abstractNum w:abstractNumId="7">
    <w:nsid w:val="3F2DBA31"/>
    <w:multiLevelType w:val="hybridMultilevel"/>
    <w:lvl w:ilvl="0">
      <w:lvlJc w:val="left"/>
      <w:lvlText w:val="(%1)"/>
      <w:numFmt w:val="upperLetter"/>
      <w:start w:val="1"/>
    </w:lvl>
  </w:abstractNum>
  <w:abstractNum w:abstractNumId="8">
    <w:nsid w:val="7C83E458"/>
    <w:multiLevelType w:val="hybridMultilevel"/>
    <w:lvl w:ilvl="0">
      <w:lvlJc w:val="left"/>
      <w:lvlText w:val="(%1)"/>
      <w:numFmt w:val="upperLetter"/>
      <w:start w:val="2"/>
    </w:lvl>
  </w:abstractNum>
  <w:abstractNum w:abstractNumId="9">
    <w:nsid w:val="257130A3"/>
    <w:multiLevelType w:val="hybridMultilevel"/>
    <w:lvl w:ilvl="0">
      <w:lvlJc w:val="left"/>
      <w:lvlText w:val="(%1)"/>
      <w:numFmt w:val="decimal"/>
      <w:start w:val="2"/>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decimal"/>
      <w:start w:val="3"/>
    </w:lvl>
  </w:abstractNum>
  <w:abstractNum w:abstractNumId="12">
    <w:nsid w:val="628C895D"/>
    <w:multiLevelType w:val="hybridMultilevel"/>
    <w:lvl w:ilvl="0">
      <w:lvlJc w:val="left"/>
      <w:lvlText w:val="%1"/>
      <w:numFmt w:val="decimal"/>
      <w:start w:val="1"/>
    </w:lvl>
    <w:lvl w:ilvl="1">
      <w:lvlJc w:val="left"/>
      <w:lvlText w:val="(%2)"/>
      <w:numFmt w:val="decimal"/>
      <w:start w:val="4"/>
    </w:lvl>
  </w:abstractNum>
  <w:abstractNum w:abstractNumId="13">
    <w:nsid w:val="333AB105"/>
    <w:multiLevelType w:val="hybridMultilevel"/>
    <w:lvl w:ilvl="0">
      <w:lvlJc w:val="left"/>
      <w:lvlText w:val="(%1)"/>
      <w:numFmt w:val="decimal"/>
      <w:start w:val="2"/>
    </w:lvl>
    <w:lvl w:ilvl="1">
      <w:lvlJc w:val="left"/>
      <w:lvlText w:val="%2"/>
      <w:numFmt w:val="decimal"/>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Roman"/>
      <w:start w:val="1"/>
    </w:lvl>
  </w:abstractNum>
  <w:abstractNum w:abstractNumId="16">
    <w:nsid w:val="2D1D5AE9"/>
    <w:multiLevelType w:val="hybridMultilevel"/>
    <w:lvl w:ilvl="0">
      <w:lvlJc w:val="left"/>
      <w:lvlText w:val="(%1)"/>
      <w:numFmt w:val="lowerLetter"/>
      <w:start w:val="2"/>
    </w:lvl>
  </w:abstractNum>
  <w:abstractNum w:abstractNumId="17">
    <w:nsid w:val="6763845E"/>
    <w:multiLevelType w:val="hybridMultilevel"/>
    <w:lvl w:ilvl="0">
      <w:lvlJc w:val="left"/>
      <w:lvlText w:val="(%1)"/>
      <w:numFmt w:val="decimal"/>
      <w:start w:val="6"/>
    </w:lvl>
  </w:abstractNum>
  <w:abstractNum w:abstractNumId="18">
    <w:nsid w:val="75A2A8D4"/>
    <w:multiLevelType w:val="hybridMultilevel"/>
    <w:lvl w:ilvl="0">
      <w:lvlJc w:val="left"/>
      <w:lvlText w:val="%1"/>
      <w:numFmt w:val="decimal"/>
      <w:start w:val="1"/>
    </w:lvl>
    <w:lvl w:ilvl="1">
      <w:lvlJc w:val="left"/>
      <w:lvlText w:val="(%2)"/>
      <w:numFmt w:val="decimal"/>
      <w:start w:val="8"/>
    </w:lvl>
  </w:abstractNum>
  <w:abstractNum w:abstractNumId="19">
    <w:nsid w:val="8EDBDAB"/>
    <w:multiLevelType w:val="hybridMultilevel"/>
    <w:lvl w:ilvl="0">
      <w:lvlJc w:val="left"/>
      <w:lvlText w:val="(%1)"/>
      <w:numFmt w:val="decimal"/>
      <w:start w:val="2"/>
    </w:lvl>
    <w:lvl w:ilvl="1">
      <w:lvlJc w:val="left"/>
      <w:lvlText w:val="(%2)"/>
      <w:numFmt w:val="decimal"/>
      <w:start w:val="9"/>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upperLetter"/>
      <w:start w:val="1"/>
    </w:lvl>
    <w:lvl w:ilvl="1">
      <w:lvlJc w:val="left"/>
      <w:lvlText w:val="(%2)"/>
      <w:numFmt w:val="lowerLetter"/>
      <w:start w:val="12"/>
    </w:lvl>
    <w:lvl w:ilvl="2">
      <w:lvlJc w:val="left"/>
      <w:lvlText w:val="(%3)"/>
      <w:numFmt w:val="lowerRoman"/>
      <w:start w:val="1"/>
    </w:lvl>
  </w:abstractNum>
  <w:abstractNum w:abstractNumId="22">
    <w:nsid w:val="B03E0C6"/>
    <w:multiLevelType w:val="hybridMultilevel"/>
    <w:lvl w:ilvl="0">
      <w:lvlJc w:val="left"/>
      <w:lvlText w:val="(%1)"/>
      <w:numFmt w:val="lowerRoman"/>
      <w:start w:val="3"/>
    </w:lvl>
  </w:abstractNum>
  <w:abstractNum w:abstractNumId="23">
    <w:nsid w:val="189A769B"/>
    <w:multiLevelType w:val="hybridMultilevel"/>
    <w:lvl w:ilvl="0">
      <w:lvlJc w:val="left"/>
      <w:lvlText w:val="%1"/>
      <w:numFmt w:val="upperLetter"/>
      <w:start w:val="1"/>
    </w:lvl>
    <w:lvl w:ilvl="1">
      <w:lvlJc w:val="left"/>
      <w:lvlText w:val="(%2)"/>
      <w:numFmt w:val="decimal"/>
      <w:start w:val="2"/>
    </w:lvl>
  </w:abstractNum>
  <w:abstractNum w:abstractNumId="24">
    <w:nsid w:val="54E49EB4"/>
    <w:multiLevelType w:val="hybridMultilevel"/>
    <w:lvl w:ilvl="0">
      <w:lvlJc w:val="left"/>
      <w:lvlText w:val="%1."/>
      <w:numFmt w:val="upperLetter"/>
      <w:start w:val="2"/>
    </w:lvl>
    <w:lvl w:ilvl="1">
      <w:lvlJc w:val="left"/>
      <w:lvlText w:val="%2"/>
      <w:numFmt w:val="decimal"/>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2019-12-20T06:32:43Z</dcterms:created>
  <dcterms:modified xsi:type="dcterms:W3CDTF">2019-12-20T06:32:43Z</dcterms:modified>
</cp:coreProperties>
</file>