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INFORMATION CONTAINED HEREIN IS SUBJECT TO COMPLETION OR AMENDMENT.</w:t>
            </w: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THIS PROSPECTUS SUPPLEMENT AND THE ACCOMPANYING PROSPECTUS SHALL NOT</w:t>
            </w: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CONSTITUTE AN OFFER TO SELL OR THE SOLICITATION OF AN OFFER TO BUY</w:t>
            </w: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NOR SHALL THERE BE ANY SALE OF THESE SECURITIES IN ANY STATE IN WHICH</w:t>
            </w: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5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SUCH OFFER, SOLICITATION OR SALE WOULD BE UNLAWFUL PRIOR TO</w:t>
            </w:r>
          </w:p>
        </w:tc>
        <w:tc>
          <w:tcPr>
            <w:tcW w:w="940" w:type="dxa"/>
            <w:vAlign w:val="bottom"/>
          </w:tcPr>
          <w:p>
            <w:pPr>
              <w:spacing w:after="0"/>
              <w:rPr>
                <w:sz w:val="14"/>
                <w:szCs w:val="14"/>
                <w:color w:val="auto"/>
              </w:rPr>
            </w:pP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REGISTRATION OR QUALIFICATION UNDER THE SECURITIES LAWS OF ANY SUCH</w:t>
            </w: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ind w:right="371"/>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7140" w:type="dxa"/>
            <w:vAlign w:val="bottom"/>
            <w:gridSpan w:val="6"/>
          </w:tcPr>
          <w:p>
            <w:pPr>
              <w:jc w:val="right"/>
              <w:ind w:right="371"/>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SUBJECT TO COMPLETION, DATED JUNE 23, 1994</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180" w:type="dxa"/>
            <w:vAlign w:val="bottom"/>
          </w:tcPr>
          <w:p>
            <w:pPr>
              <w:spacing w:after="0"/>
              <w:rPr>
                <w:sz w:val="14"/>
                <w:szCs w:val="14"/>
                <w:color w:val="auto"/>
              </w:rPr>
            </w:pPr>
          </w:p>
        </w:tc>
        <w:tc>
          <w:tcPr>
            <w:tcW w:w="6440" w:type="dxa"/>
            <w:vAlign w:val="bottom"/>
            <w:gridSpan w:val="4"/>
          </w:tcPr>
          <w:p>
            <w:pPr>
              <w:jc w:val="center"/>
              <w:ind w:left="165"/>
              <w:spacing w:after="0"/>
              <w:rPr>
                <w:sz w:val="20"/>
                <w:szCs w:val="20"/>
                <w:color w:val="auto"/>
              </w:rPr>
            </w:pPr>
            <w:r>
              <w:rPr>
                <w:rFonts w:ascii="Courier New" w:cs="Courier New" w:eastAsia="Courier New" w:hAnsi="Courier New"/>
                <w:sz w:val="15"/>
                <w:szCs w:val="15"/>
                <w:color w:val="auto"/>
                <w:w w:val="99"/>
              </w:rPr>
              <w:t>PROSPECTUS SUPPLEMENT TO PROSPECTUS DATED JUNE 21, 1994</w:t>
            </w:r>
          </w:p>
        </w:tc>
        <w:tc>
          <w:tcPr>
            <w:tcW w:w="520" w:type="dxa"/>
            <w:vAlign w:val="bottom"/>
          </w:tcPr>
          <w:p>
            <w:pPr>
              <w:spacing w:after="0"/>
              <w:rPr>
                <w:sz w:val="14"/>
                <w:szCs w:val="14"/>
                <w:color w:val="auto"/>
              </w:rPr>
            </w:pPr>
          </w:p>
        </w:tc>
      </w:tr>
      <w:tr>
        <w:trPr>
          <w:trHeight w:val="344"/>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[Scotts logo]</w:t>
            </w:r>
          </w:p>
        </w:tc>
        <w:tc>
          <w:tcPr>
            <w:tcW w:w="620" w:type="dxa"/>
            <w:vAlign w:val="bottom"/>
          </w:tcPr>
          <w:p>
            <w:pPr>
              <w:spacing w:after="0"/>
              <w:rPr>
                <w:sz w:val="24"/>
                <w:szCs w:val="24"/>
                <w:color w:val="auto"/>
              </w:rPr>
            </w:pPr>
          </w:p>
        </w:tc>
        <w:tc>
          <w:tcPr>
            <w:tcW w:w="354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$100,000,000</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4"/>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THE SCOTTS COMPANY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tcPr>
          <w:p>
            <w:pPr>
              <w:jc w:val="center"/>
              <w:ind w:right="705"/>
              <w:spacing w:after="0"/>
              <w:rPr>
                <w:sz w:val="20"/>
                <w:szCs w:val="20"/>
                <w:color w:val="auto"/>
              </w:rPr>
            </w:pPr>
            <w:r>
              <w:rPr>
                <w:rFonts w:ascii="Courier New" w:cs="Courier New" w:eastAsia="Courier New" w:hAnsi="Courier New"/>
                <w:sz w:val="15"/>
                <w:szCs w:val="15"/>
                <w:color w:val="auto"/>
                <w:w w:val="99"/>
              </w:rPr>
              <w:t>THE O.M. SCOTT &amp; SONS COMPANY</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4"/>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SENIOR SUBORDINATED NOTES DUE</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2004</w:t>
            </w:r>
          </w:p>
        </w:tc>
        <w:tc>
          <w:tcPr>
            <w:tcW w:w="520" w:type="dxa"/>
            <w:vAlign w:val="bottom"/>
          </w:tcPr>
          <w:p>
            <w:pPr>
              <w:spacing w:after="0"/>
              <w:rPr>
                <w:sz w:val="24"/>
                <w:szCs w:val="24"/>
                <w:color w:val="auto"/>
              </w:rPr>
            </w:pPr>
          </w:p>
        </w:tc>
      </w:tr>
      <w:tr>
        <w:trPr>
          <w:trHeight w:val="172"/>
        </w:trPr>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644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The Notes are joint and several obligations of The Scotts Company</w:t>
            </w:r>
          </w:p>
        </w:tc>
        <w:tc>
          <w:tcPr>
            <w:tcW w:w="520" w:type="dxa"/>
            <w:vAlign w:val="bottom"/>
          </w:tcPr>
          <w:p>
            <w:pPr>
              <w:spacing w:after="0"/>
              <w:rPr>
                <w:sz w:val="14"/>
                <w:szCs w:val="14"/>
                <w:color w:val="auto"/>
              </w:rPr>
            </w:pP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("Scotts") and The O.M. Scott &amp; Sons Company ("OMS," and, together with Scotts,</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the "Issuers"), a wholly owned subsidiary of Scotts. Interest on the Notes is</w:t>
            </w:r>
          </w:p>
        </w:tc>
      </w:tr>
      <w:tr>
        <w:trPr>
          <w:trHeight w:val="172"/>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payable 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of each year, commencing</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1994. The</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Notes are redeemable in whole or in part at the option of the Issuers at any</w:t>
            </w:r>
          </w:p>
        </w:tc>
      </w:tr>
      <w:tr>
        <w:trPr>
          <w:trHeight w:val="172"/>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time on or after</w:t>
            </w:r>
          </w:p>
        </w:tc>
        <w:tc>
          <w:tcPr>
            <w:tcW w:w="620" w:type="dxa"/>
            <w:vAlign w:val="bottom"/>
          </w:tcPr>
          <w:p>
            <w:pPr>
              <w:spacing w:after="0"/>
              <w:rPr>
                <w:sz w:val="14"/>
                <w:szCs w:val="14"/>
                <w:color w:val="auto"/>
              </w:rPr>
            </w:pPr>
          </w:p>
        </w:tc>
        <w:tc>
          <w:tcPr>
            <w:tcW w:w="4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1999, at the redemption prices set forth</w:t>
            </w:r>
          </w:p>
        </w:tc>
        <w:tc>
          <w:tcPr>
            <w:tcW w:w="520" w:type="dxa"/>
            <w:vAlign w:val="bottom"/>
          </w:tcPr>
          <w:p>
            <w:pPr>
              <w:spacing w:after="0"/>
              <w:rPr>
                <w:sz w:val="14"/>
                <w:szCs w:val="14"/>
                <w:color w:val="auto"/>
              </w:rPr>
            </w:pP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herein. Upon the occurrence of a Change of Control, the Issuers are required to</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w w:val="98"/>
              </w:rPr>
              <w:t>offer to purchase all outstanding Notes at 101% of the principal amount thereof,</w:t>
            </w:r>
          </w:p>
        </w:tc>
      </w:tr>
      <w:tr>
        <w:trPr>
          <w:trHeight w:val="172"/>
        </w:trPr>
        <w:tc>
          <w:tcPr>
            <w:tcW w:w="6620" w:type="dxa"/>
            <w:vAlign w:val="bottom"/>
            <w:gridSpan w:val="5"/>
          </w:tcPr>
          <w:p>
            <w:pPr>
              <w:spacing w:after="0"/>
              <w:rPr>
                <w:sz w:val="20"/>
                <w:szCs w:val="20"/>
                <w:color w:val="auto"/>
              </w:rPr>
            </w:pPr>
            <w:r>
              <w:rPr>
                <w:rFonts w:ascii="Courier New" w:cs="Courier New" w:eastAsia="Courier New" w:hAnsi="Courier New"/>
                <w:sz w:val="15"/>
                <w:szCs w:val="15"/>
                <w:color w:val="auto"/>
              </w:rPr>
              <w:t>together with accrued and unpaid interest to the date of repurchase. See</w:t>
            </w:r>
          </w:p>
        </w:tc>
        <w:tc>
          <w:tcPr>
            <w:tcW w:w="520" w:type="dxa"/>
            <w:vAlign w:val="bottom"/>
          </w:tcPr>
          <w:p>
            <w:pPr>
              <w:spacing w:after="0"/>
              <w:rPr>
                <w:sz w:val="14"/>
                <w:szCs w:val="14"/>
                <w:color w:val="auto"/>
              </w:rPr>
            </w:pPr>
          </w:p>
        </w:tc>
      </w:tr>
      <w:tr>
        <w:trPr>
          <w:trHeight w:val="172"/>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rPr>
              <w:t>"Description of Notes."</w:t>
            </w:r>
          </w:p>
        </w:tc>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6" w:lineRule="exact"/>
        <w:rPr>
          <w:sz w:val="24"/>
          <w:szCs w:val="24"/>
          <w:color w:val="auto"/>
        </w:rPr>
      </w:pPr>
    </w:p>
    <w:p>
      <w:pPr>
        <w:ind w:left="8" w:right="3339" w:firstLine="447"/>
        <w:spacing w:after="0" w:line="263" w:lineRule="auto"/>
        <w:rPr>
          <w:sz w:val="20"/>
          <w:szCs w:val="20"/>
          <w:color w:val="auto"/>
        </w:rPr>
      </w:pPr>
      <w:r>
        <w:rPr>
          <w:rFonts w:ascii="Courier New" w:cs="Courier New" w:eastAsia="Courier New" w:hAnsi="Courier New"/>
          <w:sz w:val="14"/>
          <w:szCs w:val="14"/>
          <w:color w:val="auto"/>
        </w:rPr>
        <w:t>The Notes will be subordinated to all existing and future Senior Debt of the Issuers. As of April 2, 1994, after giving effect to the offering of the Notes and the use of proceeds therefrom, the combined aggregate amount of indebtedness of the Issuers that would constitute Senior Debt would have been approximately $128.2 million. See "Description of Notes -- Subordination."</w:t>
      </w:r>
    </w:p>
    <w:p>
      <w:pPr>
        <w:spacing w:after="0" w:line="163"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Notes will be represented by one or more global Notes registered in the name of the nominee of The Depositary Trust Company. Beneficial interests in the global Notes will be shown on, and transfers thereof will be effected only through, records maintained by DTC and its participants. Except as described herein, the Notes will be issued only in denominations of $1,000 and integral multiples thereof. The Notes will trade in DTC's Same-Day Funds Settlement System until maturity, and secondary market trading activity for the Notes will therefore settle in immediately available funds. All payments of principal and interest will be made by the Issuers in immediately available funds. See "Description of Notes -- Same-Day Settlement and Payment."</w:t>
      </w:r>
    </w:p>
    <w:p>
      <w:pPr>
        <w:spacing w:after="0" w:line="179"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Application has been made to list the Notes on the New York Stock Exchange.</w:t>
      </w:r>
    </w:p>
    <w:p>
      <w:pPr>
        <w:spacing w:after="0" w:line="185" w:lineRule="exact"/>
        <w:rPr>
          <w:sz w:val="24"/>
          <w:szCs w:val="24"/>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SEE "INVESTMENT CONSIDERATIONS" FOR A DESCRIPTION OF CERTAIN FACTORS THAT SHOULD BE CONSIDERED IN CONNECTION WITH AN INVESTMENT IN THE NOTES. ------------------------</w:t>
      </w:r>
    </w:p>
    <w:p>
      <w:pPr>
        <w:spacing w:after="0" w:line="176" w:lineRule="exact"/>
        <w:rPr>
          <w:sz w:val="24"/>
          <w:szCs w:val="24"/>
          <w:color w:val="auto"/>
        </w:rPr>
      </w:pPr>
    </w:p>
    <w:p>
      <w:pPr>
        <w:ind w:left="268" w:right="3439" w:hanging="267"/>
        <w:spacing w:after="0" w:line="242"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 ------------------------</w:t>
      </w:r>
    </w:p>
    <w:p>
      <w:pPr>
        <w:sectPr>
          <w:pgSz w:w="11900" w:h="16838" w:orient="portrait"/>
          <w:cols w:equalWidth="0" w:num="1">
            <w:col w:w="10227"/>
          </w:cols>
          <w:pgMar w:left="232" w:top="231"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568"/>
        <w:spacing w:after="0"/>
        <w:rPr>
          <w:sz w:val="20"/>
          <w:szCs w:val="20"/>
          <w:color w:val="auto"/>
        </w:rPr>
      </w:pPr>
      <w:r>
        <w:rPr>
          <w:rFonts w:ascii="Courier New" w:cs="Courier New" w:eastAsia="Courier New" w:hAnsi="Courier New"/>
          <w:sz w:val="15"/>
          <w:szCs w:val="15"/>
          <w:color w:val="auto"/>
        </w:rPr>
        <w:t>INITIAL PUBLIC</w:t>
      </w:r>
    </w:p>
    <w:p>
      <w:pPr>
        <w:spacing w:after="0" w:line="4" w:lineRule="exact"/>
        <w:rPr>
          <w:sz w:val="24"/>
          <w:szCs w:val="24"/>
          <w:color w:val="auto"/>
        </w:rPr>
      </w:pPr>
    </w:p>
    <w:p>
      <w:pPr>
        <w:ind w:left="3488"/>
        <w:spacing w:after="0"/>
        <w:rPr>
          <w:sz w:val="20"/>
          <w:szCs w:val="20"/>
          <w:color w:val="auto"/>
        </w:rPr>
      </w:pPr>
      <w:r>
        <w:rPr>
          <w:rFonts w:ascii="Courier New" w:cs="Courier New" w:eastAsia="Courier New" w:hAnsi="Courier New"/>
          <w:sz w:val="14"/>
          <w:szCs w:val="14"/>
          <w:color w:val="auto"/>
        </w:rPr>
        <w:t>OFFERING PRICE(1)</w:t>
      </w:r>
    </w:p>
    <w:p>
      <w:pPr>
        <w:spacing w:after="0" w:line="13" w:lineRule="exact"/>
        <w:rPr>
          <w:sz w:val="24"/>
          <w:szCs w:val="24"/>
          <w:color w:val="auto"/>
        </w:rPr>
      </w:pPr>
    </w:p>
    <w:p>
      <w:pPr>
        <w:ind w:left="34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line="267" w:lineRule="auto"/>
        <w:rPr>
          <w:sz w:val="20"/>
          <w:szCs w:val="20"/>
          <w:color w:val="auto"/>
        </w:rPr>
      </w:pPr>
      <w:r>
        <w:rPr>
          <w:rFonts w:ascii="Courier New" w:cs="Courier New" w:eastAsia="Courier New" w:hAnsi="Courier New"/>
          <w:sz w:val="14"/>
          <w:szCs w:val="14"/>
          <w:color w:val="auto"/>
        </w:rPr>
        <w:t>UNDERWRITING DISCOUNT(2)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PROCEEDS TO</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COMPANY(1)(3)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3">
            <w:col w:w="5008" w:space="540"/>
            <w:col w:w="1080" w:space="520"/>
            <w:col w:w="3079"/>
          </w:cols>
          <w:pgMar w:left="232" w:top="231" w:right="1440" w:bottom="0" w:gutter="0" w:footer="0" w:header="0"/>
          <w:type w:val="continuous"/>
        </w:sectPr>
      </w:pP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Per Note............................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4" w:lineRule="exact"/>
        <w:rPr>
          <w:sz w:val="24"/>
          <w:szCs w:val="24"/>
          <w:color w:val="auto"/>
        </w:rPr>
      </w:pPr>
    </w:p>
    <w:p>
      <w:pPr>
        <w:sectPr>
          <w:pgSz w:w="11900" w:h="16838" w:orient="portrait"/>
          <w:cols w:equalWidth="0" w:num="4">
            <w:col w:w="3928" w:space="720"/>
            <w:col w:w="1080" w:space="720"/>
            <w:col w:w="980" w:space="720"/>
            <w:col w:w="2079"/>
          </w:cols>
          <w:pgMar w:left="232" w:top="231"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5" w:lineRule="exact"/>
        <w:rPr>
          <w:sz w:val="24"/>
          <w:szCs w:val="24"/>
          <w:color w:val="auto"/>
        </w:rPr>
      </w:pPr>
    </w:p>
    <w:p>
      <w:pPr>
        <w:sectPr>
          <w:pgSz w:w="11900" w:h="16838" w:orient="portrait"/>
          <w:cols w:equalWidth="0" w:num="4">
            <w:col w:w="3228" w:space="620"/>
            <w:col w:w="1160" w:space="720"/>
            <w:col w:w="980" w:space="720"/>
            <w:col w:w="2799"/>
          </w:cols>
          <w:pgMar w:left="232" w:top="231" w:right="1440" w:bottom="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ind w:left="8"/>
        <w:spacing w:after="0"/>
        <w:tabs>
          <w:tab w:leader="none" w:pos="4448" w:val="left"/>
        </w:tabs>
        <w:rPr>
          <w:sz w:val="20"/>
          <w:szCs w:val="20"/>
          <w:color w:val="auto"/>
        </w:rPr>
      </w:pPr>
      <w:r>
        <w:rPr>
          <w:rFonts w:ascii="Courier New" w:cs="Courier New" w:eastAsia="Courier New" w:hAnsi="Courier New"/>
          <w:sz w:val="15"/>
          <w:szCs w:val="15"/>
          <w:color w:val="auto"/>
        </w:rPr>
        <w:t>(1) Plus accrued interest, if any, from July</w:t>
      </w:r>
      <w:r>
        <w:rPr>
          <w:sz w:val="20"/>
          <w:szCs w:val="20"/>
          <w:color w:val="auto"/>
        </w:rPr>
        <w:tab/>
      </w:r>
      <w:r>
        <w:rPr>
          <w:rFonts w:ascii="Courier New" w:cs="Courier New" w:eastAsia="Courier New" w:hAnsi="Courier New"/>
          <w:sz w:val="15"/>
          <w:szCs w:val="15"/>
          <w:color w:val="auto"/>
        </w:rPr>
        <w:t>, 1994.</w:t>
      </w:r>
    </w:p>
    <w:p>
      <w:pPr>
        <w:sectPr>
          <w:pgSz w:w="11900" w:h="16838" w:orient="portrait"/>
          <w:cols w:equalWidth="0" w:num="1">
            <w:col w:w="10227"/>
          </w:cols>
          <w:pgMar w:left="232" w:top="231" w:right="1440" w:bottom="0" w:gutter="0" w:footer="0" w:header="0"/>
          <w:type w:val="continuous"/>
        </w:sectPr>
      </w:pPr>
    </w:p>
    <w:p>
      <w:pPr>
        <w:spacing w:after="0" w:line="4" w:lineRule="exact"/>
        <w:rPr>
          <w:sz w:val="24"/>
          <w:szCs w:val="24"/>
          <w:color w:val="auto"/>
        </w:rPr>
      </w:pPr>
    </w:p>
    <w:p>
      <w:pPr>
        <w:ind w:left="348" w:right="3519" w:hanging="348"/>
        <w:spacing w:after="0" w:line="241"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have agreed to indemnify the Underwriters against certain liabilities, including liabilities under the Securities Act of 1933, as amended. See "Underwriting."</w:t>
      </w:r>
    </w:p>
    <w:p>
      <w:pPr>
        <w:spacing w:after="0" w:line="2" w:lineRule="exact"/>
        <w:rPr>
          <w:sz w:val="24"/>
          <w:szCs w:val="24"/>
          <w:color w:val="auto"/>
        </w:rPr>
      </w:pPr>
    </w:p>
    <w:p>
      <w:pPr>
        <w:ind w:left="8"/>
        <w:spacing w:after="0"/>
        <w:tabs>
          <w:tab w:leader="none" w:pos="4548" w:val="left"/>
        </w:tabs>
        <w:rPr>
          <w:sz w:val="20"/>
          <w:szCs w:val="20"/>
          <w:color w:val="auto"/>
        </w:rPr>
      </w:pPr>
      <w:r>
        <w:rPr>
          <w:rFonts w:ascii="Courier New" w:cs="Courier New" w:eastAsia="Courier New" w:hAnsi="Courier New"/>
          <w:sz w:val="15"/>
          <w:szCs w:val="15"/>
          <w:color w:val="auto"/>
        </w:rPr>
        <w:t>(3) Before deducting estimated expenses of $</w:t>
      </w:r>
      <w:r>
        <w:rPr>
          <w:sz w:val="20"/>
          <w:szCs w:val="20"/>
          <w:color w:val="auto"/>
        </w:rPr>
        <w:tab/>
      </w:r>
      <w:r>
        <w:rPr>
          <w:rFonts w:ascii="Courier New" w:cs="Courier New" w:eastAsia="Courier New" w:hAnsi="Courier New"/>
          <w:sz w:val="14"/>
          <w:szCs w:val="14"/>
          <w:color w:val="auto"/>
        </w:rPr>
        <w:t>payable by the Issuers.</w:t>
      </w:r>
    </w:p>
    <w:p>
      <w:pPr>
        <w:spacing w:after="0" w:line="348"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Notes are offered severally by the Underwriters, as specified herein, subject to receipt and acceptance by them and subject to their right to reject any order in whole or in part. It is expected that the Notes will be ready for delivery in book-entry form only through the facilities of DTC in New York, New York, on or about July , 1994, against payment therefor in immediately available funds.</w:t>
      </w:r>
    </w:p>
    <w:p>
      <w:pPr>
        <w:sectPr>
          <w:pgSz w:w="11900" w:h="16838" w:orient="portrait"/>
          <w:cols w:equalWidth="0" w:num="1">
            <w:col w:w="10227"/>
          </w:cols>
          <w:pgMar w:left="232" w:top="231" w:right="1440" w:bottom="0" w:gutter="0" w:footer="0" w:header="0"/>
          <w:type w:val="continuous"/>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GOLDMAN, SACHS &amp; CO.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CHEMICAL SECURITIES INC.</w:t>
      </w:r>
    </w:p>
    <w:p>
      <w:pPr>
        <w:spacing w:after="0" w:line="13" w:lineRule="exact"/>
        <w:rPr>
          <w:sz w:val="24"/>
          <w:szCs w:val="24"/>
          <w:color w:val="auto"/>
        </w:rPr>
      </w:pPr>
    </w:p>
    <w:p>
      <w:pPr>
        <w:sectPr>
          <w:pgSz w:w="11900" w:h="16838" w:orient="portrait"/>
          <w:cols w:equalWidth="0" w:num="2">
            <w:col w:w="4288" w:space="720"/>
            <w:col w:w="5219"/>
          </w:cols>
          <w:pgMar w:left="232" w:top="231" w:right="1440" w:bottom="0" w:gutter="0" w:footer="0" w:header="0"/>
          <w:type w:val="continuous"/>
        </w:sectPr>
      </w:pPr>
    </w:p>
    <w:p>
      <w:pPr>
        <w:ind w:left="250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The date of this Prospectus Supplement is July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1994.</w:t>
            </w:r>
          </w:p>
        </w:tc>
      </w:tr>
    </w:tbl>
    <w:p>
      <w:pPr>
        <w:sectPr>
          <w:pgSz w:w="11900" w:h="16838" w:orient="portrait"/>
          <w:cols w:equalWidth="0" w:num="1">
            <w:col w:w="9339"/>
          </w:cols>
          <w:pgMar w:left="1120" w:top="31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Headquarters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Dwight G. Scott Research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NOTES OFFERED HEREBY AT LEVELS ABOVE THOSE WHICH MIGHT OTHERWISE PREVAIL IN THE OPEN MARKET. SUCH TRANSACTIONS MAY BE EFFECTED ON THE NEW YORK STOCK EXCHANGE, IN THE OVER-THE-COUNTER MARKET OR OTHERWISE. SUCH STABILIZING, IF COMMENCED, MAY BE DISCONTINUED AT ANY TIME.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6]</w:t>
            </w:r>
          </w:p>
        </w:tc>
        <w:tc>
          <w:tcPr>
            <w:tcW w:w="25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[Photo 7]</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[Photo 8]</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9]</w:t>
            </w: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[Photo 10]</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w w:val="97"/>
              </w:rPr>
              <w:t>[Photo 11]</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12]</w:t>
            </w: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[Photo 13]</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w w:val="97"/>
              </w:rPr>
              <w:t>[Photo 14]</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15]</w:t>
            </w: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[Photo 16]</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w w:val="97"/>
              </w:rPr>
              <w:t>[Photo 17]</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18]</w:t>
            </w: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[Photo 19]</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w w:val="97"/>
              </w:rPr>
              <w:t>[Photo 20]</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[Photo 21]</w:t>
            </w: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[Photo 22]</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w w:val="97"/>
              </w:rPr>
              <w:t>[Photo 23]</w:t>
            </w:r>
          </w:p>
        </w:tc>
      </w:tr>
      <w:tr>
        <w:trPr>
          <w:trHeight w:val="344"/>
        </w:trPr>
        <w:tc>
          <w:tcPr>
            <w:tcW w:w="1880" w:type="dxa"/>
            <w:vAlign w:val="bottom"/>
          </w:tcPr>
          <w:p>
            <w:pPr>
              <w:spacing w:after="0"/>
              <w:rPr>
                <w:sz w:val="24"/>
                <w:szCs w:val="24"/>
                <w:color w:val="auto"/>
              </w:rPr>
            </w:pPr>
          </w:p>
        </w:tc>
        <w:tc>
          <w:tcPr>
            <w:tcW w:w="25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S-2</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SUMMARY INFORMATION IS QUALIFIED IN ITS ENTIRETY BY REFERENCE TO THE MORE DETAILED INFORMATION AND FINANCIAL STATEMENTS (INCLUDING THE NOTES THERETO) CONTAINED ELSEWHERE IN THIS PROSPECTUS SUPPLEMENT OR THE ACCOMPANYING PROSPECTUS OR INCORPORATED BY REFERENCE HEREIN. AS USED IN THIS PROSPECTUS, UNLESS THE CONTEXT INDICATES OTHERWISE, THE "ISSUERS" MEAN THE SCOTTS COMPANY ("SCOTTS") AND ITS WHOLLY OWNED SUBSIDIARY, THE O.M. SCOTT &amp; SONS COMPANY ("OMS"), AND THE "COMPANY" MEANS THE ISSUERS AND OMS' DIRECT AND INDIRECT SUBSIDIARIES, INCLUDING HYPONEX CORPORATION ("HYPONEX"), ACQUIRED IN NOVEMBER 1988, REPUBLIC TOOL &amp; MANUFACTURING CORP. ("REPUBLIC"), ACQUIRED IN NOVEMBER 1992, AND SCOTTS-SIERRA HORTICULTURAL PRODUCTS COMPANY ("SIERRA"), ACQUIRED IN DECEMBER 1993. SALES AND MARKET SHARE DATA GIVEN FOR THE COMPANY HEREIN DO NOT INCLUDE SIERRA UNLESS OTHERWISE INDICATED.</w:t>
      </w:r>
    </w:p>
    <w:p>
      <w:pPr>
        <w:spacing w:after="0" w:line="17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Scotts(R) and Turf Builder(R) (for consumer lawn care), ProTurf(R) (for professional turf care) and Osmocote(R) and Peters(R)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Hyponex(R) brand and other labels. The Company has broadened and strengthened its organic product line as a result of its recent acquisition of Sierra, which manufactures Peters Professional(R) potting soil (see "-- Sierra Acquisition"). Management estimates that the Company has the leading market share in the total U.S. branded organic products market and over a 50% share of the U.S. retail potting soil segment.</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mass merchandisers and independent retailers, and internationally in Canada, Japan and Europe through various distribution channels.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Sierra(R)(for commercial horticulture), ProGrow(R) (for the landscape market) and Peters and MetroMix(R) (for greenhouses and commercial nurseries). Depending on the market segment, these products are sold through</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distributors, directly through the Company's agronomically-trained technical representatives ("tech reps"), or through Company-operated stores.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United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 market positions in Europe, Australia, New Zealand and the Pacific Rim. A recently formed unit within the Professional Business Group, under the ProGrow name, will concentrate on marketing products to professional turf and landscape customers other than golf courses and sports fields, such as lawn care service companies.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Company's business strategy is to be the premier global manufacturer and marketer of products used in landscape growth and maintenance. The major elements of the Company's strategy are to:</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Lawns(R)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these three retailers increased approximately 28% from fiscal 1992 to fiscal 1993 and accounted for 39%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cial horticulture markets in the United States and abroad, will further improve the Company's global competitiveness.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SIERRA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December 16, 1993, the Company acquired Sierra from W.R. Grace &amp; Co.-Conn., and other investors, for approximately $123 million in cash. Sierra, a leading manufacturer and marketer of specialty fertilizers, pesticides and premium growing media used in commercial horticulture, golf course and consumer applications, had net sales of approximately $108.7 million for the period from January 1, 1993, through December 16, 1993. Its products are manufactured in six plants located in the United States and one in the Netherlands. Sierra markets its products in the United States and internationally under brand names including Peters, Osmocote, Once(R) and Terra-Lite(R). Through Sierra's overseas subsidiaries, products are distributed in numerous foreign markets, including, among others, Australia, Europe and the Pacific Rim. Approximately 25% of Sierra's 1993 net sales were abroad.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 See "Summary Unaudited Pro Forma Financial Data."</w:t>
      </w:r>
    </w:p>
    <w:p>
      <w:pPr>
        <w:spacing w:after="0" w:line="17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OFFERING -- SENIOR SUBORDINATED NOTES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42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$100,000,000 aggregate principal amount of</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Senior</w:t>
            </w:r>
          </w:p>
        </w:tc>
      </w:tr>
      <w:tr>
        <w:trPr>
          <w:trHeight w:val="172"/>
        </w:trPr>
        <w:tc>
          <w:tcPr>
            <w:tcW w:w="2640" w:type="dxa"/>
            <w:vAlign w:val="bottom"/>
          </w:tcPr>
          <w:p>
            <w:pPr>
              <w:spacing w:after="0"/>
              <w:rPr>
                <w:sz w:val="14"/>
                <w:szCs w:val="14"/>
                <w:color w:val="auto"/>
              </w:rPr>
            </w:pP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Subordinated Notes due</w:t>
            </w:r>
          </w:p>
        </w:tc>
        <w:tc>
          <w:tcPr>
            <w:tcW w:w="31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2004 (the "Notes"). The</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Notes are joint and several obligations of the Issuers.</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and</w:t>
            </w: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each year, commencing</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2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The Notes will not be redeemable prior to</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1999. Thereafter the Notes will be redeemable at the option of</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the Issuers, in whole or in part, at the redemption prices set</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forth herein, plus accrued interest to the date of redemption.</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The Notes will be subordinated to all existing and future</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Senior Debt of the Issuers. The Subordinated Indenture provides</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that the Issuers will not incur or otherwise become liable for</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any indebtedness that is subordinate or junior in right of</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payment to any Senior Debt, and that is senior in right of</w:t>
            </w:r>
          </w:p>
        </w:tc>
      </w:tr>
      <w:tr>
        <w:trPr>
          <w:trHeight w:val="172"/>
        </w:trPr>
        <w:tc>
          <w:tcPr>
            <w:tcW w:w="2640" w:type="dxa"/>
            <w:vAlign w:val="bottom"/>
          </w:tcPr>
          <w:p>
            <w:pPr>
              <w:spacing w:after="0"/>
              <w:rPr>
                <w:sz w:val="14"/>
                <w:szCs w:val="14"/>
                <w:color w:val="auto"/>
              </w:rPr>
            </w:pP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payment to the Notes.</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Certain Covenants...........</w:t>
            </w: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The Subordinated Indenture contains certain covenants limiting,</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among other things, indebtedness of subsidiaries of the</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Issuers, dividend and other payment restrictions affecting</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subsidiaries of the Issuers, liens securing PARI PASSU and</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subordinated indebtedness and transactions with affiliates. See</w:t>
            </w:r>
          </w:p>
        </w:tc>
      </w:tr>
      <w:tr>
        <w:trPr>
          <w:trHeight w:val="172"/>
        </w:trPr>
        <w:tc>
          <w:tcPr>
            <w:tcW w:w="2640" w:type="dxa"/>
            <w:vAlign w:val="bottom"/>
          </w:tcPr>
          <w:p>
            <w:pPr>
              <w:spacing w:after="0"/>
              <w:rPr>
                <w:sz w:val="14"/>
                <w:szCs w:val="14"/>
                <w:color w:val="auto"/>
              </w:rPr>
            </w:pPr>
          </w:p>
        </w:tc>
        <w:tc>
          <w:tcPr>
            <w:tcW w:w="42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"Description of Notes -- Certain Covenants."</w:t>
            </w:r>
          </w:p>
        </w:tc>
        <w:tc>
          <w:tcPr>
            <w:tcW w:w="152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The net proceeds from the sale of the Notes will be used to</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reduce term loans under the Bank Agreement. See "Use of</w:t>
            </w:r>
          </w:p>
        </w:tc>
      </w:tr>
      <w:tr>
        <w:trPr>
          <w:trHeight w:val="172"/>
        </w:trPr>
        <w:tc>
          <w:tcPr>
            <w:tcW w:w="264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Proceeds."</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Change of Control...........</w:t>
            </w: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The Issuers will be required to offer to repurchase the Notes</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upon a Change of Control (as defined) at 101% of the principal</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amount thereof, plus accrued interest to the date of</w:t>
            </w:r>
          </w:p>
        </w:tc>
      </w:tr>
      <w:tr>
        <w:trPr>
          <w:trHeight w:val="172"/>
        </w:trPr>
        <w:tc>
          <w:tcPr>
            <w:tcW w:w="2640" w:type="dxa"/>
            <w:vAlign w:val="bottom"/>
          </w:tcPr>
          <w:p>
            <w:pPr>
              <w:spacing w:after="0"/>
              <w:rPr>
                <w:sz w:val="14"/>
                <w:szCs w:val="14"/>
                <w:color w:val="auto"/>
              </w:rPr>
            </w:pPr>
          </w:p>
        </w:tc>
        <w:tc>
          <w:tcPr>
            <w:tcW w:w="5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repurchase. See "Description of Debt Securities -- Change of</w:t>
            </w:r>
          </w:p>
        </w:tc>
      </w:tr>
      <w:tr>
        <w:trPr>
          <w:trHeight w:val="172"/>
        </w:trPr>
        <w:tc>
          <w:tcPr>
            <w:tcW w:w="2640" w:type="dxa"/>
            <w:vAlign w:val="bottom"/>
          </w:tcPr>
          <w:p>
            <w:pPr>
              <w:spacing w:after="0"/>
              <w:rPr>
                <w:sz w:val="14"/>
                <w:szCs w:val="14"/>
                <w:color w:val="auto"/>
              </w:rPr>
            </w:pPr>
          </w:p>
        </w:tc>
        <w:tc>
          <w:tcPr>
            <w:tcW w:w="42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Control" in the accompanying Prospectus.</w:t>
            </w:r>
          </w:p>
        </w:tc>
        <w:tc>
          <w:tcPr>
            <w:tcW w:w="1520" w:type="dxa"/>
            <w:vAlign w:val="bottom"/>
          </w:tcPr>
          <w:p>
            <w:pPr>
              <w:spacing w:after="0"/>
              <w:rPr>
                <w:sz w:val="14"/>
                <w:szCs w:val="14"/>
                <w:color w:val="auto"/>
              </w:rPr>
            </w:pPr>
          </w:p>
        </w:tc>
      </w:tr>
      <w:tr>
        <w:trPr>
          <w:trHeight w:val="516"/>
        </w:trPr>
        <w:tc>
          <w:tcPr>
            <w:tcW w:w="2640" w:type="dxa"/>
            <w:vAlign w:val="bottom"/>
          </w:tcPr>
          <w:p>
            <w:pPr>
              <w:spacing w:after="0"/>
              <w:rPr>
                <w:sz w:val="24"/>
                <w:szCs w:val="24"/>
                <w:color w:val="auto"/>
              </w:rPr>
            </w:pPr>
          </w:p>
        </w:tc>
        <w:tc>
          <w:tcPr>
            <w:tcW w:w="1460" w:type="dxa"/>
            <w:vAlign w:val="bottom"/>
          </w:tcPr>
          <w:p>
            <w:pPr>
              <w:ind w:left="840"/>
              <w:spacing w:after="0"/>
              <w:rPr>
                <w:sz w:val="20"/>
                <w:szCs w:val="20"/>
                <w:color w:val="auto"/>
              </w:rPr>
            </w:pPr>
            <w:r>
              <w:rPr>
                <w:rFonts w:ascii="Courier New" w:cs="Courier New" w:eastAsia="Courier New" w:hAnsi="Courier New"/>
                <w:sz w:val="15"/>
                <w:szCs w:val="15"/>
                <w:color w:val="auto"/>
              </w:rPr>
              <w:t>S-5</w:t>
            </w: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SUMMARY HISTORICAL FINANCIAL DATA</w:t>
      </w:r>
    </w:p>
    <w:p>
      <w:pPr>
        <w:spacing w:after="0" w:line="176"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FOLLOWING SUMMARY HISTORICAL FINANCIAL DATA SHOULD BE READ IN CONJUNCTION WITH THE COMPANY'S CONSOLIDATED FINANCIAL STATEMENTS AND NOTES THERETO AS OF SEPTEMBER 30, 1992 AND 1993 AND FOR THE THREE YEARS ENDED SEPTEMBER 30, 1993 INCLUDED IN THE ACCOMPANYING PROSPECTUS. THE SUMMARY HISTORICAL FINANCIAL DATA AS OF APRIL 3, 1993 AND APRIL 2, 1994, AND FOR THE SIX MONTHS ENDED APRIL 3, 1993 AND APRIL 2, 1994, RESPECTIVELY, ARE DERIVED FROM UNAUDITED CONSOLIDATED FINANCIAL STATEMENTS NOT INCLUDED HEREIN. SUCH UNAUDITED CONSOLIDATED FINANCIAL STATEMENTS HAVE BEEN PREPARED ON THE SAME BASIS AS THE COMPANY'S CONSOLIDATED FINANCIAL STATEMENTS, AND THE ISSUERS BELIEVE THAT SUCH UNAUDITED CONSOLIDATED FINANCIAL STATEMENTS CONTAIN ALL ADJUSTMENTS NECESSARY FOR A FAIR PRESENTATION OF THE FINANCIAL INFORMATION PRESENTED (CONSISTING ONLY OF NORMAL RECURRING ADJUSTMENTS). INTERIM RESULTS ARE NOT NECESSARILY INDICATIVE OF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8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w w:val="98"/>
              </w:rPr>
              <w:t>FISCAL YEAR ENDED SEPTEMBER 30,</w:t>
            </w:r>
          </w:p>
        </w:tc>
        <w:tc>
          <w:tcPr>
            <w:tcW w:w="102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7"/>
                <w:szCs w:val="7"/>
                <w:color w:val="auto"/>
                <w:w w:val="86"/>
              </w:rPr>
              <w: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APRIL 3,</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APRIL 2,</w:t>
            </w:r>
          </w:p>
        </w:tc>
      </w:tr>
      <w:tr>
        <w:trPr>
          <w:trHeight w:val="172"/>
        </w:trPr>
        <w:tc>
          <w:tcPr>
            <w:tcW w:w="334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989(1)</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1990</w:t>
            </w:r>
          </w:p>
        </w:tc>
        <w:tc>
          <w:tcPr>
            <w:tcW w:w="14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1993(2)</w:t>
            </w:r>
          </w:p>
        </w:tc>
        <w:tc>
          <w:tcPr>
            <w:tcW w:w="320" w:type="dxa"/>
            <w:vAlign w:val="bottom"/>
          </w:tcPr>
          <w:p>
            <w:pPr>
              <w:spacing w:after="0"/>
              <w:rPr>
                <w:sz w:val="14"/>
                <w:szCs w:val="14"/>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1994(3)</w:t>
            </w:r>
          </w:p>
        </w:tc>
      </w:tr>
      <w:tr>
        <w:trPr>
          <w:trHeight w:val="172"/>
        </w:trPr>
        <w:tc>
          <w:tcPr>
            <w:tcW w:w="3340" w:type="dxa"/>
            <w:vAlign w:val="bottom"/>
          </w:tcPr>
          <w:p>
            <w:pPr>
              <w:spacing w:after="0"/>
              <w:rPr>
                <w:sz w:val="14"/>
                <w:szCs w:val="14"/>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0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(DOLLARS IN THOUSANDS, EXCEPT RATIOS)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DATA(4):</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$328,368</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$350,441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388,120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$413,558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$466,043</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228,859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275,750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148,183</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163,638</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180,164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200,425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221,825</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109,324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129,286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118,634</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132,988</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142,777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158,260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177,344</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86,523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101,054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29,549</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30,650</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37,387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42,165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44,481</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22,801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28,232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28,638</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37,411</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32,932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15,962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9,114</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8,361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and cumulative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effect of accounting changes......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911</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(6,761)</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26,203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35,367</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17,888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1,750</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2,720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11,124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14,320</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Loss on early extinguishment of</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debt, net of tax................</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Utilization of net operating</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loss carryforwards..............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1,670</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accounting for post-retirement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benefits, net of tax</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and income taxes..................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(13,157)</w:t>
            </w:r>
          </w:p>
        </w:tc>
        <w:tc>
          <w:tcPr>
            <w:tcW w:w="32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831</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(6,904)</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15,592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7,890</w:t>
            </w:r>
          </w:p>
        </w:tc>
        <w:tc>
          <w:tcPr>
            <w:tcW w:w="32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11,456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$ 19,621</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$ 20,474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$ 15,848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$ 18,144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8,758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10,777</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6,722</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8,494</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8,818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19,896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15,158</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12,436</w:t>
            </w:r>
          </w:p>
        </w:tc>
      </w:tr>
      <w:tr>
        <w:trPr>
          <w:trHeight w:val="172"/>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EBITDA(5)...........................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47,300</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49,080</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53,269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56,771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61,598</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30,528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37,413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Ratio of EBITDA to interest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expense...........................</w:t>
            </w:r>
          </w:p>
        </w:tc>
        <w:tc>
          <w:tcPr>
            <w:tcW w:w="1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1.46x</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1.42x</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1.72x</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3.56x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7.29x</w:t>
            </w:r>
          </w:p>
        </w:tc>
        <w:tc>
          <w:tcPr>
            <w:tcW w:w="32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6.87x</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4.94x</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charges(6)........................</w:t>
            </w:r>
          </w:p>
        </w:tc>
        <w:tc>
          <w:tcPr>
            <w:tcW w:w="1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1.03x</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1.14x</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4.08x</w:t>
            </w:r>
          </w:p>
        </w:tc>
        <w:tc>
          <w:tcPr>
            <w:tcW w:w="32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4.00x</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3.08x</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$ 10,363</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$ 18,230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21,260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$ 54,795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$ 78,891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76,129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112,217</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276,253</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270,429</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260,729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268,021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321,590</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421,525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622,143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201,203</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192,915</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182,954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35,897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92,524</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102,206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231,588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2,555</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(12,677)</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(9,961)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175,929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143,013</w:t>
            </w:r>
          </w:p>
        </w:tc>
        <w:tc>
          <w:tcPr>
            <w:tcW w:w="32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131,998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155,136</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Hyponex from November 11, 1988.</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17, 1993.</w:t>
      </w:r>
    </w:p>
    <w:p>
      <w:pPr>
        <w:spacing w:after="0" w:line="175" w:lineRule="exact"/>
        <w:rPr>
          <w:rFonts w:ascii="Courier New" w:cs="Courier New" w:eastAsia="Courier New" w:hAnsi="Courier New"/>
          <w:sz w:val="15"/>
          <w:szCs w:val="15"/>
          <w:color w:val="auto"/>
        </w:rPr>
      </w:pPr>
    </w:p>
    <w:p>
      <w:pPr>
        <w:ind w:left="348" w:right="4300"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1993 presentation; these changes did not impact net income.</w:t>
      </w:r>
    </w:p>
    <w:p>
      <w:pPr>
        <w:spacing w:after="0" w:line="176" w:lineRule="exact"/>
        <w:rPr>
          <w:rFonts w:ascii="Courier New" w:cs="Courier New" w:eastAsia="Courier New" w:hAnsi="Courier New"/>
          <w:sz w:val="15"/>
          <w:szCs w:val="15"/>
          <w:color w:val="auto"/>
        </w:rPr>
      </w:pPr>
    </w:p>
    <w:p>
      <w:pPr>
        <w:ind w:left="348" w:right="412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EBITDA is defined as income from operations plus depreciation and amortization included therein. Deferred financing costs which have been incurred and capitalized in connection with financing the Company's operations and acquisitions are being amortized and</w:t>
      </w:r>
    </w:p>
    <w:p>
      <w:pPr>
        <w:sectPr>
          <w:pgSz w:w="11900" w:h="16838" w:orient="portrait"/>
          <w:cols w:equalWidth="0" w:num="1">
            <w:col w:w="11008"/>
          </w:cols>
          <w:pgMar w:left="232" w:top="289" w:right="6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S-6</w:t>
      </w:r>
    </w:p>
    <w:p>
      <w:pPr>
        <w:sectPr>
          <w:pgSz w:w="11900" w:h="16838" w:orient="portrait"/>
          <w:cols w:equalWidth="0" w:num="1">
            <w:col w:w="11008"/>
          </w:cols>
          <w:pgMar w:left="232" w:top="289" w:right="659"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reported as a portion of interest expense and therefore have been excluded from the calculation of depreciation and amortization used in the calculation of EBITDA. The Company believes that EBITDA is generally recognized as an indicator of a company's ability to service its debt and capital expenditure requirements. However, EBITDA is not intended to be a performance measure that should be regarded as an alternative either to income from operations or net income or as an indicator of operating performance or cash flows as a measure of liquidity, as determined in accordance with generally accepted accounting principles.</w:t>
      </w:r>
    </w:p>
    <w:p>
      <w:pPr>
        <w:spacing w:after="0" w:line="178" w:lineRule="exact"/>
        <w:rPr>
          <w:sz w:val="20"/>
          <w:szCs w:val="20"/>
          <w:color w:val="auto"/>
        </w:rPr>
      </w:pPr>
    </w:p>
    <w:p>
      <w:pPr>
        <w:ind w:left="348" w:right="32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174"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SUMMARY UNAUDITED PRO FORMA FINANCIAL DATA</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SUMMARY UNAUDITED PRO FORMA FINANCIAL DATA OF THE COMPANY SHOULD BE READ IN CONJUNCTION WITH THE UNAUDITED PRO FORMA FINANCIAL DATA INCLUDED IN THE ACCOMPANYING PROSPECTUS UNDER "UNAUDITED PRO FORMA FINANCIAL DATA." THE FOLLOWING SUMMARY UNAUDITED PRO FORMA FINANCIAL DATA GIVE EFFECT TO THE ACQUISITION OF SIERRA, WHICH OCCURRED ON DECEMBER 16, 1993, AND THE SALE OF THE NOTES OFFERED HEREBY AS IF THEY HAD OCCURRED ON OCTOBER 1, 1992.</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FISCAL YEAR</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SIX MONTHS</w:t>
            </w:r>
          </w:p>
        </w:tc>
      </w:tr>
      <w:tr>
        <w:trPr>
          <w:trHeight w:val="172"/>
        </w:trPr>
        <w:tc>
          <w:tcPr>
            <w:tcW w:w="558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APRIL 2,</w:t>
            </w:r>
          </w:p>
        </w:tc>
      </w:tr>
      <w:tr>
        <w:trPr>
          <w:trHeight w:val="172"/>
        </w:trPr>
        <w:tc>
          <w:tcPr>
            <w:tcW w:w="558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1994</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27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(dollars in thousands, except</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ratios)</w:t>
            </w:r>
          </w:p>
        </w:tc>
        <w:tc>
          <w:tcPr>
            <w:tcW w:w="1180" w:type="dxa"/>
            <w:vAlign w:val="bottom"/>
          </w:tcPr>
          <w:p>
            <w:pPr>
              <w:spacing w:after="0"/>
              <w:rPr>
                <w:sz w:val="14"/>
                <w:szCs w:val="14"/>
                <w:color w:val="auto"/>
              </w:rPr>
            </w:pP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STATEMENT OF OPERATIONS DATA:</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$ 585,318</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$296,576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273,716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139,020</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217,727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109,818</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55,989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29,202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expense(1)..........................................</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19,914</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4,453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w:t>
            </w: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31,622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16,500</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13,975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6,503</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17,647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9,997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PRO FORMA DATA:</w:t>
            </w: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25,392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12,542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16,760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12,837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75,647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39,401</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Ratio of EBITDA to interest expense(1).......................</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3.48x</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charges(1)(3).....................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2.30x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2.23x</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issuance of $100 million aggregate principal amount of Notes offered hereby at an assumed interest rate of 9.75% and the application of the net proceeds therefrom to the repayment of term debt under the Bank Agreement at an average interest rate of 5.5%. Giving effect only to the acquisition of Sierra, pro forma interest expense would be $15.5 million and $9.1 million for the fiscal year ended September 30, 1993, and the six months ended April 2, 1994, respectively.</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to Summary Historical Financial Data.</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to Summary Historical Financial Data.</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S-7</w:t>
      </w:r>
    </w:p>
    <w:p>
      <w:pPr>
        <w:sectPr>
          <w:pgSz w:w="11900" w:h="16838" w:orient="portrait"/>
          <w:cols w:equalWidth="0" w:num="1">
            <w:col w:w="10227"/>
          </w:cols>
          <w:pgMar w:left="232"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REINCORPORATION OF THE COMPANY AND MERGER OF OMS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is currently contemplating reincorporating from Delaware to Ohio and thereafter merging OMS into the new Ohio corporation, which will also be named "The Scotts Company." Such reincorporation would require the approval of a majority of Scotts' stockholders. Scotts currently expects to solicit proxies in favor of the reincorporation and to hold a Special Meeting of Stockholders in September 1994 to vote upon such reincorporation. The merger of OMS into the new Scotts would not require the approval of Scotts' stockholders.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proposed reincorporation of Scotts and merger of OMS are permitted by the Subordinated Indenture. Upon the execution of a supplemental indenture to the Subordinated Indenture the new Scotts will succeed to all of the rights and obligations of the Issuers under the Notes and the Subordinated Indenture.</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RESULTS OF OPERATIONS FOR SIX MONTHS ENDED APRIL 2, 1994, COMPARED WITH SIX MONTHS ENDED APRIL 3, 1993</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Net sales of $275.8 million increased by $46.9 million or approximately 20.5%. Net sales for the six months ended April 2, 1994 included $44.0 million of net sales from Sierra. Net sales for the period, before inclusion of Sierra's net sales, increased 1.3% to $231.7 million. The increase reflected increased sales volume as improved weather arrived in the Company's key geographic areas late in the second fiscal quarter, which allowed the Company to overcome a sales decline in the first fiscal quarter. Consumer Business Group sales increased 2.6% to $195.7 million. Professional Business Group sales of $34.0 million reflected an 8.7% decrease from the comparable period in 1993 but also a marked improvement over the first fiscal quarter in 1994 which suffered a decline of 14.0%. Composting revenues of $2.0 million increased by $1.2 million.</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sales represented 53.1% of net sales compared with 52.2% in the comparable period in 1993, primarily due to a delay in the start-up of a new line of spreaders as well as lower than expected margins due to the product mix of organic products sold.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expenses of $101.1 million increased by $14.5 million or approximately 16.8%. The increase was partly caused by the inclusion of Sierra's operating expenses during the 1994 period and partly by increased freight costs due to higher sales for the period as well as more less-than-truckload shipments in the first fiscal quarter of 1994 due to a delay in the availability of a new line of spreaders. The increase was also caused by increased spending for national advertising and promotion programs and was partly offset by decreased general and administrative expenses, exclusive of Sierra's expenses, which were managed at a lower level during fiscal 1994.</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of $7.6 million increased by $3.1 million or approximately 70.1%. The increase was primarily attributable to an increase in borrowing levels resulting from the purchase of a block of Scotts Class A Common Stock in February 1993 and the acquisition of Sierra in December 1993.</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before cumulative effect of accounting changes increased by $1.1 million to $11.5 million. The increase was primarily attributable to increased operating income which was partly offset by higher interest expense and income taxes.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income of $11.5 million increased by $14.2 million from a loss of $2.8 million during the comparable period in 1993. The increase was primarily attributable to a prior period non-recurring charge of $13.2 million for the cumulative effect of changes in accounting for postretirement benefits, net of tax and income taxes as well as increased operating income partly offset by higher interest expense and taxes.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Current assets of $341.3 million increased by $197.6 million compared with current assets at September 30, 1993 and by $98.2 million compared with current assets at April 3, 1993. The increase compared with September 30, 1993 is partly attributable to the seasonal nature of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Company's business, with inventory and accounts receivable levels being generally higher at the end of March relative to the end of September. The increase was also caused, in part, by inclusion of Sierra's current assets which amounted to $56.4 million. The increase compared with April 3, 1993 was partly caused by inclusion of Sierra's current assets and also by a higher level of accounts receivable due to greatly increased sales volume in March 1994 (for which receivables had not yet been collected) and higher inventory levels which were primarily due to a planned increase in inventories of organic products prepacked in anticipation of the Spring selling season.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Total assets of $622.1 milion increased by $300.6 million compared with September 30, 1993 and by $200.6 million compared with April 3, 1993. The increase compared with September 30, 1993 was partly due to the seasonality of the Company's business and partly due to the inclusion of Sierra's total assets which amounted to $156.1 million, including goodwill of $66.5 million. The increase compared with April 3, 1993 is primarily due to inclusion of Sierra's total assets and also due, in part, to the increases in accounts receivable and inventory levels discussed above.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liabilities of $467.0 million increased by $288.4 million compared with total liabilities at September 30, 1993 and by $177.5 million compared with total liabilities at April 3, 1993. The increase compared with September 30, 1993 is partly caused by the seasonality of the Company's business, which is reflected in higher levels of accounts payable and accrued liabilities. It is also caused by $125 million of term debt incurred in December 1993 to facilitate the acquisition of Sierra and by inclusion of Sierra's total liabilities which amounted to $26.7 million. The increase compared with April 3, 1993 was primarily caused by the borrowings for the Sierra acquisition and by inclusion of Sierra's total liabilities.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Stockholders' equity of $155.1 million increased by $12.1 million compared with stockholders' equity on September 30, 1993, primarily due to $11.5 million of net income for the six months ended April 2, 1994. Stockholders' equity increased by $23.1 million compared with April 3, 1993. This increase was primarily due to net income of $22.1 million for the twelve months ended April 2, 1994.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net proceeds to the Issuers from the offering of the Notes, after payment of estimated offering expenses and underwriting discount, will be approximately $97.2 million. The Issuers intend to use the net proceeds to repay term loans under the Bank Agreement. Such term loans mature semi-annually through final maturity on September 30, 2000, and as of June 15, bore a weighted average interest rate of 5.5%. See "Description of Bank Agreement" in the accompanying Prospectus.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89"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current maturities of long-term debt and consolidated capitalization of the Company as of April 2, 1994, and as adjusted to give effect to the sale by the Issuers of the Notes offered hereby and the application of the estimated net proceeds therefrom, as described under "Use of Proceeds." This table should be read in conjunction with the Company's Consolidated Financial Statements and Notes thereto and "Management's Discussion and Analysis of Financial Condition and Results of Operations" in the accompanying Prospectus.</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APRIL 2, 1994</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(DOLLARS IN THOUSANDS)</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Revolving credit and bank line of credit................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$ 98,000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98,000</w:t>
            </w:r>
          </w:p>
        </w:tc>
      </w:tr>
      <w:tr>
        <w:trPr>
          <w:trHeight w:val="172"/>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20,417</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5,417</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short-term debt..............................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$118,417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$ 103,417</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w w:val="99"/>
              </w:rPr>
              <w:t>Bank Agreement (excluding current maturities):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Revolving Credit Loans.............................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$ 30,000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Term Loans.........................................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175,000</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92,810</w:t>
            </w:r>
          </w:p>
        </w:tc>
      </w:tr>
      <w:tr>
        <w:trPr>
          <w:trHeight w:val="172"/>
        </w:trPr>
        <w:tc>
          <w:tcPr>
            <w:tcW w:w="4560" w:type="dxa"/>
            <w:vAlign w:val="bottom"/>
          </w:tcPr>
          <w:p>
            <w:pPr>
              <w:ind w:left="1060"/>
              <w:spacing w:after="0"/>
              <w:rPr>
                <w:sz w:val="20"/>
                <w:szCs w:val="20"/>
                <w:color w:val="auto"/>
              </w:rPr>
            </w:pPr>
            <w:r>
              <w:rPr>
                <w:rFonts w:ascii="Courier New" w:cs="Courier New" w:eastAsia="Courier New" w:hAnsi="Courier New"/>
                <w:sz w:val="15"/>
                <w:szCs w:val="15"/>
                <w:color w:val="auto"/>
              </w:rPr>
              <w:t>% Senior Subordinated Notes due</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 2004....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Other long-term debt....................................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6,171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6,171</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long-term debt...............................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211,171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228,981</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authorized and none issued............................</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Class A Common Stock, $.01 par value; 35,000,000 shares</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authorized and 21,073,430 shares issued...............</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5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Class B Common Stock, $.01 par value; 35,000,000 shares</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authorized and none issued............................</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Capital in excess of par value..........................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193,618</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193,618</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Retained earnings (1)...................................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2,448</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2,448</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foreign currency translation adjustment......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300</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Less: Common Stock in treasury at cost..................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(41,441)</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155,136</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155,136</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capitalization...............................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$366,307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$ 384,117</w:t>
            </w:r>
          </w:p>
        </w:tc>
      </w:tr>
      <w:tr>
        <w:trPr>
          <w:trHeight w:val="172"/>
        </w:trPr>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6" w:lineRule="exact"/>
        <w:rPr>
          <w:sz w:val="20"/>
          <w:szCs w:val="20"/>
          <w:color w:val="auto"/>
        </w:rPr>
      </w:pPr>
    </w:p>
    <w:p>
      <w:pPr>
        <w:ind w:left="348" w:right="3159"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expects to incur a write-off of deferred financing costs of approximately $1.8 million (pre-tax) as a result of the repayment of term loans with the proceeds of this offering in the fiscal quarter in which the closing of the offering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27"/>
          </w:cols>
          <w:pgMar w:left="232"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DESCRIPTION OF THE PARTICULAR TERMS OF THE NOTES OFFERED HEREBY (REFERRED TO IN THE ACCOMPANYING PROSPECTUS AS THE "OFFERED DEBT SECURITIES") SUPPLEMENTS, AND TO THE EXTENT INCONSISTENT THEREWITH REPLACES, THE DESCRIPTION OF THE GENERAL TERMS AND PROVISIONS OF DEBT SECURITIES SET FORTH IN THE PROSPECTUS, TO WHICH DESCRIPTION REFERENCE IS HEREBY MADE. CAPITALIZED TERMS NOT OTHERWISE DEFINED HEREIN SHALL HAVE THE MEANINGS GIVEN TO THEM IN THE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will be issued under the Subordinated Indenture, as supplemented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 the First Supplemental Indenture dated as of , 1994 (the "First Supplemental Indenture"), between the Company and Chemical Bank, as trustee (the "Trustee"), and will constitute a series of Subordinated Debt Securities described in the accompanying Prospectus. The statements under this caption relating to the Notes, the Subordinated Indenture and the First Supplemental Indenture are summaries and do not purport to be complete, and where reference is made to particular provisions of the Subordinated Indenture or the First Supplemental Indenture, such provisions, including the definition of certain terms, are incorporated by reference as a part of such summaries or terms, which are qualified in their entirety by such reference. Unless otherwise indicated, references under this caption to the Subordinated Indenture are references to the Subordinated Indenture, as supplemented by the First Supplemental Indenture. The Subordinated Indenture has been, and the First Supplemental Indenture will be, filed with the Commission as an exhibit to the Registration Statement of which this Prospectus Supplement and Prospectus is a part.</w:t>
      </w:r>
    </w:p>
    <w:p>
      <w:pPr>
        <w:spacing w:after="0" w:line="182"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The Notes will be unsecured, joint and several obligations of the Issuers, will be limited to $100 million aggregate principal amount and will mature on</w:t>
      </w:r>
    </w:p>
    <w:p>
      <w:pPr>
        <w:ind w:left="880"/>
        <w:spacing w:after="0" w:line="238" w:lineRule="auto"/>
        <w:rPr>
          <w:sz w:val="20"/>
          <w:szCs w:val="20"/>
          <w:color w:val="auto"/>
        </w:rPr>
      </w:pPr>
      <w:r>
        <w:rPr>
          <w:rFonts w:ascii="Courier New" w:cs="Courier New" w:eastAsia="Courier New" w:hAnsi="Courier New"/>
          <w:sz w:val="15"/>
          <w:szCs w:val="15"/>
          <w:color w:val="auto"/>
        </w:rPr>
        <w:t>, 2004. The Notes will bear interest at the rate per annum shown on</w:t>
      </w:r>
    </w:p>
    <w:p>
      <w:pPr>
        <w:spacing w:after="0" w:line="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the front cover of this Prospectus Supplement from July</w:t>
      </w:r>
      <w:r>
        <w:rPr>
          <w:sz w:val="20"/>
          <w:szCs w:val="20"/>
          <w:color w:val="auto"/>
        </w:rPr>
        <w:tab/>
      </w:r>
      <w:r>
        <w:rPr>
          <w:rFonts w:ascii="Courier New" w:cs="Courier New" w:eastAsia="Courier New" w:hAnsi="Courier New"/>
          <w:sz w:val="14"/>
          <w:szCs w:val="14"/>
          <w:color w:val="auto"/>
        </w:rPr>
        <w:t>, 1994 or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most recent Interest Payment Date to which interest has been paid or</w:t>
      </w:r>
    </w:p>
    <w:p>
      <w:pPr>
        <w:spacing w:after="0" w:line="2" w:lineRule="exact"/>
        <w:rPr>
          <w:sz w:val="20"/>
          <w:szCs w:val="20"/>
          <w:color w:val="auto"/>
        </w:rPr>
      </w:pPr>
    </w:p>
    <w:p>
      <w:pPr>
        <w:spacing w:after="0"/>
        <w:tabs>
          <w:tab w:leader="none" w:pos="4800" w:val="left"/>
          <w:tab w:leader="none" w:pos="6500" w:val="left"/>
        </w:tabs>
        <w:rPr>
          <w:sz w:val="20"/>
          <w:szCs w:val="20"/>
          <w:color w:val="auto"/>
        </w:rPr>
      </w:pPr>
      <w:r>
        <w:rPr>
          <w:rFonts w:ascii="Courier New" w:cs="Courier New" w:eastAsia="Courier New" w:hAnsi="Courier New"/>
          <w:sz w:val="15"/>
          <w:szCs w:val="15"/>
          <w:color w:val="auto"/>
        </w:rPr>
        <w:t>provided for, payable semi-annually on</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of each</w:t>
      </w:r>
    </w:p>
    <w:p>
      <w:pPr>
        <w:spacing w:after="0" w:line="2"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year, commencing</w:t>
      </w:r>
      <w:r>
        <w:rPr>
          <w:sz w:val="20"/>
          <w:szCs w:val="20"/>
          <w:color w:val="auto"/>
        </w:rPr>
        <w:tab/>
      </w:r>
      <w:r>
        <w:rPr>
          <w:rFonts w:ascii="Courier New" w:cs="Courier New" w:eastAsia="Courier New" w:hAnsi="Courier New"/>
          <w:sz w:val="14"/>
          <w:szCs w:val="14"/>
          <w:color w:val="auto"/>
        </w:rPr>
        <w:t>, 1995, to the Person in whose name the Note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predecessor Note) is registered at the close of business on the preceding</w:t>
      </w:r>
    </w:p>
    <w:p>
      <w:pPr>
        <w:spacing w:after="0" w:line="2" w:lineRule="exact"/>
        <w:rPr>
          <w:sz w:val="20"/>
          <w:szCs w:val="20"/>
          <w:color w:val="auto"/>
        </w:rPr>
      </w:pPr>
    </w:p>
    <w:p>
      <w:pPr>
        <w:ind w:left="1340"/>
        <w:spacing w:after="0"/>
        <w:tabs>
          <w:tab w:leader="none" w:pos="2380" w:val="left"/>
        </w:tabs>
        <w:rPr>
          <w:sz w:val="20"/>
          <w:szCs w:val="20"/>
          <w:color w:val="auto"/>
        </w:rPr>
      </w:pPr>
      <w:r>
        <w:rPr>
          <w:rFonts w:ascii="Courier New" w:cs="Courier New" w:eastAsia="Courier New" w:hAnsi="Courier New"/>
          <w:sz w:val="15"/>
          <w:szCs w:val="15"/>
          <w:color w:val="auto"/>
        </w:rPr>
        <w:t>or</w:t>
      </w:r>
      <w:r>
        <w:rPr>
          <w:sz w:val="20"/>
          <w:szCs w:val="20"/>
          <w:color w:val="auto"/>
        </w:rPr>
        <w:tab/>
      </w:r>
      <w:r>
        <w:rPr>
          <w:rFonts w:ascii="Courier New" w:cs="Courier New" w:eastAsia="Courier New" w:hAnsi="Courier New"/>
          <w:sz w:val="15"/>
          <w:szCs w:val="15"/>
          <w:color w:val="auto"/>
        </w:rPr>
        <w:t>, as the case may be. Interest on the Notes will be</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computed on the basis of a 360-day year of twelve 30-day months. Principal of and premium, if any, and interest on the Notes will be payable at the office of the corporate trust office of the Trustee, as Paying Agent, provided that at the option of the Issuers, interest on the Notes may be payable by check mailed to the address of the Person entitled thereto as it appears in the Note Register.</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Initially, the Trustee will act as Paying Agent and Registrar. The Notes may be presented for registration of transfer and exchange at the offices of the Registrar.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will be subject to redemption, at the option of the Issuers, in</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whole or in part, at any time on or after , 1999 and prior to maturity, upon not less than 30 nor more than 60 days' notice mailed to each Holder of Notes to be redeemed at his address appearing in the Security Register, in amounts of $1,000 or an integral multiple of $1,000, at the following Redemption Prices (expressed as percentages of principal amount) plus accrued interest to but excluding the Redemption Date (subject to the right of Holders of record on the relevant Regular Record Date to</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interest due on an Interest Payment Date that is on or prior to the</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Redemption Date), if redeemed during the 12-month period beginning of the years indicated:</w:t>
      </w:r>
    </w:p>
    <w:p>
      <w:pPr>
        <w:spacing w:after="0" w:line="200" w:lineRule="exact"/>
        <w:rPr>
          <w:sz w:val="20"/>
          <w:szCs w:val="20"/>
          <w:color w:val="auto"/>
        </w:rPr>
      </w:pPr>
    </w:p>
    <w:p>
      <w:pPr>
        <w:spacing w:after="0" w:line="31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REDEMPTION</w:t>
      </w:r>
    </w:p>
    <w:p>
      <w:pPr>
        <w:spacing w:after="0" w:line="2" w:lineRule="exact"/>
        <w:rPr>
          <w:sz w:val="20"/>
          <w:szCs w:val="20"/>
          <w:color w:val="auto"/>
        </w:rPr>
      </w:pPr>
    </w:p>
    <w:p>
      <w:pPr>
        <w:ind w:left="3480"/>
        <w:spacing w:after="0"/>
        <w:tabs>
          <w:tab w:leader="none" w:pos="570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780" w:type="dxa"/>
        <w:tblCellMar>
          <w:top w:w="0" w:type="dxa"/>
          <w:left w:w="0" w:type="dxa"/>
          <w:bottom w:w="0" w:type="dxa"/>
          <w:right w:w="0" w:type="dxa"/>
        </w:tblCellMar>
      </w:tblPr>
      <w:tr>
        <w:trPr>
          <w:trHeight w:val="170"/>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36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36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36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3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and thereafter.......................</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If less than all the Notes are to be redeemed, the Trustee shall select, in such manner as it shall deem fair and appropriate, the particular Notes to be redeemed or any portion thereof that is an integral multiple of $1,000.</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will not have the benefit of any sinking fund.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payment of the principal and premium, if any, and interest on the Notes, and any other obligations of the Issuers in respect of the Notes (including any obligation to repurchase Notes) will, to the extent set forth in the Subordinated Indenture, be subordinate in right of payment to the prior payment in full of all Senior Debt, as described under "Description of Debt Securities -- Subordination of Subordinated Debt Securities" in the accompanying Prospectus.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April 2, 1994, on a pro forma basis after giving effect to the offering of the Notes and the use of proceeds therefrom, combined aggregate Senior Debt of the Issuers would have aggregated approximately $128.2 million. There is currently no indebtedness subordinated in right of payment to the Notes. See "Capitalization." The Issuers expect from time to time to incur additional indebtedness constituting Senior Debt. The Subordinated Indenture does not prohibit or limit the Incurrence of additional Senior Debt.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w:t>
      </w:r>
    </w:p>
    <w:p>
      <w:pPr>
        <w:spacing w:after="0" w:line="176"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The provisions of Article 13 of the Subordinated Indenture relating to defeasance and covenant defeasance, which are described in the accompanying Prospectus, will apply to the Notes.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covenants, in addition to those set forth in the accompanying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are applicable to the Subordinated Indenture and the Notes: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LIMITATION ON DEBT AND PREFERRED STOCK OF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may not permit any Subsidiary (other than, in the case of Scotts, OMS) of an Issuer to Incur or suffer to exist any Debt or issue any Preferred Stock except: (i) Debt or Preferred Stock outstanding on the date of issuance of the Notes after giving effect to the application of the proceeds of the Notes as described in a schedule to the First Supplemental Indenture; (ii) Debt consisting of a guarantee by a Subsidiary of an Issuer of Senior Debt Incurred by an Issuer, including, but not limited to, the guarantees by Subsidiaries of the Issuers of Debt Incurred by the Issuers under the Bank Agreement; (iii) Debt Incurred or Preferred Stock issued to and held by an Issuer or a Wholly Owned Subsidiary of an Issuer; PROVIDED, HOWEVER, that upon either (x) the transfer or other disposition by an Issuer or such Wholly Owned Subsidiary of any Debt so permitted to a Person other than an Issuer or another Wholly Owned Subsidiary of an Issuer or (y) the issuance (other than directors' qualifying shares), sale, lease, transfer or other disposition of shares of Capital Stock (including by consolidation or merger) of such Wholly Owned Subsidiary to a Person other than an Issuer or another such Wholly Owned Subsidiary, the provisions of this Clause (iii) shall no longer be applicable to such Debt and such Debt shall be deemed to have been</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89"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Incurred at the time of such transfer or other disposition; (iv) Debt Incurred or Preferred Stock issued by a Person prior to the time (A) such Person became a Subsidiary of an Issuer, (B) such Person merges into or consolidates with a Subsidiary of an Issuer or (C) another Subsidiary of an Issuer merges into or consolidates with such Person (in a transaction in which such Person becomes a Subsidiary of an Issuer), which Debt or Preferred Stock was not Incurred or issued in anticipation of such transaction and was outstanding prior to such transaction; (v) Debt secured by a Lien on real or personal property which Debt</w:t>
      </w:r>
    </w:p>
    <w:p>
      <w:pPr>
        <w:spacing w:after="0" w:line="5" w:lineRule="exact"/>
        <w:rPr>
          <w:sz w:val="20"/>
          <w:szCs w:val="20"/>
          <w:color w:val="auto"/>
        </w:rPr>
      </w:pPr>
    </w:p>
    <w:p>
      <w:pPr>
        <w:ind w:left="8" w:right="3079" w:hanging="8"/>
        <w:spacing w:after="0" w:line="242"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all or a part of the purchase price of such property or (b) is Incurred prior to, at the time of or within 270 days after the acquisition of such property for the purpose of financing all or any part of the purchase price thereof; PROVIDED, HOWEVER, the Debt so secured does not exceed the purchase price of such property and such Lien does not extend to or cover any property other than such item of property and any improvements on such item; (vi) Debt or Preferred Stock which is exchanged for, or the proceeds of which are used to refinance or refund, any Debt or Preferred Stock permitted to be outstanding pursuant to Clauses (iv) and (v) hereof (or any extension or renewal thereof), in an aggregate principal amount, in the case of Debt, or liquidation preference, in the case of Preferred Stock, not to exceed the principal amount or liquidation preference of the Debt or Preferred Stock, respectively, so exchanged, refinanced or refunded plus the amount of any premium required to be paid in connection with such refinancing pursuant to the terms of the Debt or Preferred Stock so exchanged, refinanced or refunded or the amount of any premium reasonably determined by the Issuers as necessary to accomplish such refinancing by means of a tender offer or privately negotiated repurchase, plus the amount of expenses of the Issuers and the Subsidiary incurred in connection with such refinancing and PROVIDED such exchanging, refinancing or refunding Debt or Preferred Stock by its terms, or by the terms of any agreement or instrument pursuant to which such Debt or Preferred Stock is issued, (x) does not provide for payments of principal or liquidation value at the stated maturity of such Debt or Preferred Stock or by way of a sinking fund applicable to such Debt or Preferred Stock or by way of any mandatory redemption, defeasance, retirement or repurchase of such Debt or Preferred Stock by an Issuer or any Subsidiary of an Issuer (including any redemption, retirement or repurchase which is contingent upon events or circumstances, but excluding any retirement required by virtue of acceleration of such Debt upon an event of default thereunder), in each case prior to the stated maturity of the Debt or Preferred Stock being refinanced or refunded and (y) does not permit redemption or other retirement (including pursuant to an offer to purchase made by an Issuer or a Subsidiary of an Issuer) of such Debt or Preferred Stock at the option of the holder thereof prior to the stated maturity of the Debt or Preferred Stock being refinanced or refunded, other than a redemption or other retirement at the option of the holder of such Debt or Preferred Stock (including pursuant to an offer to purchase made by an Issuer or a Subsidiary of an Issuer) which is conditioned upon the change of control of the Issuers pursuant to provisions substantially similar to those contained in the Indenture described under "Change of Control," and PROVIDED, FURTHER, that (a) such exchanging, refinancing or refunding debt shall be Incurred only by the Subsidiary that is the obligor with respect to the Debt or Preferred Stock being exchanged, refinanced or refunded, (b) in the case of any exchange, refinancing or refunding of Preferred Stock, such Preferred Stock is exchanged, refinanced or refunded with Preferred Stock and (c) any exchange, refinancing or refunding of Debt permitted to be outstanding pursuant to Clause (v) above shall consist of Debt secured by a Lien on the property securing the Debt being exchanged, refinanced or refunded, and no other property; (vii) Debt Incurred by any Subsidiary or Subsidiaries substantially all of the assets and operations of which are outside the United States (each, a "Foreign Subsidiary"), the proceeds of which are used to finance, or refinance from a third party, the working capital or capital expenditures of such Foreign Subsidiary; and (viii) Debt or Preferred Stock not otherwise permitted pursuant to Clauses (i) through (vii) above which, together with any other Debt or Preferred Stock outstanding pursuant to this Clause (viii), is in an aggregate amount not in excess of $5 million at any time outstanding.</w:t>
      </w:r>
    </w:p>
    <w:p>
      <w:pPr>
        <w:spacing w:after="0" w:line="20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27"/>
          </w:cols>
          <w:pgMar w:left="232" w:top="289"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LIMITATIONS CONCERNING DISTRIBUTIONS BY AND TRANSFERS FROM SUBSIDIARIES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Each of the Issuers may not, and may not permit any Subsidiary to, suffer to exist any consensual encumbrance or restriction on the ability of any Subsidiary of an Issuer (other than, in the case of Scotts, OMS) (i) to pay directly or indirectly dividends or make any other distributions in respect of its Capital Stock or pay any Debt or other obligation owed to an Issuer or any other Subsidiary; (ii) to make loans or advances to an Issuer or any other Subsidiary; or (iii) to transfer any of its property or assets to an Issuer or any other Subsidiary. Notwithstanding the foregoing, the Issuers may, and may permit any Subsidiary to, suffer to exist any such encumbrance or restriction</w:t>
      </w:r>
    </w:p>
    <w:p>
      <w:pPr>
        <w:spacing w:after="0" w:line="2" w:lineRule="exact"/>
        <w:rPr>
          <w:sz w:val="20"/>
          <w:szCs w:val="20"/>
          <w:color w:val="auto"/>
        </w:rPr>
      </w:pPr>
    </w:p>
    <w:p>
      <w:pPr>
        <w:ind w:left="8" w:right="3079" w:hanging="8"/>
        <w:spacing w:after="0" w:line="242"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any agreement in effect on the date of the Indenture (including the Bank Agreement) as described in a schedule to the First Supplemental Indenture, (b) pursuant to an agreement relating to any Debt Incurred by such Subsidiary prior to the date on which such Subsidiary was acquired by an Issuer and outstanding on such date and not Incurred in anticipation of becoming a Subsidiary, (c) pursuant to an agreement effecting a renewal, refunding or extension of Debt Incurred pursuant to an agreement referred to in Clause (b) above; PROVIDED, HOWEVER, that the provisions contained in such renewal, refunding or extension agreement relating to such encumbrance or restriction are no more restrictive in any material respect than the provisions contained in the agreement the subject thereof, as determined in good faith by the Board of Directors of Scotts and evidenced by a resolution of the Board of Directors of Scotts filed with the Trustee, or (d) pursuant to customary encumbrances in any agreement relating to any Debt Incurred by a Foreign Subsidiary pursuant to the provisions of the Indenture described in Clause (vii) under "Limitation on Debt and Preferred Stock of Subsidiaries" above.</w:t>
      </w:r>
    </w:p>
    <w:p>
      <w:pPr>
        <w:spacing w:after="0" w:line="18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 ON LIENS SECURING PARI PASSU OR SUBORDINATED DEBT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Each of the Issuers may not, and may not permit any Subsidiary of an Issuer to, Incur or suffer to exist any Lien on or with respect to any property or assets now owned or hereafter acquired to secure any Debt which is PARI PASSU or subordinated in right of payment to the Notes without making, or causing such Subsidiary to make, effective provision for securing the Notes (x) equally and ratably with such Debt as to such property for so long as such Debt will be so secured or (y) in the event such Debt is Debt of an Issuer which is subordinate in right of payment to the Notes, prior to such Debt as to such property for so long as such Debt will be so secured.</w:t>
      </w:r>
    </w:p>
    <w:p>
      <w:pPr>
        <w:spacing w:after="0" w:line="178"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The foregoing restrictions shall not apply to: (i) Liens securing only the Notes; and (ii) Liens in favor of an Issuer.</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TRANSACTIONS WITH AFFILIATES AND RELATED PERSONS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Each of the Issuers may not, and may not permit any Subsidiary of an Issuer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enter into any transaction (or series of related transactions) with an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Affiliate or Related Person of an Issuer (other than an Issuer or a Wholly Owned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Subsidiary of an Issuer), including any investment, either directly 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indirectly, unless such transaction is on terms no less favorable to such Issuer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such Subsidiary than those that could be obtained in a comparable arm's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length transaction with an entity that is not an Affiliate or Related Person and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is in the best interests of such Issuer or such Subsidiary. For any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that involves in excess of $100,000 but less than or equal to $1,000,000,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Chief Executive Officer of Scotts shall determine that the transaction satisfies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above criteria and shall evidence such a determination by a certificate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filed with the Trustee. For any transaction that involves in excess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$1,000,000, a majority of the disinterested members of the Board of Directors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determine that the transaction satisfies the above criteria and shall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evidence such a determination by a Board Resolution filed with the Trustee.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foregoing requirements will not be applicable to (i) any issuance of securities,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or other payments, awards or grants in cash, securities or otherwise pursuant to</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arrangements or employee stock option or ownership plans approved 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(ii) directors' fees and expenses or (iii) loans 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advances to employees in the ordinary course of business.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27"/>
          </w:cols>
          <w:pgMar w:left="232" w:top="289" w:right="1440"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 ON CERTAIN DEBT</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Each of the Issuers may not Incur any Debt which by its terms is both (i) subordinated in right of payment to any Senior Debt of such Issuer and (ii) senior in right of payment to the Notes.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PROVISION OF FINANCIAL INFORMATION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Whether or not the Issuers are required to be subject to Section 13(a) or 15(d) of the Securities Exchange Act of 1934, or any successor provision thereto, the Issuers shall file with the Commission the annual reports, quarterly reports and other documents which the Issuers would have been required to file with the Commission pursuant to such Section 13(a) or 15(d) or any successor provision thereto if the Issuers were so required, such documents to be filed with the Commission on or prior to the respective dates (the "Required Filing Dates") by which the Issuers would have been required so to file such documents if the Issuers were so required. The Issuers shall also in any event</w:t>
      </w:r>
    </w:p>
    <w:p>
      <w:pPr>
        <w:spacing w:after="0" w:line="2" w:lineRule="exact"/>
        <w:rPr>
          <w:sz w:val="20"/>
          <w:szCs w:val="20"/>
          <w:color w:val="auto"/>
        </w:rPr>
      </w:pPr>
    </w:p>
    <w:p>
      <w:pPr>
        <w:ind w:left="8" w:right="3079" w:hanging="8"/>
        <w:spacing w:after="0" w:line="242"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15 days of each Required Filing Date (i) transmit by mail to all Holders, as their names and addresses appear in the Security Register, without cost to such Holders, and (ii) file with the Trustee, copies of the annual reports, quarterly reports and other documents which the Issuers file with the Commission pursuant to such Section 13(a) or 15(d) or any successor provision thereto or would have been required to file with the Commission pursuant to such Section 13(a) or 15(d) or any successor provisions thereto if the Issuers were required to be subject to such Sections and (b) if filing such documents by the Issuers with the Commission is not permitted under the Securities Exchange Act of 1934, promptly upon written request supply copies of such documents to any prospective Holder. Notwithstanding the foregoing, so long as OMS continues to be a majority-owned Subsidiary of Scotts, the Issuers may satisfy the requirements of this paragraph by filing, transmitting or supplying such reports and other documents with respect to Scotts.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following definitions, in addition to the definitions set forth in the accompanying Prospectus, are applicable to the Subordinated Indenture and the Notes: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"Lien" means, with respect to any property or assets, any mortgage or deed of trust, pledge, hypothecation, assignment, deposit 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w:t>
      </w:r>
    </w:p>
    <w:p>
      <w:pPr>
        <w:spacing w:after="0" w:line="177"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"PARI PASSU", when used with respect to the ranking of any Debt of any Person in relation to other Debt of such Person, means that each such Debt (a) either (i) is not subordinated in right of payment to the same Debt of such Person or (ii) is subordinate in right of payment to the same Debt of such Person as is the other and is so subordinate to the same extent and (b) is not subordinate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27"/>
          </w:cols>
          <w:pgMar w:left="232"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in right of payment to the other or to any Debt of such Person as to which the other is not so subordinate.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"Preferred Stock" of any Person means Capital Stock of such Person of any class or classes (however designated) that ranks prior, as to the payment of dividends or as to the distribution of assets upon any voluntary or involuntary liquidation, dissolution or winding up of such Person, to shares of Capital Stock of any other class of such Person.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SYSTEM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will be represented by one or more permanent global securities (each, a "Global Note") and registered in the name of The Depository Trust Company, New York, New York ("DTC") or its nominee. Upon the issuance of a Global Note, DTC or its nominee will credit, on its book-entry registration and transfer system, the respective principal amounts of the Notes represented by such Global Note to the accounts of the participants. The accounts to be credited shall be designated by the Underwriters. Ownership of beneficial interests in such Global Notes will be limited to institutions that have accounts with DTC or its nominee ("participants") and to persons that may hold interests through participants. Ownership of beneficial interests by participants in such Global Notes will be shown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a Global Note.</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Notwithstanding any provision of the Subordinated Indenture or of the Notes, no Global Note may be exchanged in whole or in part for Notes registered, and no transfer of a Global Note in whole in part may be registered, in the name of any Person other than DTC or any nominee of DTC unless (i) DTC has notified the Issuers that it is unwilling or unable to continue as depositary for such Global Note or has ceased to be qualified to act as such as required by the Subordinated Indenture or (ii) there shall have occurred and be continuing an Event of Default with respect to the Notes represented by such Global Note. All Notes issued in exchange for a Global Note or any portion thereof will be registered in such names as DTC may direct.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long as DTC or its nominee is a registered holder and owner of such Global Note, DTC or such nominee, as the case may be, will be considered the sole owner and holder of the related Notes for all purposes of the Notes and for all purposes under the Subordinated Indenture. Except in the limited circumstances referred to above, owners of beneficial interests in any such Global Notes will not be entitled to have the Notes represented by such Global Notes registered in their names, will not receive or be entitled to receive physical delivery of certificated Notes in definitive form and will not be considered to be the owners or holders of any Notes under the Subordinated Indenture or the Notes. Payment of principal of, interest, if any, and premium, if any, on Notes represented by a Global Note registered in the name of or held by DTC or its nominee will be made to DTC or its nominee, as the case may be, as the registered owner or holder of such Global Note.</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Payments, transfers, exchanges and other matters relating to beneficial interests in a Global Note may be subject to various policies and procedures adopted by DTC from time to time. Neither the Issuers nor the Trustee will have any responsibility or liability for any aspect of the records relating to, or payments made on account of, beneficial ownership interests in a Global Note for 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Notes or for maintaining, supervising or reviewing any records relating to such beneficial ownership interests or for any other aspect of the relationship between DTC and its participants or the relationship between such participants and the owners of beneficial interests in a Global Note owning through such participants.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SETTLEMENT AND PAYMENT</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Settlement for the Notes will be made by the Underwriters in immediately available funds. All payments of principal and interest will be made by the Issuers in immediately available funds or the equivalent.</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Secondary trading in long-term notes and debentures of corporate issuers is generally settled in clearinghouse or next-day funds. In contrast, the Notes will trade in DTC's Same-Day Funds Settlement System, and secondary market trading activity in the Notes will therefore be required by DTC to settle in immediately available funds. No assurance can be given as to the effect, if any, of settlement in immediately available funds on trading activity in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Bank is the Trustee under the Subordinated Indenture. Chemical Bank is an affiliate of Chemical Securities Inc., one of the Underwriters of the Notes. Chemical Bank is also agent bank and a lender to the Issuers under the Bank Agreement and will receive its proportionate share of the repayment by the Issuers of amounts outstanding under the Bank Agreement from the proceeds of the offering of the Notes. See "Description of Debt Securities -- Trustee" in the accompanying Prospectus.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Subject to the terms and conditions set forth in the Underwriting Agreement, the Issuers have agreed to sell to each of the Underwriters named below, and each of the Underwriters has severally agreed to purchase, the principal amount of the Notes set forth opposite its name below:</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UNDERWRITER</w:t>
      </w:r>
    </w:p>
    <w:p>
      <w:pPr>
        <w:spacing w:after="0" w:line="1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5"/>
          <w:szCs w:val="15"/>
          <w:color w:val="auto"/>
        </w:rPr>
        <w:t>PRINCIPAL</w:t>
      </w:r>
    </w:p>
    <w:p>
      <w:pPr>
        <w:spacing w:after="0" w:line="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5"/>
          <w:szCs w:val="15"/>
          <w:color w:val="auto"/>
        </w:rPr>
        <w:t>AMOUNT</w:t>
      </w:r>
    </w:p>
    <w:p>
      <w:pPr>
        <w:spacing w:after="0" w:line="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5"/>
          <w:szCs w:val="15"/>
          <w:color w:val="auto"/>
        </w:rPr>
        <w:t>OF NOTES</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6240" w:space="720"/>
            <w:col w:w="325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6700" w:space="360"/>
            <w:col w:w="3159"/>
          </w:cols>
          <w:pgMar w:left="240" w:top="289" w:right="1440" w:bottom="1440" w:gutter="0" w:footer="0" w:header="0"/>
          <w:type w:val="continuous"/>
        </w:sectPr>
      </w:pP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right"/>
        <w:ind w:right="19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5"/>
          <w:szCs w:val="15"/>
          <w:color w:val="auto"/>
        </w:rPr>
        <w:t>$ 100,000,000</w:t>
      </w:r>
    </w:p>
    <w:p>
      <w:pPr>
        <w:spacing w:after="0" w:line="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700" w:space="260"/>
            <w:col w:w="3259"/>
          </w:cols>
          <w:pgMar w:left="240" w:top="289" w:right="1440" w:bottom="1440" w:gutter="0" w:footer="0" w:header="0"/>
          <w:type w:val="continuous"/>
        </w:sectPr>
      </w:pPr>
    </w:p>
    <w:p>
      <w:pPr>
        <w:spacing w:after="0" w:line="14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Notes, if any are taken.</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The Underwriters propose to offer the Notes in part directly to the public at the initial public offering price set forth on the cover page of this Prospectus Supplement and in part to certain securities dealers at such price less a concession of % of the principal amount of the Notes. The Underwriters</w:t>
      </w:r>
    </w:p>
    <w:tbl>
      <w:tblPr>
        <w:tblLayout w:type="fixed"/>
        <w:tblInd w:w="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allow, and such dealers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may reallow, a</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concession not to exceed</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 of</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 of the</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Notes to certain brokers and dealers. After</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2"/>
        </w:trPr>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Notes are released for sale</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to the public,</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w w:val="99"/>
              </w:rPr>
              <w:t>the offering price and other</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selling</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may from time to time be varied by the Underwriters.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The Issuers have been advised by the Underwriters that they intend to make a market in the Notes but are not obligated to do so and may discontinue market making at any time without notice. No assurance can be given as to the liquidity of the trading market for the Notes.</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Issuers have agreed to indemnify the several Underwriters against certain liabilities, including liabilities under the Securities Act of 1933, as amended.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Securities Inc. is an affiliate of Chemical Bank, which is agent bank and a lender to the Issuers under the Bank Agreement and which will act as Trustee under the Subordinated Indenture. Chemical Bank will receive its proportionate share of the repayment by the Issuers of amounts outstanding under the Bank Agreement from the proceeds of the offering of the Notes. In addition, Chemical Bank, or its affiliates, participates on a regular basis in various general financing and banking transactions for the Issuers.</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rules of the National Association of Securities Dealers, Inc. ("NASD"), Chemical Securities Inc., which is an NASD member and is participating in the offering of the Notes as an Underwriter, may be considered an affiliate of Chemical Bank, which will receive more than ten percent of the net proceeds from the offering of the Notes. Accordingly, the offering of the Notes is being made in conformity with Article III, Section 44(c)(8) of the Rules of Fair Practice of the NASD. In accordance therewith, the yield to maturity of the Notes can be no lower than that recommended by a "qualified independent underwriter" who must also perform certain other functions in connection with the offering of the Notes. Goldman, Sachs &amp; Co. are assuming the responsibilities of acting as a "qualified independent underwriter" in establishing the minimum yield to maturity on the Notes and in conducting a "due diligence" review of the Company in connection with the offering of the Notes.</w:t>
      </w:r>
    </w:p>
    <w:p>
      <w:pPr>
        <w:spacing w:after="0" w:line="33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VALIDITY OF THE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validity of the Notes offered hereby will be passed upon for the Issuers by Craig D. Walley, Esq., Vice President, General Counsel and Secretary of Scotts and by Vorys, Sater, Seymour and Pease, Columbus, Ohio and for the Underwriters by Sullivan &amp; Cromwell, New York, New York. Vorys, Sater, Seymour and Pease may rely upon the opinion of Mr. Walley as to all matters of New York law. At June 21, 1994, Mr. Walley beneficially owned 90,536 shares of Scotts' Class A Common Stock and had options to purchase an additional 23,987 shares, of which options to purchase 5,273 shares were currently exercisable.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Logo]</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$100,000,000</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THE O.M. SCOTT &amp; SONS COMPANY</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DEBT SECURITIES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Scotts Company ("Scotts") and The O.M. Scott &amp; Sons Company ("OMS," and, together with Scotts, the "Issuers"), a wholly owned subsidiary of Scotts, may offer from time to time their unsecured senior or subordinated debt securities consisting of notes, debt securities or other evidences of indebtedness (the "Debt Securities") at an initial offering price (or net proceeds, in the case of Debt Securities issued at an original issue discount) not to exceed $100,000,000, or its equivalent in such other currency or in composite currencies or currency units as may be designated by the Issuers at the time of offering. The Debt Securities may be offered in one or more series in amounts, at prices and on terms to be determined in light of market conditions at the time of sale and set forth in a Prospectus Supplement or Prospectus Supplements. Scotts is a holding company, and all of Scotts' operations are conducted through OMS and OMS' subsidiaries. The Debt Securities will be the joint and several obligations of the Issuers.</w:t>
      </w:r>
    </w:p>
    <w:p>
      <w:pPr>
        <w:spacing w:after="0" w:line="182"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terms of each series of Debt Securities, including, where applicable, the specific designation, rank, aggregate principal amount, authorized denominations, maturities, rate or rates and time or times of payment of any interest, any terms for optional or mandatory redemption or payment of additional amounts or any sinking fund provisions, any initial public offering price, the proceeds to the Issuers and any other specific terms in connection with the offering and sale of such series (the "Offered Debt Securities") will be set forth in a Prospectus Supplement or Prospectus Supplements.</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Debt Securities may be sold directly by the Issuers, through agents designated from time to time or through underwriters or dealers. See "Plan of Distribution." If any agents of the Issuers or any underwriters are involved in the sale of any Debt Securities in respect of which this Prospectus is being delivered, the names of such agents or underwriters and any applicable commissions or discounts will be set forth in a Prospectus Supplement.</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AND EXCHANGE COMMISSION OR ANY STATE SECURITIES COMMISSION NOR HAS</w:t>
      </w:r>
    </w:p>
    <w:p>
      <w:pPr>
        <w:spacing w:after="0" w:line="4" w:lineRule="exact"/>
        <w:rPr>
          <w:sz w:val="20"/>
          <w:szCs w:val="20"/>
          <w:color w:val="auto"/>
        </w:rPr>
      </w:pPr>
    </w:p>
    <w:p>
      <w:pPr>
        <w:jc w:val="center"/>
        <w:ind w:left="320" w:right="720"/>
        <w:spacing w:after="0" w:line="242" w:lineRule="auto"/>
        <w:rPr>
          <w:sz w:val="20"/>
          <w:szCs w:val="20"/>
          <w:color w:val="auto"/>
        </w:rPr>
      </w:pPr>
      <w:r>
        <w:rPr>
          <w:rFonts w:ascii="Courier New" w:cs="Courier New" w:eastAsia="Courier New" w:hAnsi="Courier New"/>
          <w:sz w:val="15"/>
          <w:szCs w:val="15"/>
          <w:color w:val="auto"/>
        </w:rPr>
        <w:t>THE SECURITIES AND EXCHANGE COMMISSION OR ANY STATE SECURITIES COMMISSION PASSED UPON THE ACCURACY OR ADEQUACY OF THIS PROSPECTUS. ANY REPRESENTATION TO THE CONTRARY IS A CRIMINAL OFFENSE.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date of this Prospectus is June 21, 1994.</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be obtained from the Public Reference Section of the Commission at 450 Fifth Street, N.W., Washington, D.C. 20549, at prescribed rates.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have filed a registration statement on Form S-3 (together with all amendments and exhibits thereto, the "Registration Statement") under the Securities Act of 1933, as amended. This Prospectus does not contain all of the information set forth in the Registration Statement, certain parts of which are omitted in accordance with the rules and regulations of the Commission. For further information, reference is made to the Registration Statement and the exhibits filed as part thereof. Statements contained herein concerning provisions of any document filed as an exhibit are not necessarily complete and, in each instance, reference is made to the copy of each document filed as an exhibit to the Registration Statement.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Annual Report on Form 10-K for the fiscal year ended September 30, 1993; Scotts' Current Report on Form 8-K, dated December 30, 1993; Scotts' Quarterly Reports on Form 10-Q for the fiscal quarters ended January 1, 1994 and April 2, 1994, respectively; Scotts' Current Report on Form 8-K/A, dated February 28, 1994; and all other documents filed by Scotts pursuant to Sections 13(a), 13(c), 14 or 15(d) of the Exchange Act subsequent to the date of this Prospectus and prior to the termination of the offering of the Debt Securities, which documents are filed with the Commission (File No. 0-19768) pursuant to the Exchange Act, are incorporated herein by reference.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modified or superseded, to constitute a part of this Prospectus.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will provide without charge to each person to whom a copy of this Prospectus is delivered, upon the request of any such person, a copy of all of the documents which are incorporated herein by reference, other than exhibits to such documents (unless such exhibits are specifically incorporated by reference into such documents). Requests should be directed to The Scotts Company, 14111 Scottslawn Road, Marysville, Ohio 43041, Attention: Chief Financial Officer, telephone (513) 644-0011.</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INVESTMENT CONSIDERATIONS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Prospective purchasers of any Debt Securities should consider carefully, in addition to the other information contained in this Prospectus, the following factors.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WEATHER CONDITIONS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business is highly seasonal, with approximately 70% of net sales occurring in the second and third fiscal quarters. Unexpected production or transportation difficulties occurring at a time of peak production or sales could cause sales losses which could not readily be recovered in the current year.</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the Company's consumer business may be adversely affected by the weather. Poor weekend weather during the Spring tends to adversely affect consumer purchases of do-it-yourself lawn care products. Historically, the Company has attempted to lessen the impact of possible adverse weather by offering promotional programs at the retailer and consumer level to encourage consumer purchases in the early Spring. Management believes this strategy and the international scope of the Company's business reduces, but does not eliminate, the Company's vulnerability to poor Spring weekend weather.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of the components of the Company's products and the harvesting of certain of Hyponex's organic products are subject to regulation by the United States Environmental Protection Agency (the "EPA"), other federal agencies and departments, and similar foreign, state and local agencies. Such regulations may affect the Company by restricting or prohibiting the use of these components or such harvesting. The EPA and similar state agencies may also affect the Company's business by regulating the disposal of waste generated in the conduct of the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Kmart Corporation, including its Builders' Square unit ("Kmart"), and Home Depot accounted for approximately 21.9% and 9.3%, respectively, of the Company's net sales in fiscal 1993, which reflects their significant position in the retail lawn and garden market. Although the Company considers its relations with Kmart and Home Depot to be good, the loss of either of these customers or a substantial decrease in the amount of their purchases could have a material adverse effect on the Company's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IMPOSED BY LENDERS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discretion of the management of the Company with respect to certain business matters is limited by covenants contained in the Third Amended and Restated Credit Agreement, dated April 7, 1992, as amended (the "Bank Agreement"), among Scotts, OMS, Chemical Bank, as agent, and the lenders named therein. Among other things, these covenants limit or prohibit the Company from incurring additional indebtedness, creating liens, entering into mergers, acquisitions or divestitures, making distributions with respect to capital stock, making capital expenditures and making investments and loans, and require the Company to maintain certain ratios or amounts related to interest expense coverage, current assets, operating profit and net worth. See "Description of the Bank Agreement" for additional information concerning the Bank Agreement.</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 brand and other labels. The Company has broadened and strengthened its organic product line as a result of its recent acquisition of Sierra, which manufactures Peters Professional potting soil (see "--Sierra Acquisition"). Management estimates that the Company has the leading market share in the total U.S. branded organic products market and over a 50% share of the U.S. retail potting soil segment.</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both mass merchandisers and independent retailers, and internationally in Canada, Japan and Europe through various distribution channels.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 (for commercial horticulture), ProGrow (for the landscape market) and Peters and MetroMix (for greenhouses and commercial nurseries). Depending on the market segment, these products are sold through distributors, directly through the Company's agronomically trained technical representatives, or through Company-operated stores.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Untied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also have significant positions in Europe, Australia, New Zealand and the Pacific Rim. A recently formed unit within the Professional Business Group, under the ProGrow name, will concentrate on marketing Scotts products to professional turf and landscape customers other than golf courses and sports fields, such as lawn care service companies.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Company's business strategy is to be the premier global manufacturer and marketer of products used in landscape growth and maintenance. The major elements of the Company's strategy are to:</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these three retailers increased approximately 28% from fiscal 1992 to fiscal 1993 and accounted for 39%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SIERRA ACQUISITION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December 16, 1993, the Company acquired Sierra from W.R. Grace &amp; Co.-Conn., and other investors, for approximately $123 million in cash. Sierra, a leading manufacturer and marketer of specialty fertilizers, pesticides and premium growing media used in commercial horticulture, golf course and consumer applications, had net sales of approximately $108.7 million for the period from January 1, 1993, through December 16, 1993. Its products are manufactured in six plants located in the United States and one in The Netherlands. Sierra markets its products in the United States and internationally under brand names including Peters, Osmocote, Once and Terra-Lite. Through Sierra's overseas subsidiaries, products are distributed in numerous foreign markets, including, among others, Australia, Europe and the Pacific Rim. Approximately 25% of Sierra's 1993 net sales were abroad.</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 See "Unaudited Pro Forma Financial Data."</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HISTORY</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Company traces its roots back to the seed business founded in 1870 by Orlando McLean Scott in Marysville, Ohio. In 1986, OMS was purchased by Clayton</w:t>
      </w:r>
    </w:p>
    <w:p>
      <w:pPr>
        <w:ind w:left="8" w:right="3079" w:hanging="8"/>
        <w:spacing w:after="0" w:line="242" w:lineRule="auto"/>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Dubilier (now Clayton, Dubilier &amp; Rice, Inc.), a private investment firm, members of management and other investors from ITT Corporation in a leveraged transaction. The Company acquired the lawn and garden business of Hyponex in November 1988 through a series of mergers for approximately $111.4 million. In February 1992, the Company completed the initial public offering of its common stock and received net proceeds of approximately $159.5 million, which were used to redeem certain notes and debentures issued in 1986 in connection with the leveraged transaction and to reduce other outstanding indebtedness. The Company acquired Republic, a garden tool and lawn spreader manufacturer, in November 1992 for approximately $16 million. In February 1993, the Company repurchased all 2.4 million shares of its Class A Common Stock owned by Clayton, Dubilier &amp; Rice, Inc. for approximately $41.4 million. The Company acquired Sierra, then known as Grace-Sierra Horticultural Products Company, on December 16, 1993 for approximately $123 million.</w:t>
      </w:r>
    </w:p>
    <w:p>
      <w:pPr>
        <w:spacing w:after="0" w:line="182" w:lineRule="exact"/>
        <w:rPr>
          <w:sz w:val="20"/>
          <w:szCs w:val="20"/>
          <w:color w:val="auto"/>
        </w:rPr>
      </w:pPr>
    </w:p>
    <w:p>
      <w:pPr>
        <w:ind w:left="8" w:right="3259" w:firstLine="447"/>
        <w:spacing w:after="0" w:line="274" w:lineRule="auto"/>
        <w:rPr>
          <w:sz w:val="20"/>
          <w:szCs w:val="20"/>
          <w:color w:val="auto"/>
        </w:rPr>
      </w:pPr>
      <w:r>
        <w:rPr>
          <w:rFonts w:ascii="Courier New" w:cs="Courier New" w:eastAsia="Courier New" w:hAnsi="Courier New"/>
          <w:sz w:val="14"/>
          <w:szCs w:val="14"/>
          <w:color w:val="auto"/>
        </w:rPr>
        <w:t>The Company's principal executive offices are located at 14111 Scottslawn Road, Marysville, Ohio 43041, and its telephone number is (513) 644-0011.</w:t>
      </w:r>
    </w:p>
    <w:p>
      <w:pPr>
        <w:spacing w:after="0" w:line="15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Company's Bank Agreement currently provides that the net proceeds to the Company from the offering of any of the Debt Securities, after payment of any offering expenses and underwriting discounts or commissions, be used to repay term loans under the Bank Agreement. Such term loans mature semi-annually through final maturity on September 30, 2000, and, as of September 30, 1993, bore a weighted average interest rate of 5.5%. See "Description of Bank Agreement."</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76" w:lineRule="exact"/>
        <w:rPr>
          <w:sz w:val="20"/>
          <w:szCs w:val="20"/>
          <w:color w:val="auto"/>
        </w:rPr>
      </w:pPr>
    </w:p>
    <w:p>
      <w:pPr>
        <w:ind w:right="3760" w:firstLine="447"/>
        <w:spacing w:after="0" w:line="242" w:lineRule="auto"/>
        <w:rPr>
          <w:sz w:val="20"/>
          <w:szCs w:val="20"/>
          <w:color w:val="auto"/>
        </w:rPr>
      </w:pPr>
      <w:r>
        <w:rPr>
          <w:rFonts w:ascii="Courier New" w:cs="Courier New" w:eastAsia="Courier New" w:hAnsi="Courier New"/>
          <w:sz w:val="15"/>
          <w:szCs w:val="15"/>
          <w:color w:val="auto"/>
        </w:rPr>
        <w:t>The following table sets forth selected historical financial data of the Company on a consolidated basis. The statement of operations data for the fiscal years ended September 30, 1989, 1990, 1991, 1992 and 1993, and the balance sheet data as of September 30, 1989, 1990, 1991, 1992 and 1993 were derived from the audited Consolidated Financial Statements of the Company. The selected historical financial data should be read in conjunction with the Company's Consolidated Financial Statements and Notes thereto and "Management's Discussion and Analysis of Financial Condition and Results of Operations" appearing elsewhere herein.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FISCAL YEAR ENDED SEPTEMBER 30,</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6520" w:type="dxa"/>
            <w:vAlign w:val="bottom"/>
            <w:gridSpan w:val="1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1989(1)</w:t>
            </w:r>
          </w:p>
        </w:tc>
        <w:tc>
          <w:tcPr>
            <w:tcW w:w="36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1990</w:t>
            </w:r>
          </w:p>
        </w:tc>
        <w:tc>
          <w:tcPr>
            <w:tcW w:w="28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1993(2)</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60" w:type="dxa"/>
            <w:vAlign w:val="bottom"/>
            <w:gridSpan w:val="9"/>
          </w:tcPr>
          <w:p>
            <w:pPr>
              <w:jc w:val="right"/>
              <w:ind w:right="645"/>
              <w:spacing w:after="0"/>
              <w:rPr>
                <w:sz w:val="20"/>
                <w:szCs w:val="20"/>
                <w:color w:val="auto"/>
              </w:rPr>
            </w:pPr>
            <w:r>
              <w:rPr>
                <w:rFonts w:ascii="Courier New" w:cs="Courier New" w:eastAsia="Courier New" w:hAnsi="Courier New"/>
                <w:sz w:val="15"/>
                <w:szCs w:val="15"/>
                <w:color w:val="auto"/>
              </w:rPr>
              <w:t>(DOLLARS IN THOUSANDS, EXCEPT FOR SHARE DATA AND RATIOS)</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 (3)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328,368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350,441</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388,120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413,558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180,185</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186,803</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207,956</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213,133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244,218</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148,183</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163,638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180,164</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200,425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50,222</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48,681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57,489</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66,245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74,579</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39,377</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55,628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57,056</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61,051</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67,377</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24,405</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23,965</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22,985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24,759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27,688</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4,714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5,247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7,700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118,634</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132,988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142,777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158,260</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177,344</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29,549</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30,650</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37,387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42,165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44,481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28,638</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37,411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32,932</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15,962</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9,114</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and cumulative effect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(6,761)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35,367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14,320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(6,904)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15,079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2,581</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 net of tax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(13,157)</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(6,904)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4,316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 (4)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 net of tax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during the period............................</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11,511,278</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11,976,733</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11,832,651</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18,014,151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19,687,013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20,474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17,785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18,144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6,722</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8,494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8,818</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19,896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15,158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EBITDA(5)......................................</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47,300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49,080</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53,269</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56,771</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61,598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EBITDA to interest expense............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1.46x</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1.42x</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1.72x</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3.56x</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7.29x</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charges(6)..........</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1.03x</w:t>
            </w: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1.14x</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2.40x</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4.08x</w:t>
            </w:r>
          </w:p>
        </w:tc>
      </w:tr>
    </w:tbl>
    <w:p>
      <w:pPr>
        <w:spacing w:after="0" w:line="200" w:lineRule="exact"/>
        <w:rPr>
          <w:sz w:val="20"/>
          <w:szCs w:val="20"/>
          <w:color w:val="auto"/>
        </w:rPr>
      </w:pPr>
    </w:p>
    <w:p>
      <w:pPr>
        <w:sectPr>
          <w:pgSz w:w="11900" w:h="16838" w:orient="portrait"/>
          <w:cols w:equalWidth="0" w:num="1">
            <w:col w:w="10900"/>
          </w:cols>
          <w:pgMar w:left="240" w:top="289" w:right="759" w:bottom="1440" w:gutter="0" w:footer="0" w:header="0"/>
        </w:sectPr>
      </w:pP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900"/>
          </w:cols>
          <w:pgMar w:left="240" w:top="289" w:right="759" w:bottom="1440" w:gutter="0" w:footer="0" w:header="0"/>
          <w:type w:val="continuous"/>
        </w:sectPr>
      </w:pPr>
    </w:p>
    <w:bookmarkStart w:id="27" w:name="page28"/>
    <w:bookmarkEnd w:id="27"/>
    <w:tbl>
      <w:tblPr>
        <w:tblLayout w:type="fixed"/>
        <w:tblInd w:w="8" w:type="dxa"/>
        <w:tblCellMar>
          <w:top w:w="0" w:type="dxa"/>
          <w:left w:w="0" w:type="dxa"/>
          <w:bottom w:w="0" w:type="dxa"/>
          <w:right w:w="0" w:type="dxa"/>
        </w:tblCellMar>
      </w:tblPr>
      <w:tr>
        <w:trPr>
          <w:trHeight w:val="170"/>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4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gridSpan w:val="4"/>
          </w:tcPr>
          <w:p>
            <w:pPr>
              <w:jc w:val="right"/>
              <w:ind w:right="605"/>
              <w:spacing w:after="0"/>
              <w:rPr>
                <w:sz w:val="20"/>
                <w:szCs w:val="20"/>
                <w:color w:val="auto"/>
              </w:rPr>
            </w:pPr>
            <w:r>
              <w:rPr>
                <w:rFonts w:ascii="Courier New" w:cs="Courier New" w:eastAsia="Courier New" w:hAnsi="Courier New"/>
                <w:sz w:val="15"/>
                <w:szCs w:val="15"/>
                <w:color w:val="auto"/>
              </w:rPr>
              <w:t>FISCAL YEAR ENDED SEPTEMBER 30,</w:t>
            </w:r>
          </w:p>
        </w:tc>
        <w:tc>
          <w:tcPr>
            <w:tcW w:w="1120" w:type="dxa"/>
            <w:vAlign w:val="bottom"/>
          </w:tcPr>
          <w:p>
            <w:pPr>
              <w:spacing w:after="0"/>
              <w:rPr>
                <w:sz w:val="24"/>
                <w:szCs w:val="24"/>
                <w:color w:val="auto"/>
              </w:rPr>
            </w:pPr>
          </w:p>
        </w:tc>
      </w:tr>
      <w:tr>
        <w:trPr>
          <w:trHeight w:val="172"/>
        </w:trPr>
        <w:tc>
          <w:tcPr>
            <w:tcW w:w="4380" w:type="dxa"/>
            <w:vAlign w:val="bottom"/>
          </w:tcPr>
          <w:p>
            <w:pPr>
              <w:spacing w:after="0"/>
              <w:rPr>
                <w:sz w:val="14"/>
                <w:szCs w:val="14"/>
                <w:color w:val="auto"/>
              </w:rPr>
            </w:pPr>
          </w:p>
        </w:tc>
        <w:tc>
          <w:tcPr>
            <w:tcW w:w="6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1989(1)</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1990</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1993(2)</w:t>
            </w:r>
          </w:p>
        </w:tc>
      </w:tr>
      <w:tr>
        <w:trPr>
          <w:trHeight w:val="172"/>
        </w:trPr>
        <w:tc>
          <w:tcPr>
            <w:tcW w:w="438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6440" w:type="dxa"/>
            <w:vAlign w:val="bottom"/>
            <w:gridSpan w:val="6"/>
          </w:tcPr>
          <w:p>
            <w:pPr>
              <w:jc w:val="right"/>
              <w:ind w:right="565"/>
              <w:spacing w:after="0"/>
              <w:rPr>
                <w:sz w:val="20"/>
                <w:szCs w:val="20"/>
                <w:color w:val="auto"/>
              </w:rPr>
            </w:pPr>
            <w:r>
              <w:rPr>
                <w:rFonts w:ascii="Courier New" w:cs="Courier New" w:eastAsia="Courier New" w:hAnsi="Courier New"/>
                <w:sz w:val="15"/>
                <w:szCs w:val="15"/>
                <w:color w:val="auto"/>
              </w:rPr>
              <w:t>(DOLLARS IN THOUSANDS, EXCEPT FOR SHARE DATA AND RATIOS)</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PERIOD)(3)</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10,363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18,230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21,260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78,891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85,976</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83,384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79,903</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98,791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276,253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270,429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260,729</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268,021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201,203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192,915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182,954</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92,524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stockholders' equity (deficit)...........</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2,555</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(12,677)</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(9,961)</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143,013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348"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Hyponex from November 11, 1988.</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spacing w:after="0" w:line="175" w:lineRule="exact"/>
        <w:rPr>
          <w:rFonts w:ascii="Courier New" w:cs="Courier New" w:eastAsia="Courier New" w:hAnsi="Courier New"/>
          <w:sz w:val="15"/>
          <w:szCs w:val="15"/>
          <w:color w:val="auto"/>
        </w:rPr>
      </w:pPr>
    </w:p>
    <w:p>
      <w:pPr>
        <w:ind w:left="348" w:right="4120"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1993 presentation; these changes did not impact net income.</w:t>
      </w:r>
    </w:p>
    <w:p>
      <w:pPr>
        <w:spacing w:after="0" w:line="176" w:lineRule="exact"/>
        <w:rPr>
          <w:rFonts w:ascii="Courier New" w:cs="Courier New" w:eastAsia="Courier New" w:hAnsi="Courier New"/>
          <w:sz w:val="15"/>
          <w:szCs w:val="15"/>
          <w:color w:val="auto"/>
        </w:rPr>
      </w:pPr>
    </w:p>
    <w:p>
      <w:pPr>
        <w:ind w:left="348" w:right="3760"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share for fiscal 1991 and 1990 has been restated to eliminate the effect of accretion to redemption value of redeemable common stock to be comparable with fiscal 1992. All per share amounts for fiscal 1988 through 1991 have been adjusted for the January 1992 reverse stock split, in which every 2.2 shares of old Class A Common Stock were exchanged for one share of new Class A Common Stock.</w:t>
      </w:r>
    </w:p>
    <w:p>
      <w:pPr>
        <w:spacing w:after="0" w:line="176" w:lineRule="exact"/>
        <w:rPr>
          <w:rFonts w:ascii="Courier New" w:cs="Courier New" w:eastAsia="Courier New" w:hAnsi="Courier New"/>
          <w:sz w:val="15"/>
          <w:szCs w:val="15"/>
          <w:color w:val="auto"/>
        </w:rPr>
      </w:pPr>
    </w:p>
    <w:p>
      <w:pPr>
        <w:ind w:left="348" w:right="3680"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EBITDA is defined as income from operations plus depreciation and amortization included therein. Deferred financing costs which have been incurred and capitalized in connection with financing the Company's operations and acquisitions are being amortized and reported as a portion of interest expense and therefore have been excluded from the calculation of depreciation and amortization used in the calculation of EBITDA. The Company believes that EBITDA is generally recognized as an indicator of a Company's ability to service its debt and capital expenditure requirements. However, EBITDA is not intended to be a performance measure that should be regarded as an alternative either to income from operations or net income or as an indicator of operating performance or cash flows as a measure of liquidity, as determined in accordance with generally accepted accounting principles.</w:t>
      </w:r>
    </w:p>
    <w:p>
      <w:pPr>
        <w:spacing w:after="0" w:line="180" w:lineRule="exact"/>
        <w:rPr>
          <w:rFonts w:ascii="Courier New" w:cs="Courier New" w:eastAsia="Courier New" w:hAnsi="Courier New"/>
          <w:sz w:val="15"/>
          <w:szCs w:val="15"/>
          <w:color w:val="auto"/>
        </w:rPr>
      </w:pPr>
    </w:p>
    <w:p>
      <w:pPr>
        <w:ind w:left="348" w:right="3680"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continuing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828"/>
          </w:cols>
          <w:pgMar w:left="232" w:top="289" w:right="83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UNAUDITED PRO FORMA FINANCIAL DATA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financial information of the Company has been derived from the Consolidated Financial Statements of the Company and the Consolidated Financial Statements of Sierra. The Pro Forma Consolidated Statement of Operations gives effect to the acquisition of Sierra, which occurred on December 16, 1993, as if it had occurred on October 1, 1992.</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 FORMA INFORMATION AND ACCOMPANYING NOTES SHOULD BE READ IN CONJUNCTION WITH THE COMPANY'S CONSOLIDATED FINANCIAL STATEMENTS AND NOTES THERETO APPEARING ELSEWHERE HEREIN AND WITH SIERRA'S CONSOLIDATED FINANCIAL STATEMENTS AND NOTES THERETO INCORPORATED BY REFERENCE HEREIN. THE PRO FORMA INFORMATION DOES NOT PURPORT TO REPRESENT WHAT THE COMPANY'S RESULTS OF OPERATIONS ACTUALLY WOULD HAVE BEEN HAD THE ACQUISITION OF SIERRA OCCURRED ON OCTOBER 1, 1992 OR TO PROJECT THE COMPANY'S RESULTS OF OPERATIONS FOR ANY FUTURE PERIOD. THE PRO FORMA FINANCIAL INFORMATION IS BASED ON ESTIMATES OF FINANCIAL EFFECTS THAT MAY NOT PROVE TO BE ACCURATE OVER TIME.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9" w:name="page30"/>
    <w:bookmarkEnd w:id="29"/>
    <w:tbl>
      <w:tblPr>
        <w:tblLayout w:type="fixed"/>
        <w:tblInd w:w="8" w:type="dxa"/>
        <w:tblCellMar>
          <w:top w:w="0" w:type="dxa"/>
          <w:left w:w="0" w:type="dxa"/>
          <w:bottom w:w="0" w:type="dxa"/>
          <w:right w:w="0" w:type="dxa"/>
        </w:tblCellMar>
      </w:tblPr>
      <w:tr>
        <w:trPr>
          <w:trHeight w:val="170"/>
        </w:trPr>
        <w:tc>
          <w:tcPr>
            <w:tcW w:w="3040" w:type="dxa"/>
            <w:vAlign w:val="bottom"/>
          </w:tcPr>
          <w:p>
            <w:pPr>
              <w:jc w:val="right"/>
              <w:ind w:right="2525"/>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59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PRO FORMA CONSOLIDATED STATEMENT OF OPERATIONS</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4"/>
        </w:trPr>
        <w:tc>
          <w:tcPr>
            <w:tcW w:w="590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FOR THE YEAR ENDED SEPTEMBER 30, 1993</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4"/>
        </w:trPr>
        <w:tc>
          <w:tcPr>
            <w:tcW w:w="3040" w:type="dxa"/>
            <w:vAlign w:val="bottom"/>
          </w:tcPr>
          <w:p>
            <w:pPr>
              <w:spacing w:after="0"/>
              <w:rPr>
                <w:sz w:val="24"/>
                <w:szCs w:val="24"/>
                <w:color w:val="auto"/>
              </w:rPr>
            </w:pPr>
          </w:p>
        </w:tc>
        <w:tc>
          <w:tcPr>
            <w:tcW w:w="1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6"/>
        </w:trPr>
        <w:tc>
          <w:tcPr>
            <w:tcW w:w="304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SCOTTS</w:t>
            </w:r>
          </w:p>
        </w:tc>
        <w:tc>
          <w:tcPr>
            <w:tcW w:w="400" w:type="dxa"/>
            <w:vAlign w:val="bottom"/>
          </w:tcPr>
          <w:p>
            <w:pPr>
              <w:spacing w:after="0"/>
              <w:rPr>
                <w:sz w:val="24"/>
                <w:szCs w:val="24"/>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SIERRA</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COMPANY</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HISTORICAL</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w:t>
            </w:r>
          </w:p>
        </w:tc>
        <w:tc>
          <w:tcPr>
            <w:tcW w:w="400" w:type="dxa"/>
            <w:vAlign w:val="bottom"/>
          </w:tcPr>
          <w:p>
            <w:pPr>
              <w:spacing w:after="0"/>
              <w:rPr>
                <w:sz w:val="14"/>
                <w:szCs w:val="14"/>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1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3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5540" w:type="dxa"/>
            <w:vAlign w:val="bottom"/>
            <w:gridSpan w:val="9"/>
          </w:tcPr>
          <w:p>
            <w:pPr>
              <w:ind w:left="260"/>
              <w:spacing w:after="0"/>
              <w:rPr>
                <w:sz w:val="20"/>
                <w:szCs w:val="20"/>
                <w:color w:val="auto"/>
              </w:rPr>
            </w:pPr>
            <w:r>
              <w:rPr>
                <w:rFonts w:ascii="Courier New" w:cs="Courier New" w:eastAsia="Courier New" w:hAnsi="Courier New"/>
                <w:sz w:val="15"/>
                <w:szCs w:val="15"/>
                <w:color w:val="auto"/>
              </w:rPr>
              <w:t>(DOLLAR IN THOUSANDS, EXCEPT PER SHARE DATA AND RATIOS)</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466,043</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119,275</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585,318</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Cost of sales.....................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244,218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66,135</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311,602</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221,825</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53,140</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(1,249)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273,716</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Marketing.......................</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74,579</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23,243</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97,822</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Distribution....................</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67,377</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4,025</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71,402</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27,688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8,837</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36,689</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7,700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4,114</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11,814</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177,344</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40,219</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217,727</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from operations............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44,481</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12,921</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55,989</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8,454</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7,514</w:t>
            </w:r>
          </w:p>
        </w:tc>
        <w:tc>
          <w:tcPr>
            <w:tcW w:w="58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(507)(4)</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15,461</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expense, net................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1,030</w:t>
            </w:r>
          </w:p>
        </w:tc>
        <w:tc>
          <w:tcPr>
            <w:tcW w:w="5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changes.........................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35,367</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4,377</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(3,669)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36,075</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1,727</w:t>
            </w:r>
          </w:p>
        </w:tc>
        <w:tc>
          <w:tcPr>
            <w:tcW w:w="5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(246) (6)</w:t>
            </w:r>
          </w:p>
        </w:tc>
        <w:tc>
          <w:tcPr>
            <w:tcW w:w="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15,801</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cumulative effect of</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accounting changes..............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21,047</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2,650</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(3,423)</w:t>
            </w:r>
          </w:p>
        </w:tc>
        <w:tc>
          <w:tcPr>
            <w:tcW w:w="360" w:type="dxa"/>
            <w:vAlign w:val="bottom"/>
          </w:tcPr>
          <w:p>
            <w:pPr>
              <w:spacing w:after="0"/>
              <w:rPr>
                <w:sz w:val="14"/>
                <w:szCs w:val="14"/>
                <w:color w:val="auto"/>
              </w:rPr>
            </w:pPr>
          </w:p>
        </w:tc>
        <w:tc>
          <w:tcPr>
            <w:tcW w:w="220" w:type="dxa"/>
            <w:vAlign w:val="bottom"/>
          </w:tcPr>
          <w:p>
            <w:pPr>
              <w:jc w:val="right"/>
              <w:ind w:right="66"/>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20,274</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Earnings per common share before</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changes.........................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19,687,013</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19,687,013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Pro Forma Data:</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18,144</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3,840</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3,262</w:t>
            </w:r>
          </w:p>
        </w:tc>
        <w:tc>
          <w:tcPr>
            <w:tcW w:w="3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25,246</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EBITDA (7)......................</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60,938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15,623</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75,647</w:t>
            </w:r>
          </w:p>
        </w:tc>
      </w:tr>
    </w:tbl>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EBITDA to interest</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expense......................</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7.21x</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2.08x</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4.89x</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earnings to fixed</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charges (8)..................</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4.08x</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1.49x</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2.81x</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Sierra's historical statement of operations to conform to The Scotts Company classifications. To conform Sierra's fiscal year of December 31, 1993 to the Company's fiscal year of September 30, 1993, Sierra's results of operations for the three months ended December 31, 1993 have been excluded and its results of operations for the three months ended December 31, 1992 have been included in the pro forma presentation. Net sales and net income for these respective three month periods were:</w:t>
      </w: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8" w:lineRule="exact"/>
        <w:rPr>
          <w:sz w:val="20"/>
          <w:szCs w:val="20"/>
          <w:color w:val="auto"/>
        </w:rPr>
      </w:pPr>
    </w:p>
    <w:p>
      <w:pPr>
        <w:ind w:left="5368"/>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8"/>
        <w:spacing w:after="0"/>
        <w:tabs>
          <w:tab w:leader="none" w:pos="6508"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4" w:lineRule="exact"/>
        <w:rPr>
          <w:sz w:val="20"/>
          <w:szCs w:val="20"/>
          <w:color w:val="auto"/>
        </w:rPr>
      </w:pPr>
    </w:p>
    <w:p>
      <w:pPr>
        <w:ind w:left="5268"/>
        <w:spacing w:after="0"/>
        <w:tabs>
          <w:tab w:leader="none" w:pos="642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Net sales..........................................</w:t>
      </w:r>
    </w:p>
    <w:p>
      <w:pPr>
        <w:spacing w:after="0" w:line="13"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Net (loss) income..................................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$25,705</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(784)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4"/>
          <w:szCs w:val="14"/>
          <w:color w:val="auto"/>
        </w:rPr>
        <w:t>$27,798</w:t>
      </w:r>
    </w:p>
    <w:p>
      <w:pPr>
        <w:spacing w:after="0" w:line="1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485</w:t>
      </w:r>
    </w:p>
    <w:p>
      <w:pPr>
        <w:spacing w:after="0" w:line="200" w:lineRule="exact"/>
        <w:rPr>
          <w:sz w:val="20"/>
          <w:szCs w:val="20"/>
          <w:color w:val="auto"/>
        </w:rPr>
      </w:pPr>
    </w:p>
    <w:p>
      <w:pPr>
        <w:sectPr>
          <w:pgSz w:w="11900" w:h="16838" w:orient="portrait"/>
          <w:cols w:equalWidth="0" w:num="3">
            <w:col w:w="5008" w:space="260"/>
            <w:col w:w="720" w:space="460"/>
            <w:col w:w="3779"/>
          </w:cols>
          <w:pgMar w:left="232" w:top="289"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This adjustment reflects the following:</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$ 1,140</w:t>
      </w:r>
      <w:r>
        <w:rPr>
          <w:sz w:val="20"/>
          <w:szCs w:val="20"/>
          <w:color w:val="auto"/>
        </w:rPr>
        <w:tab/>
      </w:r>
      <w:r>
        <w:rPr>
          <w:rFonts w:ascii="Courier New" w:cs="Courier New" w:eastAsia="Courier New" w:hAnsi="Courier New"/>
          <w:sz w:val="14"/>
          <w:szCs w:val="14"/>
          <w:color w:val="auto"/>
        </w:rPr>
        <w:t>manufacturing profit in acquired inventories</w:t>
      </w:r>
    </w:p>
    <w:p>
      <w:pPr>
        <w:spacing w:after="0" w:line="2" w:lineRule="exact"/>
        <w:rPr>
          <w:sz w:val="20"/>
          <w:szCs w:val="20"/>
          <w:color w:val="auto"/>
        </w:rPr>
      </w:pPr>
    </w:p>
    <w:p>
      <w:pPr>
        <w:ind w:left="1608" w:hanging="803"/>
        <w:spacing w:after="0"/>
        <w:tabs>
          <w:tab w:leader="none" w:pos="16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the step-up of tangible assets acquired</w:t>
      </w:r>
    </w:p>
    <w:p>
      <w:pPr>
        <w:spacing w:after="0" w:line="2" w:lineRule="exact"/>
        <w:rPr>
          <w:rFonts w:ascii="Courier New" w:cs="Courier New" w:eastAsia="Courier New" w:hAnsi="Courier New"/>
          <w:sz w:val="15"/>
          <w:szCs w:val="15"/>
          <w:color w:val="auto"/>
        </w:rPr>
      </w:pPr>
    </w:p>
    <w:p>
      <w:pPr>
        <w:ind w:left="1608" w:hanging="714"/>
        <w:spacing w:after="0"/>
        <w:tabs>
          <w:tab w:leader="none" w:pos="16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patents acquired</w:t>
      </w:r>
    </w:p>
    <w:p>
      <w:pPr>
        <w:spacing w:after="0" w:line="2" w:lineRule="exact"/>
        <w:rPr>
          <w:sz w:val="20"/>
          <w:szCs w:val="20"/>
          <w:color w:val="auto"/>
        </w:rPr>
      </w:pPr>
    </w:p>
    <w:p>
      <w:pPr>
        <w:ind w:left="1608" w:hanging="893"/>
        <w:spacing w:after="0"/>
        <w:tabs>
          <w:tab w:leader="none" w:pos="160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expenses related to assumed facilities leases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$ 1,249</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7" w:lineRule="exact"/>
        <w:rPr>
          <w:rFonts w:ascii="Courier New" w:cs="Courier New" w:eastAsia="Courier New" w:hAnsi="Courier New"/>
          <w:sz w:val="15"/>
          <w:szCs w:val="15"/>
          <w:color w:val="auto"/>
        </w:rPr>
      </w:pPr>
    </w:p>
    <w:p>
      <w:pPr>
        <w:ind w:left="348" w:right="4139"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amortize $164,000 of organizational costs associated with the acquisition.</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adjustment reflects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5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$ 6,781</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interest on</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acquisition indebtedness</w:t>
            </w: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w:t>
            </w:r>
          </w:p>
        </w:tc>
        <w:tc>
          <w:tcPr>
            <w:tcW w:w="5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amortization of deferred financing costs</w:t>
            </w:r>
          </w:p>
        </w:tc>
      </w:tr>
      <w:tr>
        <w:trPr>
          <w:trHeight w:val="172"/>
        </w:trPr>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(7,514)</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elimination</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w w:val="98"/>
              </w:rPr>
              <w:t>of interest on Sierra's retired indebtedness</w:t>
            </w:r>
          </w:p>
        </w:tc>
      </w:tr>
    </w:tbl>
    <w:p>
      <w:pPr>
        <w:spacing w:after="0" w:line="2" w:lineRule="exact"/>
        <w:rPr>
          <w:sz w:val="20"/>
          <w:szCs w:val="20"/>
          <w:color w:val="auto"/>
        </w:rPr>
      </w:pPr>
    </w:p>
    <w:p>
      <w:pPr>
        <w:ind w:left="1608" w:hanging="893"/>
        <w:spacing w:after="0"/>
        <w:tabs>
          <w:tab w:leader="none" w:pos="160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Sierra's deferred financing costs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(507)</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7" w:lineRule="exact"/>
        <w:rPr>
          <w:rFonts w:ascii="Courier New" w:cs="Courier New" w:eastAsia="Courier New" w:hAnsi="Courier New"/>
          <w:sz w:val="15"/>
          <w:szCs w:val="15"/>
          <w:color w:val="auto"/>
        </w:rPr>
      </w:pPr>
    </w:p>
    <w:p>
      <w:pPr>
        <w:ind w:left="348" w:right="3779"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amortize non-compete agreements ($1.2 million) and goodwill ($1.6 million).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domestic income taxes not previously recorded by Sierra due to its net operating loss position, as well as the tax effects of pro forma adjustments to interest expense, patent amortization, adjusted lease expense and amortization of non-compete agreements and goodwill at statutory federal and state income tax rates.</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to "Selected Historical Financial Data."</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to "Selected Historical Financial Data."</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89"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discussion should be read in conjunction with the Company's Consolidated Financial Statements and the Unaudited Pro Forma Financial Data and respective notes thereto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increasing share of consumer business attributable to mass merchandisers, as well as the December 1993 acquisition of Sierra, have affected and will continue to affect the Company in several ways.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Based on its experience in the past several years, management anticipates that a greater proportion of the Company's consumer products will be sold through the mass merchandiser distribution channel. Increased sales to mass merchandisers makes the Company's sales more seasonal, as the inventory controls and just-in-time ordering which mass merchandisers utilize tend to concentrate the Company's sales "in season" (I.E., during the second and third fiscal quarters). In addition, local regulatory efforts to decrease the amount of fertilizers and control products stored at golf courses have resulted in increasing reluctance by golf course customers to purchase products in the late Fall for Spring use. This reluctance has increased, and likely will continue to increase, the seasonality of the Company's business.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acquisition of Sierra should have an important impact on the Company. At the time of the acquisition, Sierra's business was primarily professional. On a pro forma basis, Sierra would have added approximately $100 million in net sales to the Company's Professional Business Group and approximately $15 million to the Company's Consumer Business Group for the fiscal year ended September 30, 1993. Management believes that Sierra's sales should offset to some extent the increasing seasonality of the Company's sales discussed above both because the Professional Business Group's customers tend to purchase the Company's products during a greater part of the fiscal year and because Sierra has substantial sales outside of the United States, where seasons and usage patterns are different. The Company believes that the acquisition of Sierra will also benefit the Company by providing fertilizer manufacturing facilities in a number of locations outside of Ohio, including one in The Netherlands, which, over the long term, should help ameliorate the Company's current manufacturing capacity limitations and help to control distribution costs while increasing customer service.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increase was due to increased sales volume.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sales of $244.2 million (52.4% of net sales) compared with $213.1 million (51.5% of net sales) in fiscal 1992. The increase was primarily caused by lower gross profit margins on Republic's products in fiscal 1993. Cost savings from the implementation of new controlled-release fertilizer technology, which exceeded start-up costs incurred early in fiscal 1993, partly offset the increase.</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expenses of $177.3 million increased by $19.1 million, or 12.1%. The increase was caused by increased investment in advertising and consumer rebates in fiscal 1993, higher distribution costs related to increased sales, and the inclusion of operating expenses for Republic which amounted to approximately $3.0 million from November through the end of the fiscal year.</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from operations of $44.5 million increased by $2.3 million or 5.5%, which resulted from increased sales, partially offset by increased operating expenses. The increase was also offset, in part, by additional pretax charges of $2.4 million, in fiscal 1993, resulting from the implementation of the Financial Accounting Standards Board ("FASB") Statement of Accounting Standards No. 106, "Employers' Accounting for Postretirement Benefits Other Than Pensions" ("SFAS 106").</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of $8.5 million decreased by $7.5 million or 47.0%. The decrease resulted from reduced borrowings and lower interest rates in fiscal 1993 including the effect of early redemption of subordinated notes and debentures. Reduced borrowings resulted from the application of the net proceeds of Scotts' January 1992 initial public offering and cash flow from operations, partly offset by the use of capital resources for the Republic acquisition, the purchase of Scotts' Class A Common Stock from Clayton, Dubilier &amp; Rice, Inc. and capital investment in 1993.</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1993.</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Net income of $7.9 million decreased by $7.7 million, or 49.4%. The decrease was attributable to current expense from the implementation of SFAS 106 and a non-recurring charge for the cumulative effect of the change in accounting in the amount of $14.9 million, net of tax. The decrease was partially offset by a non-recurring benefit of $1.8 million, related to implementation of FASB Statement of Accounting Standards No. 109, "Accounting for Income Taxes".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1992 COMPARED TO FISCAL 1991</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Net sales for the fiscal year ended September 30, 1992 of $413.6 million increased by $25.4 million, or 6.6%. Consumer Business Group sales of $322.6 million increased by $19.4 million, or 6.4%. This growth was derived from increased sales to major retailers, while geographical diversification offset the effect of locally unfavorable weather conditions and the soft economy. Professional Business Group sales of $90.1 million increased by $5.1 million, or 6.0%, primarily due to sales of new Poly-S([) fertilizer products and improved selling programs. Through its patented Poly-S technology, the Company produces nutrient particles with an inner coating of sulfur and an outer polymer coating.</w:t>
      </w:r>
    </w:p>
    <w:p>
      <w:pPr>
        <w:spacing w:after="0" w:line="162"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Cost of sales of $213.1 million (51.5% of net sales) for fiscal 1992 compared with $208.0 million (53.6% of net sales) for fiscal 1991. The decrease was partly attributable to favorable product costs, and, in part, to non-recurring costs in fiscal 1991 resulting from the contamination of certain of the Company's professional products with atrazine, a herbicide, and the resulting damage to the greens of a number of golf courses in the United States and Canada. These non-recurring costs totaled $2.2 million in fiscal 1991.</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Marketing expense of $66.2 million (16.0% of net sales) for fiscal 1992 compared with $57.5 million (14.8% of net sales) for fiscal 1991. The increase was primarily attributable to the cost of expanding geographic coverage of Scott's Early Bird rebate promotion and the addition of an on-bag rebate for selected Hyponex soil and bark products.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Distribution expense of $61.1 million for fiscal 1992 compares with $57.1 million for fiscal 1991 reflecting higher freight costs in 1992 on increased sales. Distribution expense in both fiscal 1992 and fiscal 1991 represented approximately 14.7% of net sales.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 of $24.8 million (6.0% of net sales) for fiscal 1992 compared with $23.0 million (5.9% of net sales) for fiscal 1991. The increase was partly caused by an increase in the cost of medical and pension benefits provided by the Company and partly by a general increase in costs in fiscal 1992.</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Other expense (net) of $.02 million for fiscal 1992 compares with other expense (net) of $2.0 million in fiscal 1991. The decrease was partly attributable to royalty income received in fiscal 1992</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 OMS under a licensing agreement permitting the use of Scott's name on certain lawnmowers manufactured and distributed by a licensee. The decrease was also attributable to non-recurring charges recorded in fiscal 1991 offset by foreign currency transaction losses recognized in 1992.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expenditures totaled $15.2 million and $19.9 million for the fiscal years ended September 30, 1993 and 1992, respectively, and are expected to total approximately $31.5 million in fiscal 1994. Capital expenditures planned for fiscal 1994 include a substantial addition to the Company's Marysville, Ohio production facilities estimated to be $13 million. The most significant project planned is a new production building to manufacture products using Scott's new patented controlled-release fertilizer Poly-S(R) technology. The facility will provide additional production capacity in response to customer demand for Poly-S(R) products. The Bank Agreement, as amended on December 16, 1993, restricts the amount the Company may spend on future capital expenditures to $35 million per year in fiscal 1994 and thereafter. These expenditures will be financed with cash provided by operations and utilization of available credit facilities.</w:t>
      </w:r>
    </w:p>
    <w:p>
      <w:pPr>
        <w:spacing w:after="0" w:line="181"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Effective November 19, 1992, OMS acquired Republic for a purchase price of approximately $16.4 million. A description of the Republic acquisition is found in Note 2 on page F-9 of this Prospectus.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February 23, 1993, Scotts purchased all of the shares of its Class A Common Stock held by a fund managed by Clayton, Dubilier &amp; Rice, Inc. A total of 2,414,895 shares of Class A Common Stock were purchased for approximately $41.4 million which was financed through the use of term loans under the Bank Agreement which is described below.</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December 16, 1993, OMS completed the acquisition of Sierra for an aggregate purchase price of approximately $123.3 million, including estimated transaction costs of $3.3 million. The acquisition was financed through the use of term loans under the Bank Agreement. Chemical Bank serves as agent for the participating banks.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Primarily as the result of the inclusion of Republic's current assets, current assets increased from $115.5 million on September 30, 1992 to $143.7 million on September 30, 1993. Higher inventories of the Company's products at September 30, 1993 also contributed to the increase.</w:t>
      </w:r>
    </w:p>
    <w:p>
      <w:pPr>
        <w:spacing w:after="0" w:line="175" w:lineRule="exact"/>
        <w:rPr>
          <w:sz w:val="20"/>
          <w:szCs w:val="20"/>
          <w:color w:val="auto"/>
        </w:rPr>
      </w:pPr>
    </w:p>
    <w:p>
      <w:pPr>
        <w:ind w:right="3339" w:firstLine="447"/>
        <w:spacing w:after="0" w:line="265" w:lineRule="auto"/>
        <w:rPr>
          <w:sz w:val="20"/>
          <w:szCs w:val="20"/>
          <w:color w:val="auto"/>
        </w:rPr>
      </w:pPr>
      <w:r>
        <w:rPr>
          <w:rFonts w:ascii="Courier New" w:cs="Courier New" w:eastAsia="Courier New" w:hAnsi="Courier New"/>
          <w:sz w:val="14"/>
          <w:szCs w:val="14"/>
          <w:color w:val="auto"/>
        </w:rPr>
        <w:t>Total liabilities of $178.6 million, at September 30, 1993, increased by $86.5 million. The increase was principally due to the addition of term loans for the purchase of Class A Common Stock mentioned above and a long-term liability related to the adoption of SFAS 106 effective October 1, 1992.</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shareholders' equity decreased from $175.9 million on September 30,</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1992 to $143.0 million on September 30, 1993, primarily due to a reduction in total shareholders' equity for treasury stock representing the Class A Common Stock purchased in February 1993.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major sources of liquidity for Company operations and expansion are funds generated internally and borrowings under the Bank Agreement. The Bank Agreement was amended in November 1992 to permit the acquisition of Republic, amended in February 1993 to provide financing for and permission to purchase the Class A Common Stock mentioned above and amended again in December 1993 to provide financing for and permit the acquisition of Sierra. As amended, the Bank Agreement provides a revolving credit commitment of $150.0 million through March 31, 1996 and $195.0 million of term loans with scheduled maturities commencing on April 30, 1994 and extending through September 30, 2000. The loans are provided by Chemical Bank, as agent, and thirteen other participating banks. The increased credit availability provided adequate capital for the acquisition of Republic and Sierra and their estimated future working capital needs. See "Description of Bank Agreement."</w:t>
      </w:r>
    </w:p>
    <w:p>
      <w:pPr>
        <w:spacing w:after="0" w:line="181"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Among other requirements, the financial covenants in the Bank Agreement require maintenance of Adjusted Operating Profit, Consolidated Net Worth and Interest Coverage (each as defined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therein) and require the Company to reduce revolving borrowings under the Bank Agreement to $30.0 million for thirty consecutive days each year. The Company met all the requirements of the financial covenants during the fiscal year ended September 30, 1993.</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business is highly seasonal with approximately 69% of sales occurring in the second and third fiscal quarters ending March and June, respectively. Seasonality is reflected in working capital requirements. Working capital needs are greatest from November through May, the peak production periods, and are highest in March. Working capital needs are relatively low in the summer months. In addition, the Company's consumer business may be adversely affected by the weather. Poor weekend weather during the Spring tends to adversely affect consumer purchases of the Company's do-it-yourself products. Historically, the Company has attempted to lessen the impact of possible adverse weather by promotional programs at the retail and consumer levels to encourage consumer purchases in the early Spring.</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Management believes that cash flow and capital resources will be sufficient to meet future debt service requirements and working capital needs.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 In addition, the application of purchase accounting in connection with the Company's acquisition by a company formed by Clayton, Dubilier &amp; Rice and the Hyponex acquisition mitigates the effects of changing costs on the financial statements because assets and liabilities were adjusted to fair values on the acquisition dates and cost of sales and depreciation have therefore been adjusted accordingly.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adopted SFAS 106 and SFAS 109 effective October 1, 1992. The effect on 1993 net income of adopting SFAS 106 was an aftertax charge of $1.4 million for fiscal 1993 and a non-recurring charge of $14.9 million net of tax, for the cumulative effect of the change in accounting. The cumulative effect of adopting SFAS 109 was a non-recurring benefit of $1.8 million. The adoption of SFAS 109 also resulted in a deferred tax asset. A valuation reserve was not established because the Company expects sufficient future taxable income to realize the benefit of the deferred tax asset.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November 1992, FASB issued Statement Financial Accounting Standards No. 112, "Employers' Accounting for Postemployment Benefits" ("SFAS 112") which changes the prevalent method of accounting for benefits provided after employment but before retirement. Scotts must adopt SFAS 112 no later than the first quarter of fiscal 1995. Management is currently evaluating the provisions of SFAS 112 and, at this time, the effect of adopting SFAS 112 has not been determined.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consumer products include lawn fertilizers, fertilizer/control combination products, potting soils and other organic products, grass seed, lawn spreaders, indoor and outdoor plant care products and garden tools. The following table sets forth information concerning sales of the Company's consumer products in fiscal 1991, 1992 and 1993: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CONSUMER PRODUCTS SALES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0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56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8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Fertilizers and Combination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$ 132.4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$ 154.4</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Organic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Grass Seed....................................................</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Lawn Spreaders................................................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Garden Products, Tools and Indoor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International.................................................</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$ 303.2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$ 322.6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$ 370.2</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LAWN FERTILIZERS AND COMBINATION PRODUCTS. The Company's most important consumer products are lawn fertilizers, such as Turf Builder(R), and combination fertilizer/control products, such as Turf Builder Plus 2(R) (which is used to eliminate dandelions and other broadleaf weeds) and Turf Builder Plus Halts(R) (to prevent crabgrass and other weeds). Typically, these are patented, homogeneous, controlled-release products which provide complete controlled feeding for consumers' lawns for up to two months without the risk of damage to the lawn presented by less expensive non-controlled-release products. A number of the Company's products are specially formulated for geographical differences and some, such as Bonus(R) S (to control weeds in Southern grasses) are distributed to limited areas. Most of the Company's fertilizer and combination products are sold in dry, granular form, although the Company also sells a small amount of liquid lawn care products. Consumer products that utilize Sierra's technology include Peters(R) Professional(R) all-soluble fertilizers and Once(R) controlled-release lawn fertilizer, which can provide up to three months of feeding from one application.</w:t>
      </w:r>
    </w:p>
    <w:p>
      <w:pPr>
        <w:spacing w:after="0" w:line="183"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Management estimates that in fiscal 1993 the Company's share of the U.S. consumer lawn chemicals products market was approximately 46%, more than double that of the second leading brand.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ORGANIC PRODUCTS. The Company sells a broad line of organic products under the Hyponex and other labels, including retail potting soils, topsoil, peat, manures and mulches. Management estimates that the Company's fiscal 1993 U.S. market share was approximately 50% in potting soils, more than double that of the next leading brand, and approximately 39% in other consumer organic products.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GRASS SEED. High quality seed was the Company's first product. Today, the Company sells numerous varieties and blends of grass seed, many of them proprietary, designed for different uses and geographies. Management estimates that the Company's share of the U.S. consumer grass seed market was approximately 28% in fiscal 1993.</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LAWN SPREADERS. Because Scott's granular lawn care products perform best when applied evenly and accurately, the Company sells a line of spreaders specifically developed for use with Scotts products. This line includes the SpeedyGreen(R) and EasyGreen(R) rotary spreaders, the PrecisionGreen(R) and AccuGreen(R) drop spreaders, and the HandyGreen(R) hand-held rotary spreader.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1992, the Company acquired Republic, a manufacturer of spreaders and other lawn and garden equipment. Republic had fiscal 1993 sales of approximately $17.8 million. The Company intends to continue marketing both its line of Scotts spreaders and Republic's EZ(R) line of spreaders in 1994 and is integrating the manufacture of its spreaders through Republic. Management estimates that the Company's share of the U.S. market for lawn spreaders was approximately 33% in fiscal 1993, more than double that of the next leading manufacturer.</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GARDEN PRODUCTS, TOOLS AND INDOOR PRODUCTS. The Company produces and sells a line of boxed Scotts Plant Foods, garden and landscape fertilizers. The Company has a licensing agreement with Union Tools, Inc. ("Union") under which Union, in return for the payment of royalties, is granted the right to produce and market a line of garden tools bearing the Scotts trademark and has agreed to undertake the marketing of a line of Scotts tools produced in Germany which were formerly marketed by the Company. The Company also has a license agreement with NOMA Industries, licensing that company in return for royalty payments to produce and sell a line of power lawnmowers under the Scotts name. The Company sells a line of indoor plant care products. In management's estimation, the Company did not have a material share of the markets for these products in fiscal 1993.</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 The Company produces and sells consumer lawn and garden care products, under various labels, internationally, principally in Canada, Japan and Europe. In 1991, the Company established a subsidiary and a network of sales representatives in the United Kingdom to enter the consumer lawn and garden market in Great Britain. Sierra has a manufacturing facility in The Netherlands and sells its fertilizer products throughout Europe, and in Australia and New Zealand, but primarily for professional use.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The Company believes that it achieved its leading position in the do-it-yourself lawn care market on the basis of its sophisticated technology, the superior quality and value of its products and the service it provides consumers. The Company seeks to maintain and expand its market position by emphasizing these qualities and taking advantage of the Scotts name and reputation. Since its acquisition of Hyponex, the Company has also focused on increasing sales of its higher margin organic items such as potting soils.</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Republic in 1992, the Company was able to begin integrating the manufacture of its important lawn spreader product line. The more recent acquisition of Sierra should provide the Company with numerous strategic opportunities, including expanding the distribution of Scotts products internationally, by using the Sierra facilities and personnel in Europe and elsewhere. The Company also expects to increase sales of water-soluble fertilizers manufac-</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tured by Sierra in the consumer market and to test certain bioinsecticides for which Sierra has licenses.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the HandyGreen(R) hand-held spreader (1991), an improved Hyponex Professional Mix Potting Soil (1991), PatchMaster(R) (1992), a unique lawn repair product containing seed, Starter(R) fertilizer and mulch, and 3-Step Scotts Lawn Care System consisting of three products in one easy-to-carry box (1993). For fiscal 1994, the Company has introduced premium planting and potting soils under the Scotts brand name, a proprietary fertilizer product, Turf Builder for Shady Areas, and a line of grass seed coated with a fungicide to improve germination.</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important edge in selling to larger retailers, such as mass merchandisers and home centers, who value the efficiency of dealing with a limited number of suppliers.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Finally, the Company has developed a program to take advantage of Hyponex's composting expertise and the increasing concern about landfill capacity by entering into agreements with municipalities and waste haulers to compost yard waste. A pilot program was started in 1991 on Company-owned land in Marysville when the Company entered into a five-year contract with Franklin County, Ohio, to compost a minimum of 50,000 tons of yard waste per year for a fee of $20 per ton. During 1992, the Company entered into agreements for composting yard waste in Greensboro, North Carolina; Waukesha County, Wisconsin; Spokane, Washington and Portland, Oregon. The Company now has twelve compost facilities. In addition to service fees, the Company plans to substitute the resulting compost for a portion of the raw materials in Hyponex and other Company products. Revenues in fiscal 1993 and 1992 from composting services were $2.1 million and $0.8 million, respectively.</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MARKETING AND PROMOTION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employs a 93 person direct sales force for its consumer products to cover approximately 24,000 retail outlets and headquarters of national, regional and local chains. Most salespeople have college degrees and prior sales experience. Sierra's sales force is composed primarily of distributors, supported by a technically trained field force of six. In recent years, the percentage of sales to mass merchandisers and large buying groups has increased. The top ten accounts represented 59% of the Consumer Business Group sales in fiscal 1993 versus 51% in 1990. See "-- Matters Relating to the Company Generally--Significant Customers."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Pro(R) name, which are sold exclusively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 During 1993, the Company reintroduced its Lawn Care(R) magazine as part of the direct mail promotion for the Lawn Pro 4-Step program.</w:t>
      </w:r>
    </w:p>
    <w:p>
      <w:pPr>
        <w:spacing w:after="0" w:line="18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important part of the Company's sales effort is Scotts' national toll-free consumer hotline, on which Scott's "lawn consultants" answer questions about the Company's products and give general lawn care advice to consumers. The Company's lawn consultants responded to over 240,000 telephone and written inquiries in fiscal 1993 and have handled over 2,000,000 calls since the inception of the consumer hotline in 1972.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At least one of these, Tru Green Company, which also owns the ChemLawn(R)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produced by such companies as Monsanto Company (Ortho(R) and Greensweep(R)), Lebanon Chemical Corp. (Greenview(R)) and Stern's Miracle-Gro Products, Inc.</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BACKLOG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April 30, 1994, orders on hand for retail customers (excluding orders for Sierra products and Republic's EZ brand spreaders) totaled approximately $16.8 million compared to approximately $14.7 million on the same date in 1993. All such orders are expected to be filled in fiscal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MARKET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sells its professional products to golf courses, sports fields, nurseries, lawn and landscape service companies and growers of specialty agricultural crops. Among the purchasers of the Company's products in fiscal 1993 were such golf courses as Augusta National (Georgia), Cypress Point, Spyglass and Pebble Beach (California), Muirfield Village (Ohio), The Country Club (Massachusetts), Colonial Country Club (Texas) and Butler National (Illinois), and such sports complexes as Fenway Park, Camden Yard, Wrigley Field and the Rose Bowl.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20"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The following table sets forth the amount of Company sales to its professional markets in fiscal 1991, 1992 and 1993: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PROFESSIONAL PRODUCTS SALES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30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572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Golf Courses (North America)..................................</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$ 58.2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$ 62.6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$ 68.6</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Nurseries.....................................................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Lawn/Landscape Services.......................................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Specialty Agriculture.........................................</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Sports Fields/Parks/Schools...................................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International (other than Canada).............................</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$ 85.0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$ 90.1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$ 93.7</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Golf courses are the most important of the Company's professional markets, accounting for over 70% of the Company's Professional Business Group's net sales in fiscal 1993. In fiscal 1993, the Company sold products to approximately 55% of the over 14,500 golf courses in the United States, including 81 of Golf Digest's top 100 U.S courses. Management estimates, based upon an independent biannual market survey and other information available to the Company, that the Company's share of the $200 million U.S. golf course turf care segment (not including commodity products) was approximately 25% in fiscal 1993. In addition, Sierra had sales of approximately $9 million to the golf course turf care segment in calendar 1993.</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two years. Management believes that this increase in the number of courses, and the trend toward more highly-maintained golf courses, contributes to an annual sales growth rate in Scott's targeted golf course segment of approximately 7%. The commercial nursery and the sports field segments, management estimates, are growing at 4-5% annually.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Sierra sells both controlled-release and water-soluble fertilizers as well as a line of pesticides (primarily fungicides) to the commercial horticultural segment both in the United States and abroad with calendar 1993 sales of approximately $55 million in the United States and $31 million abroad. The Company estimates that, in calendar 1993, Sierra had approximately a 33% share of the U.S. commercial ornamental growth category overall, and over a 50% share of the U.S. commercial ornamental fertilizer segment in the United States, more than double the share of the next leading manufacturer.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professional turf products, marketed primarily under the ProTurf(R) name, include a broad line of sophisticated fertilizers, control products, growth regulators, grass seed and application devices. The products are sold to golf courses, lawn/landscape service companies, athletic field managers and apartment and office complexes. Most ProTurf products are designed for specialized applications. For example, various fertilizers are sold for use on particular areas (E.G., some for golf course greens, others for fairways) and for particular purposes (such as high phosphorous fertilizers and fertilizer containing micronutrients to correct nutrient deficiencies). Similarly, the Company markets a line of fungicides primarily for use on highly maintained areas such as bentgrass greens. A patented technology introduced in 1987, TGR(R), combines a turf growth regulator and a fertilizer to control POA ANNUA, a serious weed problem on golf courses. The TGR product line has since been expanded to include other uses, including the reduction of clippings, color enhancement and the improvement of turf density. Although ProTurf products are primarily</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granular, the Company also markets a line of liquid turf products, now numbering 15, which some turf managers prefer for their cost effectiveness and ease-of-application over large areas. In 1992, the Company's patented Poly-S(R) fertilizer technology replaced the Company's sulfur-coated turf fertilizer line, and has gained rapid acceptance. Additional line extensions utilizing Poly-S technology were introduced in 1993 in North America, Europe, Australia, the Pacific Rim and Japan. The company's patented Triaform(TM) controlled-release fertilizer technology was introduced in 1993 in 12 new formulations. In 1993, the Company also successfully launched its first natural control product, Turplex(R) BioInsecticide, for the professional market.</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Scott's horticulture products are sold primarily to professional nurseries. The horticulture line includes fertilizers and pesticides particularly formulated for container-grown ornamental plants. For example, the Company markets a proprietary fertilizer designed to meet the requirements of commercial nursery growers who demand dependable, long-lasting and safe controlled-release fertilizers to incorporate in their growing media. Controlled-release fertilizer products utilizing Poly-S technology were also introduced in 1992, and extended in 1993, into the nursery and specialty agriculture markets. A new patented polymer coating technology, ScottKote(R), was introduced late in fiscal 1993, and several new products utilizing this technology will be added during 1994.</w:t>
      </w:r>
    </w:p>
    <w:p>
      <w:pPr>
        <w:spacing w:after="0" w:line="16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Sierra's products for professional users include its Osmocote line of controlled-release fertilizers. These are sold in various formulations for different crops and can be produced in versions having a release period of up to 12 months. The greenhouse segment uses water-soluble fertilizers such as Peters Professional. Soilless growing media, under such trademarks as Metro-Mix(R) and Terra-Lite(R) are also sold to commercial growers. Finally, Sierra also sells a line of proprietary pesticide products for horticultural and turf professionals.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Company's Professional Business Group focuses its sales efforts on the middle and high end of the professional market and generally does not compete against sellers of commodity products. Demand for the Company's professional products is primarily driven by product quality, performance and technical support. The Company seeks to meet these needs with a range of sophisticated, specialized products and a professional, agronomically-trained sales force.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a continuing flow of innovative new products to its professional customers. Products introduced since 1988 accounted for 63% of the Professional Business Group's net sales in fiscal 1993.</w:t>
      </w:r>
    </w:p>
    <w:p>
      <w:pPr>
        <w:spacing w:after="0" w:line="175"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 products to those users, and, conversely, to expand the distribution of its ProGrow line in the commercial horticultural segment in which Sierra has a strong position.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Professional Business Group also works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 fields, golf course architects and construction companies, and international segments of the professional market. In 1992, the Company introduced a fairway application service for golf courses. This service has been expanded and is now available in the Carolinas, Georgia, Texas and Southern California. Additional service markets are planned for 1994. In 1993, two new Professional Service Centers were tested in the Washington, D.C. market. These new Company-operated service centers offer convenient, one-stop shopping for smaller lawn and landscape service customers. Plans are to expand this test in 1994.</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MARKETING AND PROMOTION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Professional Business Group's sales force consists of 97 technical representatives ("tech reps") who cover approximately 11,600 accounts. Many tech reps are experienced former golf course superintendents or nursery managers and most have degrees in agronomy, horticulture or</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similar disciplines. Tech reps work closely with golf course and sports field superintendents, turf and nursery managers, and other landscape professionals. In addition to marketing the Company's products, Scott's tech reps provide consultation, testing services, and advice regarding maintenance practices, including individualized comprehensive programs incorporating various products for use at specified times throughout the year. Sierra sells to the professional user primarily through an extensive network of distributors backed up by over</w:t>
      </w:r>
    </w:p>
    <w:p>
      <w:pPr>
        <w:spacing w:after="0" w:line="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100 field sales representatives worldwide, most with substantial experience in the horticulture market.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professional turf and nursery market the Company faces a broad range of competition from numerous companies ranging in size from multi-national chemical and fertilizer companies such as DuPont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BACKLOG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major portion of professional product orders are received during the months of August through November and are filled during the months of September through November. As of April 30, 1994, orders on hand from professional customers (excluding orders for Sierra products) totaled approximately $5.8 million compared with $5.5 million on the same date in 1993. All such orders are expected to be filled in fiscal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"Scotts" and "Hyponex" brand names and logos, as well as a number of product trademarks, including "Turf Builder," "Lawn Pro," "Osmocote" and "Peters" are federally registered and are considered material to the Company's business. In 1989, the Company assigned all its rights to certain Hyponex trademarks in the Far East to a Japanese company.</w:t>
      </w:r>
    </w:p>
    <w:p>
      <w:pPr>
        <w:spacing w:after="0" w:line="175"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As of December 31, 1993,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 suppliers permitting the use and sale of patented pesticides.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Products introduced since 1987 accounted for over $160 million (34%) of the Company's fiscal 1993 net sales. Virtually all of the Company's fertilizer products, many of its grasses and many of its mechanical devices are covered by one or more of over 100 U.S. and foreign patents owned by the Company.</w:t>
      </w:r>
    </w:p>
    <w:p>
      <w:pPr>
        <w:spacing w:after="0" w:line="177"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In 1947, it introduced the first fertilizer/control combination product; in 1950, the first pre-emergent crabgrass control; in 1957, the first lightweight, controlled-release fertilizer and, in 1964, the first patented bluegrass ("Windsor"). Technology continues to be a Company hallmark. Its introduction of the TGR line in 1987 to control poa annua on golf courses is an example. In 1992, the Company introduced Poly-S, a proprietary controlled-release fertilizer technology. In 1993, ScottKote(R),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 Production Facilities.") Since the Hyponex acquisition,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35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Research has also been focused on durability, precision, and reduced production costs of the Republic-produced spreaders. Recently, Republic completely redesigned the major products within the Company's consumer spreader line that can be distributed and displayed using innovative packaging.</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Research and development is currently focused on product improvement and cost reductions. A new, multi-coated controlled-release technology has been developed by Sierra researchers. A new production line is currently under construction at Sierra's Charleston, South Carolina plant to commercialize this high performance product.</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years prior to its acquisition by the Company in 1993, Sierra's research group developed an improved, patented line of soluble fertilizers under the "Excel" brand and introduced reformulated potting soils and planting mixes in both the consumer and professional markets.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Expenditures for research and development were approximately $5.2 million (1.4% of net sales), $6.2 million (1.5% of net sales) and $7.7 million (1.7% of net sales) in fiscal 1991, 1992, and 1993 respectively. Approximately 14% of research and development resources are allocated to advanced technology, 37% to product and process development, and 49% to regulatory compliance and other technical activities. The Company plans a comparable level of spending for the next several years.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PRODUCTION 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manufacturing plants for Scotts' consumer and professional fertilizer-based products are located in Marysville, Ohio, adjacent to the Company's corporate headquarters and Dwight G. Scott Research Center. The Company's Taylor Seed Packaging Plant is located on a separate site in Marysville. Hyponex organic products are harvested and packaged in 20 locations throughout the United States. The Company's best selling consumer lawn spreaders are produced at the Republic facility in Carlsbad, California. Some granular and mechanical products and all liquid products, constituting an aggregate of approximately 16% of the Company's cost of sales in fiscal 1993, are produced for the Company by other manufacturers. Sierra has manufacturing sites in the United States and one located in The Netherlands. Sierra's controlled-release fertilizers are produced in Charleston, South Carolina, Milpitas, California, and at Heerlen, The Netherlands. Water-soluble fertilizers are produced in Allentown, Pennsylvania, and the potting soils are produced in Travelers Rest, South Carolina and in Hope, Arkansas.</w:t>
      </w:r>
    </w:p>
    <w:p>
      <w:pPr>
        <w:spacing w:after="0" w:line="182"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Substantially all the Company's owned properties is mortgaged to secure the Company's indebtedness under the Bank Agreement.</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Company's fertilizer processing and packaging facilities currently operate, on average, five days per week for three shifts. Because of the seasonal nature of the demand for the Company's products, these facilities operate less in the Summer and more, usually every other weekend, during the Fall and Winter.</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expenditures totaled $19.9 million and $15.2 million for the fiscal years ended September 30, 1992 and 1993, respectively. The Company expects that capital expenditures during fiscal 1994 will total approximately $31.5 million, of which approximately $13 million is attributable to construction of a new Poly-S production facility to meet strong forecasted demand. Further, approximately $4 million is for Sierra's capital needs, including construction of a new processing line at its Charleston, South Carolina facility to produce a technologically advanced fertilizer.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PURCHASING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key ingredients in the Company's fertilizer and control products are various commodity and specialty chemicals including vermiculite, phosphates, urea, potash, herbicides, insecticides and fungicides. Sierra purchases granulates, homogeneous fertilizer substrates to be coated, and the resins for coating. These resins are primarily supplied domestically by Sierra SunPol Resins, a 97%-owned subsidiary of Sierra.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Sphagum peat, peat humus, vermiculite manure and bark constitute Hyponex's most significant raw materials. At current production levels, the Company estimates Hyponex's peat reserves to be sufficient for its near-term needs in all locations except the Northeast.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mushroom growers. The Company is currently substituting composted yard waste for some organic raw materials and is planning to expand this practice. Raw materials for Republic manufacturing include various engineered resins and metals, all of which are available from a variety of vendors.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primary distribution center for the Company's products is also located at the Company's headquarters in Marysville, Ohio. The Company's products are shipped from Marysville by rail and truck. While the majority of truck shipments are made by contract carriers, a portion is made by Scotts' own fleet of leased trucks. Inventories are also maintained in field warehouses located in major markets.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Hyponex therefore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Sierra's products are produced at three fertilizer and two organic manufacturing facilities located in the United States. The majority of shipments are via common carriers to distributors' warehouses. A small private trucking fleet is maintained at the organic facilities for direct shipment of custom orders to customers. Inventories are also maintained in field warehouses.</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Republic-produced, Scotts branded spreaders are shipped via common carrier to regional warehouses serving the Company's retail network. Republic's E-Z spreader line and its private label lines are sold freight-on-board (FOB) Carlsbad with transportation arranged by the customer.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Kmart and Home Depot represented approximately 21.9% and 9.3%, respectively, of the Company's sales in fiscal 1993, which reflects their significant position in the retail lawn and garden market. The loss of either of these customers or a substantial decrease in the amount of their purchases could have a material adverse effect on the Company's business.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corporate culture emphasizes employee participation in management, comprehensive employee benefits and programs and profit sharing plans. As of April 30, 1994, the Company employed approximately 2,500 full-time, year-round workers and an additional five part-time or temporary workers. Full-time workers average approximately 10 years employment with the Company or its predecessors. During peak production periods, the Company engages as many as 750 temporary employees. The Company's employees are not unionized, except that twenty-one of Sierra's employees at its Milpitas facility are represented by the International Chemical Workers Union.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U.S. Environmental Protection Agency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restrictions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w:t>
      </w:r>
    </w:p>
    <w:p>
      <w:pPr>
        <w:spacing w:after="0" w:line="17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Compliance with such regulations and the obtaining of registrations does not assure, however, that the Company's products will not cause injury to the environment or to people under all circumstances.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See "Legal Proceedings."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Finally, state, federal and local agencies regulate the disposal, handling and storage of waste and air and water discharges from Company facilities. During fiscal 1993, the Company had approximately $234,000 in environmental capital expenditures and $266,600 in environmental expenses, compared with approximately $32,000 in environmental capital expenditures and $209,000 in environmental expenses in fiscal 1992. The Company has budgeted $1,061,500 in environmental capital expenditures and $341,000 in environmental expenses for fiscal 1994.</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site and developing a remediation program.</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Sierra is a potentially responsible party in connection with the Lorentz Barrel and Drum Superfund Site in California, as a result of its predecessor having shipped barrels to Lorentz for reconditioning or sale between 1967 and 1972. Although many other companies are participating in the remediation of this site, issues relating to the allocation of the costs have not yet been resolved.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matters described in "-- Environmental and Regulatory Considerations," the Company is involved in other lawsuits and claims which arise in the normal course of its business. In the opinion of management, these claims, as well as those mentioned above individually and in the aggregate are not expected to result in an adverse effect on the Company's financial position or results of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SCOTTS AND OMS</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The executive officers of Scotts and the directors of Scotts and OMS and, as of May 2, 1994, their positions, their ages and years with the Company (and its predecessors) are set forth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YEARS WITH</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THE</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COMPANY (AND</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660"/>
              <w:spacing w:after="0"/>
              <w:rPr>
                <w:sz w:val="20"/>
                <w:szCs w:val="20"/>
                <w:color w:val="auto"/>
              </w:rPr>
            </w:pPr>
            <w:r>
              <w:rPr>
                <w:rFonts w:ascii="Courier New" w:cs="Courier New" w:eastAsia="Courier New" w:hAnsi="Courier New"/>
                <w:sz w:val="15"/>
                <w:szCs w:val="15"/>
                <w:color w:val="auto"/>
              </w:rPr>
              <w:t>POSITION(S)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ITS</w:t>
            </w:r>
          </w:p>
        </w:tc>
      </w:tr>
      <w:tr>
        <w:trPr>
          <w:trHeight w:val="172"/>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4340" w:type="dxa"/>
            <w:vAlign w:val="bottom"/>
          </w:tcPr>
          <w:p>
            <w:pPr>
              <w:ind w:left="1920"/>
              <w:spacing w:after="0"/>
              <w:rPr>
                <w:sz w:val="20"/>
                <w:szCs w:val="20"/>
                <w:color w:val="auto"/>
              </w:rPr>
            </w:pPr>
            <w:r>
              <w:rPr>
                <w:rFonts w:ascii="Courier New" w:cs="Courier New" w:eastAsia="Courier New" w:hAnsi="Courier New"/>
                <w:sz w:val="15"/>
                <w:szCs w:val="15"/>
                <w:color w:val="auto"/>
              </w:rPr>
              <w:t>HELD</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PREDECESSORS)</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3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Chief Executive</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 President; Chief Operating Officer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Chief Financial</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Consumer Business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Group</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Bernard R. Ford</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Strategy and Business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Development</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Technology and Operations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Kenneth W. Holbrook</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and General Manager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--Professional Business Group</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Lawrence M. McCartney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Information Systems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Wim Pieters</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Managing Director, Europe</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and Related Markets</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Lisle J. Smith</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Administration and Planning</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A. Stern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Human Resources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General Counsel, Secretary</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M. Webb</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 and Logistics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Alberto Cribiore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59</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Host, pursuant to an employment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Seitz has been the Chief Executive Officer of OMS since 1983 (and of Scotts since 1986) and Chairman of the Board of Scotts and OMS since 1986. He was also President of the Company from 1983 until 1991. Previously, Mr. Seitz served as the Company's Director of Marketing and as General Manager of Burpee. Mr. Seitz is a director of Holophane Corporation.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Host has been President and Chief Operating Officer of OMS since October 1991 and a director of Scotts and OMS since December 1991. From May 1990 to October 1991, he was Senior Vice President, Marketing for Coca-Cola USA. He previously was President of the Boyle-Midway Household Products division of American Home Products, Inc.</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Yeager has been an Executive Vice President of OMS since 1991 and a Vice President and the Chief Financial Officer since 1980. He was first Assistant Comptroller and then Comptroller of OMS from 1974 to 1980. Mr. Yeager is also Vice President and Treasurer of Scotts.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Mr. Stahl was Vice President and General Manager of the Company's Professional Business Group from December 1987 to December 1993. He was named Senior Vice President in December 1993. Mr. Stahl joined OMS in 1967 as a technical representative in the golf course division.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McKinney was named Senior Vice President, Consumer Business Group, in June 1992. From January 1990 to June 1992, he was in marketing and sales management as Vice President of Marketing and Sales of Salov, N.A., a manufacturer of consumer products. From July 1989 to January 1990 he was Director of Sales of Rickett &amp; Colman, Ltd., a consumer products company. Between 1965 and July 1989, he was employed by American Home Products, Inc., becoming Vice President-Director of Sales in the Boyle Midway Household Products Division.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Ford has been Vice President, Strategy and Business Development of OMS since December 1987. Other positions at OMS that Mr. Ford has held include Director of Market Development, Director of Export Marketing Services and Director of Marketing.</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Holbrook was named Senior Vice President and General Manager of the Company's Professional Business Group in 1994. From 1991 through December 1993, Mr. Holbrook was President of Grace-Sierra Horticultural Products Company. From 1980 to 1991, he was President of Koch Materials Company, a division of Koch Industries.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Kelty has been a Vice President of OMS since December 1988. He has served as Director of Research and Development of OMS since August 1988. Prior to that, he was the Company's Director of Advanced Technology Research, and from 1983 to 1987 he was Director, Chemical Technology Development for OMS.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Mr. McCartney has been a Vice President of OMS since 1989. He jointed OMS in 1974 as Systems and Programming Manager, and was Director, Information Systems from 1976 until 1989.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Pieters was named a Vice President of OMS in 1994. From January 1993 through December 1993, Mr. Pieters was a Vice President of Grace-Sierra Horticultural Products Company, in charge of its international business. Prior to 1993, he was Director of Technology and Development of the Fabrics and Fiber Division of Amoco, Europe.</w:t>
      </w:r>
    </w:p>
    <w:p>
      <w:pPr>
        <w:spacing w:after="0" w:line="175" w:lineRule="exact"/>
        <w:rPr>
          <w:sz w:val="20"/>
          <w:szCs w:val="20"/>
          <w:color w:val="auto"/>
        </w:rPr>
      </w:pPr>
    </w:p>
    <w:p>
      <w:pPr>
        <w:jc w:val="both"/>
        <w:ind w:right="3159" w:firstLine="447"/>
        <w:spacing w:after="0" w:line="267" w:lineRule="auto"/>
        <w:rPr>
          <w:sz w:val="20"/>
          <w:szCs w:val="20"/>
          <w:color w:val="auto"/>
        </w:rPr>
      </w:pPr>
      <w:r>
        <w:rPr>
          <w:rFonts w:ascii="Courier New" w:cs="Courier New" w:eastAsia="Courier New" w:hAnsi="Courier New"/>
          <w:sz w:val="14"/>
          <w:szCs w:val="14"/>
          <w:color w:val="auto"/>
        </w:rPr>
        <w:t>Mr. Smith was named a Vice President of OMS in 1994. From 1991 to December 1993, Mr. Smith was Vice President and Chief Financial Officer of Grace-Sierra Horticultural Products Company, and from 1987 to 1991 he was Comptroller.</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Stern has been Vice President, Human Resources of OMS since 1984.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Walley has been Vice President and General Counsel of OMS since 1985.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1986, Mr. Walley has also been Vice President and Secretary of Scotts.</w:t>
      </w:r>
    </w:p>
    <w:p>
      <w:pPr>
        <w:spacing w:after="0" w:line="176" w:lineRule="exact"/>
        <w:rPr>
          <w:sz w:val="20"/>
          <w:szCs w:val="20"/>
          <w:color w:val="auto"/>
        </w:rPr>
      </w:pPr>
    </w:p>
    <w:p>
      <w:pPr>
        <w:ind w:right="3959" w:firstLine="447"/>
        <w:spacing w:after="0" w:line="274" w:lineRule="auto"/>
        <w:rPr>
          <w:sz w:val="20"/>
          <w:szCs w:val="20"/>
          <w:color w:val="auto"/>
        </w:rPr>
      </w:pPr>
      <w:r>
        <w:rPr>
          <w:rFonts w:ascii="Courier New" w:cs="Courier New" w:eastAsia="Courier New" w:hAnsi="Courier New"/>
          <w:sz w:val="14"/>
          <w:szCs w:val="14"/>
          <w:color w:val="auto"/>
        </w:rPr>
        <w:t>Mr. Webb has been a Vice President of OMS since 1988. He was Vice President-Operations of Hyponex Corporation from 1980 until 1988.</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Dr. Beard became a director of Scotts and OMS in 1989. He is a Professor Emeritus of Turfgrass Physiology and Ecology at Texas A&amp;M University and is the president and chief scientist of the International Turfgrass Society. Dr. Beard is the author of numerous books and articles on turfgrass science and is an active lecturer and consultant.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Chamberlin became a director of Scotts and OMS in 1989. He has held a number of positions at General Electric Company including Vice President and General Manager of its Housewares and Audio Business Division. From 1976 until 1985, he was President and Chief Executive Officer of Lenox, Inc., and in 1985 joined Avon Products, Inc. as President and Chief Operating Officer. Since leaving Avon in 1988, he has served as advisor for investment firms. He is also a director of The Travelers Insurance Company.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Cribiore became a director of Scotts and OMS in 1986. He is Vice President and a director of Clayton &amp; Dubilier, which he joined in 1985. From 1982 to 1985, Mr. Cribiore was a Senior Vice-President of Warner Communications. Mr. Cribiore is a general partner of Clayton &amp; Dubilier Associates II Limited Partnership ("Associates"), a general partner of the general partners of other Clayton &amp; Dubilier managed investment partnerships. Mr. Cribiore is also a director of other corporations in which investment partnerships managed by Clayton &amp; Dubilier have invested, including CDK Holding Corporation and its subsidiary, The Kendall Company.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Flannery became a director of Scotts and OMS in 1986. He was a consultant to Clayton &amp; Dubilier from September, 1988 to December 1990. Mr. Flannery was President, Chief Executive Officer and Chairman of the Board of Directors of Uniroyal, Inc. from 1982 to 1986. Mr. Flannery has served as President, Chief Executive Officer and Chairman of the Board of Directors of Uniroyal Holding, Inc. since 1986. Mr. Flannery is also a director of Ingersoll-Rand Company, Kmart Corporation, Newmont Mining Company and Arvin Industries, Inc., as well as other corporations in which investment partnerships managed by Clayton &amp; Dubilier have invested, including CDK Holding Corporation and its subsidiary, The Kendall Company and APS Holding Corporation and various of its subsidiaries.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Sherman became a director of Scotts and OMS in 1988. Mr. Sherman served as President of Hyponex Corporation from 1985 until November 1988, and as Vice President -- Finance and Treasurer of Hyponex Corporation from 1983 to 1985. He has been President of Waterfield Mortgage Company in Fort Wayne, Indiana since 1989.</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Sullivan became a director of Scotts and OMS on January 18, 1994. 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are subject to the Exchange Act.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Van Fossen became a director of Scotts and OMS in 1993. Mr. Van Fossen has been President and Chief Executive Officer of Red Roof Inns, Inc., an owner and operator of motels, since 1991. From 1988 to 1991, Mr. Van Fossen was self-employed as an independent business consultant. Prior to 1988, Mr. Van Fossen was Chairman, President and Chief Executive Officer of Chemlawn Corporation. Mr. Van Fossen also serves as a director of Cardinal Health, Inc.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18"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BENEFICIAL OWNERSHIP OF CLASS A COMMON STOCK</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The following table furnishes certain information as of January 7, 1994, as to the shares of Common Stock beneficially owned by each director and executive officer of the Company included in the Summary Compensation Table included in the Company's Proxy Statement, by all directors and executive officers of the Company as a group, and, to the Company's knowledge, by the only persons owning beneficially more than 5% of the outstanding shares of such class.</w:t>
      </w:r>
    </w:p>
    <w:p>
      <w:pPr>
        <w:spacing w:after="0" w:line="332"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AMOUNT AND</w:t>
            </w: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NATURE OF</w:t>
            </w: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BENEFICIAL</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OWNERSHIP(1)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CLASS(2)</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00" w:type="dxa"/>
            <w:vAlign w:val="bottom"/>
          </w:tcPr>
          <w:p>
            <w:pPr>
              <w:spacing w:after="0"/>
              <w:rPr>
                <w:sz w:val="20"/>
                <w:szCs w:val="20"/>
                <w:color w:val="auto"/>
              </w:rPr>
            </w:pPr>
            <w:r>
              <w:rPr>
                <w:rFonts w:ascii="Courier New" w:cs="Courier New" w:eastAsia="Courier New" w:hAnsi="Courier New"/>
                <w:sz w:val="15"/>
                <w:szCs w:val="15"/>
                <w:color w:val="auto"/>
              </w:rPr>
              <w:t>Government of Singapore</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Investment Corporation Pte Ltd.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250 North Bridge Road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#33-00 Raffles City Tower</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Singapore 0617......................................</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1,060,600(3)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5.68%(3)</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Thorsell, Parker Partners Incorporated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215 Main Street</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Westport, CT 06880..................................</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997,100(4)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5.34%(4)</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James B. Beard......................................</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20,727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John S. Chamberlin..................................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26,727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Alberto Cribiore....................................</w:t>
            </w:r>
          </w:p>
        </w:tc>
        <w:tc>
          <w:tcPr>
            <w:tcW w:w="1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Joseph P. Flannery..................................</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29,454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Theodore J. Host(6)(7)..............................</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217,593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Tadd C. Seitz(6)....................................</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519,720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2.78%</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Donald S. Sherman...................................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26,727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John M. Sullivan....................................</w:t>
            </w:r>
          </w:p>
        </w:tc>
        <w:tc>
          <w:tcPr>
            <w:tcW w:w="1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L. Jack Van Fossen..................................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J. Blaine McKinney(6)...............................</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18,742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Richard B. Stahl(6).................................</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112,344(8)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Paul D. Yeager (6)..................................</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153,507(9)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officers as a group (19 persons)....................</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1,624,042(10)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8.55%</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1"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beneficial owner has sole voting and investment power as to all of the shares of Class A Common Stock reflected in the table.</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18,658,535 shares of Class A Common Stock outstanding on January 7, 1994, and the number of shares of Class A Common Stock as to which the named person has the right to acquire beneficial ownership upon the exercise of options exercisable within 60 days of January 7, 1994.</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shares of Class A Common Stock with the Government of Singapore and shares voting and investment power with respect to 311,200 shares of Class A Common Stock with the Monetary Authority of Singapore.</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to the Company by Thorsell, Parker Partners Incorporated ("Thorsell, Parker"), Thorsell, Parker, a registered investment advisor, is deemed to have beneficial ownership of 997,100 shares of Class A Common Stock as of December 31, 1993, all of which shares are held in portfolios of clients for which Thorsell, Parker serves as investment</w:t>
      </w:r>
    </w:p>
    <w:p>
      <w:pPr>
        <w:spacing w:after="0" w:line="200" w:lineRule="exact"/>
        <w:rPr>
          <w:sz w:val="20"/>
          <w:szCs w:val="20"/>
          <w:color w:val="auto"/>
        </w:rPr>
      </w:pPr>
    </w:p>
    <w:p>
      <w:pPr>
        <w:spacing w:after="0" w:line="30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ind w:left="348" w:right="3439"/>
        <w:spacing w:after="0"/>
        <w:rPr>
          <w:sz w:val="20"/>
          <w:szCs w:val="20"/>
          <w:color w:val="auto"/>
        </w:rPr>
      </w:pPr>
      <w:r>
        <w:rPr>
          <w:rFonts w:ascii="Courier New" w:cs="Courier New" w:eastAsia="Courier New" w:hAnsi="Courier New"/>
          <w:sz w:val="15"/>
          <w:szCs w:val="15"/>
          <w:color w:val="auto"/>
        </w:rPr>
        <w:t>manager with investment discretion. Thorsell, Parker also exercises sole voting power with respect to 747,825 of such shares.</w:t>
      </w:r>
    </w:p>
    <w:p>
      <w:pPr>
        <w:spacing w:after="0" w:line="176" w:lineRule="exact"/>
        <w:rPr>
          <w:sz w:val="20"/>
          <w:szCs w:val="20"/>
          <w:color w:val="auto"/>
        </w:rPr>
      </w:pPr>
    </w:p>
    <w:p>
      <w:pPr>
        <w:ind w:left="348" w:right="3079"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Class A Common Stock of the Company.</w:t>
      </w:r>
    </w:p>
    <w:p>
      <w:pPr>
        <w:spacing w:after="0" w:line="176"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 named in the Summary Compensation Table included in the Company's Proxy Statement for 1994 Annual Meeting of Stockholders.</w:t>
      </w:r>
    </w:p>
    <w:p>
      <w:pPr>
        <w:spacing w:after="0" w:line="176"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45,454 shares of Class A Common Stock which were issued to Mr. Host at the time of his employment by the Company and which are pledged to Bank One, N.A.</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shares of Class A Common Stock held in the Richard B. Stahl and Nancy E. Stahl 1992 Charitable Remainder Trust. In his capacity as trustee of said Trust, Mr. Stahl exercises sole voting and investment power with respect to such Common Shares. Also includes 1,000 shares of Class A Common Stock held by the son of Mr. Stahl who shares his home.</w:t>
      </w:r>
    </w:p>
    <w:p>
      <w:pPr>
        <w:spacing w:after="0" w:line="175"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of Class A Common Stock held by each of Mr. Yeager's wife and his two daughters who share his home.</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(7), (8) and (9) above. Also includes Class A Common Stock held by the respective spouses of executive officers of the Company and by their children who reside with them.</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DESCRIPTION OF BANK AGREEMENT</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Scotts and OMS are co-obligors under the Company's Bank Agreement. As amended on December 16, 1993, in connection with the acquisition of Sierra, the Bank Agreement provides for a revolving credit facility of $150 million, which terminates on March 31, 1996 and which includes swing-line and letter of credit subfacilities, and term loans of $195 million ($190 million outstanding).</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Scheduled maturities for the term loans are as follows: $15 million due on October 31, 1994; $10 million due semi-annually in 1995; $17.5 million due semi-annually in 1996 and $15 million due semiannually thereafter through final maturity on September 30, 2000. The Bank Agreement generally requires that the Company apply the Net Cash Proceeds (as defined therein) from the offering of Debt Securities to the prepayment of the term loans as follows: 15% to the installments due in 1994; 15% to the installments due in 1995; 20% to the installments due in 1996; 15% to the installments due in 1997; 15% to the installments due in 1998; 10% to the installments due in 1999 and the balance to the remaining installments in the inverse order of their stated maturity.</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Bank Agreement is guaranteed by most of the Company's subsidiaries and is secured by substantially all the assets of the Company, as well as by the pledge of 100% of the capital stock of each of the Company's wholly-owned domestic subsidiaries and 65% of the Company's wholly-owned foreign subsidiaries.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Borrowings under the Bank Agreement bear interest, at the Company's option, at a rate equal to either (i) the higher of the agent bank's reference rate and 1/2% above the "Federal Funds" rate or (ii) the LIBO Rate (as defined therein) plus 1 1/4%.</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Bank Agreement contains a number of affirmative and negative covenants and customary events of default. The agreement also contains financial covenants requiring the Company to maintain certain levels of Adjusted Operating Profit, Consolidated Net Worth and Interest Coverage (each as defined therein) and requiring the Company to reduce, or "clean-down," non-term borrowings under the Bank Agreement to $30 million or less for thirty consecutive days each year. An offering of Debt Securities may require an amendment of or consent under the Bank Agreement.</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Loans under the Bank Agreement are provided by Chemical Bank, as a lending bank and as agent for the thirteen other participating banks. Chemical Bank is an affiliate of Chemical Securities Inc. In addition, Chemical Bank is the trustee under the Indentures. See "Description of Debt Securities -- The Trustee."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89" w:right="1440" w:bottom="1440" w:gutter="0" w:footer="0" w:header="0"/>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DESCRIPTION OF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description sets forth certain general terms and provisions of the Debt Securities to which any Prospectus Supplement may relate. The particular terms of the Debt Securities offered by any Prospectus Supplement and the extent, if any, to which such general provisions may not apply to the Debt Securities so offered will be described in the Prospectus Supplement relating to such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Senior Debt Securities are to be issued under an Indenture to be dated as of June 1, 1994 (the "Senior Indenture") among Scotts, OMS and Chemical Bank, as trustee. The Subordinated Debt Securities are to be issued under a separate Indenture to be dated as of June 1, 1994 (the "Subordinated Indenture"), also among Scotts, OMS and Chemical Bank, as trustee. The Senior Indenture and the Subordinated Indenture are sometimes referred to collectively as the "Indentures." Copies of the Senior Indenture and the Subordinated Indenture have been filed as exhibits to the Registration Statement. Chemical Bank is hereinafter referred to as the "Trustee." The following summaries of certain provisions of the Senior Debt Securities, the Subordinated Debt Securities and the Indentures do not purport to be complete and are subject to, and are qualified in their entirety by reference to, all the provisions of the Indenture applicable to a particular series of Debt Securities (the "Applicable Indenture"), including the definitions therein of certain terms. Wherever particular Sections, Articles or defined terms of the Indentures are referred to, it is intended that such Sections, Articles or defined terms shall be incorporated herein by reference. Article and Section references used herein are references to the Applicable Indenture. Capitalized terms not otherwise defined herein shall have the meaning given in the Applicable Indenture.</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Debt Securities will be joint and several obligations of the Issuers. The Indentures do not limit the aggregate principal amount of Debt Securities which may be issued thereunder and each Indenture provides that Debt Securities may be issued thereunder from time to time in one or more series. Unless otherwise specified in the Prospectus Supplement, the Senior Debt Securities when issued will be unsecured and unsubordinated obligations of the Issuers and will rank equally and ratably with all other unsecured and unsubordinated indebtedness of the Issuers. The Subordinated Debt Securities when issued will be unsecured obligations of the Issuers subordinated in right of payment to the prior payment in full of all Senior Debt (as defined) of each Issuer, as described under "Subordination of Subordinated Debt Securities" and in the Prospectus Supplement applicable to an offering of Subordinated Debt Securities.</w:t>
      </w:r>
    </w:p>
    <w:p>
      <w:pPr>
        <w:spacing w:after="0" w:line="16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Reference is made to the Prospectus Supplement relating to the particular Debt Securities offered thereby (the "Offered Debt Securities") which shall set forth whether the Offered Debt Securities shall be Senior Debt Securities or Subordinated Debt Securities, and shall further set forth the following terms of the Offered Debt Securities: (1) the title of the Offered Debt Securities; (2) whether the Offered Debt Securities are Senior Debt Securities or Subordinated Debt Securities; (3) any limit on the aggregate principal amount of the Offered Debt Securities; (4) the price (expressed as a percentage of the aggregate principal amount thereof) at which the Offered Debt Securities will be issued;</w:t>
      </w:r>
    </w:p>
    <w:p>
      <w:pPr>
        <w:spacing w:after="0" w:line="2" w:lineRule="exact"/>
        <w:rPr>
          <w:sz w:val="20"/>
          <w:szCs w:val="20"/>
          <w:color w:val="auto"/>
        </w:rPr>
      </w:pPr>
    </w:p>
    <w:p>
      <w:pPr>
        <w:ind w:left="8" w:right="3079" w:hanging="8"/>
        <w:spacing w:after="0" w:line="260" w:lineRule="auto"/>
        <w:tabs>
          <w:tab w:leader="none" w:pos="36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the Offered Debt Securities will be payable, if other than the Person in whose name such Offered Debt Securities (or one or more Predecessor Securities) are registered on any Regular Record Date;</w:t>
      </w:r>
    </w:p>
    <w:p>
      <w:pPr>
        <w:ind w:left="8" w:right="3079" w:hanging="8"/>
        <w:spacing w:after="0" w:line="261" w:lineRule="auto"/>
        <w:tabs>
          <w:tab w:leader="none" w:pos="36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of the Offered Debt Securities will be payable; (7) the rate or rates per annum (which may be fixed, floating or adjustable) at which the Offered Debt Securities will bear interest, if any, or the formula pursuant to which such rate or rates shall be determined, the date or dates from which such interest will accrue and the dates on which such interest, if any, will be payable and the Regular Record Dates for such interest payment dates; (8) the place or places where principal of (and premium, if any) and interest, if any, on Offered Debt Securities will be payable; (9) if applicable, the price at which, the periods within which and the terms and conditions upon which the Offered Debt Securities may be redeemed at the option of the Issuers, pursuant to a sinking fund or otherwise; (10) if applicable, any obligation of the Issuers to redeem or purchase Offered Debt Securities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pursuant to any sinking fund or analogous provisions or at the option of a Holder thereof, and the period or periods within which, the price or prices at which and the terms and conditions upon which the Offered Debt Securities will be redeemed or purchased, in whole or in part; (11) if applicable, the terms of any right to convert or exchange the Offered Debt Securities into other securities or property of either or both of the Issuers or otherwise; (12) if other than denominations of $1,000 and any integral multiple thereof, the denominations in which the Offered Debt Securities will be issuable; (13) the currency or currencies, including composite currencies or currency units, in which payment of the principal of (or premium, if any) or interest, if any, on any of the Offered Debt Securities will be payable if other than the currency of the United States of America; (14) if the amount of payments of principal of (or premium, if any) or interest, if any, on the Offered Debt Securities may be determined with reference to one or more indices, the manner in which such amounts will be determined; (15) if the principal of (or premium, if any) or interest, if any, on any of the Offered Debt Securities of the series is to be payable, at the election of the Issuers or a Holder thereof, in one or more currencies, including composite currencies, or currency units other than that or those in which the Securities are stated to be payable, the currency, currencies, including composite currencies, or currency units in which payment of the principal of (or premium, if any) or interest, if any, on Securities of such series as to which such election is made will be payable, and the periods within which and the terms and conditions upon which such election is to be made; (16) the portion of the principal amount of the Offered Debt Securities, if other than the principal amount thereof, payable upon acceleration of maturity thereof; (17) whether all or any part of the Offered Debt Securities will be issued in the form of a permanent Global Security or Securities and, if so, the depositary for, and other terms relating to, such permanent Global Security or Securities; (18) any event or events of default applicable with respect to the Offered Debt Securities in addition to those provided in the Indentures; (19) any other covenant or warranty included for the benefit of the Offered Debt Securities in addition to (and not inconsistent with) those included in the Indentures for the benefit of Debt Securities of all series, or any other covenant or warranty included for the benefit of the Offered Debt Securities in lieu of any covenant or warranty included in the Indentures for the benefit of Offered Debt Securities, or any combination of such covenants, warranties or provisions; (20) if the Debt Securities are Subordinated Debt Securities, whether the provisions of the Subordinated Indenture described under the caption "Subordination of Subordinated Debt Securities" or other subordination provisions will be applicable to such Subordinated Debt Securities; (21) any restriction or condition on the transferability of the Offered Debt Securities; (22) if applicable, that such Offered Debt Securities, in whole or any specified part, are defeasible pursuant to the provisions of the Indentures described under "Defeasance and Covenant Defeasance"; (23) any authenticating or paying agents, registrars, conversion agents or any other agents with respect to the Offered Debt Securities; and (24) any other terms or provisions of the Offered debt Securities not inconsistent with the Indentures. (Sections 301 and 901)</w:t>
      </w:r>
    </w:p>
    <w:p>
      <w:pPr>
        <w:spacing w:after="0" w:line="20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Prospectus Supplement relating thereto, the Offered Debt Securities are to be issued as registered securities without coupons in denominations of $1,000 or any integral multiple of $1,000. (Section 302). No service charge will be made for any transfer or exchange of such Offered Debt Securities, but the Issuers or the Trustee may require payment of a sum sufficient to cover any tax or other governmental charge payable in connection therewith. (Section 305) The Indentures also provide that the Debt Securities of any series, if so specified with respect to a particular series, may be issued in permanent global form. See "Permanent Global Securities".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Debt Securities may be issued as Original Issue Discount Debt Securities to be sold at a substantial discount below their principal amount. Special Federal income tax, accounting and other considerations applicable thereto will be described in the Prospectus Supplement relating thereto. "Original Issue Discount Debt Security" means any security which provides for an amount less than the principal amount thereof to be due and payable upon the declaration of acceleration of the maturity thereof upon the occurrence and continuance of an Event of Default. (Section 101)</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Debt Securities are denominated in whole or in part in any currency other than United States dollars, if the principal of (and premium, if any) or interest, if any, on the Debt Securities are to be payable at the election of the Company or a Holder thereof, in a currency or currencies other than that in which such Debt Securities are to be payable, or if any index is used to determined the amount of payments of principal of, premium, if any, or interest on any series of the Debt Securities, special Federal income tax, accounting and other considerations applicable thereto will be described in the Prospectus Supplement relating thereto.</w:t>
      </w:r>
    </w:p>
    <w:p>
      <w:pPr>
        <w:spacing w:after="0" w:line="17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Since each of the Issuers is a holding company, the rights of each Issuer, and hence the right of creditors of each Issuer (including the Holders of Debt Securities), to participate in any distribution of the assets of any Subsidiary upon its liquidation or reorganization or otherwise is necessarily subject to the prior claims of creditors of the Subsidiary, except to the extent that claims of an Issuer itself as a creditor of the Subsidiary may be recognized.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Indentures do not contain any provisions that would provide protection to Holders of the Debt Securities against a sudden and dramatic decline in credit quality of the Company resulting from any takeover, recapitalization or similar restructuring.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payment. (Section 307)</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applicable Prospectus Supplement, principal of and any premium and interest on the Debt Securities of a particular series will be payable at the office of such Paying Agent or Paying Agents as the Issuers may designate for such purpose from time to time, except that at the option of the Issuers payment of any interest may be made by check mailed to the address of the Person entitled thereto as such address appears in the Security Register. Unless otherwise indicated in the applicable Prospectus Supplement, the corporate trust office of the Trustee in The City of New York will be designated as the Issuers' sole Paying Agent for payments with respect to Debt Securities of each series. Any other Paying Agents initially designated by the Issuers for the Debt Securities of a particular series will be named in the applicable Prospectus Supplement. The Issuers may at any time designate additional Paying Agents or rescind the designation of any Paying Agent or approve a change in the office through which any Paying Agent acts, except that the Issuers will be required to maintain a Paying Agent in each place of payment for the Debt Securities of a particular series. (Section 1002)</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moneys paid by the Issuers to a Paying Agent for the payment of the principal of or any premium or interest on any Debt Security which remain unclaimed at the end of two years after such principal, premium or interest has become due and payable will be repaid to the Issuers, and the Holder of such Debt Security thereafter may look only to the Issuers for payment thereof. (Section 1003)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SUBORDINATED DEBT SECURITIES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Unless otherwise indicated in the Prospectus Supplement relating thereto, the following provisions will apply to the Subordinated Debt Securities.</w:t>
      </w:r>
    </w:p>
    <w:p>
      <w:pPr>
        <w:spacing w:after="0" w:line="154"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payment of the principal of (and premium, if any) and interest on, and any obligation to repurchase, the Subordinated Debt Securities will, to the extent set forth in the Subordinated Indenture, be subordinate in right of payment to the prior payment in full of all Senior Debt, including the Senior Debt Securities. Upon any payment or distribution of assets to creditors upon any liquidation, dissolution, winding up, reorganization, assignment of the benefit of creditors, marshalling of assets or any bankruptcy, insolvency, debt restructuring or similar proceedings of an Issuer, the holders of all Senior Debt will first be entitled to receive payment in full of principal of (and</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premium, if any) and interest, if any, due or to become due on such Senior Debt before the holders of the Subordinated Debt Securities will be entitled to receive or retain any payment in respect of the principal of (and premium, if any) or interest, if any, on the Subordinated Debt Securities. (Section 1402)</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notwithstanding the foregoing, upon any such dissolution, winding up, liquidation or reorganization, any payment or distribution of assets of an Issuer of any kind or character, whether in cash, property or securities, including any such payment or distribution which may be payable or deliverable by reason of the payment of any other indebtedness of an Issuer being subordinated to the payment of the Subordinated Debt Securities, shall be received by the Trustee, any paying agent or the holders of the Subordinated Debt Securities before all Senior Debt of an Issuer is paid in full, such payment or distribution shall be held in trust for the benefit of and shall be paid over to the holders of such Senior Debt or their representative or representatives or to the trustee or the trustees under any indenture under which any instruments evidencing any of such Senior Debt may have been issued, ratably for application to the payment of all Senior Debt of an Issuer remaining unpaid until all such Senior Debt shall have been paid in full, after giving effect to any concurrent payment or distribution to the holders of such Senior Debt.</w:t>
      </w:r>
    </w:p>
    <w:p>
      <w:pPr>
        <w:spacing w:after="0" w:line="183"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By reason of such subordination, in the event of liquidation or insolvency, creditors of an Issuer who are not holders of Senior Debt or Subordinated Debt Securities may recover less, ratably, than holders of Senior Debt and may recover more, ratably, than the holders of the Subordinated Debt Securities.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any Senior Payment Default (as defined below) shall have occurred and be continuing, then no payment of principal of or interest on the Subordinated Debt Securities may be made unless and until such Senior Payment Default shall have been cured or waived or shall have ceased to exist or all amounts then due and payable in respect of Senior Debt shall have been paid in full, or provision shall have been made for such payment in cash or cash equivalents or otherwise in a manner satisfactory to the holders of Senior Debt. "Senior Payment Default" means any default in the payment of principal of (or premium, if any) or interest on any Senior Debt when due, whether at the stated maturity of any such payment or by declaration of acceleration, call for redemption or otherwise.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any Senior Nonmonetary Default (as defined below) shall have occurred and be continuing, the, upon the receipt by the Issuers and the Trustee of written notice of such Senior Nonmonetary Default from holders of not less than 25% of the principal amount of such Senior Debt (or a trustee, agent or other representative for such a holder), no payment of principal of or interest on the Subordinated Debt Securities may be made during the period (the "Payment Blockage Period") commencing on the date of such receipt of such written notice and ending on the earlier of (i) the date on which such Senior Nonmonetary Default shall have been cured or waived or shall have ceased to exist and any acceleration of Senior Debt shall have been rescinded or annulled or the Senior Debt to which such Senior Nonmonetary Default relates shall have been discharged or (ii) the 179th day after the date of such receipt of such written notice. No more than one Payment Blockage Period may be commenced with respect to the Subordinated Debt Securities during any 360-day period and there must be a period of at least 181 consecutive days in each 360-day period when no Payment Blockage Period is in effect. For all purposes of this paragraph, no Senior Payment Default or Senior Nonmonetary Default that existed or was continuing on the date of commencement of any Payment Blockage Period can be, or be made, the basis for the commencement of a subsequent Payment Blockage Period by the holders of Senior Debt or their representatives unless such Senior Payment Default or Senior Nonmonetary Default shall have been cured for a period of not less than 90 consecutive days. "Senior Nonmonetary Default" means the occurrence or existence and continuance of any event of default, or of any event which, after notice or lapse of time (or both), would become an event of default, under the terms of any instrument pursuant to which any Senior Debt is outstanding, permitting (after notice or lapse of time or both) one or more holders of such Senior Debt (or a trustee or agent on behalf of the holders thereof) to declare such</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56" w:name="page57"/>
    <w:bookmarkEnd w:id="56"/>
    <w:p>
      <w:pPr>
        <w:ind w:left="268"/>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Senior Debt due and payable prior to the date on which it would otherwise become due and payable, other than a Senior Payment Default.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In the event that, notwithstanding the foregoing, the Issuers shall make any payment of principal of or interest on the Subordinated Debt Securities to the Trustee or any Holder prohibited by the foregoing provisions of this Section, and if such fact shall, at or prior to the time of such payment, have been made known to the Trustee or, as the case may be, the Holder, then and in such event such payment shall be paid over and delivered forthwith to the Issuers.</w:t>
      </w:r>
    </w:p>
    <w:p>
      <w:pPr>
        <w:spacing w:after="0" w:line="177"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Unless otherwise specified in the Prospectus Supplement relating to the particular series of Subordinated Debt Securities offered thereby, "Debt" has the meaning accorded thereto under "--Certain Definitions" below.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Unless otherwise specified in the Prospectus Supplement relating to the particular series of Subordinated Debt Securities offered thereby, "Senior Debt" means (a) the principal of (and premium, if any) and interest, if any, (including interest accruing on or after the filing of any petition in bankruptcy or for reorganization relating to an Issuer to the extent that such claim for post-petition interest is allowed in such proceeding) on Debt, whether incurred on or prior to the date of the Subordinated Indenture or thereafter created, assumed or incurred, unless, in the instrument creating or evidencing the same or pursuant to which the same is outstanding, it is provided that such obligations are not superior in right of payment to the Subordinated Debt Securities or to other Debt which is PARI PASSU with, or subordinated to the Subordinated Debt Securities and (b) any deferrals, renewals or extensions of such Senior Debt; PROVIDED, HOWEVER, that Senior Debt shall be deemed to include</w:t>
      </w:r>
    </w:p>
    <w:p>
      <w:pPr>
        <w:spacing w:after="0" w:line="3" w:lineRule="exact"/>
        <w:rPr>
          <w:sz w:val="20"/>
          <w:szCs w:val="20"/>
          <w:color w:val="auto"/>
        </w:rPr>
      </w:pPr>
    </w:p>
    <w:p>
      <w:pPr>
        <w:ind w:left="8" w:right="3159" w:hanging="8"/>
        <w:spacing w:after="0" w:line="242" w:lineRule="auto"/>
        <w:tabs>
          <w:tab w:leader="none" w:pos="3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existing under the Bank Agreement and under any Bank Hedging Agreement and (ii) Debt existing under the Senior Indenture; PROVIDED FURTHER, HOWEVER, that Senior Debt shall not be deemed to include (i) the Subordinated Debt Securities or (ii) the Debt referred to in clause (vi) of the definition of Debt. (Section 101 of the Subordinated Indenture)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Subordinated Indenture does not limit or prohibit the incurrence of additional Senior Debt by either Issuer, which may include Debt that is senior to the Subordinated Debt Securities, but subordinate to other obligations of one or both of the Issuers. The Senior Debt Securities, when issued, will constitute Senior Debt.</w:t>
      </w:r>
    </w:p>
    <w:p>
      <w:pPr>
        <w:spacing w:after="0" w:line="175"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Prospectus Supplement may further describe the provisions, if any, applicable to the subordination of the Subordinated Debt Securities of a particular series.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At April 2, 1994 the combined total amount of indebtedness of the Issuers that would constitute Senior Debt was $329.6 million.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CHANGE OF CONTROL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Upon the occurrence of a Change of Control, the Issuers will be required to make an Offer to Purchase all outstanding Debt Securities at a purchase price equal to 101% of their principal amount plus accrued interest to the date of purchase. A "Change of Control" will be deemed to have occurred in the event that either (a) any Person or any Persons acting together that would constitute a group (for purposes of Section 13(d) of the Securities Exchange Act of 1934, or any successor provision thereto) (a "Group"), together with any Affiliates or Related Persons thereof shall beneficially own (as defined in Rule 13d-3 under the Securities Exchange Act of 1934, or any successor provision thereto) at least 30% of the aggregate voting power of all classes of Capital Stock of either Issuer entitled to vote generally in the election of directors; or (b) any Person or Group, together with any Affiliates or Related Persons thereof, shall succeed in having a sufficient number of its nominees elected to the Board of Directors of either Issuer such that such nominees, when added to any existing director remaining on the Board of Directors of such Issuer after such election who is an Affiliated or Related Person of such Person or Group, will constitute a majority of the Board of Directors of such Issuer. Notwithstanding the foregoing, with respect to OMS, Scotts shall be deemed not to constitute such a Person or Group for the purposes of clauses (a) and (b) above. (Section 1009)</w:t>
      </w:r>
    </w:p>
    <w:p>
      <w:pPr>
        <w:spacing w:after="0" w:line="18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89"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Indentures provide that the Issuers will establish a Purchase Date for any Subordinated Debt Securities on a date subsequent to the Purchase Date established for any Senior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the event that the Issuers make an Offer to Purchase Debt Securities, the Issuers intend to comply with any applicable securities laws and regulations, including any applicable requirements of Section 14(e) of, and Rule 14e-1 under, the Securities Exchange Act of 1934.</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Neither of the Issuers may, in a single transaction or a series of related transactions, consolidate with or merge into any other Person or sell, lease or otherwise transfer its property and assets as, or substantially as, an entirety to any Person and neither may permit any Person to merge into or consolidate with such Issuer unless (i) either (A) such Issuer will be the resulting or surviving entity or (B) any successor or purchaser is a corporation, partnership or trust organized under the laws of the United States of America, any State or the District of Columbia, and any such successor or purchaser expressly assumes such Issuer's obligations on the Debt Securities under a supplemental Indenture,</w:t>
      </w:r>
    </w:p>
    <w:p>
      <w:pPr>
        <w:spacing w:after="0" w:line="2" w:lineRule="exact"/>
        <w:rPr>
          <w:sz w:val="20"/>
          <w:szCs w:val="20"/>
          <w:color w:val="auto"/>
        </w:rPr>
      </w:pPr>
    </w:p>
    <w:p>
      <w:pPr>
        <w:ind w:left="8" w:right="3079" w:hanging="8"/>
        <w:spacing w:after="0" w:line="242" w:lineRule="auto"/>
        <w:tabs>
          <w:tab w:leader="none" w:pos="45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which after notice or lapse of time or both would become an Event of Default, shall have occurred and be continuing, and (iii) certain other conditions are met. (Section 801). Upon any consolidation or merger into any other Person or any conveyance, transfer or lease of an Issuer's assets substantially as an entirety to any Person, the successor Person shall succeed to, and be substituted for, an Issuer under the Indentures, and such Issuer, except in the case of a lease, shall be relieved of all obligations and covenants under the Indentures and the Debt Securities to the extent it was the predecessor Person. (Section 802)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 AND NOTICE THEREOF</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Unless otherwise specified in the Prospectus Supplement relating to a particular series of Debt Securities, the following events are defined in the Indentures as "Events of Default" with respect to Debt Securities of any series:</w:t>
      </w:r>
    </w:p>
    <w:p>
      <w:pPr>
        <w:spacing w:after="0" w:line="1" w:lineRule="exact"/>
        <w:rPr>
          <w:sz w:val="20"/>
          <w:szCs w:val="20"/>
          <w:color w:val="auto"/>
        </w:rPr>
      </w:pPr>
    </w:p>
    <w:p>
      <w:pPr>
        <w:ind w:left="8" w:right="3079" w:hanging="8"/>
        <w:spacing w:after="0" w:line="242" w:lineRule="auto"/>
        <w:tabs>
          <w:tab w:leader="none" w:pos="3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(including any sinking fund payment) of (or premium, if any, on) any Debt Security of that series when due (in the case of the Subordinated Indenture, whether or not payment is prohibited by the subordination provisions); (b) failure to pay any interest on any Debt Security of that series when due, continued for 30 days (in the case of the Subordinated Indenture, whether or not payment is prohibited by the subordination provisions); (c) default in the payment of the purchase price of Debt Securities of that series required to be purchased pursuant to an Offer to Purchase as described under "Change of Control" when due and payable (in the case of the Subordinated Indenture, whether or not payment is prohibited by the subordination provisions); (d) failure to perform or comply with the provisions described under "Merger, Consolidation and Sales of Assets"; (e) failure to perform any other covenant or agreement of the Issuers under the Indentures (other than a covenant included in the Indentures solely for the benefit of a series of Debt Securities other than that series) continued for 60 days after written notice to the Issuers by the Trustee or Holders of at least 25% in aggregate principal amount of outstanding Debt Securities of that series; (f) default under the terms of any instrument evidencing or securing Debt for money borrowed, including Debt Securities of another series, by an Issuer or any Subsidiary having an outstanding principal amount of $5 million individually or in the aggregate which default results in the acceleration of the payment of such indebtedness or constitutes the failure to pay such indebtedness when due;</w:t>
      </w:r>
    </w:p>
    <w:p>
      <w:pPr>
        <w:spacing w:after="0" w:line="1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rendering of a final judgment or judgments (not subject to appeal)</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 Issuer or any Subsidiary in an amount in excess of $5 million which remains undischarged or unstayed for a period of 60 days after the date on which the right to appeal has expired; and (h) certain events of bankruptcy, insolvency or reorganization affecting an Issuer or any Subsidiary. (Section 501)</w:t>
      </w:r>
    </w:p>
    <w:p>
      <w:pPr>
        <w:spacing w:after="0" w:line="175"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Except as defined in the Prospectus Supplement relating thereto and except as specified in clause (f) of the preceding paragraph, no Event of Default with respect to Debt Securities of a particular series shall necessarily constitute an Event of Default with respect to Debt Securities of</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other series. If an Event of Default with respect to Debt Securities of any series at the time outstanding shall occur and be continuing, either the Trustee or the Holders of at least 25% in principal amount of the Outstanding Debt Securities of that series may declare the principal amount (or, if the Debt Securities of that series are Original Issue Discount Securities, such portion of the principal amount as may be specified in the terms of that series) of all Debt Securities of that series to be due and payable immediately; PROVIDED, HOWEVER, that under certain circumstances the Holders of a majority in aggregate principal amount of outstanding Debt Securities of that series may rescind or annul such declaration and its consequences. (Section 502). If an Event of Default specified in clause (h) of the preceding paragraph occurs, the outstanding Debt Securities will IPSO FACTO become immediately payable without any declaration or other act on the part of the Trustee or any Holder. (Section 502)</w:t>
      </w:r>
    </w:p>
    <w:p>
      <w:pPr>
        <w:spacing w:after="0" w:line="18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Reference is made to the Prospectus Supplement relating to any series of Offered Debt Securities which are Original Issue Discount Securities for the particular provisions relating to the principal amount of such Original Issue Discount Securities due on acceleration upon the occurrence of an Event of Default and the continuation thereof.</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Issuers will be required to furnish to the Trustee annually a statement by certain officers of the Issuers as to compliance with all conditions and covenants of the Indentures. (Section 1004)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a majority in principal amount of the Outstanding Debt Securities of any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(Sections 512 and 513)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Indentures provide that, upon the occurrence of an Event of Default that shall be continuing, the Trustee shall exercise such of its rights and powers under the Indentures, and use the same degree of care and skill in its exercise, as a prudent man would exercise or use under the circumstances in the conduct of his own affairs. (Section 601). Subject to such provisions, the Trustee will be under no obligation to exercise any of its rights or powers under the Indentures at the request of any of the Holders of Debt Securities unless they shall have offered to the Trustee security or indemnity in form and substance reasonably satisfactory to the Trustee against the costs, expenses and liabilities which might be incurred by it in compliance with such request. (Section 603)</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Holder of a Debt Security of any series will have any right to institute any proceeding with respect to the Indentures or for any remedy thereunder, unless such Holder shall have previously given to the Trustee written notice of a continuing Event of Default and unless also the Holders of at least 25% in aggregate principal amount of the Outstanding Debt Securities of the same series shall have made written request, and offered reasonable indemnity to the Trustee, to institute such proceeding as trustee, and the Trustee shall not have received from the Holders of a majority in aggregate principal amount of the Outstanding Debt Securities of the same series a direction inconsistent with such request and shall have failed to institute such proceeding within 60 days. (Section 507). However, such limitations do not apply to a suit instituted by a Holder of a Debt Security for enforcement of payment of the principal of (or premium, if any) or interest, if any, on such Debt Security on or after the respective due dates expressed in such Debt Security, or of the right to convert such Debt Security in accordance with the Indentures (if applicable). (Section 508)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Modifications and amendments of each Indenture may be made by the Issuer and the Trustee, with the consent of the Holders of not less than a majority of aggregate principal amount of each series of the outstanding Debt Securities issued under such Indenture which is affected by the modification or amendment; provided, however, that no such modification or amendment may, without the consent of each Holder of such Debt Security affected thereby: (1) change the Stated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Maturity of the principal of (or premium, if any) or any instalment of principal or interest, if any, on any such Debt Security; (2) reduce the principal amount of (or premium, if any) or the interest rate, if any, on any such Debt Security or the principal amount due upon acceleration of an Original Issue Discount Security; (3) adversely affect any right of repayment at the option of the Holder of any such Debt Security; (4) reduce the amount of or postpone the date fixed for, the payment of any sinking fund or analogous obligation; (5) change the place or currency of payment of principal of (or premium, if any) or the interest, if any, on any such Debt Security; (6) impair the right to institute suit for the enforcement of any such payment on or with respect to any such Debt Security on or after the Stated Maturity (or, in the case of redemption, on or after the Redemption Date); (7) adversely change the right to convert or exchange, including decreasing the conversion rate or increasing the conversion price of, such Debt Security (if applicable); (8) reduce the percentage of the principal amount of Outstanding Debt Securities of any series, the consent of the Holders of which is necessary to modify or amend the Applicable Indenture;</w:t>
      </w:r>
    </w:p>
    <w:p>
      <w:pPr>
        <w:spacing w:after="0" w:line="3" w:lineRule="exact"/>
        <w:rPr>
          <w:sz w:val="20"/>
          <w:szCs w:val="20"/>
          <w:color w:val="auto"/>
        </w:rPr>
      </w:pPr>
    </w:p>
    <w:p>
      <w:pPr>
        <w:ind w:left="8" w:right="3079" w:hanging="8"/>
        <w:spacing w:after="0" w:line="242"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Subordinated Indenture, modify the subordination provisions in a manner adverse to the holders of the Subordinated Debt Securities; (10) modify the foregoing requirements or reduce the percentage of outstanding Debt Securities necessary to waive compliance with certain provisions of the Applicable Indenture or for waiver of certain defaults or (11) following the mailing of any Offer to Purchase, modify any Offer to Purchase required under the "Change in Control" covenant contained in the Indentures in a manner materially adverse to the holders thereof. (Section 902)</w:t>
      </w:r>
    </w:p>
    <w:p>
      <w:pPr>
        <w:spacing w:after="0" w:line="177"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The Subordinated Indenture also prohibits any modification of amendment of the subordination provisions thereof in a manner adverse to the holders of Senior Debt, without such holders' consent. (Subordinated Indenture Section 902)</w:t>
      </w:r>
    </w:p>
    <w:p>
      <w:pPr>
        <w:spacing w:after="0" w:line="15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holders of at least a majority of the aggregate principal amount of the Outstanding Debt Securities of any series may, on behalf of all Holders of that series, waive compliance by the Issuers with certain restrictive provisions of the Indentures and waive any past default under the Indentures, except a default in the payment of principal, premium or interest or in the performance of certain covenants. (Sections 1011 and 513)</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Debt Securities or any series have given or taken any direction, notice, consent, waiver or other action under the Applicable Indenture as of any date, (i) the principal amount of an Original Issue Discount Debt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18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Except in certain limited circumstances, the Issuers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such Applicable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period will be 180 days or such shorter period as may be specified by the Issuers (or the Trustee, if it set the record date), and may be shortened or lengthened (but not beyond 180 days) from time to time. (Section 104)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Indentures provide, if such provision is made applicable to the Debt Securities of any series pursuant to Section 301 of the Applicable Indenture (which will be indicated in the Prospectus Supplement applicable thereto), that the Issuers may elect either (A) to defease and be discharged from any and all obligations with respect to such Debt Securities then outstanding (including, in the case of Subordinated Debt Securities, the provisions described under "Subordination of Subordinated Debt Securities" herein and except for the obligations to exchange or register the transfer of such Debt Securities, to replace temporary or mutilated, destroyed, lost or stolen Debt Securities, to maintain an office or agency in respect of the Debt Securities, and to hold monies for payments in trust) ("defeasance"), or (B) to be released from its obligations with respect to such Debt Securities concerning the restrictions described under "Consolidation, Merger and Sale of Assets" and any other covenants applicable to such Debt Securities (including, in the case of Subordinated Debt Securities, the provisions described under "Subordination of Subordinated Debt Securities" herein) which are subject to covenant defeasance ("covenant defeasance"), and the occurrence of an event described and notice thereof in clauses (e) and (f) under "Events of Default and Notice Thereof" (with respect to covenants determined, pursuant to Section 301 of the Applicable Indenture, to be subject to covenant defeasance) shall no longer be an Event of Default, in each case, upon the irrevocable deposit with the Trustee (or other qualifying trustee), in trust for such purpose, of money, and/or U.S. Government Obligations (as defined in the Indentures) (or Foreign Government Obligations (as defined in the Indentures) in the case of Debt Securities denominated in foreign currencies) which through the payment of principal and interest in accordance with their terms will provide money in an amount sufficient without reinvestment to pay the principal of (and premium, if any) and interest, if any, on such Debt Securities, and any mandatory sinking fund or analogous payments thereon, on the scheduled due dates therefor. Such a trust may only be established if, among other things, (i) the Issuers have delivered to the Trustee an opinion of counsel (as specified in the Applicable Indenture) to the effect that the Holders of such Debt Securities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 (ii) no Event of Default or event which with the giving of notice or lapse of time, or both, would become an Event of Default under the Applicable Indenture shall have occurred and be continuing on the date of such deposit, (iii) in the case of Subordinated Debt Securities, (x) no default in the payment of principal of (or premium, if any) or interest, if any, on any Senior Debt beyond any applicable grace period shall have occurred and be continuing, or (y) no other default with respect to any Senior Debt shall have occurred and be continuing and shall have resulted in the acceleration of such Senior Debt and (iv) certain other customary conditions precedent are satisfied. In the case of defeasance under clause (A) above, the opinion of counsel referred to in clause (i) above must refer to an be based on a ruling of the Internal Revenue Service issued to the Company or published as a revenue ruling or on a change in applicable Federal income tax law, in each case after the date of the Applicable Indenture. (Article Thirteen)</w:t>
      </w:r>
    </w:p>
    <w:p>
      <w:pPr>
        <w:spacing w:after="0" w:line="20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current Federal income tax law, defeasance would likely be treated as a taxable exchange of such Debt Securities for interests in the defeasance trust. As a consequence a Holder would recognize gain or loss equal to the difference between the Holder's cost or other tax basis for such Debt Securities and the value of the Holder's proportionate interest in the defeasance trust, and thereafter would be required to include in income a proportionate share of the income, gain and loss of the defeasance trust. Under current Federal income tax law, covenant defeasance would ordinarily not be treated as a taxable exchange of such Debt Securities. Purchasers of such Debt Securities should consult their own advisors with respect to the tax consequences to them of such</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defeasance and covenant defeasance, including the applicability and effect of tax laws other than the Federal income tax law.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may exercise the defeasance option with respect to such Debt Securities notwithstanding prior exercise of the covenant defeasance option. If the Issuers exercise the defeasance option, payment of such Debt Securities may not be accelerated because of an Event of Default. If the Issuers exercise the covenant defeasance option, payment of such Debt Securities may not be accelerated by reference to the covenants noted under clause (B) above. In the event the Issuers fail to comply with the remaining obligations with respect to such Debt Securities under the Applicable Indenture after exercising their covenant defeasance option and such Debt Securities are declared due and payable because of the occurrence of any Event of Default, the amount of money and U.S. Government Obligations (or Foreign Government Obligations in the case of Debt Securities denominated in foreign currencies) on deposit with the Trustee may be insufficient to pay amounts due on the Debt Securities of such series at the time of the acceleration resulting from such Event of Default, because the required deposit in the defeasance trust is based upon scheduled cash flows, rather than market values, which will vary depending on prevailing interest rates and other factors. However, the Issuers will remain liable in respect of such payments. (Article Thirteen)</w:t>
      </w:r>
    </w:p>
    <w:p>
      <w:pPr>
        <w:spacing w:after="0" w:line="184"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Prospectus Supplement may further describe the provisions, if any, applicable to defeasance with respect to the Debt Securities of a particular series.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Set forth below is a summary of certain of the defined terms used in the Indentures. Reference is made to the Applicable Indenture with respect to any particular series of Debt Securities for the full definition of all such terms, as well as any other terms used herein for which no definition is provided. (Section 101)</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"Affiliate"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"Bank Agreement" means the Third Amended and Restated Credit Agreement, dated as of April 7, 1992, among the Issuers, Chemical Bank (as successor to Manufacturers Hanover Trust Company), as Agent, and the lenders identified therein (the "Banks"), as amended by the First Amendment thereto, dated as of November 19, 1992, the Second Amendment thereto, dated as of February 23, 1993, and the Third Amended thereto, dated as of December 15, 1993, as such agreement may be amended, extended, restated or otherwise modified.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"Bank Hedging Agreement" means, with respect to an Issuer, any agreement between such Issuer and any Bank that is a lender under the Bank Agreement consisting of (a) any interest rate protection agreement, interest rate future, interest rate option, interest rate swap, interest rate cap or other interest rate hedge or arrangement and (b) any agreement or arrangement designed to limit or eliminate the risk and/or exposure of such Issuer to fluctuations in currency exchange rates.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Lease Obligations" of any Person means the obligation to pay rent or other payment amounts under a lease of (or other Debt arrangements conveying the right to use) real or personal property of such Person which is required to be classified and accounted for as a capital lease or a liability on the fact of a balance sheet of such Person in accordance with generally accepted accounting principles. The stated maturity of such obligation shall be the date of the last payment of rent or any other amount due under such lease prior to the first date upon which such lease may be terminated by the lessee without payment of a penalty.</w:t>
      </w:r>
    </w:p>
    <w:p>
      <w:pPr>
        <w:spacing w:after="0" w:line="178"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"Capital Stock" of any Person means any and all shares, interests, participation or other equivalents (however designated) of corporate stock of such Person.</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"Common Stock" of any Person means Capital Stock of such Person that does not rank prior, as to the payment of dividends or as to the distribution of assets upon any voluntary or involuntary liquidation, dissolution or winding up of such Person, to shares of Capital Stock of any other class of such Person.</w:t>
      </w:r>
    </w:p>
    <w:p>
      <w:pPr>
        <w:sectPr>
          <w:pgSz w:w="11900" w:h="16838" w:orient="portrait"/>
          <w:cols w:equalWidth="0" w:num="1">
            <w:col w:w="10219"/>
          </w:cols>
          <w:pgMar w:left="240" w:top="289" w:right="1440" w:bottom="1440"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type w:val="continuous"/>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"Debt" means (without duplication and without regard to any portion of principal amount that has not accrued and to any interest component thereof (whether accrued or imputed) that is not due and payable)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(vi) the maximum fixed redemption or repurchase price of Redeemable Stock of such Person at the time of determination; and (vii) every obligation of the type referred to in clauses (i) through (vi) of another Person and all dividends of another Person the payment of which, in either case, such Person has guaranteed or is responsible or liable, directly or indirectly, as obligor or otherwise. (Section 101 of the Subordinated Indenture)</w:t>
      </w:r>
    </w:p>
    <w:p>
      <w:pPr>
        <w:spacing w:after="0" w:line="18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"Offer to Purchase" means a written offer (the "Offer") sent by the Issuers by first class mail, postage prepaid, to each Holder at its address appearing in the Debt Security Register on the date of the Offer offering to purchase up to the principal amount of Debt Securities specified in such Offer at the purchase price specified in such Offer (as determined pursuant to the Applicable Indenture). Unless otherwise required by applicable law, the Offer shall specify an expiration date (the "Expiration Date") of the Offer to Purchase which shall be, subject to any contrary requirements of applicable law, not less than 30 days or more than 60 days after the date of such Offer and a settlement date (the "Purchase Date") for purchase of Debt Securities within five Business Days after the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 business of the Issuers and their Subsidiaries which the Issuers in good faith believe will enable such Holders to make an informed decision with respect to the Offer to Purchase (which at a minimum will include (i) the most recent annual and quarterly financial statements 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w:t>
      </w:r>
    </w:p>
    <w:p>
      <w:pPr>
        <w:spacing w:after="0" w:line="177" w:lineRule="exact"/>
        <w:rPr>
          <w:sz w:val="20"/>
          <w:szCs w:val="20"/>
          <w:color w:val="auto"/>
        </w:rPr>
      </w:pPr>
    </w:p>
    <w:p>
      <w:pPr>
        <w:ind w:left="8" w:right="3079" w:hanging="8"/>
        <w:spacing w:after="0" w:line="242"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appropriate pro forma financial information concerning the Offer to Purchase and the events requiring the Issuers to make the Offer to Purchase and (iv) any other information required by applicable law to be included therein. The Offer shall contain all instructions and materials necessary to enable such Holders to tender Debt Securities pursuant to the Offer to Purchase. The Offer shall also state:</w:t>
      </w:r>
    </w:p>
    <w:p>
      <w:pPr>
        <w:spacing w:after="0" w:line="176" w:lineRule="exact"/>
        <w:rPr>
          <w:rFonts w:ascii="Courier New" w:cs="Courier New" w:eastAsia="Courier New" w:hAnsi="Courier New"/>
          <w:sz w:val="15"/>
          <w:szCs w:val="15"/>
          <w:color w:val="auto"/>
        </w:rPr>
      </w:pPr>
    </w:p>
    <w:p>
      <w:pPr>
        <w:ind w:left="448" w:right="3159" w:firstLine="446"/>
        <w:spacing w:after="0"/>
        <w:tabs>
          <w:tab w:leader="none" w:pos="125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of the Applicable Indenture or Indentures pursuant to which the Offer to Purchase is being made;</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and the Purchase Date;</w:t>
      </w:r>
    </w:p>
    <w:p>
      <w:pPr>
        <w:spacing w:after="0" w:line="175"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Outstanding Debt Securities offered to be purchased by the Issuers pursuant to the Offer to Purchase (including, if less than 100%, the manner by which such has been determined pursuant to the Section of the Indentures requiring the Offer to Purchase) (the "Purchase Amount");</w:t>
      </w:r>
    </w:p>
    <w:p>
      <w:pPr>
        <w:spacing w:after="0" w:line="175" w:lineRule="exact"/>
        <w:rPr>
          <w:rFonts w:ascii="Courier New" w:cs="Courier New" w:eastAsia="Courier New" w:hAnsi="Courier New"/>
          <w:sz w:val="15"/>
          <w:szCs w:val="15"/>
          <w:color w:val="auto"/>
        </w:rPr>
      </w:pPr>
    </w:p>
    <w:p>
      <w:pPr>
        <w:ind w:left="448" w:right="3519" w:firstLine="446"/>
        <w:spacing w:after="0" w:line="242" w:lineRule="auto"/>
        <w:tabs>
          <w:tab w:leader="none" w:pos="125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to be paid by the Issuers for each $1,000 aggregate principal amount of Debt Securities accepted for payment (as specified pursuant to the Applicable Indenture or Indentures) (the "Purchase Price");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left="440" w:right="3159" w:firstLine="446"/>
        <w:spacing w:after="0" w:line="242"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Holder may tender all or any portion of the Debt Securities registered in the name of such Holder and that any portion of a Debt Security tendered must be tendered in an integral multiple of $1,000 principal amount;</w:t>
      </w:r>
    </w:p>
    <w:p>
      <w:pPr>
        <w:spacing w:after="0" w:line="174" w:lineRule="exact"/>
        <w:rPr>
          <w:rFonts w:ascii="Courier New" w:cs="Courier New" w:eastAsia="Courier New" w:hAnsi="Courier New"/>
          <w:sz w:val="15"/>
          <w:szCs w:val="15"/>
          <w:color w:val="auto"/>
        </w:rPr>
      </w:pPr>
    </w:p>
    <w:p>
      <w:pPr>
        <w:ind w:left="440" w:right="3339" w:firstLine="446"/>
        <w:spacing w:after="0"/>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Debt Securities are to be surrendered for tender pursuant to the Offer to Purchase;</w:t>
      </w:r>
    </w:p>
    <w:p>
      <w:pPr>
        <w:spacing w:after="0" w:line="176" w:lineRule="exact"/>
        <w:rPr>
          <w:rFonts w:ascii="Courier New" w:cs="Courier New" w:eastAsia="Courier New" w:hAnsi="Courier New"/>
          <w:sz w:val="15"/>
          <w:szCs w:val="15"/>
          <w:color w:val="auto"/>
        </w:rPr>
      </w:pPr>
    </w:p>
    <w:p>
      <w:pPr>
        <w:ind w:left="440" w:right="3339" w:firstLine="446"/>
        <w:spacing w:after="0" w:line="241"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interest on any Debt Security not tendered or tendered but not purchased by the Issuers pursuant to the Offer to Purchase will continue to accrue;</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Purchase Date the Purchase Price will become due and payable upon each Debt Security being accepted for payment pursuant to the Offer to Purchase and that interest thereon shall cease to accrue on and after the Purchase Date;</w:t>
      </w:r>
    </w:p>
    <w:p>
      <w:pPr>
        <w:spacing w:after="0" w:line="174"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each Holder electing to tender a Debt Security pursuant to the Offer to Purchase will be required to surrender such Debt Security at the place or places specified in the Offer prior to the close of business on the Expiration Date (such Debt Security being, if the Issuers or the Trustee so requires, duly endorsed by, or accompanied by a written instrument of transfer in form satisfactory to Scotts and the Trustee duly executed by, the Holder thereof or his attorney duly authorized in writing);</w:t>
      </w:r>
    </w:p>
    <w:p>
      <w:pPr>
        <w:spacing w:after="0" w:line="177" w:lineRule="exact"/>
        <w:rPr>
          <w:rFonts w:ascii="Courier New" w:cs="Courier New" w:eastAsia="Courier New" w:hAnsi="Courier New"/>
          <w:sz w:val="15"/>
          <w:szCs w:val="15"/>
          <w:color w:val="auto"/>
        </w:rPr>
      </w:pPr>
    </w:p>
    <w:p>
      <w:pPr>
        <w:ind w:left="440" w:right="3259" w:firstLine="446"/>
        <w:spacing w:after="0" w:line="262" w:lineRule="auto"/>
        <w:tabs>
          <w:tab w:leader="none" w:pos="133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all or any portion of Debt Securities tendered if the Issuers (or their Paying Agent) receive, not later than the close of business on the Expiration Date, a telegram, telex, facsimile transmission or letter setting forth the name of the Holder, the principal amount of the Debt Securities the Holder tendered, the certificate number of the Debt Security the Holder tendered and a statement that such Holder is withdrawing all or a portion of its tender;</w:t>
      </w:r>
    </w:p>
    <w:p>
      <w:pPr>
        <w:spacing w:after="0" w:line="164" w:lineRule="exact"/>
        <w:rPr>
          <w:rFonts w:ascii="Courier New" w:cs="Courier New" w:eastAsia="Courier New" w:hAnsi="Courier New"/>
          <w:sz w:val="14"/>
          <w:szCs w:val="14"/>
          <w:color w:val="auto"/>
        </w:rPr>
      </w:pPr>
    </w:p>
    <w:p>
      <w:pPr>
        <w:ind w:left="440" w:right="3079" w:firstLine="446"/>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 if Debt Securities in an aggregate principal amount less than or equal to the Purchase Amount are duly tendered and not withdrawn pursuant to the Offer to Purchase, the Issuers shall purchase all such Debt Securities and (b) if Debt Securities in an aggregate principal amount in excess of the Purchase Amount are tendered and not withdrawn pursuant to the Offer to Purchase, the Issuers shall purchase Debt Securities having an aggregate principal amount equal to the Purchase Amount on a pro rata basis (with such adjustments as may be deemed appropriate so that only Debt Securities in denominations of $1,000 or integral multiples thereof shall be purchased); and</w:t>
      </w:r>
    </w:p>
    <w:p>
      <w:pPr>
        <w:spacing w:after="0" w:line="178" w:lineRule="exact"/>
        <w:rPr>
          <w:rFonts w:ascii="Courier New" w:cs="Courier New" w:eastAsia="Courier New" w:hAnsi="Courier New"/>
          <w:sz w:val="15"/>
          <w:szCs w:val="15"/>
          <w:color w:val="auto"/>
        </w:rPr>
      </w:pPr>
    </w:p>
    <w:p>
      <w:pPr>
        <w:ind w:left="440" w:right="3079" w:firstLine="446"/>
        <w:spacing w:after="0" w:line="263" w:lineRule="auto"/>
        <w:tabs>
          <w:tab w:leader="none" w:pos="133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in the case of any Holder whose Debt Security is purchased only in part, the Issuers shall execute, and the Trustee shall authenticate and deliver to the Holder of such Debt Security without service charge, a new Debt Security or Debt Securities, of any authorized denomination as requested by such Holder, in an aggregate principal amount equal to and in exchange for the unpurchased portion of the Debt Security so tendered.</w:t>
      </w:r>
    </w:p>
    <w:p>
      <w:pPr>
        <w:spacing w:after="0" w:line="16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Any Offer to Purchase shall be governed by and effected in accordance with the Offer for such Offer to Purchase.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"Redeemable Stock" of any Person means, when used in an Indenture pursuant to which a particular series of Debt Securities is outstanding, any equity security of such Person that by its terms or otherwise is required to be redeemed prior to the final Stated Maturity of such series of Debt Securities or is redeemable at the option of the holder thereof at any time prior to the final Stated Maturity of such series of Debt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"Related Person" of any Person means any other Person directly or indirectly owning (a) 5% or more of the Outstanding Common Stock of such Person (or, in the case of a Person that is not a corporation, 5% or more of the equity interest in such Person) or (b) 5% or more of the combined voting power of the Voting Stock of such Person.</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"Subsidiary" of any Person means (i) a corporation more than 50% of the combined voting power of the outstanding Voting Stock of which is owned, directly or indirectly, by such Person or by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one or more other Subsidiaries of such Person or by such Person and one or more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"Voting Stock"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PERMANENT GLOBAL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Debt Securities of a series may be issued in the form of one or more permanent Global Securities that will be deposited with a Depositary or its nominee. In such a case, one or more Global Securities will be issued in a denomination or aggregate denominations equal to the portion of the aggregate principal amount of Outstanding Debt Securities of the series to be represented by such Global Security or Securities. The Prospectus Supplement relating to such series of Debt Securities will describe the circumstances, if any, under which beneficial owners of interests in any such permanent Global Security may exchange such interests for Debt Securities of such series and of like tenor and principal amount in any authorized form and denomination. Unless and until it is exchanged in whole or in part for Debt Securities in definitive registered form, a permanent Global Security may not be registered for transfer or exchange except in the circumstances described in the applicable Prospectus Supplement. (Sections 204 and 305)</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specific terms of the depositary arrangement with respect to any portion of a series of Debt Securities to be represented by a permanent Global Security and a description of the Depositary will be contained in the applicable Prospectus Supplement.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Chemical Bank will be the Trustee under each of the Indentures.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case of an Event of Default under one of the Indentures, the Trustee, by virtue of its acting as Trustee under the other Indenture, would be deemed to have a conflicting interest within the meaning of the Trust Indenture Act of 1939, as amended (the "Trust Indenture Act") and may be required to resign as Trustee under one of the Indentures.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Bank is the agent bank and a lender under the Bank Agreement. Each Indenture contains limitations on the right of the Trustee, as a creditor of the Issuers, to obtain payment of claims in certain cases, or to realize on certain property received in respect of any such claims as security or otherwise. In addition, in case of an Event of Default under an Indenture, the Trustee, by virtue of being a creditor of the Issuers, would be deemed to have a conflicting interest within the meaning of the Trust Indenture Act and may be required to resign as Trustee under such Indenture.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Securities Inc. is an affiliate of the Trustee and may act as underwriter with respect to one or more series of Debt Securities or for other securities of the Issuers. In case of an Event of Default under an Indenture, if Chemical Securities Inc. had acted as underwriter of securities of an Issuer within one year prior to such time, the Trustee would be deemed to have a conflicting interest within the meaning of the Trust Indenture Act and may be required to resign as Trustee under such Indenture.</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Trustee or its affiliates act as depositary for funds of, make loans to and perform other services for, of may be a customer of, the Issuers in the ordinary course of business.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Indentures and the Debt Securities are governed by and shall be construed in accordance with the laws of the State of New York.</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may sell Debt Securities to one or more underwriters for public offering and sale by them or may sell Debt Securities to investors or other persons directly or through agents. The Issuers may sell Debt Securities as soon as practicable after effectiveness of the Registration Statement, provided that favorable market conditions exist. Any such underwriter or agent involved in the offer and sale of the Debt Securities will be named in an applicable Prospectus Supplement.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Underwriters may offer and sell the Debt Securities at a fixed price or prices, which may be changed, or at prices related to prevailing market prices or at negotiated prices. The Issuers also may, from time to time, authorize firms acting as agents of the Issuers to offer and sell the Debt Securities upon such terms and conditions as shall be set forth in any Prospectus Supplement. In connection with the sale of Debt Securities, underwriters may be deemed to have received compensation from the Issuers in the form of underwriting discounts or commissions and may also receive commissions from purchasers of Debt Securities for whom they may act as agent. 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underwriting compensation paid by the Issuers to underwriters or agents in connection with the offering of Debt Securities, and any discounts, concessions or commissions allowed by underwriters to participating dealers, will be set forth in an applicable Prospectus Supplement. Underwriters, dealers and agents participating in the distribution of the Debt Securities may be deemed to be underwriters, and any discounts and commissions received by them and any profit realized by them on resale of the Debt Securities may be deemed to be underwriting discounts and commissions under the Securities Act. Underwriters, dealers and agents may be entitled, under agreements with the Issuers, to indemnification against and contribution toward certain civil liabilities, including liabilities under the Securities Act, and to reimbursement by the Issuers for certain expenses.</w:t>
      </w:r>
    </w:p>
    <w:p>
      <w:pPr>
        <w:spacing w:after="0" w:line="180"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Underwriters, dealers and agents may engage in transactions with, or perform services for, or be customers of, the Issuers in the ordinary course of business.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Debt Securities may or may not be listed on a national securities exchange or a foreign securities exchange. No assurances can be given that there will be a market for the Debt Securities.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VALIDITY OF THE DEBT SECURITIES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validity of the Debt Securities will be passed upon for the Issuers by Vorys, Sater, Seymour and Pease, Columbus, Ohio.</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balance sheets of the Company as of September 30, 1992 and 1993, and the consolidated statements of income, changes in shareholder's equity (deficit) and cash flows for each of the three years in the period ended September 30, 1993, included in this Prospectus have been audited by Coopers &amp; Lybrand, independent accountants, as stated in their report appearing in this Prospectus, and are included in reliance upon the report, which includes an explanatory paragraph on changes in accounting for income taxes and post retirement benefits other than pensions, of such firm given upon their authority as experts in accounting and auditing.</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balance sheet of Grace-Sierra Horticultural Products Company ("Grace-Sierra") as of December 16, 1993, and the consolidated statement of operations, changes in common shareholder's deficit and cash flows for the period from January 1, 1993 to December 16, 1993, included in the Company's Current Report on Form 8-K/A dated February 28, 1994, have been audited by Coopers &amp; Lybrand, independent accountants, and are incorporated herein by reference in reliance upon the report of such firm given upon their authority as experts in accounting and auditing.</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balance sheet of Grace-Sierra as of and the consolidated statement of operations, changes in common shareholder's deficit and cash flows for the year ended December 31, 1992, included in the Company's Current Report on Form 8-K/A dated February 28, 1994, have been audited by Price Waterhouse, independent accountants, and are incorporated herein by reference in reliance upon the report of such firm given upon their authority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67</w:t>
            </w:r>
          </w:p>
        </w:tc>
        <w:tc>
          <w:tcPr>
            <w:tcW w:w="760" w:type="dxa"/>
            <w:vAlign w:val="bottom"/>
          </w:tcPr>
          <w:p>
            <w:pPr>
              <w:spacing w:after="0"/>
              <w:rPr>
                <w:sz w:val="14"/>
                <w:szCs w:val="14"/>
                <w:color w:val="auto"/>
              </w:rPr>
            </w:pPr>
          </w:p>
        </w:tc>
      </w:tr>
      <w:tr>
        <w:trPr>
          <w:trHeight w:val="688"/>
        </w:trPr>
        <w:tc>
          <w:tcPr>
            <w:tcW w:w="6740" w:type="dxa"/>
            <w:vAlign w:val="bottom"/>
          </w:tcPr>
          <w:p>
            <w:pPr>
              <w:ind w:left="2760"/>
              <w:spacing w:after="0"/>
              <w:rPr>
                <w:sz w:val="20"/>
                <w:szCs w:val="20"/>
                <w:color w:val="auto"/>
              </w:rPr>
            </w:pPr>
            <w:r>
              <w:rPr>
                <w:rFonts w:ascii="Courier New" w:cs="Courier New" w:eastAsia="Courier New" w:hAnsi="Courier New"/>
                <w:sz w:val="15"/>
                <w:szCs w:val="15"/>
                <w:color w:val="auto"/>
              </w:rPr>
              <w:t>THE SCOTTS COMPANY</w:t>
            </w:r>
          </w:p>
        </w:tc>
        <w:tc>
          <w:tcPr>
            <w:tcW w:w="760" w:type="dxa"/>
            <w:vAlign w:val="bottom"/>
          </w:tcPr>
          <w:p>
            <w:pPr>
              <w:spacing w:after="0"/>
              <w:rPr>
                <w:sz w:val="24"/>
                <w:szCs w:val="24"/>
                <w:color w:val="auto"/>
              </w:rPr>
            </w:pPr>
          </w:p>
        </w:tc>
      </w:tr>
      <w:tr>
        <w:trPr>
          <w:trHeight w:val="344"/>
        </w:trPr>
        <w:tc>
          <w:tcPr>
            <w:tcW w:w="6740" w:type="dxa"/>
            <w:vAlign w:val="bottom"/>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760" w:type="dxa"/>
            <w:vAlign w:val="bottom"/>
          </w:tcPr>
          <w:p>
            <w:pPr>
              <w:spacing w:after="0"/>
              <w:rPr>
                <w:sz w:val="24"/>
                <w:szCs w:val="24"/>
                <w:color w:val="auto"/>
              </w:rPr>
            </w:pPr>
          </w:p>
        </w:tc>
      </w:tr>
      <w:tr>
        <w:trPr>
          <w:trHeight w:val="516"/>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The Scotts Company and</w:t>
            </w:r>
          </w:p>
        </w:tc>
        <w:tc>
          <w:tcPr>
            <w:tcW w:w="760" w:type="dxa"/>
            <w:vAlign w:val="bottom"/>
          </w:tcPr>
          <w:p>
            <w:pPr>
              <w:spacing w:after="0"/>
              <w:rPr>
                <w:sz w:val="24"/>
                <w:szCs w:val="24"/>
                <w:color w:val="auto"/>
              </w:rPr>
            </w:pP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760" w:type="dxa"/>
            <w:vAlign w:val="bottom"/>
          </w:tcPr>
          <w:p>
            <w:pPr>
              <w:spacing w:after="0"/>
              <w:rPr>
                <w:sz w:val="14"/>
                <w:szCs w:val="14"/>
                <w:color w:val="auto"/>
              </w:rPr>
            </w:pP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F-2</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at September 30,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F-3</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Income for the years ended September 30,</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F-4</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for the years ended September 30, 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F-5</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 September</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30, 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F-6</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F-7</w:t>
            </w:r>
          </w:p>
        </w:tc>
      </w:tr>
      <w:tr>
        <w:trPr>
          <w:trHeight w:val="516"/>
        </w:trPr>
        <w:tc>
          <w:tcPr>
            <w:tcW w:w="67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7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The Scotts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1992 and 1993, and the related consolidated statements of income, changes in shareholders' equity (deficit), and cash flows for each of the three years in the period ended September 30, 1993.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1992 and 1993, and the consolidated results of their operations and their cash flows for each of the three years in the period ended September 30, 1993, in conformity with generally accepted accounting principles.</w:t>
      </w:r>
    </w:p>
    <w:p>
      <w:pPr>
        <w:spacing w:after="0" w:line="176"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1993, except as to Note 12,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which is as of December 16, 1993.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8660" w:type="dxa"/>
            <w:vAlign w:val="bottom"/>
          </w:tcPr>
          <w:p>
            <w:pPr>
              <w:jc w:val="right"/>
              <w:ind w:right="814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THE SCOTTS COMPANY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CONSOLIDATED BALANCE SHEETS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SEPTEMBER 30, 1992 AND 1993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(IN THOUSANDS EXCEPT SHARE AMOUNTS)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6"/>
        </w:trPr>
        <w:tc>
          <w:tcPr>
            <w:tcW w:w="8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1992</w:t>
            </w:r>
          </w:p>
        </w:tc>
        <w:tc>
          <w:tcPr>
            <w:tcW w:w="32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8660" w:type="dxa"/>
            <w:vAlign w:val="bottom"/>
          </w:tcPr>
          <w:p>
            <w:pPr>
              <w:jc w:val="right"/>
              <w:ind w:right="402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2,323</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less allowance of $2,110 in 1992 and $2,511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51,580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60,848</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59,697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76,654</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and other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3,376</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115,533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143,742</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Land and land improvements....................................................................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18,537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19,817</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Buildings.....................................................................................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31,307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36,300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62,082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87,250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5,561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5,952</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16,914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134,401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154,006</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45,331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55,215</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89,070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98,791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Patents and other intangibles, net of accumulated amortization of $17,932 in 1992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$21,053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20,272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19,972</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Deferred financing and organizational costs, net of accumulated amortization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$6,673 in 1992 and $7,770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3,708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3,530</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Excess of costs over underlying value of net assets acquired (goodwill), net of 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$4,119 in 1992 and $5,123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36,030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41,340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3,408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14,215</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$268,021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268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Revolving credit..............................................................................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term debt..................................................................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5,444</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Bank line of credit...........................................................................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1,658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trade.......................................................................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29,313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28,279</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7,315</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9,135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payroll and fringe benefits...........................................................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10,293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12,035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7,616</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9,253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60,738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64,851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 less current portions...........................................................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31,354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87,080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Postretirement benefits other than pensions.....................................................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26,646</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92,092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178,577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 $.01 par value, authorized 10,000,000 shares; none issued....................</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Class A Common stock, voting, par value $.01 per share; authorized 35,000,000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21,073,430 issued in 1992 and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B Common stock, non-voting, par value $.01 per share; authorized 35,000,000 shares; none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192,604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193,263</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(16,886)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(9,020)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 2,414,895 shares in 1993, at cost..............................................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(41,441)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175,929</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143,013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$268,021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statements are an integral part of these statements.</w:t>
      </w:r>
    </w:p>
    <w:p>
      <w:pPr>
        <w:sectPr>
          <w:pgSz w:w="11900" w:h="16838" w:orient="portrait"/>
          <w:cols w:equalWidth="0" w:num="1">
            <w:col w:w="10820"/>
          </w:cols>
          <w:pgMar w:left="240" w:top="289" w:right="8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820"/>
          </w:cols>
          <w:pgMar w:left="240" w:top="289" w:right="839" w:bottom="1440" w:gutter="0" w:footer="0" w:header="0"/>
          <w:type w:val="continuous"/>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FOR THE YEARS ENDED SEPTEMBER 30, 1991, 1992 AND 1993</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388,120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413,558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207,956</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213,133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244,218</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180,164</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200,425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57,489</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66,245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74,579</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57,056</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61,051</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67,377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22,985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24,759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27,688</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5,247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6,205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7,700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142,777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158,260</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177,344</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from operations................................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37,387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42,165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44,481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expenses, net, including interest expense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$30,932 in 1991, $15,942 in 1992 and $8,454 in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32,932</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15,962</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9,114</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 items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35,367</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2,720</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14,320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 cumulative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effect of accounting changes........................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15,079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Loss on early extinguishment of debt, net of tax....</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(4,186)</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Utilization of net operating loss carryforwards.....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2,581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 post-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retirement benefits, net of tax and income 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(13,157)</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items and accounting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benefits, net of tax and income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during the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period..............................................</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11,832,651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18,014,151</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19,687,013</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188" w:right="3079" w:hanging="188"/>
        <w:spacing w:after="0" w:line="241" w:lineRule="auto"/>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share for fiscal 1991 has been restated to eliminate the effect of accretion to redemption value of redeemable common stock to be comparable with fiscal 1992 and 1993.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statements are an integral part of these statements.</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27"/>
          </w:cols>
          <w:pgMar w:left="232" w:top="289"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318"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FOR THE YEARS ENDED SEPTEMBER 30, 1991, 1992 AND 1993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A</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center"/>
              <w:ind w:left="12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940" w:type="dxa"/>
            <w:vAlign w:val="bottom"/>
          </w:tcPr>
          <w:p>
            <w:pPr>
              <w:spacing w:after="0"/>
              <w:rPr>
                <w:sz w:val="14"/>
                <w:szCs w:val="14"/>
                <w:color w:val="auto"/>
              </w:rPr>
            </w:pPr>
          </w:p>
        </w:tc>
        <w:tc>
          <w:tcPr>
            <w:tcW w:w="232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CAPITAL IN</w:t>
            </w:r>
          </w:p>
        </w:tc>
        <w:tc>
          <w:tcPr>
            <w:tcW w:w="1100" w:type="dxa"/>
            <w:vAlign w:val="bottom"/>
          </w:tcPr>
          <w:p>
            <w:pPr>
              <w:spacing w:after="0"/>
              <w:rPr>
                <w:sz w:val="14"/>
                <w:szCs w:val="14"/>
                <w:color w:val="auto"/>
              </w:rPr>
            </w:pPr>
          </w:p>
        </w:tc>
        <w:tc>
          <w:tcPr>
            <w:tcW w:w="24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TREASURY STOCK</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940" w:type="dxa"/>
            <w:vAlign w:val="bottom"/>
          </w:tcPr>
          <w:p>
            <w:pPr>
              <w:spacing w:after="0"/>
              <w:rPr>
                <w:sz w:val="14"/>
                <w:szCs w:val="14"/>
                <w:color w:val="auto"/>
              </w:rPr>
            </w:pPr>
          </w:p>
        </w:tc>
        <w:tc>
          <w:tcPr>
            <w:tcW w:w="23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EXCESS OF</w:t>
            </w:r>
          </w:p>
        </w:tc>
        <w:tc>
          <w:tcPr>
            <w:tcW w:w="11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9"/>
              </w:rPr>
              <w:t>-----------------------</w:t>
            </w:r>
          </w:p>
        </w:tc>
        <w:tc>
          <w:tcPr>
            <w:tcW w:w="8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AMOUNT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PAR VALUE</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AMOUNT</w:t>
            </w:r>
          </w:p>
        </w:tc>
        <w:tc>
          <w:tcPr>
            <w:tcW w:w="1340" w:type="dxa"/>
            <w:vAlign w:val="bottom"/>
          </w:tcPr>
          <w:p>
            <w:pPr>
              <w:jc w:val="center"/>
              <w:ind w:left="12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September 30, 1990....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9,500,000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$ 19,264</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$(32,036)</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(12,677)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Purchase of redeemable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235,227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733</w:t>
            </w:r>
          </w:p>
        </w:tc>
        <w:tc>
          <w:tcPr>
            <w:tcW w:w="110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235,227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redeemable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(118,182)</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w:t>
            </w:r>
          </w:p>
        </w:tc>
        <w:tc>
          <w:tcPr>
            <w:tcW w:w="1100" w:type="dxa"/>
            <w:vAlign w:val="bottom"/>
          </w:tcPr>
          <w:p>
            <w:pPr>
              <w:spacing w:after="0"/>
              <w:rPr>
                <w:sz w:val="14"/>
                <w:szCs w:val="14"/>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(118,182)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4,316</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4,316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Accretion to redemption value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redeemable common stock...</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(1,625)</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(1,625)</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1991....</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9,617,045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18,083</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(27,720)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117,045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Adjustment for redeemable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2,162,500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9,826</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held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 treasury..................</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spacing w:after="0"/>
              <w:rPr>
                <w:sz w:val="14"/>
                <w:szCs w:val="14"/>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(112,499)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717</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Exchange of warrants for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325,454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4,754</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(4,770)</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Issuance of common 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8,968,750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159,430</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159,520</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15,592</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15,592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Options outstanding............</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177</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Adjustment for fractional</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(319)</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1992....</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21,073,430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192,604</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(16,886)</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175,929</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7,890</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Options outstanding............</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Purchase of common stock.......</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(2,414,895)</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(41,441)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(41,441)</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1993....</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21,073,430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$193,263</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(9,020)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(2,414,895)</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$(41,441)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$ 143,013</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6020" w:type="dxa"/>
            <w:vAlign w:val="bottom"/>
          </w:tcPr>
          <w:p>
            <w:pPr>
              <w:jc w:val="right"/>
              <w:ind w:right="5505"/>
              <w:spacing w:after="0"/>
              <w:rPr>
                <w:sz w:val="20"/>
                <w:szCs w:val="20"/>
                <w:color w:val="auto"/>
              </w:rPr>
            </w:pPr>
            <w:r>
              <w:rPr>
                <w:rFonts w:ascii="Courier New" w:cs="Courier New" w:eastAsia="Courier New" w:hAnsi="Courier New"/>
                <w:sz w:val="15"/>
                <w:szCs w:val="15"/>
                <w:color w:val="auto"/>
              </w:rPr>
              <w:t>72</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THE SCOTTS COMPANY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FOR THE YEARS ENDED SEPTEMBER 30, 1991, 1992 AND 1993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6"/>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1991</w:t>
            </w:r>
          </w:p>
        </w:tc>
        <w:tc>
          <w:tcPr>
            <w:tcW w:w="280" w:type="dxa"/>
            <w:vAlign w:val="bottom"/>
          </w:tcPr>
          <w:p>
            <w:pPr>
              <w:spacing w:after="0"/>
              <w:rPr>
                <w:sz w:val="24"/>
                <w:szCs w:val="2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4,316</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6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3725"/>
              <w:spacing w:after="0"/>
              <w:rPr>
                <w:sz w:val="20"/>
                <w:szCs w:val="20"/>
                <w:color w:val="auto"/>
              </w:rPr>
            </w:pPr>
            <w:r>
              <w:rPr>
                <w:rFonts w:ascii="Courier New" w:cs="Courier New" w:eastAsia="Courier New" w:hAnsi="Courier New"/>
                <w:sz w:val="15"/>
                <w:szCs w:val="15"/>
                <w:color w:val="auto"/>
              </w:rPr>
              <w:t>operating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10,670</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10,206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12,278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7,115</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5,642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postretirement benefits.................................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Postretirement benefits....................................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(12,740)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 sale of equipment..................................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1,414</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1,409</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(1,514)</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(10,002)</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(3,291)</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(11,147)</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Prepaid and other current assets........................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1,216</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1,826</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assets and liabilities............................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3,542</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4,784</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26,638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27,442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24,673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Investment in plant and equipment..........................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(8,818)</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(19,896)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(15,158)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Acquisition of Republic, net of cash acquired..............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(16,366)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Proceeds from sale of equipment............................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(8,603)</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(19,765)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(31,330)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Borrowings under term debt.................................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Payments on term and other debt............................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(11,008)</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(58,307)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payments under revolving credit........................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(36,500)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(18,238)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borrowings (payments) under bank line of credit........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Redemption of senior subordinated notes....................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(53,223)</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Redemption of subordinated debentures......................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(21,132)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financing cost incurred...........................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proceeds from issuance of Class A Common Stock.........</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160,237</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Purchase of Class A Common Stock...........................</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(41,441)</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purchase of redeemable Class A Common Stock............</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(16,250)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8,100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Net increase (decrease) in cash..................................</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1,785</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Cash, beginning of period........................................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2,896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Cash,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Interest (net of amount capitalized).......................</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$ 29,592</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$ 16,240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6,169</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Income taxes paid..........................................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11,500</w:t>
            </w:r>
          </w:p>
        </w:tc>
      </w:tr>
    </w:tbl>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Scotts Company ("Scotts") through its wholly-owned subsidiaries, The O. M. Scott &amp; Sons Company ("OMS"), Hyponex Corporation ("Hyponex") and Republic Tool and Manufacturing Corp. ("Republic"), (collectively, the "Company"), is engaged in the manufacture and sale of lawn care and garden products.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certain inventories of Hyponex (primarily organic products) are accounted for by the LIFO method. At September 30, 1992 and 1993, approximately 28% and 24% of inventories, respectively, are valued at the lower of LIFO cost or market. Inventories include the cost of raw materials, labor and manufacturing overhead.</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as of September 30, 1992 and 1993, net of such provisions,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$34,605,000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$44,735,000</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26,063,000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31,905,000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FIFO Cost...........................................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60,668,000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76,640,000</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(971,000)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$59,697,000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$76,654,000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AND CONSUMER GUARANTEE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sectPr>
      </w:pPr>
    </w:p>
    <w:bookmarkStart w:id="74" w:name="page75"/>
    <w:bookmarkEnd w:id="74"/>
    <w:tbl>
      <w:tblPr>
        <w:tblLayout w:type="fixed"/>
        <w:tblInd w:w="26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2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8"/>
        </w:trPr>
        <w:tc>
          <w:tcPr>
            <w:tcW w:w="4840" w:type="dxa"/>
            <w:vAlign w:val="bottom"/>
          </w:tcPr>
          <w:p>
            <w:pPr>
              <w:ind w:left="72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2400" w:type="dxa"/>
            <w:vAlign w:val="bottom"/>
          </w:tcPr>
          <w:p>
            <w:pPr>
              <w:jc w:val="right"/>
              <w:ind w:right="1345"/>
              <w:spacing w:after="0"/>
              <w:rPr>
                <w:sz w:val="20"/>
                <w:szCs w:val="20"/>
                <w:color w:val="auto"/>
              </w:rPr>
            </w:pPr>
            <w:r>
              <w:rPr>
                <w:rFonts w:ascii="Courier New" w:cs="Courier New" w:eastAsia="Courier New" w:hAnsi="Courier New"/>
                <w:sz w:val="15"/>
                <w:szCs w:val="15"/>
                <w:color w:val="auto"/>
                <w:w w:val="96"/>
              </w:rPr>
              <w:t>(CONTINUED)</w:t>
            </w:r>
          </w:p>
        </w:tc>
        <w:tc>
          <w:tcPr>
            <w:tcW w:w="540" w:type="dxa"/>
            <w:vAlign w:val="bottom"/>
          </w:tcPr>
          <w:p>
            <w:pPr>
              <w:spacing w:after="0"/>
              <w:rPr>
                <w:sz w:val="24"/>
                <w:szCs w:val="24"/>
                <w:color w:val="auto"/>
              </w:rPr>
            </w:pPr>
          </w:p>
        </w:tc>
      </w:tr>
      <w:tr>
        <w:trPr>
          <w:trHeight w:val="516"/>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Land improvements...................................................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Buildings...........................................................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Machinery and equipment.............................................</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Furniture and fixtures..............................................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subject to capital leases in the amount of $1,951,000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$1,484,000 (net of accumulated amortization of $1,128,000 in 1992 and $1,560,000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1993) has been included in machinery and equipment at September 30, 1992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respectively.</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Company capitalized interest costs of $380,000 in fiscal 1992 as part of the cost of major asset construction projects.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profits to operations of future years. All costs associated with research and development are charged to expense as incurred.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Goodwill is being amortized over 40 years on a straight-line basis. Financing costs incurred in obtaining long-term debt are capitalized and amortized over the life of the related debt using the effective-interest method. Other intangible assets consist primarily of patents and are being amortized on a straight-line basis over their estimated useful economic lives varying from 7 to 24 years.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operations located in the United Kingdom where the local currency is the functional currency. Foreign currency financial statements of these operations are translated using exchange rates in effect at period end for assets and liabilities and average exchange rates during the period for results of operations. Related foreign currency translation adjustments of $12,000 and ($12,000) are reported as a component of shareholders' equity as of September 30, 1992 and 1993, respectively.</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Gains and losses from foreign currency transactions are included in other expenses, net. In fiscal 1991, 1992 and 1993, the Company recorded foreign exchange losses of $141,000, $324,000 and $196,000,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64"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Prior to fiscal 1993, the Company's deferred income tax provision was based on differences between financial reporting and taxable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1993 classifications.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represents the pro forma results of operations assuming the acquisition had occurred effective October 1, 1991 after giving effect to certain adjustments, including depreciation and amortization on tangible and intangible property, increased interest on acquisition debt and related income tax effects. 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200" w:lineRule="exact"/>
        <w:rPr>
          <w:sz w:val="20"/>
          <w:szCs w:val="20"/>
          <w:color w:val="auto"/>
        </w:rPr>
      </w:pP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YEAR ENDED</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SEPTEMBER 30, 1992</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(UNAUDITED)</w:t>
            </w:r>
          </w:p>
        </w:tc>
      </w:tr>
      <w:tr>
        <w:trPr>
          <w:trHeight w:val="344"/>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$ 427,706,000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13,968,000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14,481,000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Earnings per common share on income before extraordinary</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740" w:type="dxa"/>
            <w:vAlign w:val="bottom"/>
          </w:tcPr>
          <w:p>
            <w:pPr>
              <w:ind w:left="180"/>
              <w:spacing w:after="0"/>
              <w:rPr>
                <w:sz w:val="20"/>
                <w:szCs w:val="20"/>
                <w:color w:val="auto"/>
              </w:rPr>
            </w:pPr>
            <w:r>
              <w:rPr>
                <w:rFonts w:ascii="Courier New" w:cs="Courier New" w:eastAsia="Courier New" w:hAnsi="Courier New"/>
                <w:sz w:val="15"/>
                <w:szCs w:val="15"/>
                <w:color w:val="auto"/>
              </w:rPr>
              <w:t>items........................................................</w:t>
            </w:r>
          </w:p>
        </w:tc>
        <w:tc>
          <w:tcPr>
            <w:tcW w:w="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r>
    </w:tbl>
    <w:p>
      <w:pPr>
        <w:spacing w:after="0" w:line="34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acquisition had occurred as of October 1, 1991, and is not intended to be indicative of future results or trends.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ASSOCIATE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OMS has a defined benefit pension plan covering substantially all full-time associates who have completed one year of eligible service or reached the age of 21, whichever is later. Benefits are based on years of service and the associates' average final compensation and are adjusted for Social Security Benefits as defined in the plan. The Company's funding policy is to contribute an amount that can be deducted for Federal income tax purposes subject to Employee Retirement Income Security Act limitations.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4885"/>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688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68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The following table sets forth the plan's funded status and the related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amounts recognized in the consolidated balance sheets at September 30, 1992 and</w:t>
            </w:r>
          </w:p>
        </w:tc>
        <w:tc>
          <w:tcPr>
            <w:tcW w:w="1080" w:type="dxa"/>
            <w:vAlign w:val="bottom"/>
          </w:tcPr>
          <w:p>
            <w:pPr>
              <w:spacing w:after="0"/>
              <w:rPr>
                <w:sz w:val="14"/>
                <w:szCs w:val="14"/>
                <w:color w:val="auto"/>
              </w:rPr>
            </w:pPr>
          </w:p>
        </w:tc>
      </w:tr>
      <w:tr>
        <w:trPr>
          <w:trHeight w:val="172"/>
        </w:trPr>
        <w:tc>
          <w:tcPr>
            <w:tcW w:w="5400" w:type="dxa"/>
            <w:vAlign w:val="bottom"/>
          </w:tcPr>
          <w:p>
            <w:pPr>
              <w:jc w:val="right"/>
              <w:ind w:right="4885"/>
              <w:spacing w:after="0"/>
              <w:rPr>
                <w:sz w:val="20"/>
                <w:szCs w:val="20"/>
                <w:color w:val="auto"/>
              </w:rPr>
            </w:pPr>
            <w:r>
              <w:rPr>
                <w:rFonts w:ascii="Courier New" w:cs="Courier New" w:eastAsia="Courier New" w:hAnsi="Courier New"/>
                <w:sz w:val="15"/>
                <w:szCs w:val="15"/>
                <w:color w:val="auto"/>
                <w:w w:val="93"/>
              </w:rPr>
              <w:t>1993.</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16"/>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00" w:type="dxa"/>
            <w:vAlign w:val="bottom"/>
          </w:tcPr>
          <w:p>
            <w:pPr>
              <w:ind w:left="800"/>
              <w:spacing w:after="0"/>
              <w:rPr>
                <w:sz w:val="20"/>
                <w:szCs w:val="20"/>
                <w:color w:val="auto"/>
              </w:rPr>
            </w:pPr>
            <w:r>
              <w:rPr>
                <w:rFonts w:ascii="Courier New" w:cs="Courier New" w:eastAsia="Courier New" w:hAnsi="Courier New"/>
                <w:sz w:val="15"/>
                <w:szCs w:val="15"/>
                <w:color w:val="auto"/>
              </w:rPr>
              <w:t>Accumulated benefit obligation: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Vested benefits..............................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(26,112,000)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$(28,904,000)</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Nonvested benefits...........................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(1,875,000)</w:t>
            </w:r>
          </w:p>
        </w:tc>
      </w:tr>
      <w:tr>
        <w:trPr>
          <w:trHeight w:val="172"/>
        </w:trPr>
        <w:tc>
          <w:tcPr>
            <w:tcW w:w="5400" w:type="dxa"/>
            <w:vAlign w:val="bottom"/>
          </w:tcPr>
          <w:p>
            <w:pPr>
              <w:ind w:left="80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increases.......................................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(6,028,000)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(5,530,000)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Projected benefit obligation for service rendered to</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date.................................................</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(33,789,000)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(36,309,000)</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Plan assets at fair value, primarily corporate bonds,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U.S. bonds and cash equivalents......................</w:t>
            </w:r>
          </w:p>
        </w:tc>
        <w:tc>
          <w:tcPr>
            <w:tcW w:w="22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30,890,000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33,214,000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Plan assets less than projected benefit obligations....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(3,095,000)</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Unrecognized net asset being recognized over 11 1/2</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(757,000)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(626,000)</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Unrecognized net loss..................................</w:t>
            </w:r>
          </w:p>
        </w:tc>
        <w:tc>
          <w:tcPr>
            <w:tcW w:w="22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5,323,000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4,609,000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Prepaid pension costs.............................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1,667,000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cost includes the following components:</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980" w:type="dxa"/>
            <w:vAlign w:val="bottom"/>
          </w:tcPr>
          <w:p>
            <w:pPr>
              <w:spacing w:after="0"/>
              <w:rPr>
                <w:sz w:val="14"/>
                <w:szCs w:val="14"/>
                <w:color w:val="auto"/>
              </w:rPr>
            </w:pPr>
          </w:p>
        </w:tc>
        <w:tc>
          <w:tcPr>
            <w:tcW w:w="39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Service cost...............................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$ 1,571,000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$ 1,571,000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Interest cost..............................</w:t>
            </w:r>
          </w:p>
        </w:tc>
        <w:tc>
          <w:tcPr>
            <w:tcW w:w="240" w:type="dxa"/>
            <w:vAlign w:val="bottom"/>
          </w:tcPr>
          <w:p>
            <w:pPr>
              <w:spacing w:after="0"/>
              <w:rPr>
                <w:sz w:val="14"/>
                <w:szCs w:val="14"/>
                <w:color w:val="auto"/>
              </w:rPr>
            </w:pP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2,172,000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2,438,000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2,628,000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Actual return on plan assets...............</w:t>
            </w:r>
          </w:p>
        </w:tc>
        <w:tc>
          <w:tcPr>
            <w:tcW w:w="2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(2,450,000)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(2,774,000)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Net amortization and deferral..............</w:t>
            </w:r>
          </w:p>
        </w:tc>
        <w:tc>
          <w:tcPr>
            <w:tcW w:w="2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pension cost......................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$ 1,274,000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$ 1,407,000</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9%, 8% and 8% as of September 30, 1991, 1992 and 1993, respectively. Future compensation is assumed to increase 5% annually for fiscal 1991 and 1992, and 4% annually for fiscal 1993. The expected long-term rate of return on plan assets was 10% in fiscal 1991 and 1992, and 9% in fiscal 1993.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0"/>
        </w:trPr>
        <w:tc>
          <w:tcPr>
            <w:tcW w:w="6740" w:type="dxa"/>
            <w:vAlign w:val="bottom"/>
          </w:tcPr>
          <w:p>
            <w:pPr>
              <w:jc w:val="right"/>
              <w:ind w:right="6225"/>
              <w:spacing w:after="0"/>
              <w:rPr>
                <w:sz w:val="20"/>
                <w:szCs w:val="20"/>
                <w:color w:val="auto"/>
              </w:rPr>
            </w:pPr>
            <w:r>
              <w:rPr>
                <w:rFonts w:ascii="Courier New" w:cs="Courier New" w:eastAsia="Courier New" w:hAnsi="Courier New"/>
                <w:sz w:val="15"/>
                <w:szCs w:val="15"/>
                <w:color w:val="auto"/>
              </w:rPr>
              <w:t>77</w:t>
            </w:r>
          </w:p>
        </w:tc>
        <w:tc>
          <w:tcPr>
            <w:tcW w:w="1120" w:type="dxa"/>
            <w:vAlign w:val="bottom"/>
          </w:tcPr>
          <w:p>
            <w:pPr>
              <w:spacing w:after="0"/>
              <w:rPr>
                <w:sz w:val="14"/>
                <w:szCs w:val="14"/>
                <w:color w:val="auto"/>
              </w:rPr>
            </w:pPr>
          </w:p>
        </w:tc>
      </w:tr>
      <w:tr>
        <w:trPr>
          <w:trHeight w:val="688"/>
        </w:trPr>
        <w:tc>
          <w:tcPr>
            <w:tcW w:w="6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120" w:type="dxa"/>
            <w:vAlign w:val="bottom"/>
          </w:tcPr>
          <w:p>
            <w:pPr>
              <w:spacing w:after="0"/>
              <w:rPr>
                <w:sz w:val="24"/>
                <w:szCs w:val="24"/>
                <w:color w:val="auto"/>
              </w:rPr>
            </w:pPr>
          </w:p>
        </w:tc>
      </w:tr>
      <w:tr>
        <w:trPr>
          <w:trHeight w:val="344"/>
        </w:trPr>
        <w:tc>
          <w:tcPr>
            <w:tcW w:w="67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periodic postretirement benefit cost for fiscal 1993 included the</w:t>
            </w:r>
          </w:p>
        </w:tc>
        <w:tc>
          <w:tcPr>
            <w:tcW w:w="1120" w:type="dxa"/>
            <w:vAlign w:val="bottom"/>
          </w:tcPr>
          <w:p>
            <w:pPr>
              <w:spacing w:after="0"/>
              <w:rPr>
                <w:sz w:val="24"/>
                <w:szCs w:val="24"/>
                <w:color w:val="auto"/>
              </w:rPr>
            </w:pPr>
          </w:p>
        </w:tc>
      </w:tr>
      <w:tr>
        <w:trPr>
          <w:trHeight w:val="172"/>
        </w:trPr>
        <w:tc>
          <w:tcPr>
            <w:tcW w:w="6740" w:type="dxa"/>
            <w:vAlign w:val="bottom"/>
          </w:tcPr>
          <w:p>
            <w:pPr>
              <w:jc w:val="right"/>
              <w:ind w:right="4785"/>
              <w:spacing w:after="0"/>
              <w:rPr>
                <w:sz w:val="20"/>
                <w:szCs w:val="20"/>
                <w:color w:val="auto"/>
              </w:rPr>
            </w:pPr>
            <w:r>
              <w:rPr>
                <w:rFonts w:ascii="Courier New" w:cs="Courier New" w:eastAsia="Courier New" w:hAnsi="Courier New"/>
                <w:sz w:val="15"/>
                <w:szCs w:val="15"/>
                <w:color w:val="auto"/>
                <w:w w:val="98"/>
              </w:rPr>
              <w:t>following components:</w:t>
            </w:r>
          </w:p>
        </w:tc>
        <w:tc>
          <w:tcPr>
            <w:tcW w:w="1120" w:type="dxa"/>
            <w:vAlign w:val="bottom"/>
          </w:tcPr>
          <w:p>
            <w:pPr>
              <w:spacing w:after="0"/>
              <w:rPr>
                <w:sz w:val="14"/>
                <w:szCs w:val="14"/>
                <w:color w:val="auto"/>
              </w:rPr>
            </w:pPr>
          </w:p>
        </w:tc>
      </w:tr>
      <w:tr>
        <w:trPr>
          <w:trHeight w:val="516"/>
        </w:trPr>
        <w:tc>
          <w:tcPr>
            <w:tcW w:w="6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Service cost - benefits attributed to associate service during the</w:t>
            </w:r>
          </w:p>
        </w:tc>
        <w:tc>
          <w:tcPr>
            <w:tcW w:w="1120" w:type="dxa"/>
            <w:vAlign w:val="bottom"/>
          </w:tcPr>
          <w:p>
            <w:pPr>
              <w:spacing w:after="0"/>
              <w:rPr>
                <w:sz w:val="24"/>
                <w:szCs w:val="24"/>
                <w:color w:val="auto"/>
              </w:rPr>
            </w:pPr>
          </w:p>
        </w:tc>
      </w:tr>
      <w:tr>
        <w:trPr>
          <w:trHeight w:val="172"/>
        </w:trPr>
        <w:tc>
          <w:tcPr>
            <w:tcW w:w="67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930,000</w:t>
            </w:r>
          </w:p>
        </w:tc>
      </w:tr>
      <w:tr>
        <w:trPr>
          <w:trHeight w:val="172"/>
        </w:trPr>
        <w:tc>
          <w:tcPr>
            <w:tcW w:w="67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cost on accumulated postretirement benefit obligation........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2,038,000</w:t>
            </w:r>
          </w:p>
        </w:tc>
      </w:tr>
      <w:tr>
        <w:trPr>
          <w:trHeight w:val="172"/>
        </w:trPr>
        <w:tc>
          <w:tcPr>
            <w:tcW w:w="67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periodic postretirement benefit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$ 2,968,000</w:t>
            </w:r>
          </w:p>
        </w:tc>
      </w:tr>
      <w:tr>
        <w:trPr>
          <w:trHeight w:val="172"/>
        </w:trPr>
        <w:tc>
          <w:tcPr>
            <w:tcW w:w="67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 as of September 30, 1993.</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Accumulated postretirement benefit obligation:</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$ 6,738,000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Fully eligible active plan participants...............................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active plan participants........................................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8,305,000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accumulated postretirement benefit obligation...................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15,357,000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9,494,000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Unrecognized gains from changes in assumptions........................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1,795,000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$26,646,000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by $875,000.</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Both OMS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 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$1,750,000 and $1,993,000 for fiscal 1991, 1992 and 1993, respectively. The Company's policy is to deposit the contributions with the trustee in the following year.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self-insured for certain health benefits up to $125,000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occurrence per individual. The cost of such benefits is recognized as expense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period the claim occurred. This cost was $5,293,000, $6,439,000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$6,662,000 in 1991, 1992 and 1993, respectively. The Company is self-insured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Ohio workers compensation up to $500,000 per claim. The cost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was $139,000, $127,000 and $268,000 in 1991, 1992 and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Claims in excess of stated limits of liability and claims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carriers. The Company had an accrued vacation liability of $3,404,000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$3,612,000 at September 30, 1992 and 1993,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is currently evaluating the provisions of SFAS No. 112 and, at this time, the effect of adopting SFAS No. 112 has not been determined.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78</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68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160" w:type="dxa"/>
            <w:vAlign w:val="bottom"/>
          </w:tcPr>
          <w:p>
            <w:pPr>
              <w:spacing w:after="0"/>
              <w:rPr>
                <w:sz w:val="24"/>
                <w:szCs w:val="24"/>
                <w:color w:val="auto"/>
              </w:rPr>
            </w:pP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4. LONG-TERM DEBT</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6"/>
        </w:trPr>
        <w:tc>
          <w:tcPr>
            <w:tcW w:w="5580" w:type="dxa"/>
            <w:vAlign w:val="bottom"/>
          </w:tcPr>
          <w:p>
            <w:pPr>
              <w:spacing w:after="0"/>
              <w:rPr>
                <w:sz w:val="24"/>
                <w:szCs w:val="24"/>
                <w:color w:val="auto"/>
              </w:rPr>
            </w:pPr>
          </w:p>
        </w:tc>
        <w:tc>
          <w:tcPr>
            <w:tcW w:w="24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5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Revolving Credit Loan....................................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$21,000,000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Term Loan................................................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70,000,000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 and other......................</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1,524,000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35,897,000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92,524,000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Less current portions....................................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4,543,000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5,444,000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$31,354,000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$87,080,000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Maturities of term debt in 1994 through 1996 are $5,000,000 in each year; 1997 and 1998 maturities are $10,000,000 in each year; and aggregate maturities thereafter are $35,000,000.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February 23, 1993, the Company entered into an amendment to the Third Amended and Restated Credit Agreement ("Agreement") with Chemical Bank ("Chemical") and various participating banks. This amendment to the Agreement provides the Company with $70,000,000 of term loans with scheduled maturities commencing on March 31, 1994 and extending through September 30, 2000. The Agreement continues to provide a revolving credit commitment of $150,000,000 through the scheduled termination date of March 31, 1996. The Agreement permits up to $75,000,000 of the revolving credit commitment to be utilized in support of commercial paper and up to $15,000,000 to be utilized for letters of credit. The facility contains a requirement limiting the maximum amount borrowed under the revolving credit commitment to $30,000,000 for a minimum of 30 consecutive days each fiscal year.</w:t>
      </w:r>
    </w:p>
    <w:p>
      <w:pPr>
        <w:spacing w:after="0" w:line="18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For both term and revolving credit borrowings under the Agreement, the Company can elect to borrow domestic funds at the reference rate ("prime") of Chemical or Eurodollars at 1 1/4% in excess of the London Interbank Offered Rate ("LIBOR"). Interest on Chemical rate loans is payable quarterly and interest on Eurodollar loans is payable at three month intervals from the date of each Eurodollar contract. Applicable rates for Chemical and Eurodollar loans were</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 and 4.5%, respectively, at September 30, 1993.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1993.</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At September 30, 1993, the Company had available an unsecured $2,000,000 line of credit with a bank, which is renewable annually, of which $1,658,000 and $705,000 was outstanding at September 30, 1992 and 1993, respectively.</w:t>
      </w:r>
    </w:p>
    <w:p>
      <w:pPr>
        <w:spacing w:after="0" w:line="176" w:lineRule="exact"/>
        <w:rPr>
          <w:sz w:val="20"/>
          <w:szCs w:val="20"/>
          <w:color w:val="auto"/>
        </w:rPr>
      </w:pPr>
    </w:p>
    <w:p>
      <w:pPr>
        <w:ind w:right="3779" w:firstLine="447"/>
        <w:spacing w:after="0" w:line="242" w:lineRule="auto"/>
        <w:rPr>
          <w:sz w:val="20"/>
          <w:szCs w:val="20"/>
          <w:color w:val="auto"/>
        </w:rPr>
      </w:pPr>
      <w:r>
        <w:rPr>
          <w:rFonts w:ascii="Courier New" w:cs="Courier New" w:eastAsia="Courier New" w:hAnsi="Courier New"/>
          <w:sz w:val="15"/>
          <w:szCs w:val="15"/>
          <w:color w:val="auto"/>
        </w:rPr>
        <w:t>During fiscal 1992, the Company recorded an extraordinary charge of $4,186,000, net of income taxes of $2,157,000, related to the early extinguishment of 13% Senior Subordinated Notes and 13.5% Subordinated Debentures.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SHAREHOLDERS' EQUITY</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Class A and Class B Common Stock are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("Shares"). On February 7, 1992, the Company closed the initial public offering of its Shares pursuant to which Scotts sold 8,968,750 newly issued Shares and certain non-management shareholders of Scotts sold an aggregate of 5,406,250 Shares. The Scotts Class A Common Stock is listed on the NASDAQ National Market System under the symbol "SCTT."</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were outstanding as of September 30, 1993.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accordance with the provisions of certain of the Management Stock Subscription Agreements ("MSS Agreements") under which certain Shares were sold to management investors ("Purchaser") during periods prior to the initial public offering, under specified conditions Purchasers could require the Company to purchase all of the Shares held by the Purchaser at a formula price based on book value. Pursuant to requirements of the Securities and Exchange Commission, Shares issued by the Company under the MSS Agreements were considered redeemable Shares, excluded from shareholders' equity and were subject to accretion to the current redemption value of the Shares. Upon closing of the initial public offering, the obligation of the Company to purchase Shares terminated. Accordingly, Shares previously classified as redeemable common stock were reclassified to shareholders' equity. During the year ended September 30, 1991, activity in redeemable Shares consisted of 235,227 Shares being redeemed for $710,100 and 118,182 Shares being issued for $469,550. Accretion totalled $1,625,000 for fiscal 1991.</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On November 4, 1992, the Company adopted The Scotts Company 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Class A Common Stock that may be issued under the Plan is 1,700,000, plus the number of shares surrendered to exercise options (other than director options) granted under the Plan, up to a maximum of 1,000,000 surrendered shares.</w:t>
      </w:r>
    </w:p>
    <w:p>
      <w:pPr>
        <w:spacing w:after="0" w:line="167"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In addition, pursuant to various employment agreements, the Company granted 136,364 and 300,000 stock options in fiscal 1992 and 1993, respectively.</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34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2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outstanding at October 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136,364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449,925</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cancelled.........................................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outstanding at September 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136,364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586,289</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45,455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90,910</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 prices per share:</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28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$16.25-$18.75</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During fiscal 1993, 128,880 performance share awards were granted. These awards entitle the grantee to receive shares or, at the grantees election, the equivalent value in cash or stock options, subject to stock ownership requirements. These awards are conditioned on the attainment of certain</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performance and other objectives established by the Compensation Committee of the Company's Board of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and $635,000 in fiscal 1992 and 1993,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 employment agreement.</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and $230,000 at September 30, 1992 and 1993, respectively.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380" w:type="dxa"/>
            <w:vAlign w:val="bottom"/>
          </w:tcPr>
          <w:p>
            <w:pPr>
              <w:spacing w:after="0"/>
              <w:rPr>
                <w:sz w:val="14"/>
                <w:szCs w:val="14"/>
                <w:color w:val="auto"/>
              </w:rPr>
            </w:pPr>
          </w:p>
        </w:tc>
        <w:tc>
          <w:tcPr>
            <w:tcW w:w="40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1991</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$ 1,802,000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$14,537,000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(11,694,000)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(1,046,000)</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 Expense..............................</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$ 4,268,000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$ 3,197,000</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2,720,000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$14,320,000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(11,123,000)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(2,581,000)</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$ 4,268,000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$ 3,197,000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Deferred income taxes for fiscal 1993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SEPTEMBER 30,</w:t>
            </w:r>
          </w:p>
        </w:tc>
      </w:tr>
      <w:tr>
        <w:trPr>
          <w:trHeight w:val="172"/>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jc w:val="right"/>
              <w:ind w:right="6365"/>
              <w:spacing w:after="0"/>
              <w:rPr>
                <w:sz w:val="20"/>
                <w:szCs w:val="20"/>
                <w:color w:val="auto"/>
              </w:rPr>
            </w:pPr>
            <w:r>
              <w:rPr>
                <w:rFonts w:ascii="Courier New" w:cs="Courier New" w:eastAsia="Courier New" w:hAnsi="Courier New"/>
                <w:sz w:val="15"/>
                <w:szCs w:val="15"/>
                <w:color w:val="auto"/>
                <w:w w:val="92"/>
              </w:rPr>
              <w:t>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2,359,000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6,589,000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10,458,000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deferred tax assets..................................................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$ 20,745,000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Liabilities Property and equipment...........................................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(9,913,000)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Safe harbor leases.........................................................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(1,181,000)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deferred tax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(11,094,000)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asset..................................................................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9,651,000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right="2079" w:firstLine="716"/>
        <w:spacing w:after="0"/>
        <w:rPr>
          <w:sz w:val="20"/>
          <w:szCs w:val="20"/>
          <w:color w:val="auto"/>
        </w:rPr>
      </w:pPr>
      <w:r>
        <w:rPr>
          <w:rFonts w:ascii="Courier New" w:cs="Courier New" w:eastAsia="Courier New" w:hAnsi="Courier New"/>
          <w:sz w:val="15"/>
          <w:szCs w:val="15"/>
          <w:color w:val="auto"/>
        </w:rPr>
        <w:t>The net current and non-current components of deferred income taxes recognized in the balance sheet at September 30, 1993 are:</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current liability......................................................</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non-current asset......................................................</w:t>
            </w:r>
          </w:p>
        </w:tc>
        <w:tc>
          <w:tcPr>
            <w:tcW w:w="2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9,708,000</w:t>
            </w:r>
          </w:p>
        </w:tc>
      </w:tr>
      <w:tr>
        <w:trPr>
          <w:trHeight w:val="172"/>
        </w:trPr>
        <w:tc>
          <w:tcPr>
            <w:tcW w:w="678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9,651,000</w:t>
            </w:r>
          </w:p>
        </w:tc>
      </w:tr>
      <w:tr>
        <w:trPr>
          <w:trHeight w:val="172"/>
        </w:trPr>
        <w:tc>
          <w:tcPr>
            <w:tcW w:w="678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031" w:gutter="0" w:footer="0" w:header="0"/>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19"/>
          </w:cols>
          <w:pgMar w:left="240" w:top="289" w:right="1440" w:bottom="1031"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82</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608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 (CONTINUED)</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4"/>
        </w:trPr>
        <w:tc>
          <w:tcPr>
            <w:tcW w:w="75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A reconciliation of the Federal corporate income tax rate and the effective</w:t>
            </w:r>
          </w:p>
        </w:tc>
        <w:tc>
          <w:tcPr>
            <w:tcW w:w="640" w:type="dxa"/>
            <w:vAlign w:val="bottom"/>
          </w:tcPr>
          <w:p>
            <w:pPr>
              <w:spacing w:after="0"/>
              <w:rPr>
                <w:sz w:val="24"/>
                <w:szCs w:val="24"/>
                <w:color w:val="auto"/>
              </w:rPr>
            </w:pP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tax rate on income before income taxes is summarized below:</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16"/>
        </w:trPr>
        <w:tc>
          <w:tcPr>
            <w:tcW w:w="6080" w:type="dxa"/>
            <w:vAlign w:val="bottom"/>
          </w:tcPr>
          <w:p>
            <w:pPr>
              <w:spacing w:after="0"/>
              <w:rPr>
                <w:sz w:val="24"/>
                <w:szCs w:val="24"/>
                <w:color w:val="auto"/>
              </w:rPr>
            </w:pPr>
          </w:p>
        </w:tc>
        <w:tc>
          <w:tcPr>
            <w:tcW w:w="20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w:t>
            </w:r>
          </w:p>
        </w:tc>
      </w:tr>
      <w:tr>
        <w:trPr>
          <w:trHeight w:val="172"/>
        </w:trPr>
        <w:tc>
          <w:tcPr>
            <w:tcW w:w="6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spacing w:after="0"/>
              <w:rPr>
                <w:sz w:val="14"/>
                <w:szCs w:val="14"/>
                <w:color w:val="auto"/>
              </w:rPr>
            </w:pPr>
          </w:p>
        </w:tc>
      </w:tr>
      <w:tr>
        <w:trPr>
          <w:trHeight w:val="172"/>
        </w:trPr>
        <w:tc>
          <w:tcPr>
            <w:tcW w:w="6080" w:type="dxa"/>
            <w:vAlign w:val="bottom"/>
          </w:tcPr>
          <w:p>
            <w:pPr>
              <w:spacing w:after="0"/>
              <w:rPr>
                <w:sz w:val="14"/>
                <w:szCs w:val="14"/>
                <w:color w:val="auto"/>
              </w:rPr>
            </w:pPr>
          </w:p>
        </w:tc>
        <w:tc>
          <w:tcPr>
            <w:tcW w:w="20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34.0%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Pension amortization..............................................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 permanent differences resulting</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from purchase accounting........................................</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25.4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(4.1)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61.1%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fiscal 1991 and 1992, for financial reporting purposes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utilized $8,000,000 and $13,800,000 of net operating loss carryforwards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reflected the related tax benefits of $2,581,000 and $4,699,000, respectively,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extraordinary items. At September 30, 1992, the Company fully utilized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net operating loss carryforwards. For tax purposes,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remaining net operating loss carryforwards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which will be utilized on the fiscal 1993 Federal income tax return.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variance between the operating loss carryforwards on a tax basis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basis is principally due to excess tax depreciation, uniform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rules, nondeductible reserves, capitalization and amortization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package and design costs, and various accrued liabilities that are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deductible for tax purposes until paid. Deferred taxes were not recorded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1991 as the Company was in a net operating loss carryforward position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end of that year. During 1992, the Company recognized $1,588,000 of deferred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previously offset by net operating loss carryforwards.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fiscal 1991 and 1992, the Company was subject to the alternative minimum tax ("AMT") for financial reporting purposes resulting in AMT expense of $139,000 and $1,200,000, respectively. The net operating loss carryforwards for AMT purposes were approximately $18,500,000 and $18,600,000 for financial reporting and income tax purposes, respectively, at September 30, 1991.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 will be utilized on the fiscal 1993 Federal income tax return.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LEASES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1993, future minimum lease payments were as follows: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83</w:t>
            </w:r>
          </w:p>
        </w:tc>
        <w:tc>
          <w:tcPr>
            <w:tcW w:w="2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88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(CONTINUED)</w:t>
            </w:r>
          </w:p>
        </w:tc>
        <w:tc>
          <w:tcPr>
            <w:tcW w:w="1300" w:type="dxa"/>
            <w:vAlign w:val="bottom"/>
          </w:tcPr>
          <w:p>
            <w:pPr>
              <w:spacing w:after="0"/>
              <w:rPr>
                <w:sz w:val="24"/>
                <w:szCs w:val="24"/>
                <w:color w:val="auto"/>
              </w:rPr>
            </w:pPr>
          </w:p>
        </w:tc>
      </w:tr>
      <w:tr>
        <w:trPr>
          <w:trHeight w:val="516"/>
        </w:trPr>
        <w:tc>
          <w:tcPr>
            <w:tcW w:w="880" w:type="dxa"/>
            <w:vAlign w:val="bottom"/>
          </w:tcPr>
          <w:p>
            <w:pPr>
              <w:spacing w:after="0"/>
              <w:rPr>
                <w:sz w:val="24"/>
                <w:szCs w:val="24"/>
                <w:color w:val="auto"/>
              </w:rPr>
            </w:pPr>
          </w:p>
        </w:tc>
        <w:tc>
          <w:tcPr>
            <w:tcW w:w="26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YEAR ENDING</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CAPITAL</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OPERATING</w:t>
            </w:r>
          </w:p>
        </w:tc>
        <w:tc>
          <w:tcPr>
            <w:tcW w:w="130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SEPTEMBER 30,</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566,000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$ 5,775,000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$ 6,341,000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508,000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4,054,000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4,562,000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367,000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3,068,000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3,435,000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2,204,000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2,258,000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860,000</w:t>
            </w:r>
          </w:p>
        </w:tc>
      </w:tr>
      <w:tr>
        <w:trPr>
          <w:trHeight w:val="172"/>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1999</w:t>
            </w:r>
          </w:p>
        </w:tc>
        <w:tc>
          <w:tcPr>
            <w:tcW w:w="2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and thereafter.............</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159,000</w:t>
            </w: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1,495,000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$16,120,000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$17,615,000</w:t>
            </w: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Present value of net minimum lease</w:t>
            </w: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payments</w:t>
            </w:r>
          </w:p>
        </w:tc>
        <w:tc>
          <w:tcPr>
            <w:tcW w:w="2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$1,272,000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 for operating leases was $6,003,000, $7,281,000 and $9,125,000 for fiscal 1991, 1992 and 1993,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 AND CONTINGENCIES</w:t>
      </w:r>
    </w:p>
    <w:p>
      <w:pPr>
        <w:spacing w:after="0" w:line="348" w:lineRule="exact"/>
        <w:rPr>
          <w:sz w:val="20"/>
          <w:szCs w:val="20"/>
          <w:color w:val="auto"/>
        </w:rPr>
      </w:pPr>
    </w:p>
    <w:p>
      <w:pPr>
        <w:jc w:val="both"/>
        <w:ind w:right="3159" w:firstLine="447"/>
        <w:spacing w:after="0" w:line="265" w:lineRule="auto"/>
        <w:rPr>
          <w:sz w:val="20"/>
          <w:szCs w:val="20"/>
          <w:color w:val="auto"/>
        </w:rPr>
      </w:pPr>
      <w:r>
        <w:rPr>
          <w:rFonts w:ascii="Courier New" w:cs="Courier New" w:eastAsia="Courier New" w:hAnsi="Courier New"/>
          <w:sz w:val="14"/>
          <w:szCs w:val="14"/>
          <w:color w:val="auto"/>
        </w:rPr>
        <w:t>Seed production agreements obligate the Company to make future purchases. Seed purchases under production agreements for fiscal 1991, 1992 and 1993 were approximately $5,124,000, $9,281,000 and $4,692,000, respectively. At September 30, 1993, estimated annual seed purchase commitments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YEAR ENDING</w:t>
            </w:r>
          </w:p>
        </w:tc>
        <w:tc>
          <w:tcPr>
            <w:tcW w:w="1080" w:type="dxa"/>
            <w:vAlign w:val="bottom"/>
          </w:tcPr>
          <w:p>
            <w:pPr>
              <w:spacing w:after="0"/>
              <w:rPr>
                <w:sz w:val="14"/>
                <w:szCs w:val="14"/>
                <w:color w:val="auto"/>
              </w:rPr>
            </w:pPr>
          </w:p>
        </w:tc>
      </w:tr>
      <w:tr>
        <w:trPr>
          <w:trHeight w:val="172"/>
        </w:trPr>
        <w:tc>
          <w:tcPr>
            <w:tcW w:w="35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080" w:type="dxa"/>
            <w:vAlign w:val="bottom"/>
          </w:tcPr>
          <w:p>
            <w:pPr>
              <w:spacing w:after="0"/>
              <w:rPr>
                <w:sz w:val="14"/>
                <w:szCs w:val="14"/>
                <w:color w:val="auto"/>
              </w:rPr>
            </w:pPr>
          </w:p>
        </w:tc>
      </w:tr>
      <w:tr>
        <w:trPr>
          <w:trHeight w:val="344"/>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$10,670,000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5,463,000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3,037,000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692,000</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CONCENTRATIONS OF CREDIT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sportsfields, nurseries, lawn care service companies and growers of specialty agricultural crops. One customer accounted for 16.6% of consolidated net sales in fiscal 1991; in 1992 and 1993 two customers accounted for 15.3% and 7.5%, and 18.0% and 9.3% of consolidated net sales, respectively. No other customer accounted for more than 5% of consolidated net sales. As of September 30, 1993, two accounts comprised 9.2% and 7.9% of trade accounts receivable, respectively. The Company performs a credit review before extending credit to a customer. The Company establishes its allowance for doubtful accounts based on factors surrounding the credit risk of specific customers, historical trends and other information.</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5" w:name="page86"/>
    <w:bookmarkEnd w:id="85"/>
    <w:p>
      <w:pPr>
        <w:ind w:left="268"/>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18"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QUARTERLY CONSOLIDATED FINANCIAL INFORMATION (UNAUDITED)</w:t>
      </w:r>
    </w:p>
    <w:p>
      <w:pPr>
        <w:spacing w:after="0" w:line="176" w:lineRule="exact"/>
        <w:rPr>
          <w:sz w:val="20"/>
          <w:szCs w:val="20"/>
          <w:color w:val="auto"/>
        </w:rPr>
      </w:pPr>
    </w:p>
    <w:p>
      <w:pPr>
        <w:ind w:left="8" w:right="3940" w:firstLine="447"/>
        <w:spacing w:after="0"/>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1992 and 1993 (in thousands except share data):</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FISCAL QUARTER ENDED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5960" w:type="dxa"/>
            <w:vAlign w:val="bottom"/>
            <w:gridSpan w:val="8"/>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FISCAL 1992</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DECEMBER 28</w:t>
            </w:r>
          </w:p>
        </w:tc>
        <w:tc>
          <w:tcPr>
            <w:tcW w:w="3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MARCH 28</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JUNE 27</w:t>
            </w: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3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FULL YEAR</w:t>
            </w: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61,638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150,780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130,219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413,558</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28,960</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73,919</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63,271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34,275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200,425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(2,677)</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9,266</w:t>
            </w:r>
          </w:p>
        </w:tc>
        <w:tc>
          <w:tcPr>
            <w:tcW w:w="30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7,277(1)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15,079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(2,677)</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13,965</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15,592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Income (loss) before extraordinary</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items................................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during the period........................</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11,815,642</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17,690,462</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21,117,117</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21,123,574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18,014,151</w:t>
            </w:r>
          </w:p>
        </w:tc>
      </w:tr>
      <w:tr>
        <w:trPr>
          <w:trHeight w:val="860"/>
        </w:trPr>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FISCAL QUARTER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920" w:type="dxa"/>
            <w:vAlign w:val="bottom"/>
          </w:tcPr>
          <w:p>
            <w:pPr>
              <w:spacing w:after="0"/>
              <w:rPr>
                <w:sz w:val="14"/>
                <w:szCs w:val="14"/>
                <w:color w:val="auto"/>
              </w:rPr>
            </w:pPr>
          </w:p>
        </w:tc>
        <w:tc>
          <w:tcPr>
            <w:tcW w:w="5960" w:type="dxa"/>
            <w:vAlign w:val="bottom"/>
            <w:gridSpan w:val="8"/>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FISCAL 1993</w:t>
            </w:r>
          </w:p>
        </w:tc>
        <w:tc>
          <w:tcPr>
            <w:tcW w:w="280" w:type="dxa"/>
            <w:vAlign w:val="bottom"/>
          </w:tcPr>
          <w:p>
            <w:pPr>
              <w:spacing w:after="0"/>
              <w:rPr>
                <w:sz w:val="14"/>
                <w:szCs w:val="14"/>
                <w:color w:val="auto"/>
              </w:rPr>
            </w:pPr>
          </w:p>
        </w:tc>
        <w:tc>
          <w:tcPr>
            <w:tcW w:w="12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8"/>
              </w:rPr>
              <w:t>JANUARY 2</w:t>
            </w:r>
          </w:p>
        </w:tc>
        <w:tc>
          <w:tcPr>
            <w:tcW w:w="3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APRIL 3</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JULY 3</w:t>
            </w: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3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FULL YEAR</w:t>
            </w: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67,757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156,327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80,857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30,703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78,621</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74,814</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37,687</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 (2)...................</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10,847</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7,986</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2,685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(3)......................</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(13,628)</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10,847</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7,986</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2,685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Income (loss) before cumulative effect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accounting changes (2)............</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 (3)..................</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during the period........................</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21,128,564</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20,138,585</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18,743,752</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18,737,150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19,687,013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940"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items for the quarter ended June 27, 1992 has been restated from that previously reported as a result of a change in the estimated effective tax rate attributable to the loss on early retirement of debt reported in that quarter. This change did not impact net income for the quarter.</w:t>
      </w:r>
    </w:p>
    <w:p>
      <w:pPr>
        <w:spacing w:after="0" w:line="175" w:lineRule="exact"/>
        <w:rPr>
          <w:rFonts w:ascii="Courier New" w:cs="Courier New" w:eastAsia="Courier New" w:hAnsi="Courier New"/>
          <w:sz w:val="15"/>
          <w:szCs w:val="15"/>
          <w:color w:val="auto"/>
        </w:rPr>
      </w:pPr>
    </w:p>
    <w:p>
      <w:pPr>
        <w:jc w:val="both"/>
        <w:ind w:left="348" w:right="3940" w:hanging="348"/>
        <w:spacing w:after="0" w:line="260"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cumulative effect of accounting changes for each of the first three quarters of fiscal 1993 has been restated to reflect the ongoing charge resulting from the adoption of SFAS 106 effective October 1, 1992.</w:t>
      </w:r>
    </w:p>
    <w:p>
      <w:pPr>
        <w:ind w:left="348" w:right="4200"/>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net of tax charge was $462 or $.02 per share for the quarter ended January 2, 1993 and $325 or $.02 per share for each of the subsequent two quarters.</w:t>
      </w:r>
    </w:p>
    <w:p>
      <w:pPr>
        <w:spacing w:after="0" w:line="176" w:lineRule="exact"/>
        <w:rPr>
          <w:rFonts w:ascii="Courier New" w:cs="Courier New" w:eastAsia="Courier New" w:hAnsi="Courier New"/>
          <w:sz w:val="14"/>
          <w:szCs w:val="14"/>
          <w:color w:val="auto"/>
        </w:rPr>
      </w:pPr>
    </w:p>
    <w:p>
      <w:pPr>
        <w:ind w:left="348" w:right="4020"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200" w:lineRule="exact"/>
        <w:rPr>
          <w:sz w:val="20"/>
          <w:szCs w:val="20"/>
          <w:color w:val="auto"/>
        </w:rPr>
      </w:pPr>
    </w:p>
    <w:p>
      <w:pPr>
        <w:spacing w:after="0" w:line="31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1088"/>
          </w:cols>
          <w:pgMar w:left="232" w:top="289" w:right="579"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RELATED PARTIES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Clayton, Dubilier &amp; Rice, Inc., a private investment firm in which a director of the Company is an owner, was paid $300,000 in fiscal 1991 and 1992, and $125,000 in 1993 by the Company for financial advisory and management consulting services. These services ceased effective with the Class A Common Stock purchase described in Note 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Effective December 16, 1993, the Company completed the acquisition of Grace-Sierra Horticultural Products Company ("Grace-Sierra") for an aggregate purchase price of approximately $123,300,000, including estimated transaction costs of $3,300,000. Grace-Sierra, based in Milpitas, California, is a leading international manufacturer and marketer of specialty fertilizers and related products for the nursery, golf course, greenhouse and consumer markets with calendar 1992 worldwide net sales of approximately $107,000,000.</w:t>
      </w:r>
    </w:p>
    <w:p>
      <w:pPr>
        <w:spacing w:after="0" w:line="177" w:lineRule="exact"/>
        <w:rPr>
          <w:sz w:val="20"/>
          <w:szCs w:val="20"/>
          <w:color w:val="auto"/>
        </w:rPr>
      </w:pPr>
    </w:p>
    <w:p>
      <w:pPr>
        <w:jc w:val="both"/>
        <w:ind w:right="3079" w:firstLine="447"/>
        <w:spacing w:after="0" w:line="267" w:lineRule="auto"/>
        <w:rPr>
          <w:sz w:val="20"/>
          <w:szCs w:val="20"/>
          <w:color w:val="auto"/>
        </w:rPr>
      </w:pPr>
      <w:r>
        <w:rPr>
          <w:rFonts w:ascii="Courier New" w:cs="Courier New" w:eastAsia="Courier New" w:hAnsi="Courier New"/>
          <w:sz w:val="14"/>
          <w:szCs w:val="14"/>
          <w:color w:val="auto"/>
        </w:rPr>
        <w:t>In connection with the acquisition of Grace-Sierra, the Company amended its Agreement with Chemical, whereby term debt commitments available thereunder were increased to $195,000,000 to enable the Company to consummate the acquisition.</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30]</w:t>
      </w:r>
    </w:p>
    <w:p>
      <w:pPr>
        <w:sectPr>
          <w:pgSz w:w="11900" w:h="16838" w:orient="portrait"/>
          <w:cols w:equalWidth="0" w:num="1">
            <w:col w:w="10219"/>
          </w:cols>
          <w:pgMar w:left="240"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SHALL, UNDER ANY CIRCUMSTANCES, CREATE ANY IMPLICATION THAT THERE HAS BEEN NO CHANGE IN THE AFFAIRS OF THE COMPANY SINCE THE DATE HEREOF OR THAT THE INFORMATION CONTAINED HEREIN OR THEREIN IS CORRECT AS OF ANY TIME SUBSEQUENT TO THE DATE OF SUCH INFORMATION.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gridSpan w:val="2"/>
          </w:tcPr>
          <w:p>
            <w:pPr>
              <w:ind w:left="2500"/>
              <w:spacing w:after="0"/>
              <w:rPr>
                <w:sz w:val="20"/>
                <w:szCs w:val="20"/>
                <w:color w:val="auto"/>
              </w:rPr>
            </w:pPr>
            <w:r>
              <w:rPr>
                <w:rFonts w:ascii="Courier New" w:cs="Courier New" w:eastAsia="Courier New" w:hAnsi="Courier New"/>
                <w:sz w:val="15"/>
                <w:szCs w:val="15"/>
                <w:color w:val="auto"/>
              </w:rPr>
              <w:t>------------------------</w:t>
            </w:r>
          </w:p>
        </w:tc>
      </w:tr>
      <w:tr>
        <w:trPr>
          <w:trHeight w:val="688"/>
        </w:trPr>
        <w:tc>
          <w:tcPr>
            <w:tcW w:w="4380" w:type="dxa"/>
            <w:vAlign w:val="bottom"/>
          </w:tcPr>
          <w:p>
            <w:pPr>
              <w:ind w:left="152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4"/>
                <w:szCs w:val="24"/>
                <w:color w:val="auto"/>
              </w:rPr>
            </w:pPr>
          </w:p>
        </w:tc>
      </w:tr>
      <w:tr>
        <w:trPr>
          <w:trHeight w:val="172"/>
        </w:trPr>
        <w:tc>
          <w:tcPr>
            <w:tcW w:w="4380" w:type="dxa"/>
            <w:vAlign w:val="bottom"/>
          </w:tcPr>
          <w:p>
            <w:pPr>
              <w:ind w:left="1340"/>
              <w:spacing w:after="0"/>
              <w:rPr>
                <w:sz w:val="20"/>
                <w:szCs w:val="20"/>
                <w:color w:val="auto"/>
              </w:rPr>
            </w:pPr>
            <w:r>
              <w:rPr>
                <w:rFonts w:ascii="Courier New" w:cs="Courier New" w:eastAsia="Courier New" w:hAnsi="Courier New"/>
                <w:sz w:val="15"/>
                <w:szCs w:val="15"/>
                <w:color w:val="auto"/>
              </w:rPr>
              <w:t>PROSPECTUS SUPPLEMENT</w:t>
            </w:r>
          </w:p>
        </w:tc>
        <w:tc>
          <w:tcPr>
            <w:tcW w:w="540" w:type="dxa"/>
            <w:vAlign w:val="bottom"/>
          </w:tcPr>
          <w:p>
            <w:pPr>
              <w:spacing w:after="0"/>
              <w:rPr>
                <w:sz w:val="14"/>
                <w:szCs w:val="14"/>
                <w:color w:val="auto"/>
              </w:rPr>
            </w:pPr>
          </w:p>
        </w:tc>
      </w:tr>
      <w:tr>
        <w:trPr>
          <w:trHeight w:val="516"/>
        </w:trPr>
        <w:tc>
          <w:tcPr>
            <w:tcW w:w="438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43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Recent Developments.............................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S-10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Description of Notes............................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S-11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S-18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Validity of the Notes...........................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S-19</w:t>
            </w:r>
          </w:p>
        </w:tc>
      </w:tr>
      <w:tr>
        <w:trPr>
          <w:trHeight w:val="172"/>
        </w:trPr>
        <w:tc>
          <w:tcPr>
            <w:tcW w:w="4380" w:type="dxa"/>
            <w:vAlign w:val="bottom"/>
          </w:tcPr>
          <w:p>
            <w:pPr>
              <w:ind w:left="1600"/>
              <w:spacing w:after="0"/>
              <w:rPr>
                <w:sz w:val="20"/>
                <w:szCs w:val="20"/>
                <w:color w:val="auto"/>
              </w:rPr>
            </w:pPr>
            <w:r>
              <w:rPr>
                <w:rFonts w:ascii="Courier New" w:cs="Courier New" w:eastAsia="Courier New" w:hAnsi="Courier New"/>
                <w:sz w:val="15"/>
                <w:szCs w:val="15"/>
                <w:color w:val="auto"/>
              </w:rPr>
              <w:t>PROSPECTUS</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w:t>
            </w:r>
          </w:p>
        </w:tc>
        <w:tc>
          <w:tcPr>
            <w:tcW w:w="54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Investment Considerations.......................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Selected Historical Financial Data..............</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Unaudited Pro Forma Financial Data..............</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Management's Discussion and</w:t>
            </w:r>
          </w:p>
        </w:tc>
        <w:tc>
          <w:tcPr>
            <w:tcW w:w="54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Analysis of Financial Condition and</w:t>
            </w:r>
          </w:p>
        </w:tc>
        <w:tc>
          <w:tcPr>
            <w:tcW w:w="54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Results of Operations.........................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Beneficial Ownership of Class A</w:t>
            </w:r>
          </w:p>
        </w:tc>
        <w:tc>
          <w:tcPr>
            <w:tcW w:w="54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Description of Bank Agreement...................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Validity of the Debt Securities.................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$100,000,000</w:t>
      </w:r>
    </w:p>
    <w:p>
      <w:pPr>
        <w:spacing w:after="0" w:line="17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THE O.M. SCOTT &amp;</w:t>
      </w:r>
    </w:p>
    <w:p>
      <w:pPr>
        <w:spacing w:after="0" w:line="2"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SONS COMPANY</w:t>
      </w:r>
    </w:p>
    <w:p>
      <w:pPr>
        <w:spacing w:after="0" w:line="174" w:lineRule="exact"/>
        <w:rPr>
          <w:sz w:val="20"/>
          <w:szCs w:val="20"/>
          <w:color w:val="auto"/>
        </w:rPr>
      </w:pPr>
    </w:p>
    <w:p>
      <w:pPr>
        <w:ind w:left="1340" w:hanging="185"/>
        <w:spacing w:after="0"/>
        <w:tabs>
          <w:tab w:leader="none" w:pos="13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SUBORDINATED NOTES</w:t>
      </w:r>
    </w:p>
    <w:p>
      <w:pPr>
        <w:spacing w:after="0" w:line="2"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DUE</w:t>
      </w:r>
      <w:r>
        <w:rPr>
          <w:rFonts w:ascii="Courier New" w:cs="Courier New" w:eastAsia="Courier New" w:hAnsi="Courier New"/>
          <w:sz w:val="14"/>
          <w:szCs w:val="14"/>
          <w:color w:val="auto"/>
        </w:rPr>
        <w:t>, 2004</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[SCOTTS LOGO]</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CHEMICAL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sectPr>
      </w:pPr>
    </w:p>
    <w:bookmarkStart w:id="89" w:name="page90"/>
    <w:bookmarkEnd w:id="89"/>
    <w:p>
      <w:pPr>
        <w:ind w:left="268"/>
        <w:spacing w:after="0"/>
        <w:rPr>
          <w:sz w:val="20"/>
          <w:szCs w:val="20"/>
          <w:color w:val="auto"/>
        </w:rPr>
      </w:pPr>
      <w:r>
        <w:rPr>
          <w:rFonts w:ascii="Courier New" w:cs="Courier New" w:eastAsia="Courier New" w:hAnsi="Courier New"/>
          <w:sz w:val="15"/>
          <w:szCs w:val="15"/>
          <w:color w:val="auto"/>
        </w:rPr>
        <w:t>89</w:t>
      </w:r>
    </w:p>
    <w:p>
      <w:pPr>
        <w:spacing w:after="0" w:line="3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APPENDIX OF PHOTOS</w:t>
      </w:r>
    </w:p>
    <w:p>
      <w:pPr>
        <w:spacing w:after="0" w:line="174" w:lineRule="exact"/>
        <w:rPr>
          <w:sz w:val="20"/>
          <w:szCs w:val="20"/>
          <w:color w:val="auto"/>
        </w:rPr>
      </w:pPr>
    </w:p>
    <w:p>
      <w:pPr>
        <w:ind w:left="708" w:hanging="708"/>
        <w:spacing w:after="0"/>
        <w:tabs>
          <w:tab w:leader="none" w:pos="7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Scotts Company Headquarters</w:t>
      </w:r>
    </w:p>
    <w:p>
      <w:pPr>
        <w:spacing w:after="0" w:line="2" w:lineRule="exact"/>
        <w:rPr>
          <w:sz w:val="20"/>
          <w:szCs w:val="20"/>
          <w:color w:val="auto"/>
        </w:rPr>
      </w:pPr>
    </w:p>
    <w:p>
      <w:pPr>
        <w:ind w:left="708" w:hanging="708"/>
        <w:spacing w:after="0"/>
        <w:tabs>
          <w:tab w:leader="none" w:pos="7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Dwight G. Scott Research Center</w:t>
      </w:r>
    </w:p>
    <w:p>
      <w:pPr>
        <w:spacing w:after="0" w:line="2" w:lineRule="exact"/>
        <w:rPr>
          <w:sz w:val="20"/>
          <w:szCs w:val="20"/>
          <w:color w:val="auto"/>
        </w:rPr>
      </w:pPr>
    </w:p>
    <w:p>
      <w:pPr>
        <w:ind w:left="708" w:hanging="708"/>
        <w:spacing w:after="0"/>
        <w:tabs>
          <w:tab w:leader="none" w:pos="7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Lawn and flower garden</w:t>
      </w:r>
    </w:p>
    <w:p>
      <w:pPr>
        <w:spacing w:after="0" w:line="2" w:lineRule="exact"/>
        <w:rPr>
          <w:sz w:val="20"/>
          <w:szCs w:val="20"/>
          <w:color w:val="auto"/>
        </w:rPr>
      </w:pPr>
    </w:p>
    <w:p>
      <w:pPr>
        <w:ind w:left="708" w:hanging="708"/>
        <w:spacing w:after="0"/>
        <w:tabs>
          <w:tab w:leader="none" w:pos="7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Desert golf course</w:t>
      </w:r>
    </w:p>
    <w:p>
      <w:pPr>
        <w:spacing w:after="0" w:line="2" w:lineRule="exact"/>
        <w:rPr>
          <w:sz w:val="20"/>
          <w:szCs w:val="20"/>
          <w:color w:val="auto"/>
        </w:rPr>
      </w:pPr>
    </w:p>
    <w:p>
      <w:pPr>
        <w:ind w:left="708" w:hanging="708"/>
        <w:spacing w:after="0"/>
        <w:tabs>
          <w:tab w:leader="none" w:pos="7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Woman tending flower garden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6-23</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w w:val="99"/>
              </w:rPr>
              <w:t>Products of The Scotts Company and "No Quibble Guarenty" logo</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rPr>
              <w:t>Outfield of ballpark</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25-27</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rPr>
              <w:t>Lawns and landscaping</w:t>
            </w:r>
          </w:p>
        </w:tc>
      </w:tr>
    </w:tbl>
    <w:p>
      <w:pPr>
        <w:spacing w:after="0" w:line="2" w:lineRule="exact"/>
        <w:rPr>
          <w:sz w:val="20"/>
          <w:szCs w:val="20"/>
          <w:color w:val="auto"/>
        </w:rPr>
      </w:pPr>
    </w:p>
    <w:p>
      <w:pPr>
        <w:ind w:left="708" w:hanging="708"/>
        <w:spacing w:after="0"/>
        <w:tabs>
          <w:tab w:leader="none" w:pos="7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Customers with products of The Scotts Company</w:t>
      </w:r>
    </w:p>
    <w:p>
      <w:pPr>
        <w:spacing w:after="0" w:line="2"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Woman tending flower garden</w:t>
      </w:r>
    </w:p>
    <w:p>
      <w:pPr>
        <w:spacing w:after="0" w:line="2"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Greenhouse and nursery</w:t>
      </w:r>
    </w:p>
    <w:sectPr>
      <w:pgSz w:w="11900" w:h="16838" w:orient="portrait"/>
      <w:cols w:equalWidth="0" w:num="1">
        <w:col w:w="10227"/>
      </w:cols>
      <w:pgMar w:left="23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2"/>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6"/>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amp;"/>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209"/>
    </w:lvl>
  </w:abstractNum>
  <w:abstractNum w:abstractNumId="12">
    <w:nsid w:val="8EDBDAB"/>
    <w:multiLevelType w:val="hybridMultilevel"/>
    <w:lvl w:ilvl="0">
      <w:lvlJc w:val="left"/>
      <w:lvlText w:val="%1"/>
      <w:numFmt w:val="decimal"/>
      <w:start w:val="42"/>
    </w:lvl>
  </w:abstractNum>
  <w:abstractNum w:abstractNumId="13">
    <w:nsid w:val="79838CB2"/>
    <w:multiLevelType w:val="hybridMultilevel"/>
    <w:lvl w:ilvl="0">
      <w:lvlJc w:val="left"/>
      <w:lvlText w:val="%1"/>
      <w:numFmt w:val="decimal"/>
      <w:start w:val="1"/>
    </w:lvl>
    <w:lvl w:ilvl="1">
      <w:lvlJc w:val="left"/>
      <w:lvlText w:val="(%2)"/>
      <w:numFmt w:val="decimal"/>
      <w:start w:val="142"/>
    </w:lvl>
  </w:abstractNum>
  <w:abstractNum w:abstractNumId="14">
    <w:nsid w:val="4353D0CD"/>
    <w:multiLevelType w:val="hybridMultilevel"/>
    <w:lvl w:ilvl="0">
      <w:lvlJc w:val="left"/>
      <w:lvlText w:val="(%1)"/>
      <w:numFmt w:val="decimal"/>
      <w:start w:val="3"/>
    </w:lvl>
    <w:lvl w:ilvl="1">
      <w:lvlJc w:val="left"/>
      <w:lvlText w:val="%2"/>
      <w:numFmt w:val="decimal"/>
      <w:start w:val="1"/>
    </w:lvl>
  </w:abstractNum>
  <w:abstractNum w:abstractNumId="15">
    <w:nsid w:val="B03E0C6"/>
    <w:multiLevelType w:val="hybridMultilevel"/>
    <w:lvl w:ilvl="0">
      <w:lvlJc w:val="left"/>
      <w:lvlText w:val="%1"/>
      <w:numFmt w:val="decimal"/>
      <w:start w:val="1"/>
    </w:lvl>
    <w:lvl w:ilvl="1">
      <w:lvlJc w:val="left"/>
      <w:lvlText w:val="(%2)"/>
      <w:numFmt w:val="decimal"/>
      <w:start w:val="100"/>
    </w:lvl>
  </w:abstractNum>
  <w:abstractNum w:abstractNumId="16">
    <w:nsid w:val="189A769B"/>
    <w:multiLevelType w:val="hybridMultilevel"/>
    <w:lvl w:ilvl="0">
      <w:lvlJc w:val="left"/>
      <w:lvlText w:val="(%1)"/>
      <w:numFmt w:val="decimal"/>
      <w:start w:val="5"/>
    </w:lvl>
    <w:lvl w:ilvl="1">
      <w:lvlJc w:val="left"/>
      <w:lvlText w:val="%2"/>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5"/>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lowerRoman"/>
      <w:start w:val="2"/>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7"/>
    </w:lvl>
  </w:abstractNum>
  <w:abstractNum w:abstractNumId="24">
    <w:nsid w:val="1E7FF521"/>
    <w:multiLevelType w:val="hybridMultilevel"/>
    <w:lvl w:ilvl="0">
      <w:lvlJc w:val="left"/>
      <w:lvlText w:val="(%1)"/>
      <w:numFmt w:val="decimal"/>
      <w:start w:val="9"/>
    </w:lvl>
  </w:abstractNum>
  <w:abstractNum w:abstractNumId="25">
    <w:nsid w:val="7C3DBD3D"/>
    <w:multiLevelType w:val="hybridMultilevel"/>
    <w:lvl w:ilvl="0">
      <w:lvlJc w:val="left"/>
      <w:lvlText w:val="(%1)"/>
      <w:numFmt w:val="lowerRoman"/>
      <w:start w:val="3"/>
    </w:lvl>
    <w:lvl w:ilvl="1">
      <w:lvlJc w:val="left"/>
      <w:lvlText w:val="(%2)"/>
      <w:numFmt w:val="decimal"/>
      <w:start w:val="1"/>
    </w:lvl>
  </w:abstractNum>
  <w:abstractNum w:abstractNumId="26">
    <w:nsid w:val="737B8DDC"/>
    <w:multiLevelType w:val="hybridMultilevel"/>
    <w:lvl w:ilvl="0">
      <w:lvlJc w:val="left"/>
      <w:lvlText w:val="(%1)"/>
      <w:numFmt w:val="decimal"/>
      <w:start w:val="5"/>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bullet"/>
      <w:start w:val="1"/>
    </w:lvl>
  </w:abstractNum>
  <w:abstractNum w:abstractNumId="31">
    <w:nsid w:val="614FD4A1"/>
    <w:multiLevelType w:val="hybridMultilevel"/>
    <w:lvl w:ilvl="0">
      <w:lvlJc w:val="left"/>
      <w:lvlText w:val="2"/>
      <w:numFmt w:val="bullet"/>
      <w:start w:val="1"/>
    </w:lvl>
  </w:abstractNum>
  <w:abstractNum w:abstractNumId="32">
    <w:nsid w:val="419AC241"/>
    <w:multiLevelType w:val="hybridMultilevel"/>
    <w:lvl w:ilvl="0">
      <w:lvlJc w:val="left"/>
      <w:lvlText w:val="3"/>
      <w:numFmt w:val="bullet"/>
      <w:start w:val="1"/>
    </w:lvl>
  </w:abstractNum>
  <w:abstractNum w:abstractNumId="33">
    <w:nsid w:val="5577F8E1"/>
    <w:multiLevelType w:val="hybridMultilevel"/>
    <w:lvl w:ilvl="0">
      <w:lvlJc w:val="left"/>
      <w:lvlText w:val="4"/>
      <w:numFmt w:val="bullet"/>
      <w:start w:val="1"/>
    </w:lvl>
  </w:abstractNum>
  <w:abstractNum w:abstractNumId="34">
    <w:nsid w:val="440BADFC"/>
    <w:multiLevelType w:val="hybridMultilevel"/>
    <w:lvl w:ilvl="0">
      <w:lvlJc w:val="left"/>
      <w:lvlText w:val="5"/>
      <w:numFmt w:val="bullet"/>
      <w:start w:val="1"/>
    </w:lvl>
  </w:abstractNum>
  <w:abstractNum w:abstractNumId="35">
    <w:nsid w:val="5072367"/>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2019-12-20T06:23:57Z</dcterms:created>
  <dcterms:modified xsi:type="dcterms:W3CDTF">2019-12-20T06:23:57Z</dcterms:modified>
</cp:coreProperties>
</file>