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ind w:left="232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840"/>
        <w:spacing w:after="0"/>
        <w:rPr>
          <w:sz w:val="20"/>
          <w:szCs w:val="20"/>
          <w:color w:val="auto"/>
        </w:rPr>
      </w:pPr>
      <w:r>
        <w:rPr>
          <w:rFonts w:ascii="Courier New" w:cs="Courier New" w:eastAsia="Courier New" w:hAnsi="Courier New"/>
          <w:sz w:val="18"/>
          <w:szCs w:val="18"/>
          <w:color w:val="auto"/>
        </w:rPr>
        <w:t>SCHEDULE 13D</w:t>
      </w:r>
    </w:p>
    <w:p>
      <w:pPr>
        <w:ind w:left="252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right"/>
        <w:ind w:right="5359"/>
        <w:spacing w:after="0"/>
        <w:rPr>
          <w:sz w:val="20"/>
          <w:szCs w:val="20"/>
          <w:color w:val="auto"/>
        </w:rPr>
      </w:pPr>
      <w:r>
        <w:rPr>
          <w:rFonts w:ascii="Courier New" w:cs="Courier New" w:eastAsia="Courier New" w:hAnsi="Courier New"/>
          <w:sz w:val="18"/>
          <w:szCs w:val="18"/>
          <w:color w:val="auto"/>
        </w:rPr>
        <w:t>The Scotts Company</w:t>
      </w:r>
    </w:p>
    <w:p>
      <w:pPr>
        <w:jc w:val="right"/>
        <w:ind w:right="535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right"/>
        <w:ind w:right="4619"/>
        <w:spacing w:after="0"/>
        <w:rPr>
          <w:sz w:val="20"/>
          <w:szCs w:val="20"/>
          <w:color w:val="auto"/>
        </w:rPr>
      </w:pPr>
      <w:r>
        <w:rPr>
          <w:rFonts w:ascii="Courier New" w:cs="Courier New" w:eastAsia="Courier New" w:hAnsi="Courier New"/>
          <w:sz w:val="18"/>
          <w:szCs w:val="18"/>
          <w:color w:val="auto"/>
        </w:rPr>
        <w:t>Common Stock, without par value</w:t>
      </w:r>
    </w:p>
    <w:p>
      <w:pPr>
        <w:jc w:val="right"/>
        <w:ind w:right="46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2840"/>
        <w:spacing w:after="0"/>
        <w:rPr>
          <w:sz w:val="20"/>
          <w:szCs w:val="20"/>
          <w:color w:val="auto"/>
        </w:rPr>
      </w:pPr>
      <w:r>
        <w:rPr>
          <w:rFonts w:ascii="Courier New" w:cs="Courier New" w:eastAsia="Courier New" w:hAnsi="Courier New"/>
          <w:sz w:val="18"/>
          <w:szCs w:val="18"/>
          <w:color w:val="auto"/>
        </w:rPr>
        <w:t>810 186 106</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Jane L. Wilton</w:t>
      </w:r>
    </w:p>
    <w:p>
      <w:pPr>
        <w:ind w:left="2000"/>
        <w:spacing w:after="0" w:line="238" w:lineRule="auto"/>
        <w:rPr>
          <w:sz w:val="20"/>
          <w:szCs w:val="20"/>
          <w:color w:val="auto"/>
        </w:rPr>
      </w:pPr>
      <w:r>
        <w:rPr>
          <w:rFonts w:ascii="Courier New" w:cs="Courier New" w:eastAsia="Courier New" w:hAnsi="Courier New"/>
          <w:sz w:val="18"/>
          <w:szCs w:val="18"/>
          <w:color w:val="auto"/>
        </w:rPr>
        <w:t>Secretary &amp; General Counsel</w:t>
      </w:r>
    </w:p>
    <w:p>
      <w:pPr>
        <w:ind w:left="2320"/>
        <w:spacing w:after="0"/>
        <w:rPr>
          <w:sz w:val="20"/>
          <w:szCs w:val="20"/>
          <w:color w:val="auto"/>
        </w:rPr>
      </w:pPr>
      <w:r>
        <w:rPr>
          <w:rFonts w:ascii="Courier New" w:cs="Courier New" w:eastAsia="Courier New" w:hAnsi="Courier New"/>
          <w:sz w:val="18"/>
          <w:szCs w:val="18"/>
          <w:color w:val="auto"/>
        </w:rPr>
        <w:t>Community Funds, Inc.</w:t>
      </w:r>
    </w:p>
    <w:p>
      <w:pPr>
        <w:ind w:left="2840"/>
        <w:spacing w:after="0" w:line="237" w:lineRule="auto"/>
        <w:rPr>
          <w:sz w:val="20"/>
          <w:szCs w:val="20"/>
          <w:color w:val="auto"/>
        </w:rPr>
      </w:pPr>
      <w:r>
        <w:rPr>
          <w:rFonts w:ascii="Courier New" w:cs="Courier New" w:eastAsia="Courier New" w:hAnsi="Courier New"/>
          <w:sz w:val="18"/>
          <w:szCs w:val="18"/>
          <w:color w:val="auto"/>
        </w:rPr>
        <w:t>2 Park Avenue</w:t>
      </w:r>
    </w:p>
    <w:p>
      <w:pPr>
        <w:ind w:left="2200"/>
        <w:spacing w:after="0" w:line="238" w:lineRule="auto"/>
        <w:rPr>
          <w:sz w:val="20"/>
          <w:szCs w:val="20"/>
          <w:color w:val="auto"/>
        </w:rPr>
      </w:pPr>
      <w:r>
        <w:rPr>
          <w:rFonts w:ascii="Courier New" w:cs="Courier New" w:eastAsia="Courier New" w:hAnsi="Courier New"/>
          <w:sz w:val="18"/>
          <w:szCs w:val="18"/>
          <w:color w:val="auto"/>
        </w:rPr>
        <w:t>New York, New York 10016</w:t>
      </w:r>
    </w:p>
    <w:p>
      <w:pPr>
        <w:ind w:left="2740"/>
        <w:spacing w:after="0"/>
        <w:rPr>
          <w:sz w:val="20"/>
          <w:szCs w:val="20"/>
          <w:color w:val="auto"/>
        </w:rPr>
      </w:pPr>
      <w:r>
        <w:rPr>
          <w:rFonts w:ascii="Courier New" w:cs="Courier New" w:eastAsia="Courier New" w:hAnsi="Courier New"/>
          <w:sz w:val="18"/>
          <w:szCs w:val="18"/>
          <w:color w:val="auto"/>
        </w:rPr>
        <w:t>(212) 686-0010</w:t>
      </w:r>
    </w:p>
    <w:p>
      <w:pPr>
        <w:spacing w:after="0" w:line="201"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June 16, 1995</w:t>
      </w:r>
    </w:p>
    <w:p>
      <w:pPr>
        <w:jc w:val="center"/>
        <w:ind w:right="283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7" w:lineRule="exact"/>
        <w:rPr>
          <w:sz w:val="24"/>
          <w:szCs w:val="24"/>
          <w:color w:val="auto"/>
        </w:rPr>
      </w:pPr>
    </w:p>
    <w:p>
      <w:pPr>
        <w:ind w:right="3259" w:firstLine="1053"/>
        <w:spacing w:after="0" w:line="235" w:lineRule="auto"/>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200" w:lineRule="exact"/>
        <w:rPr>
          <w:sz w:val="24"/>
          <w:szCs w:val="24"/>
          <w:color w:val="auto"/>
        </w:rPr>
      </w:pPr>
    </w:p>
    <w:p>
      <w:pPr>
        <w:spacing w:after="0" w:line="205" w:lineRule="exact"/>
        <w:rPr>
          <w:sz w:val="24"/>
          <w:szCs w:val="24"/>
          <w:color w:val="auto"/>
        </w:rPr>
      </w:pPr>
    </w:p>
    <w:p>
      <w:pPr>
        <w:ind w:left="1040"/>
        <w:spacing w:after="0"/>
        <w:rPr>
          <w:sz w:val="20"/>
          <w:szCs w:val="20"/>
          <w:color w:val="auto"/>
        </w:rPr>
      </w:pPr>
      <w:r>
        <w:rPr>
          <w:rFonts w:ascii="Courier New" w:cs="Courier New" w:eastAsia="Courier New" w:hAnsi="Courier New"/>
          <w:sz w:val="18"/>
          <w:szCs w:val="18"/>
          <w:color w:val="auto"/>
        </w:rPr>
        <w:t>CUSIP No. 810 186 106</w:t>
      </w:r>
    </w:p>
    <w:p>
      <w:pPr>
        <w:spacing w:after="0" w:line="201" w:lineRule="exact"/>
        <w:rPr>
          <w:sz w:val="24"/>
          <w:szCs w:val="24"/>
          <w:color w:val="auto"/>
        </w:rPr>
      </w:pPr>
    </w:p>
    <w:p>
      <w:pPr>
        <w:ind w:left="1580" w:hanging="532"/>
        <w:spacing w:after="0"/>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1580"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3" w:lineRule="exact"/>
        <w:rPr>
          <w:sz w:val="24"/>
          <w:szCs w:val="24"/>
          <w:color w:val="auto"/>
        </w:rPr>
      </w:pPr>
    </w:p>
    <w:p>
      <w:pPr>
        <w:ind w:left="2100"/>
        <w:spacing w:after="0"/>
        <w:rPr>
          <w:sz w:val="20"/>
          <w:szCs w:val="20"/>
          <w:color w:val="auto"/>
        </w:rPr>
      </w:pPr>
      <w:r>
        <w:rPr>
          <w:rFonts w:ascii="Courier New" w:cs="Courier New" w:eastAsia="Courier New" w:hAnsi="Courier New"/>
          <w:sz w:val="18"/>
          <w:szCs w:val="18"/>
          <w:color w:val="auto"/>
        </w:rPr>
        <w:t>Community Funds, Inc.</w:t>
      </w:r>
    </w:p>
    <w:p>
      <w:pPr>
        <w:ind w:left="2100"/>
        <w:spacing w:after="0" w:line="238" w:lineRule="auto"/>
        <w:rPr>
          <w:sz w:val="20"/>
          <w:szCs w:val="20"/>
          <w:color w:val="auto"/>
        </w:rPr>
      </w:pPr>
      <w:r>
        <w:rPr>
          <w:rFonts w:ascii="Courier New" w:cs="Courier New" w:eastAsia="Courier New" w:hAnsi="Courier New"/>
          <w:sz w:val="18"/>
          <w:szCs w:val="18"/>
          <w:color w:val="auto"/>
        </w:rPr>
        <w:t>13-6089923</w:t>
      </w:r>
    </w:p>
    <w:p>
      <w:pPr>
        <w:spacing w:after="0" w:line="207" w:lineRule="exact"/>
        <w:rPr>
          <w:sz w:val="24"/>
          <w:szCs w:val="24"/>
          <w:color w:val="auto"/>
        </w:rPr>
      </w:pPr>
    </w:p>
    <w:p>
      <w:pPr>
        <w:ind w:left="1580" w:right="3039" w:hanging="532"/>
        <w:spacing w:after="0" w:line="235" w:lineRule="auto"/>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3" w:lineRule="exact"/>
        <w:rPr>
          <w:sz w:val="24"/>
          <w:szCs w:val="24"/>
          <w:color w:val="auto"/>
        </w:rPr>
      </w:pPr>
    </w:p>
    <w:p>
      <w:pPr>
        <w:ind w:left="1040"/>
        <w:spacing w:after="0"/>
        <w:rPr>
          <w:sz w:val="20"/>
          <w:szCs w:val="20"/>
          <w:color w:val="auto"/>
        </w:rPr>
      </w:pPr>
      <w:r>
        <w:rPr>
          <w:rFonts w:ascii="Courier New" w:cs="Courier New" w:eastAsia="Courier New" w:hAnsi="Courier New"/>
          <w:sz w:val="18"/>
          <w:szCs w:val="18"/>
          <w:color w:val="auto"/>
        </w:rPr>
        <w:t>(a)</w:t>
      </w:r>
    </w:p>
    <w:p>
      <w:pPr>
        <w:ind w:left="1040"/>
        <w:spacing w:after="0" w:line="238" w:lineRule="auto"/>
        <w:rPr>
          <w:sz w:val="20"/>
          <w:szCs w:val="20"/>
          <w:color w:val="auto"/>
        </w:rPr>
      </w:pPr>
      <w:r>
        <w:rPr>
          <w:rFonts w:ascii="Courier New" w:cs="Courier New" w:eastAsia="Courier New" w:hAnsi="Courier New"/>
          <w:sz w:val="18"/>
          <w:szCs w:val="18"/>
          <w:color w:val="auto"/>
        </w:rPr>
        <w:t>(b)</w:t>
      </w:r>
    </w:p>
    <w:p>
      <w:pPr>
        <w:spacing w:after="0" w:line="202" w:lineRule="exact"/>
        <w:rPr>
          <w:sz w:val="24"/>
          <w:szCs w:val="24"/>
          <w:color w:val="auto"/>
        </w:rPr>
      </w:pPr>
    </w:p>
    <w:p>
      <w:pPr>
        <w:ind w:left="1460" w:hanging="412"/>
        <w:spacing w:after="0"/>
        <w:tabs>
          <w:tab w:leader="none" w:pos="14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460" w:hanging="412"/>
        <w:spacing w:after="0"/>
        <w:tabs>
          <w:tab w:leader="none" w:pos="14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(See Instructions): 00</w:t>
      </w:r>
    </w:p>
    <w:p>
      <w:pPr>
        <w:spacing w:after="0" w:line="206" w:lineRule="exact"/>
        <w:rPr>
          <w:rFonts w:ascii="Courier New" w:cs="Courier New" w:eastAsia="Courier New" w:hAnsi="Courier New"/>
          <w:sz w:val="18"/>
          <w:szCs w:val="18"/>
          <w:color w:val="auto"/>
        </w:rPr>
      </w:pPr>
    </w:p>
    <w:p>
      <w:pPr>
        <w:ind w:left="1580" w:right="3579" w:hanging="532"/>
        <w:spacing w:after="0" w:line="290" w:lineRule="auto"/>
        <w:tabs>
          <w:tab w:leader="none" w:pos="15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Disclosure of Legal Proceedings is Required Pursuant to Items 2(d) or 2(e)</w:t>
      </w:r>
    </w:p>
    <w:p>
      <w:pPr>
        <w:spacing w:after="0" w:line="164" w:lineRule="exact"/>
        <w:rPr>
          <w:rFonts w:ascii="Courier New" w:cs="Courier New" w:eastAsia="Courier New" w:hAnsi="Courier New"/>
          <w:sz w:val="16"/>
          <w:szCs w:val="16"/>
          <w:color w:val="auto"/>
        </w:rPr>
      </w:pPr>
    </w:p>
    <w:p>
      <w:pPr>
        <w:ind w:left="1460" w:hanging="412"/>
        <w:spacing w:after="0"/>
        <w:tabs>
          <w:tab w:leader="none" w:pos="14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207" w:lineRule="exact"/>
        <w:rPr>
          <w:sz w:val="24"/>
          <w:szCs w:val="24"/>
          <w:color w:val="auto"/>
        </w:rPr>
      </w:pPr>
    </w:p>
    <w:p>
      <w:pPr>
        <w:ind w:left="1040" w:right="303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w:t>
      </w:r>
    </w:p>
    <w:p>
      <w:pPr>
        <w:spacing w:after="0" w:line="203" w:lineRule="exact"/>
        <w:rPr>
          <w:sz w:val="24"/>
          <w:szCs w:val="24"/>
          <w:color w:val="auto"/>
        </w:rPr>
      </w:pPr>
    </w:p>
    <w:p>
      <w:pPr>
        <w:ind w:left="1580" w:hanging="532"/>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ind w:left="1580" w:hanging="532"/>
        <w:spacing w:after="0" w:line="238"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580" w:hanging="532"/>
        <w:spacing w:after="0" w:line="238"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ind w:left="1580" w:hanging="532"/>
        <w:spacing w:after="0" w:line="238"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4" w:lineRule="exact"/>
        <w:rPr>
          <w:rFonts w:ascii="Courier New" w:cs="Courier New" w:eastAsia="Courier New" w:hAnsi="Courier New"/>
          <w:sz w:val="18"/>
          <w:szCs w:val="18"/>
          <w:color w:val="auto"/>
        </w:rPr>
      </w:pPr>
    </w:p>
    <w:p>
      <w:pPr>
        <w:ind w:left="1580" w:right="3579" w:hanging="532"/>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208" w:lineRule="exact"/>
        <w:rPr>
          <w:rFonts w:ascii="Courier New" w:cs="Courier New" w:eastAsia="Courier New" w:hAnsi="Courier New"/>
          <w:sz w:val="18"/>
          <w:szCs w:val="18"/>
          <w:color w:val="auto"/>
        </w:rPr>
      </w:pPr>
    </w:p>
    <w:p>
      <w:pPr>
        <w:ind w:left="1580" w:right="2839" w:hanging="532"/>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spacing w:after="0" w:line="208" w:lineRule="exact"/>
        <w:rPr>
          <w:rFonts w:ascii="Courier New" w:cs="Courier New" w:eastAsia="Courier New" w:hAnsi="Courier New"/>
          <w:sz w:val="18"/>
          <w:szCs w:val="18"/>
          <w:color w:val="auto"/>
        </w:rPr>
      </w:pPr>
    </w:p>
    <w:p>
      <w:pPr>
        <w:ind w:left="1580" w:right="3359" w:hanging="532"/>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2" w:lineRule="exact"/>
        <w:rPr>
          <w:rFonts w:ascii="Courier New" w:cs="Courier New" w:eastAsia="Courier New" w:hAnsi="Courier New"/>
          <w:sz w:val="18"/>
          <w:szCs w:val="18"/>
          <w:color w:val="auto"/>
        </w:rPr>
      </w:pPr>
    </w:p>
    <w:p>
      <w:pPr>
        <w:ind w:left="1580" w:hanging="532"/>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CO</w:t>
      </w:r>
    </w:p>
    <w:p>
      <w:pPr>
        <w:sectPr>
          <w:pgSz w:w="11900" w:h="16838" w:orient="portrait"/>
          <w:cols w:equalWidth="0" w:num="1">
            <w:col w:w="9679"/>
          </w:cols>
          <w:pgMar w:left="780" w:top="244" w:right="1440" w:bottom="0" w:gutter="0" w:footer="0" w:header="0"/>
        </w:sectPr>
      </w:pPr>
    </w:p>
    <w:bookmarkStart w:id="1" w:name="page2"/>
    <w:bookmarkEnd w:id="1"/>
    <w:p>
      <w:pPr>
        <w:ind w:right="3039" w:firstLine="1053"/>
        <w:spacing w:after="0" w:line="237" w:lineRule="auto"/>
        <w:rPr>
          <w:sz w:val="20"/>
          <w:szCs w:val="20"/>
          <w:color w:val="auto"/>
        </w:rPr>
      </w:pPr>
      <w:r>
        <w:rPr>
          <w:rFonts w:ascii="Courier New" w:cs="Courier New" w:eastAsia="Courier New" w:hAnsi="Courier New"/>
          <w:sz w:val="18"/>
          <w:szCs w:val="18"/>
          <w:color w:val="auto"/>
        </w:rPr>
        <w:t>Community Funds, Inc. (the "Reporting Person") hereby amends and supplements its Statement or Schedule 13D (the "Schedule 13D") filed with respect to the common stock, without par value (the "Shares") of The Scotts Company, an Ohio corporation ("Scotts"). Capitalized terms not defined herein have the meanings set forth in the Schedule 13D.</w:t>
      </w:r>
    </w:p>
    <w:p>
      <w:pPr>
        <w:spacing w:after="0" w:line="204" w:lineRule="exact"/>
        <w:rPr>
          <w:sz w:val="20"/>
          <w:szCs w:val="20"/>
          <w:color w:val="auto"/>
        </w:rPr>
      </w:pPr>
    </w:p>
    <w:p>
      <w:pPr>
        <w:ind w:left="1040"/>
        <w:spacing w:after="0"/>
        <w:tabs>
          <w:tab w:leader="none" w:pos="20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w:t>
      </w:r>
    </w:p>
    <w:p>
      <w:pPr>
        <w:ind w:left="2100"/>
        <w:spacing w:after="0" w:line="238" w:lineRule="auto"/>
        <w:rPr>
          <w:sz w:val="20"/>
          <w:szCs w:val="20"/>
          <w:color w:val="auto"/>
        </w:rPr>
      </w:pPr>
      <w:r>
        <w:rPr>
          <w:rFonts w:ascii="Courier New" w:cs="Courier New" w:eastAsia="Courier New" w:hAnsi="Courier New"/>
          <w:sz w:val="18"/>
          <w:szCs w:val="18"/>
          <w:color w:val="auto"/>
        </w:rPr>
        <w:t>CONSIDERATION.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On June 16, 1995, the Reporting Person contributed 17,186 shares of Preferred Stock and Warrants to purchase 2,933,358 shares to the capital of the Hagedorn Partnership, L.P. (the "Partnership") in exchange for limited partnership interest units in the Partnership.</w:t>
      </w:r>
    </w:p>
    <w:p>
      <w:pPr>
        <w:spacing w:after="0" w:line="203" w:lineRule="exact"/>
        <w:rPr>
          <w:sz w:val="20"/>
          <w:szCs w:val="20"/>
          <w:color w:val="auto"/>
        </w:rPr>
      </w:pPr>
    </w:p>
    <w:p>
      <w:pPr>
        <w:ind w:left="1040"/>
        <w:spacing w:after="0"/>
        <w:tabs>
          <w:tab w:leader="none" w:pos="19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ind w:left="1580" w:hanging="532"/>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580" w:hanging="532"/>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520" w:right="2839" w:firstLine="528"/>
        <w:spacing w:after="0" w:line="279" w:lineRule="auto"/>
        <w:tabs>
          <w:tab w:leader="none" w:pos="157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set forth in Item 3 above and Item 3 of the Schedule 13D the Reporting Person has not effected any transactions in the Shares in the past sixty days.</w:t>
      </w:r>
    </w:p>
    <w:p>
      <w:pPr>
        <w:spacing w:after="0" w:line="178" w:lineRule="exact"/>
        <w:rPr>
          <w:rFonts w:ascii="Courier New" w:cs="Courier New" w:eastAsia="Courier New" w:hAnsi="Courier New"/>
          <w:sz w:val="16"/>
          <w:szCs w:val="16"/>
          <w:color w:val="auto"/>
        </w:rPr>
      </w:pPr>
    </w:p>
    <w:p>
      <w:pPr>
        <w:ind w:left="520" w:right="3039" w:firstLine="528"/>
        <w:spacing w:after="0" w:line="290" w:lineRule="auto"/>
        <w:tabs>
          <w:tab w:leader="none" w:pos="157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Reporting Person ceased to be the beneficial owner of five percent of the Shares on June 16, 1995.</w:t>
      </w:r>
    </w:p>
    <w:p>
      <w:pPr>
        <w:spacing w:after="0" w:line="16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83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COMMUNITY FUNDS,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JANE L. WILTON</w:t>
      </w:r>
    </w:p>
    <w:p>
      <w:pPr>
        <w:ind w:left="3480"/>
        <w:spacing w:after="0" w:line="238" w:lineRule="auto"/>
        <w:rPr>
          <w:sz w:val="20"/>
          <w:szCs w:val="20"/>
          <w:color w:val="auto"/>
        </w:rPr>
      </w:pPr>
      <w:r>
        <w:rPr>
          <w:rFonts w:ascii="Courier New" w:cs="Courier New" w:eastAsia="Courier New" w:hAnsi="Courier New"/>
          <w:sz w:val="18"/>
          <w:szCs w:val="18"/>
          <w:color w:val="auto"/>
        </w:rPr>
        <w:t>Jane L. Wilton</w:t>
      </w:r>
    </w:p>
    <w:p>
      <w:pPr>
        <w:jc w:val="center"/>
        <w:ind w:right="-320"/>
        <w:spacing w:after="0"/>
        <w:rPr>
          <w:sz w:val="20"/>
          <w:szCs w:val="20"/>
          <w:color w:val="auto"/>
        </w:rPr>
      </w:pPr>
      <w:r>
        <w:rPr>
          <w:rFonts w:ascii="Courier New" w:cs="Courier New" w:eastAsia="Courier New" w:hAnsi="Courier New"/>
          <w:sz w:val="18"/>
          <w:szCs w:val="18"/>
          <w:color w:val="auto"/>
        </w:rPr>
        <w:t>Secretary and General Counsel</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June 23, 1995</w:t>
      </w:r>
    </w:p>
    <w:sectPr>
      <w:pgSz w:w="11900" w:h="16838" w:orient="portrait"/>
      <w:cols w:equalWidth="0" w:num="1">
        <w:col w:w="9679"/>
      </w:cols>
      <w:pgMar w:left="78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7"/>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2019-12-20T06:53:35Z</dcterms:created>
  <dcterms:modified xsi:type="dcterms:W3CDTF">2019-12-20T06:53:35Z</dcterms:modified>
</cp:coreProperties>
</file>