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jpeg" ContentType="image/jpeg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0"/>
          <w:szCs w:val="20"/>
          <w:color w:val="auto"/>
        </w:rPr>
        <w:t>SEC Form 4</w:t>
      </w:r>
    </w:p>
    <w:p>
      <w:pPr>
        <w:spacing w:after="0" w:line="45" w:lineRule="exact"/>
        <w:rPr>
          <w:sz w:val="24"/>
          <w:szCs w:val="24"/>
          <w:color w:val="auto"/>
        </w:rPr>
      </w:pPr>
    </w:p>
    <w:p>
      <w:pPr>
        <w:ind w:left="76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23"/>
          <w:szCs w:val="23"/>
          <w:b w:val="1"/>
          <w:bCs w:val="1"/>
          <w:color w:val="auto"/>
        </w:rPr>
        <w:t>FORM 4</w:t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212" w:lineRule="exact"/>
        <w:rPr>
          <w:sz w:val="24"/>
          <w:szCs w:val="24"/>
          <w:color w:val="auto"/>
        </w:rPr>
      </w:pPr>
    </w:p>
    <w:p>
      <w:pPr>
        <w:ind w:left="340" w:right="140"/>
        <w:spacing w:after="0" w:line="250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Check this box if no longer subject to Section 16. Form 4 or Form 5 obligations may continue.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1(b).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-223520</wp:posOffset>
            </wp:positionV>
            <wp:extent cx="119380" cy="11938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3" w:lineRule="exact"/>
        <w:rPr>
          <w:sz w:val="24"/>
          <w:szCs w:val="24"/>
          <w:color w:val="auto"/>
        </w:rPr>
      </w:pPr>
    </w:p>
    <w:p>
      <w:pPr>
        <w:ind w:left="340"/>
        <w:spacing w:after="0" w:line="244" w:lineRule="auto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31750</wp:posOffset>
            </wp:positionH>
            <wp:positionV relativeFrom="paragraph">
              <wp:posOffset>-563245</wp:posOffset>
            </wp:positionV>
            <wp:extent cx="119380" cy="11938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19380" cy="11938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244"/>
        </w:trPr>
        <w:tc>
          <w:tcPr>
            <w:tcW w:w="6200" w:type="dxa"/>
            <w:vAlign w:val="bottom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UNITED STATES SECURITIES AND EXCHANGE COMMISSION</w:t>
            </w:r>
          </w:p>
        </w:tc>
        <w:tc>
          <w:tcPr>
            <w:tcW w:w="4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39"/>
              <w:spacing w:after="0" w:line="14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5"/>
              </w:rPr>
              <w:t>Washington, D.C. 20549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5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restart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OMB APPROVAL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10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20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9"/>
                <w:szCs w:val="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20"/>
                <w:szCs w:val="20"/>
                <w:b w:val="1"/>
                <w:bCs w:val="1"/>
                <w:color w:val="auto"/>
                <w:w w:val="99"/>
              </w:rPr>
              <w:t>STATEMENT OF CHANGES IN BENEFICIAL OWNERSHIP</w:t>
            </w:r>
          </w:p>
        </w:tc>
        <w:tc>
          <w:tcPr>
            <w:tcW w:w="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top w:val="single" w:sz="8" w:color="808080"/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0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380" w:type="dxa"/>
            <w:vAlign w:val="bottom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OMB Number:</w:t>
            </w:r>
          </w:p>
        </w:tc>
        <w:tc>
          <w:tcPr>
            <w:tcW w:w="620" w:type="dxa"/>
            <w:vAlign w:val="bottom"/>
            <w:vMerge w:val="restart"/>
          </w:tcPr>
          <w:p>
            <w:pPr>
              <w:jc w:val="right"/>
              <w:ind w:right="2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  <w:w w:val="98"/>
              </w:rPr>
              <w:t>3235-0287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6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Estimated average burden</w:t>
            </w:r>
          </w:p>
        </w:tc>
        <w:tc>
          <w:tcPr>
            <w:tcW w:w="6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75"/>
        </w:trPr>
        <w:tc>
          <w:tcPr>
            <w:tcW w:w="6200" w:type="dxa"/>
            <w:vAlign w:val="bottom"/>
            <w:vMerge w:val="restart"/>
          </w:tcPr>
          <w:p>
            <w:pPr>
              <w:jc w:val="center"/>
              <w:ind w:right="259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6"/>
              </w:rPr>
              <w:t>Filed pursuant to Section 16(a) of the Securities Exchange Act of 1934</w:t>
            </w: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138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hours per response:</w:t>
            </w:r>
          </w:p>
        </w:tc>
        <w:tc>
          <w:tcPr>
            <w:tcW w:w="620" w:type="dxa"/>
            <w:vAlign w:val="bottom"/>
          </w:tcPr>
          <w:p>
            <w:pPr>
              <w:jc w:val="right"/>
              <w:ind w:right="4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0.5</w:t>
            </w: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5"/>
                <w:szCs w:val="1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9"/>
        </w:trPr>
        <w:tc>
          <w:tcPr>
            <w:tcW w:w="620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808080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6200" w:type="dxa"/>
            <w:vAlign w:val="bottom"/>
            <w:vMerge w:val="continue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4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38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6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5207000</wp:posOffset>
            </wp:positionH>
            <wp:positionV relativeFrom="paragraph">
              <wp:posOffset>-607695</wp:posOffset>
            </wp:positionV>
            <wp:extent cx="57150" cy="621030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3928745</wp:posOffset>
            </wp:positionH>
            <wp:positionV relativeFrom="paragraph">
              <wp:posOffset>-607695</wp:posOffset>
            </wp:positionV>
            <wp:extent cx="57150" cy="621030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" cy="6210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13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or Section 30(h) of the Investment Company Act of 1940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-1701165</wp:posOffset>
            </wp:positionH>
            <wp:positionV relativeFrom="paragraph">
              <wp:posOffset>638810</wp:posOffset>
            </wp:positionV>
            <wp:extent cx="6997700" cy="498030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997700" cy="498030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106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2320" w:space="340"/>
            <w:col w:w="8420"/>
          </w:cols>
          <w:pgMar w:left="460" w:top="214" w:right="359" w:bottom="1440" w:gutter="0" w:footer="0" w:header="0"/>
        </w:sectPr>
      </w:pPr>
    </w:p>
    <w:p>
      <w:pPr>
        <w:spacing w:after="0" w:line="17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1. Name and Address of Reporting Person</w:t>
      </w:r>
      <w:r>
        <w:rPr>
          <w:rFonts w:ascii="Arial" w:cs="Arial" w:eastAsia="Arial" w:hAnsi="Arial"/>
          <w:sz w:val="20"/>
          <w:szCs w:val="20"/>
          <w:color w:val="auto"/>
          <w:vertAlign w:val="superscript"/>
        </w:rPr>
        <w:t>*</w:t>
      </w:r>
    </w:p>
    <w:p>
      <w:pPr>
        <w:ind w:left="120"/>
        <w:spacing w:after="0"/>
        <w:rPr>
          <w:rFonts w:ascii="Times New Roman" w:cs="Times New Roman" w:eastAsia="Times New Roman" w:hAnsi="Times New Roman"/>
          <w:sz w:val="20"/>
          <w:szCs w:val="20"/>
          <w:u w:val="single" w:color="auto"/>
          <w:color w:val="0000EE"/>
        </w:rPr>
      </w:pPr>
      <w:hyperlink r:id="rId13">
        <w:r>
          <w:rPr>
            <w:rFonts w:ascii="Times New Roman" w:cs="Times New Roman" w:eastAsia="Times New Roman" w:hAnsi="Times New Roman"/>
            <w:sz w:val="20"/>
            <w:szCs w:val="20"/>
            <w:u w:val="single" w:color="auto"/>
            <w:color w:val="0000EE"/>
          </w:rPr>
          <w:t>HAGEDORN JAMES</w:t>
        </w:r>
      </w:hyperlink>
    </w:p>
    <w:p>
      <w:pPr>
        <w:spacing w:after="0" w:line="28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(Last)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(First)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(Middle)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120"/>
        <w:spacing w:after="0" w:line="361" w:lineRule="auto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C/O THE SCOTTS MIRACLE-GRO COMPANY 14111 SCOTTSLAWN ROAD</w:t>
      </w:r>
    </w:p>
    <w:p>
      <w:pPr>
        <w:spacing w:after="0" w:line="159" w:lineRule="exact"/>
        <w:rPr>
          <w:sz w:val="24"/>
          <w:szCs w:val="24"/>
          <w:color w:val="auto"/>
        </w:rPr>
      </w:pPr>
    </w:p>
    <w:p>
      <w:pPr>
        <w:ind w:left="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(Street)</w:t>
      </w:r>
    </w:p>
    <w:p>
      <w:pPr>
        <w:spacing w:after="0" w:line="25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MARYSVILLE</w:t>
        <w:tab/>
        <w:t>OH</w:t>
      </w:r>
      <w:r>
        <w:rPr>
          <w:sz w:val="20"/>
          <w:szCs w:val="20"/>
          <w:color w:val="auto"/>
        </w:rPr>
        <w:tab/>
      </w:r>
      <w:r>
        <w:rPr>
          <w:rFonts w:ascii="Times New Roman" w:cs="Times New Roman" w:eastAsia="Times New Roman" w:hAnsi="Times New Roman"/>
          <w:sz w:val="16"/>
          <w:szCs w:val="16"/>
          <w:color w:val="0000FF"/>
        </w:rPr>
        <w:t>43041</w:t>
      </w:r>
    </w:p>
    <w:p>
      <w:pPr>
        <w:spacing w:after="0" w:line="316" w:lineRule="exact"/>
        <w:rPr>
          <w:sz w:val="24"/>
          <w:szCs w:val="24"/>
          <w:color w:val="auto"/>
        </w:rPr>
      </w:pPr>
    </w:p>
    <w:p>
      <w:pPr>
        <w:ind w:left="120"/>
        <w:spacing w:after="0"/>
        <w:tabs>
          <w:tab w:leader="none" w:pos="1320" w:val="left"/>
          <w:tab w:leader="none" w:pos="2540" w:val="left"/>
        </w:tabs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(City)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3"/>
          <w:szCs w:val="13"/>
          <w:color w:val="auto"/>
        </w:rPr>
        <w:t>(State)</w:t>
      </w:r>
      <w:r>
        <w:rPr>
          <w:sz w:val="20"/>
          <w:szCs w:val="20"/>
          <w:color w:val="auto"/>
        </w:rPr>
        <w:tab/>
      </w:r>
      <w:r>
        <w:rPr>
          <w:rFonts w:ascii="Arial" w:cs="Arial" w:eastAsia="Arial" w:hAnsi="Arial"/>
          <w:sz w:val="11"/>
          <w:szCs w:val="11"/>
          <w:color w:val="auto"/>
        </w:rPr>
        <w:t>(Zip)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br w:type="column"/>
      </w:r>
    </w:p>
    <w:p>
      <w:pPr>
        <w:spacing w:after="0" w:line="1" w:lineRule="exact"/>
        <w:rPr>
          <w:sz w:val="1"/>
          <w:szCs w:val="1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2.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Issuer Name </w:t>
            </w: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and</w:t>
            </w: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 xml:space="preserve"> Ticker or Trading Symbol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5.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Relationship of Reporting Person(s) to Issuer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3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760" w:type="dxa"/>
            <w:vAlign w:val="bottom"/>
            <w:gridSpan w:val="3"/>
          </w:tcPr>
          <w:p>
            <w:pPr>
              <w:spacing w:after="0" w:line="212" w:lineRule="exact"/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</w:pPr>
            <w:hyperlink r:id="rId14">
              <w:r>
                <w:rPr>
                  <w:rFonts w:ascii="Times New Roman" w:cs="Times New Roman" w:eastAsia="Times New Roman" w:hAnsi="Times New Roman"/>
                  <w:sz w:val="20"/>
                  <w:szCs w:val="20"/>
                  <w:color w:val="0000EE"/>
                </w:rPr>
                <w:t xml:space="preserve">SCOTTS MIRACLE-GRO CO </w:t>
              </w:r>
            </w:hyperlink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[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SMG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EE"/>
              </w:rPr>
              <w:t xml:space="preserve"> 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0000"/>
              </w:rPr>
              <w:t>]</w:t>
            </w:r>
          </w:p>
        </w:tc>
        <w:tc>
          <w:tcPr>
            <w:tcW w:w="18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(Check all applicable)</w:t>
            </w:r>
          </w:p>
        </w:tc>
        <w:tc>
          <w:tcPr>
            <w:tcW w:w="14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top w:val="single" w:sz="8" w:color="0000EE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Director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 w:line="146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10% Owner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5"/>
        </w:trPr>
        <w:tc>
          <w:tcPr>
            <w:tcW w:w="6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4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1640" w:type="dxa"/>
            <w:vAlign w:val="bottom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Officer (give title</w:t>
            </w:r>
          </w:p>
        </w:tc>
        <w:tc>
          <w:tcPr>
            <w:tcW w:w="14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Other (specify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43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640" w:type="dxa"/>
            <w:vAlign w:val="bottom"/>
            <w:vMerge w:val="restart"/>
          </w:tcPr>
          <w:p>
            <w:pPr>
              <w:ind w:left="4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1460" w:type="dxa"/>
            <w:vAlign w:val="bottom"/>
            <w:vMerge w:val="restart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below)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03"/>
        </w:trPr>
        <w:tc>
          <w:tcPr>
            <w:tcW w:w="18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3.</w:t>
            </w:r>
          </w:p>
        </w:tc>
        <w:tc>
          <w:tcPr>
            <w:tcW w:w="3640" w:type="dxa"/>
            <w:vAlign w:val="bottom"/>
            <w:gridSpan w:val="2"/>
            <w:vMerge w:val="restart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 of Earliest Transaction (Month/Day/Year)</w:t>
            </w: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64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1460" w:type="dxa"/>
            <w:vAlign w:val="bottom"/>
            <w:vMerge w:val="continue"/>
          </w:tcPr>
          <w:p>
            <w:pPr>
              <w:spacing w:after="0"/>
              <w:rPr>
                <w:sz w:val="8"/>
                <w:szCs w:val="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72"/>
        </w:trPr>
        <w:tc>
          <w:tcPr>
            <w:tcW w:w="1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6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restart"/>
          </w:tcPr>
          <w:p>
            <w:pPr>
              <w:ind w:left="8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Chairman &amp; CEO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58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05/26/2026</w:t>
            </w:r>
          </w:p>
        </w:tc>
        <w:tc>
          <w:tcPr>
            <w:tcW w:w="1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1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70"/>
        </w:trPr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1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87"/>
        </w:trPr>
        <w:tc>
          <w:tcPr>
            <w:tcW w:w="18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  <w:w w:val="91"/>
              </w:rPr>
              <w:t>4.</w:t>
            </w:r>
          </w:p>
        </w:tc>
        <w:tc>
          <w:tcPr>
            <w:tcW w:w="364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If Amendment, Date of Original Filed (Month/Day/Year)</w:t>
            </w:r>
          </w:p>
        </w:tc>
        <w:tc>
          <w:tcPr>
            <w:tcW w:w="20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6.</w:t>
            </w:r>
          </w:p>
        </w:tc>
        <w:tc>
          <w:tcPr>
            <w:tcW w:w="310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Individual or Joint/Group Filing (Check Applicable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ind w:left="388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Line)</w:t>
      </w:r>
    </w:p>
    <w:p>
      <w:pPr>
        <w:spacing w:after="0" w:line="39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Form filed by One Reporting Person</w:t>
      </w:r>
    </w:p>
    <w:p>
      <w:pPr>
        <w:spacing w:after="0" w:line="63" w:lineRule="exact"/>
        <w:rPr>
          <w:sz w:val="24"/>
          <w:szCs w:val="24"/>
          <w:color w:val="auto"/>
        </w:rPr>
      </w:pPr>
    </w:p>
    <w:p>
      <w:pPr>
        <w:ind w:left="442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>Form filed by More than One Reporting Person</w:t>
      </w:r>
    </w:p>
    <w:p>
      <w:pPr>
        <w:spacing w:after="0" w:line="423" w:lineRule="exact"/>
        <w:rPr>
          <w:sz w:val="24"/>
          <w:szCs w:val="24"/>
          <w:color w:val="auto"/>
        </w:rPr>
      </w:pPr>
    </w:p>
    <w:p>
      <w:pPr>
        <w:sectPr>
          <w:pgSz w:w="11900" w:h="16838" w:orient="portrait"/>
          <w:cols w:equalWidth="0" w:num="2">
            <w:col w:w="3400" w:space="440"/>
            <w:col w:w="7240"/>
          </w:cols>
          <w:pgMar w:left="460" w:top="214" w:right="359" w:bottom="1440" w:gutter="0" w:footer="0" w:header="0"/>
          <w:type w:val="continuous"/>
        </w:sectPr>
      </w:pPr>
    </w:p>
    <w:p>
      <w:pPr>
        <w:jc w:val="center"/>
        <w:ind w:right="10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Table I - Non-Derivative Securities Acquired, Disposed of, or Beneficially Owned</w:t>
      </w:r>
    </w:p>
    <w:p>
      <w:pPr>
        <w:spacing w:after="0" w:line="105" w:lineRule="exact"/>
        <w:rPr>
          <w:sz w:val="24"/>
          <w:szCs w:val="24"/>
          <w:color w:val="auto"/>
        </w:rPr>
      </w:pPr>
    </w:p>
    <w:tbl>
      <w:tblPr>
        <w:tblLayout w:type="fixed"/>
        <w:tblInd w:w="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49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460" w:type="dxa"/>
            <w:vAlign w:val="bottom"/>
            <w:gridSpan w:val="3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b w:val="1"/>
                <w:bCs w:val="1"/>
                <w:color w:val="auto"/>
              </w:rPr>
              <w:t>1. Title of Security (Instr. 3)</w:t>
            </w: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 Transaction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2A. Deemed</w:t>
            </w:r>
          </w:p>
        </w:tc>
        <w:tc>
          <w:tcPr>
            <w:tcW w:w="540" w:type="dxa"/>
            <w:vAlign w:val="bottom"/>
            <w:gridSpan w:val="2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60" w:type="dxa"/>
            <w:vAlign w:val="bottom"/>
            <w:gridSpan w:val="5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 Securities Acquired (A) or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Amount of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Ownership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Nature of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2"/>
              </w:rPr>
              <w:t>Date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740" w:type="dxa"/>
            <w:vAlign w:val="bottom"/>
            <w:gridSpan w:val="7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  Disposed Of (D) (Instr. 3, 4 and 5)</w:t>
            </w: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 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8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320" w:type="dxa"/>
            <w:vAlign w:val="bottom"/>
            <w:gridSpan w:val="3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8"/>
              </w:rPr>
              <w:t>Beneficially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or Indirect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8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  8)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 Following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  <w:vMerge w:val="restart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</w:t>
            </w:r>
          </w:p>
        </w:tc>
        <w:tc>
          <w:tcPr>
            <w:tcW w:w="240" w:type="dxa"/>
            <w:vAlign w:val="bottom"/>
            <w:vMerge w:val="restart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V</w:t>
            </w:r>
          </w:p>
        </w:tc>
        <w:tc>
          <w:tcPr>
            <w:tcW w:w="640" w:type="dxa"/>
            <w:vAlign w:val="bottom"/>
            <w:vMerge w:val="restart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ind w:left="2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5"/>
              </w:rPr>
              <w:t>(A) or</w:t>
            </w:r>
          </w:p>
        </w:tc>
        <w:tc>
          <w:tcPr>
            <w:tcW w:w="780" w:type="dxa"/>
            <w:vAlign w:val="bottom"/>
            <w:gridSpan w:val="2"/>
            <w:vMerge w:val="restart"/>
          </w:tcPr>
          <w:p>
            <w:pPr>
              <w:ind w:left="1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</w:t>
            </w:r>
          </w:p>
        </w:tc>
        <w:tc>
          <w:tcPr>
            <w:tcW w:w="1200" w:type="dxa"/>
            <w:vAlign w:val="bottom"/>
            <w:gridSpan w:val="2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9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4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540" w:type="dxa"/>
            <w:vAlign w:val="bottom"/>
            <w:vMerge w:val="restart"/>
          </w:tcPr>
          <w:p>
            <w:pPr>
              <w:ind w:left="2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restart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7"/>
                <w:szCs w:val="7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52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860" w:type="dxa"/>
            <w:vAlign w:val="bottom"/>
            <w:gridSpan w:val="3"/>
          </w:tcPr>
          <w:p>
            <w:pPr>
              <w:ind w:left="9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04/30/2026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ind w:left="2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J</w:t>
            </w:r>
          </w:p>
        </w:tc>
        <w:tc>
          <w:tcPr>
            <w:tcW w:w="24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V</w:t>
            </w:r>
          </w:p>
        </w:tc>
        <w:tc>
          <w:tcPr>
            <w:tcW w:w="7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9"/>
              </w:rPr>
              <w:t>39.185</w:t>
            </w:r>
          </w:p>
        </w:tc>
        <w:tc>
          <w:tcPr>
            <w:tcW w:w="540" w:type="dxa"/>
            <w:vAlign w:val="bottom"/>
          </w:tcPr>
          <w:p>
            <w:pPr>
              <w:ind w:left="3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A</w:t>
            </w:r>
          </w:p>
        </w:tc>
        <w:tc>
          <w:tcPr>
            <w:tcW w:w="72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51.04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88,630.7508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1"/>
                <w:szCs w:val="2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By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42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1200" w:type="dxa"/>
            <w:vAlign w:val="bottom"/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31,533.64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7"/>
                <w:szCs w:val="17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401(K)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1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82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Plan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5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120" w:type="dxa"/>
            <w:vAlign w:val="bottom"/>
            <w:gridSpan w:val="2"/>
          </w:tcPr>
          <w:p>
            <w:pPr>
              <w:spacing w:after="0"/>
              <w:rPr>
                <w:sz w:val="4"/>
                <w:szCs w:val="4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45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Common Shares</w:t>
            </w: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120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jc w:val="center"/>
              <w:ind w:right="3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997,910</w:t>
            </w: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4"/>
                <w:szCs w:val="24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</w:t>
            </w: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HPLP</w:t>
            </w:r>
            <w:r>
              <w:rPr>
                <w:rFonts w:ascii="Times New Roman" w:cs="Times New Roman" w:eastAsia="Times New Roman" w:hAnsi="Times New Roman"/>
                <w:sz w:val="20"/>
                <w:szCs w:val="20"/>
                <w:color w:val="008000"/>
                <w:vertAlign w:val="superscript"/>
              </w:rPr>
              <w:t>(1)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10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320" w:type="dxa"/>
            <w:vAlign w:val="bottom"/>
            <w:gridSpan w:val="14"/>
          </w:tcPr>
          <w:p>
            <w:pPr>
              <w:ind w:left="1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Table II - Derivative Securities Acquired, Disposed of, or Beneficially Owned</w:t>
            </w: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8"/>
                <w:szCs w:val="18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640" w:type="dxa"/>
            <w:vAlign w:val="bottom"/>
            <w:gridSpan w:val="13"/>
          </w:tcPr>
          <w:p>
            <w:pPr>
              <w:ind w:left="8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6"/>
                <w:szCs w:val="16"/>
                <w:b w:val="1"/>
                <w:bCs w:val="1"/>
                <w:color w:val="auto"/>
              </w:rPr>
              <w:t>(e.g., puts, calls, warrants, options, convertible securities)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9"/>
                <w:szCs w:val="19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9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420" w:type="dxa"/>
            <w:vAlign w:val="bottom"/>
            <w:tcBorders>
              <w:bottom w:val="single" w:sz="8" w:color="2C2C2C"/>
            </w:tcBorders>
            <w:gridSpan w:val="4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1360" w:type="dxa"/>
            <w:vAlign w:val="bottom"/>
            <w:tcBorders>
              <w:bottom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  <w:right w:val="single" w:sz="8" w:color="2C2C2C"/>
            </w:tcBorders>
            <w:gridSpan w:val="3"/>
          </w:tcPr>
          <w:p>
            <w:pPr>
              <w:spacing w:after="0"/>
              <w:rPr>
                <w:sz w:val="2"/>
                <w:szCs w:val="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63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4"/>
                <w:szCs w:val="14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1. Title of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2.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3. Transaction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3A. Deemed</w:t>
            </w: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4.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5. Number of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6. Date Exercisable and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7. Title and Amount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8. Price of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9. Number of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10.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11. Nature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Conversion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Execution Date,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 Date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 Underlying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derivative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  of Indirect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Exercise</w:t>
            </w:r>
          </w:p>
        </w:tc>
        <w:tc>
          <w:tcPr>
            <w:tcW w:w="104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if any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(Instr.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 Security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Securities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Form: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3)</w:t>
            </w: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Price of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120" w:type="dxa"/>
            <w:vAlign w:val="bottom"/>
            <w:gridSpan w:val="2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(Month/Day/Year)</w:t>
            </w:r>
          </w:p>
        </w:tc>
        <w:tc>
          <w:tcPr>
            <w:tcW w:w="7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8)</w:t>
            </w: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Acquired (A)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20" w:type="dxa"/>
            <w:vAlign w:val="bottom"/>
            <w:gridSpan w:val="4"/>
          </w:tcPr>
          <w:p>
            <w:pPr>
              <w:ind w:left="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3 and 4)</w:t>
            </w:r>
          </w:p>
        </w:tc>
        <w:tc>
          <w:tcPr>
            <w:tcW w:w="68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5)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Beneficially</w:t>
            </w: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Direct (D)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Ownership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Derivative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Disposed of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Owned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or Indirect</w:t>
            </w:r>
          </w:p>
        </w:tc>
        <w:tc>
          <w:tcPr>
            <w:tcW w:w="820" w:type="dxa"/>
            <w:vAlign w:val="bottom"/>
            <w:tcBorders>
              <w:right w:val="single" w:sz="8" w:color="2C2C2C"/>
            </w:tcBorders>
            <w:gridSpan w:val="3"/>
          </w:tcPr>
          <w:p>
            <w:pPr>
              <w:ind w:left="16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Security</w:t>
            </w: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940" w:type="dxa"/>
            <w:vAlign w:val="bottom"/>
            <w:gridSpan w:val="2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 (Instr. 3, 4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  <w:w w:val="97"/>
              </w:rPr>
              <w:t>Following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460" w:type="dxa"/>
            <w:vAlign w:val="bottom"/>
            <w:tcBorders>
              <w:right w:val="single" w:sz="8" w:color="2C2C2C"/>
            </w:tcBorders>
            <w:gridSpan w:val="4"/>
          </w:tcPr>
          <w:p>
            <w:pPr>
              <w:ind w:left="8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(I) (Instr. 4)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and 5)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Reported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67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restart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Transaction(s)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5"/>
                <w:szCs w:val="5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4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Amount or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(Instr. 4)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25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Expiration</w:t>
            </w: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 w:line="125" w:lineRule="exact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Number of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0"/>
                <w:szCs w:val="1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54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Code  V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(A)</w:t>
            </w:r>
          </w:p>
        </w:tc>
        <w:tc>
          <w:tcPr>
            <w:tcW w:w="30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(D)</w:t>
            </w:r>
          </w:p>
        </w:tc>
        <w:tc>
          <w:tcPr>
            <w:tcW w:w="780" w:type="dxa"/>
            <w:vAlign w:val="bottom"/>
            <w:gridSpan w:val="3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Exercisable</w:t>
            </w: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Date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Title</w:t>
            </w:r>
          </w:p>
        </w:tc>
        <w:tc>
          <w:tcPr>
            <w:tcW w:w="780" w:type="dxa"/>
            <w:vAlign w:val="bottom"/>
            <w:gridSpan w:val="2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b w:val="1"/>
                <w:bCs w:val="1"/>
                <w:color w:val="auto"/>
              </w:rPr>
              <w:t>Shares</w:t>
            </w:r>
          </w:p>
        </w:tc>
        <w:tc>
          <w:tcPr>
            <w:tcW w:w="68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5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13"/>
                <w:szCs w:val="1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820" w:type="dxa"/>
            <w:vAlign w:val="bottom"/>
            <w:tcBorders>
              <w:bottom w:val="single" w:sz="8" w:color="2C2C2C"/>
            </w:tcBorders>
            <w:gridSpan w:val="2"/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3"/>
                <w:szCs w:val="3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38"/>
        </w:trPr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60" w:type="dxa"/>
            <w:vAlign w:val="bottom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Phantom</w:t>
            </w:r>
          </w:p>
        </w:tc>
        <w:tc>
          <w:tcPr>
            <w:tcW w:w="760" w:type="dxa"/>
            <w:vAlign w:val="bottom"/>
          </w:tcPr>
          <w:p>
            <w:pPr>
              <w:ind w:left="3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(2)</w:t>
            </w:r>
          </w:p>
        </w:tc>
        <w:tc>
          <w:tcPr>
            <w:tcW w:w="1040" w:type="dxa"/>
            <w:vAlign w:val="bottom"/>
          </w:tcPr>
          <w:p>
            <w:pPr>
              <w:jc w:val="right"/>
              <w:ind w:right="182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05/26/2026</w:t>
            </w:r>
          </w:p>
        </w:tc>
        <w:tc>
          <w:tcPr>
            <w:tcW w:w="10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A</w:t>
            </w:r>
          </w:p>
        </w:tc>
        <w:tc>
          <w:tcPr>
            <w:tcW w:w="640" w:type="dxa"/>
            <w:vAlign w:val="bottom"/>
          </w:tcPr>
          <w:p>
            <w:pPr>
              <w:ind w:left="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1,507.024</w:t>
            </w:r>
          </w:p>
        </w:tc>
        <w:tc>
          <w:tcPr>
            <w:tcW w:w="3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540" w:type="dxa"/>
            <w:vAlign w:val="bottom"/>
            <w:gridSpan w:val="2"/>
          </w:tcPr>
          <w:p>
            <w:pPr>
              <w:ind w:left="2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24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40" w:type="dxa"/>
            <w:vAlign w:val="bottom"/>
          </w:tcPr>
          <w:p>
            <w:pPr>
              <w:ind w:left="2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0"/>
                <w:szCs w:val="10"/>
                <w:color w:val="008000"/>
              </w:rPr>
              <w:t>(3)</w:t>
            </w:r>
          </w:p>
        </w:tc>
        <w:tc>
          <w:tcPr>
            <w:tcW w:w="640" w:type="dxa"/>
            <w:vAlign w:val="bottom"/>
            <w:gridSpan w:val="2"/>
          </w:tcPr>
          <w:p>
            <w:pPr>
              <w:ind w:left="6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Common</w:t>
            </w:r>
          </w:p>
        </w:tc>
        <w:tc>
          <w:tcPr>
            <w:tcW w:w="720" w:type="dxa"/>
            <w:vAlign w:val="bottom"/>
          </w:tcPr>
          <w:p>
            <w:pPr>
              <w:ind w:left="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1,507.024</w:t>
            </w:r>
          </w:p>
        </w:tc>
        <w:tc>
          <w:tcPr>
            <w:tcW w:w="6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680" w:type="dxa"/>
            <w:vAlign w:val="bottom"/>
          </w:tcPr>
          <w:p>
            <w:pPr>
              <w:ind w:left="12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1"/>
                <w:szCs w:val="11"/>
                <w:color w:val="auto"/>
              </w:rPr>
              <w:t>$</w:t>
            </w:r>
            <w:r>
              <w:rPr>
                <w:rFonts w:ascii="Times New Roman" w:cs="Times New Roman" w:eastAsia="Times New Roman" w:hAnsi="Times New Roman"/>
                <w:sz w:val="12"/>
                <w:szCs w:val="12"/>
                <w:color w:val="0000FF"/>
              </w:rPr>
              <w:t>59.94</w:t>
            </w:r>
          </w:p>
        </w:tc>
        <w:tc>
          <w:tcPr>
            <w:tcW w:w="820" w:type="dxa"/>
            <w:vAlign w:val="bottom"/>
            <w:gridSpan w:val="2"/>
          </w:tcPr>
          <w:p>
            <w:pPr>
              <w:ind w:left="8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241,406.428</w:t>
            </w:r>
          </w:p>
        </w:tc>
        <w:tc>
          <w:tcPr>
            <w:tcW w:w="640" w:type="dxa"/>
            <w:vAlign w:val="bottom"/>
          </w:tcPr>
          <w:p>
            <w:pPr>
              <w:ind w:left="34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D</w:t>
            </w:r>
          </w:p>
        </w:tc>
        <w:tc>
          <w:tcPr>
            <w:tcW w:w="70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20" w:type="dxa"/>
            <w:vAlign w:val="bottom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right w:val="single" w:sz="8" w:color="2C2C2C"/>
            </w:tcBorders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143"/>
        </w:trPr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60" w:type="dxa"/>
            <w:vAlign w:val="bottom"/>
            <w:tcBorders>
              <w:bottom w:val="single" w:sz="8" w:color="2C2C2C"/>
            </w:tcBorders>
          </w:tcPr>
          <w:p>
            <w:pPr>
              <w:ind w:left="6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Stock</w:t>
            </w:r>
          </w:p>
        </w:tc>
        <w:tc>
          <w:tcPr>
            <w:tcW w:w="7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4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40" w:type="dxa"/>
            <w:vAlign w:val="bottom"/>
            <w:tcBorders>
              <w:bottom w:val="single" w:sz="8" w:color="2C2C2C"/>
            </w:tcBorders>
          </w:tcPr>
          <w:p>
            <w:pPr>
              <w:ind w:left="20"/>
              <w:spacing w:after="0" w:line="138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3"/>
                <w:szCs w:val="13"/>
                <w:color w:val="0000FF"/>
              </w:rPr>
              <w:t>Shares</w:t>
            </w:r>
          </w:p>
        </w:tc>
        <w:tc>
          <w:tcPr>
            <w:tcW w:w="7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8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5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3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64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70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20" w:type="dxa"/>
            <w:vAlign w:val="bottom"/>
            <w:tcBorders>
              <w:bottom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100" w:type="dxa"/>
            <w:vAlign w:val="bottom"/>
            <w:tcBorders>
              <w:bottom w:val="single" w:sz="8" w:color="2C2C2C"/>
              <w:right w:val="single" w:sz="8" w:color="2C2C2C"/>
            </w:tcBorders>
          </w:tcPr>
          <w:p>
            <w:pPr>
              <w:spacing w:after="0"/>
              <w:rPr>
                <w:sz w:val="12"/>
                <w:szCs w:val="12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7007225</wp:posOffset>
            </wp:positionH>
            <wp:positionV relativeFrom="paragraph">
              <wp:posOffset>-1544955</wp:posOffset>
            </wp:positionV>
            <wp:extent cx="28575" cy="1550035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8575" cy="155003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5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Explanation of Responses: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460" w:hanging="2"/>
        <w:spacing w:after="0" w:line="231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Pursuant to Exchange Act Rule 16a-1(a)(1), the reporting person may be deemed, solely for purposes of determining whether he is a beneficial owner of more than 10% of the common shares of the Issuer ("Common Shares"), to be the beneficial owner of the securities of the Issuer that are held by Hagedorn Partnership, L.P., a Delaware limited partnership in which the reporting person is a general partner (the "Partnership"). Represents the aggregate proportionate interest of the reporting person and those family members in whose holdings he may be deemed to have a pecuniary interest, in Common Shares held by the Partnership.</w:t>
      </w:r>
    </w:p>
    <w:p>
      <w:pPr>
        <w:spacing w:after="0" w:line="24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160" w:hanging="122"/>
        <w:spacing w:after="0"/>
        <w:tabs>
          <w:tab w:leader="none" w:pos="160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Each share of phantom stock represents the right to receive one common share of Issuer or the cash value thereof.</w:t>
      </w:r>
    </w:p>
    <w:p>
      <w:pPr>
        <w:spacing w:after="0" w:line="38" w:lineRule="exact"/>
        <w:rPr>
          <w:rFonts w:ascii="Times New Roman" w:cs="Times New Roman" w:eastAsia="Times New Roman" w:hAnsi="Times New Roman"/>
          <w:sz w:val="13"/>
          <w:szCs w:val="13"/>
          <w:color w:val="008000"/>
        </w:rPr>
      </w:pPr>
    </w:p>
    <w:p>
      <w:pPr>
        <w:ind w:left="40" w:right="340" w:hanging="2"/>
        <w:spacing w:after="0" w:line="243" w:lineRule="auto"/>
        <w:tabs>
          <w:tab w:leader="none" w:pos="165" w:val="left"/>
        </w:tabs>
        <w:numPr>
          <w:ilvl w:val="0"/>
          <w:numId w:val="1"/>
        </w:numPr>
        <w:rPr>
          <w:rFonts w:ascii="Times New Roman" w:cs="Times New Roman" w:eastAsia="Times New Roman" w:hAnsi="Times New Roman"/>
          <w:sz w:val="13"/>
          <w:szCs w:val="13"/>
          <w:color w:val="008000"/>
        </w:rPr>
      </w:pPr>
      <w:r>
        <w:rPr>
          <w:rFonts w:ascii="Times New Roman" w:cs="Times New Roman" w:eastAsia="Times New Roman" w:hAnsi="Times New Roman"/>
          <w:sz w:val="13"/>
          <w:szCs w:val="13"/>
          <w:color w:val="008000"/>
        </w:rPr>
        <w:t>Shares of phantom stock are payable in cash following termination of the reporting person's employment with Issuer. The reporting person may transfer his/her phantom stock into an alternative investment at any time.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6"/>
          <w:szCs w:val="16"/>
          <w:b w:val="1"/>
          <w:bCs w:val="1"/>
          <w:color w:val="auto"/>
        </w:rPr>
        <w:t>Remarks:</w:t>
      </w:r>
    </w:p>
    <w:p>
      <w:pPr>
        <w:spacing w:after="0" w:line="120" w:lineRule="exact"/>
        <w:rPr>
          <w:sz w:val="24"/>
          <w:szCs w:val="24"/>
          <w:color w:val="auto"/>
        </w:rPr>
      </w:pPr>
    </w:p>
    <w:tbl>
      <w:tblPr>
        <w:tblLayout w:type="fixed"/>
        <w:tblInd w:w="6600" w:type="dxa"/>
        <w:tblCellMar>
          <w:top w:w="0" w:type="dxa"/>
          <w:left w:w="0" w:type="dxa"/>
          <w:bottom w:w="0" w:type="dxa"/>
          <w:right w:w="0" w:type="dxa"/>
        </w:tblCellMar>
      </w:tblPr>
      <w:tr>
        <w:trPr>
          <w:trHeight w:val="184"/>
        </w:trPr>
        <w:tc>
          <w:tcPr>
            <w:tcW w:w="2020" w:type="dxa"/>
            <w:vAlign w:val="bottom"/>
            <w:tcBorders>
              <w:bottom w:val="single" w:sz="8" w:color="auto"/>
            </w:tcBorders>
            <w:gridSpan w:val="2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/s/ Kathy L. Uttley as attorney-</w:t>
            </w:r>
          </w:p>
        </w:tc>
        <w:tc>
          <w:tcPr>
            <w:tcW w:w="80" w:type="dxa"/>
            <w:vAlign w:val="bottom"/>
          </w:tcPr>
          <w:p>
            <w:pPr>
              <w:spacing w:after="0"/>
              <w:rPr>
                <w:sz w:val="16"/>
                <w:szCs w:val="16"/>
                <w:color w:val="auto"/>
              </w:rPr>
            </w:pPr>
          </w:p>
        </w:tc>
        <w:tc>
          <w:tcPr>
            <w:tcW w:w="840" w:type="dxa"/>
            <w:vAlign w:val="bottom"/>
            <w:gridSpan w:val="2"/>
            <w:vMerge w:val="restart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  <w:w w:val="98"/>
              </w:rPr>
              <w:t>05/28/2026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restart"/>
          </w:tcPr>
          <w:p>
            <w:pPr>
              <w:spacing w:after="0" w:line="180" w:lineRule="exact"/>
              <w:rPr>
                <w:sz w:val="20"/>
                <w:szCs w:val="20"/>
                <w:color w:val="auto"/>
              </w:rPr>
            </w:pPr>
            <w:r>
              <w:rPr>
                <w:rFonts w:ascii="Times New Roman" w:cs="Times New Roman" w:eastAsia="Times New Roman" w:hAnsi="Times New Roman"/>
                <w:sz w:val="16"/>
                <w:szCs w:val="16"/>
                <w:color w:val="0000FF"/>
              </w:rPr>
              <w:t>in-fact for James Hagedorn</w:t>
            </w:r>
          </w:p>
        </w:tc>
        <w:tc>
          <w:tcPr>
            <w:tcW w:w="840" w:type="dxa"/>
            <w:vAlign w:val="bottom"/>
            <w:gridSpan w:val="2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80"/>
        </w:trPr>
        <w:tc>
          <w:tcPr>
            <w:tcW w:w="2100" w:type="dxa"/>
            <w:vAlign w:val="bottom"/>
            <w:gridSpan w:val="3"/>
            <w:vMerge w:val="continue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740" w:type="dxa"/>
            <w:vAlign w:val="bottom"/>
            <w:tcBorders>
              <w:top w:val="single" w:sz="8" w:color="auto"/>
            </w:tcBorders>
          </w:tcPr>
          <w:p>
            <w:pPr>
              <w:spacing w:after="0"/>
              <w:rPr>
                <w:sz w:val="6"/>
                <w:szCs w:val="6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0"/>
        </w:trPr>
        <w:tc>
          <w:tcPr>
            <w:tcW w:w="1760" w:type="dxa"/>
            <w:vAlign w:val="bottom"/>
            <w:shd w:val="clear" w:color="auto" w:fill="000000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340" w:type="dxa"/>
            <w:vAlign w:val="bottom"/>
            <w:gridSpan w:val="2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10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74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  <w:tc>
          <w:tcPr>
            <w:tcW w:w="0" w:type="dxa"/>
            <w:vAlign w:val="bottom"/>
          </w:tcPr>
          <w:p>
            <w:pPr>
              <w:spacing w:after="0" w:line="20" w:lineRule="exact"/>
              <w:rPr>
                <w:sz w:val="1"/>
                <w:szCs w:val="1"/>
                <w:color w:val="auto"/>
              </w:rPr>
            </w:pPr>
          </w:p>
        </w:tc>
      </w:tr>
      <w:tr>
        <w:trPr>
          <w:trHeight w:val="220"/>
        </w:trPr>
        <w:tc>
          <w:tcPr>
            <w:tcW w:w="2100" w:type="dxa"/>
            <w:vAlign w:val="bottom"/>
            <w:gridSpan w:val="3"/>
          </w:tcPr>
          <w:p>
            <w:pPr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** Signature of Reporting Person</w:t>
            </w:r>
          </w:p>
        </w:tc>
        <w:tc>
          <w:tcPr>
            <w:tcW w:w="840" w:type="dxa"/>
            <w:vAlign w:val="bottom"/>
            <w:gridSpan w:val="2"/>
          </w:tcPr>
          <w:p>
            <w:pPr>
              <w:ind w:left="100"/>
              <w:spacing w:after="0"/>
              <w:rPr>
                <w:sz w:val="20"/>
                <w:szCs w:val="20"/>
                <w:color w:val="auto"/>
              </w:rPr>
            </w:pPr>
            <w:r>
              <w:rPr>
                <w:rFonts w:ascii="Arial" w:cs="Arial" w:eastAsia="Arial" w:hAnsi="Arial"/>
                <w:sz w:val="13"/>
                <w:szCs w:val="13"/>
                <w:color w:val="auto"/>
              </w:rPr>
              <w:t>Date</w:t>
            </w:r>
          </w:p>
        </w:tc>
        <w:tc>
          <w:tcPr>
            <w:tcW w:w="0" w:type="dxa"/>
            <w:vAlign w:val="bottom"/>
          </w:tcPr>
          <w:p>
            <w:pPr>
              <w:spacing w:after="0"/>
              <w:rPr>
                <w:sz w:val="1"/>
                <w:szCs w:val="1"/>
                <w:color w:val="auto"/>
              </w:rPr>
            </w:pPr>
          </w:p>
        </w:tc>
      </w:tr>
    </w:tbl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>Reminder: Report on a separate line for each class of securities beneficially owned directly or indirectly.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ind w:left="40"/>
        <w:spacing w:after="0"/>
        <w:rPr>
          <w:sz w:val="20"/>
          <w:szCs w:val="20"/>
          <w:color w:val="auto"/>
        </w:rPr>
      </w:pPr>
      <w:r>
        <w:rPr>
          <w:rFonts w:ascii="Arial" w:cs="Arial" w:eastAsia="Arial" w:hAnsi="Arial"/>
          <w:sz w:val="13"/>
          <w:szCs w:val="13"/>
          <w:color w:val="auto"/>
        </w:rPr>
        <w:t xml:space="preserve">* If the form is filed by more than one reporting person, </w:t>
      </w:r>
      <w:r>
        <w:rPr>
          <w:rFonts w:ascii="Arial" w:cs="Arial" w:eastAsia="Arial" w:hAnsi="Arial"/>
          <w:sz w:val="13"/>
          <w:szCs w:val="13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3"/>
          <w:szCs w:val="13"/>
          <w:color w:val="auto"/>
        </w:rPr>
        <w:t xml:space="preserve"> Instruction 4 (b)(v).</w:t>
      </w:r>
    </w:p>
    <w:p>
      <w:pPr>
        <w:spacing w:after="0" w:line="38" w:lineRule="exact"/>
        <w:rPr>
          <w:sz w:val="24"/>
          <w:szCs w:val="24"/>
          <w:color w:val="auto"/>
        </w:rPr>
      </w:pPr>
    </w:p>
    <w:p>
      <w:pPr>
        <w:jc w:val="both"/>
        <w:ind w:left="40" w:right="3820" w:hanging="2"/>
        <w:spacing w:after="0" w:line="355" w:lineRule="auto"/>
        <w:tabs>
          <w:tab w:leader="none" w:pos="172" w:val="left"/>
        </w:tabs>
        <w:numPr>
          <w:ilvl w:val="0"/>
          <w:numId w:val="2"/>
        </w:numPr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1"/>
          <w:szCs w:val="11"/>
          <w:color w:val="auto"/>
        </w:rPr>
        <w:t xml:space="preserve">Intentional misstatements or omissions of facts constitute Federal Criminal Violations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18 U.S.C. 1001 and 15 U.S.C. 78ff(a). Note: File three copies of this Form, one of which must be manually signed. If space is insufficient, </w:t>
      </w:r>
      <w:r>
        <w:rPr>
          <w:rFonts w:ascii="Arial" w:cs="Arial" w:eastAsia="Arial" w:hAnsi="Arial"/>
          <w:sz w:val="11"/>
          <w:szCs w:val="11"/>
          <w:i w:val="1"/>
          <w:iCs w:val="1"/>
          <w:color w:val="auto"/>
        </w:rPr>
        <w:t>see</w:t>
      </w:r>
      <w:r>
        <w:rPr>
          <w:rFonts w:ascii="Arial" w:cs="Arial" w:eastAsia="Arial" w:hAnsi="Arial"/>
          <w:sz w:val="11"/>
          <w:szCs w:val="11"/>
          <w:color w:val="auto"/>
        </w:rPr>
        <w:t xml:space="preserve"> Instruction 6 for procedure.</w:t>
      </w:r>
    </w:p>
    <w:p>
      <w:pPr>
        <w:ind w:left="40"/>
        <w:spacing w:after="0"/>
        <w:rPr>
          <w:rFonts w:ascii="Arial" w:cs="Arial" w:eastAsia="Arial" w:hAnsi="Arial"/>
          <w:sz w:val="11"/>
          <w:szCs w:val="11"/>
          <w:color w:val="auto"/>
        </w:rPr>
      </w:pPr>
      <w:r>
        <w:rPr>
          <w:rFonts w:ascii="Arial" w:cs="Arial" w:eastAsia="Arial" w:hAnsi="Arial"/>
          <w:sz w:val="13"/>
          <w:szCs w:val="13"/>
          <w:b w:val="1"/>
          <w:bCs w:val="1"/>
          <w:color w:val="auto"/>
        </w:rPr>
        <w:t>Persons who respond to the collection of information contained in this form are not required to respond unless the form displays a currently valid OMB Number.</w:t>
      </w:r>
    </w:p>
    <w:sectPr>
      <w:pgSz w:w="11900" w:h="16838" w:orient="portrait"/>
      <w:cols w:equalWidth="0" w:num="1">
        <w:col w:w="11080"/>
      </w:cols>
      <w:pgMar w:left="460" w:top="214" w:right="359" w:bottom="1440" w:gutter="0" w:footer="0" w:header="0"/>
      <w:type w:val="continuous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400001FF" w:csb1="FFFF0000"/>
  </w:font>
</w:fonts>
</file>

<file path=word/numbering.xml><?xml version="1.0" encoding="utf-8"?>
<w:numbering xmlns:w="http://schemas.openxmlformats.org/wordprocessingml/2006/main">
  <w:abstractNum w:abstractNumId="0">
    <w:nsid w:val="643C9869"/>
    <w:multiLevelType w:val="hybridMultilevel"/>
    <w:lvl w:ilvl="0">
      <w:lvlJc w:val="left"/>
      <w:lvlText w:val="%1."/>
      <w:numFmt w:val="decimal"/>
      <w:start w:val="1"/>
    </w:lvl>
  </w:abstractNum>
  <w:abstractNum w:abstractNumId="1">
    <w:nsid w:val="66334873"/>
    <w:multiLevelType w:val="hybridMultilevel"/>
    <w:lvl w:ilvl="0">
      <w:lvlJc w:val="left"/>
      <w:lvlText w:val="**"/>
      <w:numFmt w:val="bullet"/>
      <w:start w:val="1"/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jpeg"/><Relationship Id="rId9" Type="http://schemas.openxmlformats.org/officeDocument/2006/relationships/image" Target="media/image2.jpe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5" Type="http://schemas.openxmlformats.org/officeDocument/2006/relationships/image" Target="media/image6.png"/><Relationship Id="rId13" Type="http://schemas.openxmlformats.org/officeDocument/2006/relationships/hyperlink" Target="http://www.sec.gov/cgi-bin/browse-edgar?action=getcompany&amp;CIK=0001180171" TargetMode="External"/><Relationship Id="rId14" Type="http://schemas.openxmlformats.org/officeDocument/2006/relationships/hyperlink" Target="http://www.sec.gov/cgi-bin/browse-edgar?action=getcompany&amp;CIK=0000825542" TargetMode="External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2026-05-28T09:14:28Z</dcterms:created>
  <dcterms:modified xsi:type="dcterms:W3CDTF">2026-05-28T09:14:28Z</dcterms:modified>
</cp:coreProperties>
</file>