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903605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_________________________________________</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SD</w:t>
      </w:r>
    </w:p>
    <w:p>
      <w:pPr>
        <w:spacing w:after="0" w:line="6"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_________________________________</w:t>
      </w:r>
    </w:p>
    <w:p>
      <w:pPr>
        <w:spacing w:after="0" w:line="29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Specialized Disclosure Report</w:t>
      </w:r>
    </w:p>
    <w:p>
      <w:pPr>
        <w:spacing w:after="0" w:line="53"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_________________________________</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The Scotts Miracle-Gro Company</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_________________________________</w:t>
      </w:r>
    </w:p>
    <w:p>
      <w:pPr>
        <w:spacing w:after="0" w:line="200" w:lineRule="exact"/>
        <w:rPr>
          <w:sz w:val="24"/>
          <w:szCs w:val="24"/>
          <w:color w:val="auto"/>
        </w:rPr>
      </w:pPr>
    </w:p>
    <w:p>
      <w:pPr>
        <w:spacing w:after="0" w:line="209" w:lineRule="exact"/>
        <w:rPr>
          <w:sz w:val="24"/>
          <w:szCs w:val="24"/>
          <w:color w:val="auto"/>
        </w:rPr>
      </w:pPr>
    </w:p>
    <w:tbl>
      <w:tblPr>
        <w:tblLayout w:type="fixed"/>
        <w:tblInd w:w="620" w:type="dxa"/>
        <w:tblCellMar>
          <w:top w:w="0" w:type="dxa"/>
          <w:left w:w="0" w:type="dxa"/>
          <w:bottom w:w="0" w:type="dxa"/>
          <w:right w:w="0" w:type="dxa"/>
        </w:tblCellMar>
      </w:tblPr>
      <w:tr>
        <w:trPr>
          <w:trHeight w:val="233"/>
        </w:trPr>
        <w:tc>
          <w:tcPr>
            <w:tcW w:w="3860" w:type="dxa"/>
            <w:vAlign w:val="bottom"/>
          </w:tcPr>
          <w:p>
            <w:pPr>
              <w:jc w:val="center"/>
              <w:ind w:right="1190"/>
              <w:spacing w:after="0"/>
              <w:rPr>
                <w:sz w:val="20"/>
                <w:szCs w:val="20"/>
                <w:color w:val="auto"/>
              </w:rPr>
            </w:pPr>
            <w:r>
              <w:rPr>
                <w:rFonts w:ascii="Arial" w:cs="Arial" w:eastAsia="Arial" w:hAnsi="Arial"/>
                <w:sz w:val="18"/>
                <w:szCs w:val="18"/>
                <w:b w:val="1"/>
                <w:bCs w:val="1"/>
                <w:color w:val="auto"/>
                <w:w w:val="92"/>
              </w:rPr>
              <w:t>Ohio</w:t>
            </w:r>
          </w:p>
        </w:tc>
        <w:tc>
          <w:tcPr>
            <w:tcW w:w="2960" w:type="dxa"/>
            <w:vAlign w:val="bottom"/>
          </w:tcPr>
          <w:p>
            <w:pPr>
              <w:jc w:val="right"/>
              <w:ind w:right="1290"/>
              <w:spacing w:after="0"/>
              <w:rPr>
                <w:sz w:val="20"/>
                <w:szCs w:val="20"/>
                <w:color w:val="auto"/>
              </w:rPr>
            </w:pPr>
            <w:r>
              <w:rPr>
                <w:rFonts w:ascii="Arial" w:cs="Arial" w:eastAsia="Arial" w:hAnsi="Arial"/>
                <w:sz w:val="18"/>
                <w:szCs w:val="18"/>
                <w:b w:val="1"/>
                <w:bCs w:val="1"/>
                <w:color w:val="auto"/>
              </w:rPr>
              <w:t>001-11593</w:t>
            </w:r>
          </w:p>
        </w:tc>
        <w:tc>
          <w:tcPr>
            <w:tcW w:w="2620" w:type="dxa"/>
            <w:vAlign w:val="bottom"/>
          </w:tcPr>
          <w:p>
            <w:pPr>
              <w:jc w:val="center"/>
              <w:ind w:left="1170"/>
              <w:spacing w:after="0"/>
              <w:rPr>
                <w:sz w:val="20"/>
                <w:szCs w:val="20"/>
                <w:color w:val="auto"/>
              </w:rPr>
            </w:pPr>
            <w:r>
              <w:rPr>
                <w:rFonts w:ascii="Arial" w:cs="Arial" w:eastAsia="Arial" w:hAnsi="Arial"/>
                <w:sz w:val="18"/>
                <w:szCs w:val="18"/>
                <w:b w:val="1"/>
                <w:bCs w:val="1"/>
                <w:color w:val="auto"/>
                <w:w w:val="91"/>
              </w:rPr>
              <w:t>31-1414921</w:t>
            </w:r>
          </w:p>
        </w:tc>
      </w:tr>
      <w:tr>
        <w:trPr>
          <w:trHeight w:val="230"/>
        </w:trPr>
        <w:tc>
          <w:tcPr>
            <w:tcW w:w="3860" w:type="dxa"/>
            <w:vAlign w:val="bottom"/>
          </w:tcPr>
          <w:p>
            <w:pPr>
              <w:jc w:val="center"/>
              <w:ind w:right="1190"/>
              <w:spacing w:after="0"/>
              <w:rPr>
                <w:sz w:val="20"/>
                <w:szCs w:val="20"/>
                <w:color w:val="auto"/>
              </w:rPr>
            </w:pPr>
            <w:r>
              <w:rPr>
                <w:rFonts w:ascii="Arial" w:cs="Arial" w:eastAsia="Arial" w:hAnsi="Arial"/>
                <w:sz w:val="18"/>
                <w:szCs w:val="18"/>
                <w:color w:val="auto"/>
                <w:w w:val="92"/>
              </w:rPr>
              <w:t>(State or other jurisdiction</w:t>
            </w:r>
          </w:p>
        </w:tc>
        <w:tc>
          <w:tcPr>
            <w:tcW w:w="2960" w:type="dxa"/>
            <w:vAlign w:val="bottom"/>
          </w:tcPr>
          <w:p>
            <w:pPr>
              <w:ind w:left="700"/>
              <w:spacing w:after="0"/>
              <w:rPr>
                <w:sz w:val="20"/>
                <w:szCs w:val="20"/>
                <w:color w:val="auto"/>
              </w:rPr>
            </w:pPr>
            <w:r>
              <w:rPr>
                <w:rFonts w:ascii="Arial" w:cs="Arial" w:eastAsia="Arial" w:hAnsi="Arial"/>
                <w:sz w:val="18"/>
                <w:szCs w:val="18"/>
                <w:color w:val="auto"/>
              </w:rPr>
              <w:t>(Commission</w:t>
            </w: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3"/>
              </w:rPr>
              <w:t>(IRS Employer</w:t>
            </w:r>
          </w:p>
        </w:tc>
      </w:tr>
      <w:tr>
        <w:trPr>
          <w:trHeight w:val="230"/>
        </w:trPr>
        <w:tc>
          <w:tcPr>
            <w:tcW w:w="3860" w:type="dxa"/>
            <w:vAlign w:val="bottom"/>
          </w:tcPr>
          <w:p>
            <w:pPr>
              <w:jc w:val="center"/>
              <w:ind w:right="1170"/>
              <w:spacing w:after="0"/>
              <w:rPr>
                <w:sz w:val="20"/>
                <w:szCs w:val="20"/>
                <w:color w:val="auto"/>
              </w:rPr>
            </w:pPr>
            <w:r>
              <w:rPr>
                <w:rFonts w:ascii="Arial" w:cs="Arial" w:eastAsia="Arial" w:hAnsi="Arial"/>
                <w:sz w:val="18"/>
                <w:szCs w:val="18"/>
                <w:color w:val="auto"/>
                <w:w w:val="92"/>
              </w:rPr>
              <w:t>of incorporation or organization)</w:t>
            </w:r>
          </w:p>
        </w:tc>
        <w:tc>
          <w:tcPr>
            <w:tcW w:w="2960" w:type="dxa"/>
            <w:vAlign w:val="bottom"/>
          </w:tcPr>
          <w:p>
            <w:pPr>
              <w:ind w:left="720"/>
              <w:spacing w:after="0"/>
              <w:rPr>
                <w:sz w:val="20"/>
                <w:szCs w:val="20"/>
                <w:color w:val="auto"/>
              </w:rPr>
            </w:pPr>
            <w:r>
              <w:rPr>
                <w:rFonts w:ascii="Arial" w:cs="Arial" w:eastAsia="Arial" w:hAnsi="Arial"/>
                <w:sz w:val="18"/>
                <w:szCs w:val="18"/>
                <w:color w:val="auto"/>
              </w:rPr>
              <w:t>File Number)</w:t>
            </w: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5"/>
              </w:rPr>
              <w:t>Identification No.)</w:t>
            </w:r>
          </w:p>
        </w:tc>
      </w:tr>
      <w:tr>
        <w:trPr>
          <w:trHeight w:val="782"/>
        </w:trPr>
        <w:tc>
          <w:tcPr>
            <w:tcW w:w="386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14111 Scottslawn Road, Marysville, Ohio</w:t>
            </w:r>
          </w:p>
        </w:tc>
        <w:tc>
          <w:tcPr>
            <w:tcW w:w="2960" w:type="dxa"/>
            <w:vAlign w:val="bottom"/>
          </w:tcPr>
          <w:p>
            <w:pPr>
              <w:spacing w:after="0"/>
              <w:rPr>
                <w:sz w:val="24"/>
                <w:szCs w:val="24"/>
                <w:color w:val="auto"/>
              </w:rPr>
            </w:pPr>
          </w:p>
        </w:tc>
        <w:tc>
          <w:tcPr>
            <w:tcW w:w="2620" w:type="dxa"/>
            <w:vAlign w:val="bottom"/>
          </w:tcPr>
          <w:p>
            <w:pPr>
              <w:jc w:val="right"/>
              <w:ind w:right="410"/>
              <w:spacing w:after="0"/>
              <w:rPr>
                <w:sz w:val="20"/>
                <w:szCs w:val="20"/>
                <w:color w:val="auto"/>
              </w:rPr>
            </w:pPr>
            <w:r>
              <w:rPr>
                <w:rFonts w:ascii="Arial" w:cs="Arial" w:eastAsia="Arial" w:hAnsi="Arial"/>
                <w:sz w:val="18"/>
                <w:szCs w:val="18"/>
                <w:b w:val="1"/>
                <w:bCs w:val="1"/>
                <w:color w:val="auto"/>
              </w:rPr>
              <w:t>43041</w:t>
            </w:r>
          </w:p>
        </w:tc>
      </w:tr>
      <w:tr>
        <w:trPr>
          <w:trHeight w:val="230"/>
        </w:trPr>
        <w:tc>
          <w:tcPr>
            <w:tcW w:w="3860" w:type="dxa"/>
            <w:vAlign w:val="bottom"/>
          </w:tcPr>
          <w:p>
            <w:pPr>
              <w:jc w:val="center"/>
              <w:ind w:right="630"/>
              <w:spacing w:after="0"/>
              <w:rPr>
                <w:sz w:val="20"/>
                <w:szCs w:val="20"/>
                <w:color w:val="auto"/>
              </w:rPr>
            </w:pPr>
            <w:r>
              <w:rPr>
                <w:rFonts w:ascii="Arial" w:cs="Arial" w:eastAsia="Arial" w:hAnsi="Arial"/>
                <w:sz w:val="18"/>
                <w:szCs w:val="18"/>
                <w:color w:val="auto"/>
                <w:w w:val="92"/>
              </w:rPr>
              <w:t>(Address of principal executive offices)</w:t>
            </w:r>
          </w:p>
        </w:tc>
        <w:tc>
          <w:tcPr>
            <w:tcW w:w="2960" w:type="dxa"/>
            <w:vAlign w:val="bottom"/>
          </w:tcPr>
          <w:p>
            <w:pPr>
              <w:spacing w:after="0"/>
              <w:rPr>
                <w:sz w:val="20"/>
                <w:szCs w:val="20"/>
                <w:color w:val="auto"/>
              </w:rPr>
            </w:pPr>
          </w:p>
        </w:tc>
        <w:tc>
          <w:tcPr>
            <w:tcW w:w="2620" w:type="dxa"/>
            <w:vAlign w:val="bottom"/>
          </w:tcPr>
          <w:p>
            <w:pPr>
              <w:jc w:val="center"/>
              <w:ind w:left="1070"/>
              <w:spacing w:after="0"/>
              <w:rPr>
                <w:sz w:val="20"/>
                <w:szCs w:val="20"/>
                <w:color w:val="auto"/>
              </w:rPr>
            </w:pPr>
            <w:r>
              <w:rPr>
                <w:rFonts w:ascii="Arial" w:cs="Arial" w:eastAsia="Arial" w:hAnsi="Arial"/>
                <w:sz w:val="18"/>
                <w:szCs w:val="18"/>
                <w:color w:val="auto"/>
                <w:w w:val="91"/>
              </w:rPr>
              <w:t>(Zip Code)</w:t>
            </w:r>
          </w:p>
        </w:tc>
      </w:tr>
    </w:tbl>
    <w:p>
      <w:pPr>
        <w:spacing w:after="0" w:line="319"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Ivan C. Smith</w:t>
      </w:r>
    </w:p>
    <w:p>
      <w:pPr>
        <w:spacing w:after="0" w:line="27"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937-644-0011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9"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_________________________________</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97" w:lineRule="exact"/>
        <w:rPr>
          <w:sz w:val="24"/>
          <w:szCs w:val="24"/>
          <w:color w:val="auto"/>
        </w:rPr>
      </w:pPr>
    </w:p>
    <w:p>
      <w:pPr>
        <w:ind w:left="180" w:right="3180" w:hanging="172"/>
        <w:spacing w:after="0" w:line="277" w:lineRule="auto"/>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243" w:lineRule="exact"/>
        <w:rPr>
          <w:sz w:val="20"/>
          <w:szCs w:val="20"/>
          <w:color w:val="auto"/>
        </w:rPr>
      </w:pPr>
    </w:p>
    <w:p>
      <w:pPr>
        <w:ind w:right="220" w:firstLine="405"/>
        <w:spacing w:after="0" w:line="274" w:lineRule="auto"/>
        <w:rPr>
          <w:sz w:val="20"/>
          <w:szCs w:val="20"/>
          <w:color w:val="auto"/>
        </w:rPr>
      </w:pPr>
      <w:r>
        <w:rPr>
          <w:rFonts w:ascii="Arial" w:cs="Arial" w:eastAsia="Arial" w:hAnsi="Arial"/>
          <w:sz w:val="17"/>
          <w:szCs w:val="17"/>
          <w:color w:val="auto"/>
        </w:rPr>
        <w:t>The Scotts Miracle-Gro Company (including its consolidated subsidiaries, the “Company”) is filing this Form SD pursuant to Rule 13p-1 under the Securities Exchange Act of 1934, as amended, for the reporting period from January 1, 2021 to December 31, 2021 (the “</w:t>
      </w:r>
      <w:r>
        <w:rPr>
          <w:rFonts w:ascii="Arial" w:cs="Arial" w:eastAsia="Arial" w:hAnsi="Arial"/>
          <w:sz w:val="17"/>
          <w:szCs w:val="17"/>
          <w:b w:val="1"/>
          <w:bCs w:val="1"/>
          <w:i w:val="1"/>
          <w:iCs w:val="1"/>
          <w:color w:val="auto"/>
        </w:rPr>
        <w:t>Reporting Period</w:t>
      </w:r>
      <w:r>
        <w:rPr>
          <w:rFonts w:ascii="Arial" w:cs="Arial" w:eastAsia="Arial" w:hAnsi="Arial"/>
          <w:sz w:val="17"/>
          <w:szCs w:val="17"/>
          <w:color w:val="auto"/>
        </w:rPr>
        <w:t>”).</w:t>
      </w:r>
    </w:p>
    <w:p>
      <w:pPr>
        <w:spacing w:after="0" w:line="175" w:lineRule="exact"/>
        <w:rPr>
          <w:sz w:val="20"/>
          <w:szCs w:val="20"/>
          <w:color w:val="auto"/>
        </w:rPr>
      </w:pPr>
    </w:p>
    <w:p>
      <w:pPr>
        <w:ind w:right="320" w:firstLine="441"/>
        <w:spacing w:after="0" w:line="242" w:lineRule="auto"/>
        <w:rPr>
          <w:sz w:val="20"/>
          <w:szCs w:val="20"/>
          <w:color w:val="auto"/>
        </w:rPr>
      </w:pPr>
      <w:r>
        <w:rPr>
          <w:rFonts w:ascii="Arial" w:cs="Arial" w:eastAsia="Arial" w:hAnsi="Arial"/>
          <w:sz w:val="17"/>
          <w:szCs w:val="17"/>
          <w:color w:val="auto"/>
        </w:rPr>
        <w:t>Rule 13p-1, through Form SD, requires the disclosure of certain information if a company manufactures or contracts to manufacture products for which certain “conflict minerals” (as defined below) are necessary to the functionality or production of such products. Form SD defines “</w:t>
      </w:r>
      <w:r>
        <w:rPr>
          <w:rFonts w:ascii="Arial" w:cs="Arial" w:eastAsia="Arial" w:hAnsi="Arial"/>
          <w:sz w:val="17"/>
          <w:szCs w:val="17"/>
          <w:b w:val="1"/>
          <w:bCs w:val="1"/>
          <w:i w:val="1"/>
          <w:iCs w:val="1"/>
          <w:color w:val="auto"/>
        </w:rPr>
        <w:t>conflict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minerals</w:t>
      </w:r>
      <w:r>
        <w:rPr>
          <w:rFonts w:ascii="Arial" w:cs="Arial" w:eastAsia="Arial" w:hAnsi="Arial"/>
          <w:sz w:val="17"/>
          <w:szCs w:val="17"/>
          <w:color w:val="auto"/>
        </w:rPr>
        <w:t>” as: (i)(a) columbite-tantalite, (b) cassiterite, (c) gold and (d) wolframite, or their derivatives, which are currently limited to tantalum, tin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tungsten; or (ii) any other mineral or its derivatives determined by the U.S. Secretary of State to be financing conflict in the Democratic Republic of the Congo or an “adjoining country,” as such term is defined in Form SD (collectively, the “</w:t>
      </w:r>
      <w:r>
        <w:rPr>
          <w:rFonts w:ascii="Arial" w:cs="Arial" w:eastAsia="Arial" w:hAnsi="Arial"/>
          <w:sz w:val="17"/>
          <w:szCs w:val="17"/>
          <w:b w:val="1"/>
          <w:bCs w:val="1"/>
          <w:i w:val="1"/>
          <w:iCs w:val="1"/>
          <w:color w:val="auto"/>
        </w:rPr>
        <w:t>Covered Countries</w:t>
      </w:r>
      <w:r>
        <w:rPr>
          <w:rFonts w:ascii="Arial" w:cs="Arial" w:eastAsia="Arial" w:hAnsi="Arial"/>
          <w:sz w:val="17"/>
          <w:szCs w:val="17"/>
          <w:color w:val="auto"/>
        </w:rPr>
        <w:t>”).</w:t>
      </w:r>
    </w:p>
    <w:p>
      <w:pPr>
        <w:spacing w:after="0" w:line="202" w:lineRule="exact"/>
        <w:rPr>
          <w:sz w:val="20"/>
          <w:szCs w:val="20"/>
          <w:color w:val="auto"/>
        </w:rPr>
      </w:pPr>
    </w:p>
    <w:p>
      <w:pPr>
        <w:ind w:right="360" w:firstLine="441"/>
        <w:spacing w:after="0" w:line="246" w:lineRule="auto"/>
        <w:rPr>
          <w:sz w:val="20"/>
          <w:szCs w:val="20"/>
          <w:color w:val="auto"/>
        </w:rPr>
      </w:pPr>
      <w:r>
        <w:rPr>
          <w:rFonts w:ascii="Arial" w:cs="Arial" w:eastAsia="Arial" w:hAnsi="Arial"/>
          <w:sz w:val="18"/>
          <w:szCs w:val="18"/>
          <w:color w:val="auto"/>
        </w:rPr>
        <w:t>During the Reporting Period, the Company manufactured or contracted to manufacture, products for which conflict minerals are necessary to the functionality or production of those products (collectively, the “</w:t>
      </w:r>
      <w:r>
        <w:rPr>
          <w:rFonts w:ascii="Arial" w:cs="Arial" w:eastAsia="Arial" w:hAnsi="Arial"/>
          <w:sz w:val="18"/>
          <w:szCs w:val="18"/>
          <w:b w:val="1"/>
          <w:bCs w:val="1"/>
          <w:i w:val="1"/>
          <w:iCs w:val="1"/>
          <w:color w:val="auto"/>
        </w:rPr>
        <w:t>products</w:t>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Reasonable Country of Origin Inquiry</w:t>
      </w:r>
    </w:p>
    <w:p>
      <w:pPr>
        <w:spacing w:after="0" w:line="225" w:lineRule="exact"/>
        <w:rPr>
          <w:sz w:val="20"/>
          <w:szCs w:val="20"/>
          <w:color w:val="auto"/>
        </w:rPr>
      </w:pPr>
    </w:p>
    <w:p>
      <w:pPr>
        <w:ind w:firstLine="441"/>
        <w:spacing w:after="0" w:line="231" w:lineRule="auto"/>
        <w:rPr>
          <w:sz w:val="20"/>
          <w:szCs w:val="20"/>
          <w:color w:val="auto"/>
        </w:rPr>
      </w:pPr>
      <w:r>
        <w:rPr>
          <w:rFonts w:ascii="Arial" w:cs="Arial" w:eastAsia="Arial" w:hAnsi="Arial"/>
          <w:sz w:val="18"/>
          <w:szCs w:val="18"/>
          <w:color w:val="auto"/>
        </w:rPr>
        <w:t>As required by Form SD, the Company has conducted a good faith reasonable country of origin inquiry (“</w:t>
      </w:r>
      <w:r>
        <w:rPr>
          <w:rFonts w:ascii="Arial" w:cs="Arial" w:eastAsia="Arial" w:hAnsi="Arial"/>
          <w:sz w:val="18"/>
          <w:szCs w:val="18"/>
          <w:b w:val="1"/>
          <w:bCs w:val="1"/>
          <w:i w:val="1"/>
          <w:iCs w:val="1"/>
          <w:color w:val="auto"/>
        </w:rPr>
        <w:t>RCOI</w:t>
      </w:r>
      <w:r>
        <w:rPr>
          <w:rFonts w:ascii="Arial" w:cs="Arial" w:eastAsia="Arial" w:hAnsi="Arial"/>
          <w:sz w:val="18"/>
          <w:szCs w:val="18"/>
          <w:color w:val="auto"/>
        </w:rPr>
        <w:t>”) regarding the conflict minerals included in its products during the Reporting Period, which the Company refers to as the “</w:t>
      </w:r>
      <w:r>
        <w:rPr>
          <w:rFonts w:ascii="Arial" w:cs="Arial" w:eastAsia="Arial" w:hAnsi="Arial"/>
          <w:sz w:val="18"/>
          <w:szCs w:val="18"/>
          <w:b w:val="1"/>
          <w:bCs w:val="1"/>
          <w:i w:val="1"/>
          <w:iCs w:val="1"/>
          <w:color w:val="auto"/>
        </w:rPr>
        <w:t>Subject Minerals</w:t>
      </w:r>
      <w:r>
        <w:rPr>
          <w:rFonts w:ascii="Arial" w:cs="Arial" w:eastAsia="Arial" w:hAnsi="Arial"/>
          <w:sz w:val="18"/>
          <w:szCs w:val="18"/>
          <w:color w:val="auto"/>
        </w:rPr>
        <w:t>,” to determine whether any such Subject Minerals originated in the Covered Countries and/or whether any of the Subject Minerals were from recycled or scrap sources, in accordance with Form SD and related guidance provided by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description of the Company’s RCOI regarding the Subject Minerals is set out below.</w:t>
      </w:r>
    </w:p>
    <w:p>
      <w:pPr>
        <w:spacing w:after="0" w:line="225" w:lineRule="exact"/>
        <w:rPr>
          <w:sz w:val="20"/>
          <w:szCs w:val="20"/>
          <w:color w:val="auto"/>
        </w:rPr>
      </w:pPr>
    </w:p>
    <w:p>
      <w:pPr>
        <w:ind w:right="40" w:firstLine="441"/>
        <w:spacing w:after="0" w:line="228" w:lineRule="auto"/>
        <w:rPr>
          <w:sz w:val="20"/>
          <w:szCs w:val="20"/>
          <w:color w:val="auto"/>
        </w:rPr>
      </w:pPr>
      <w:r>
        <w:rPr>
          <w:rFonts w:ascii="Arial" w:cs="Arial" w:eastAsia="Arial" w:hAnsi="Arial"/>
          <w:sz w:val="18"/>
          <w:szCs w:val="18"/>
          <w:color w:val="auto"/>
        </w:rPr>
        <w:t>The Company’s global supply chain is complex. In the course of its business operations, the Company may purchase materials and components containing conflict minerals. These materials and components may, in turn, be included in the Company’s products. Because the Company does not purchase conflict minerals directly from mines, smelters or refiners, there are many third parties in the supply chain between the Company and the original sources of conflict minerals. As a result, the Company relies on its direct suppliers of materials and components to provide information regarding the origin of any conflict minerals that are included in their materials and components.</w:t>
      </w:r>
    </w:p>
    <w:p>
      <w:pPr>
        <w:spacing w:after="0" w:line="205" w:lineRule="exact"/>
        <w:rPr>
          <w:sz w:val="20"/>
          <w:szCs w:val="20"/>
          <w:color w:val="auto"/>
        </w:rPr>
      </w:pPr>
    </w:p>
    <w:p>
      <w:pPr>
        <w:ind w:right="80" w:firstLine="441"/>
        <w:spacing w:after="0" w:line="238" w:lineRule="auto"/>
        <w:rPr>
          <w:sz w:val="20"/>
          <w:szCs w:val="20"/>
          <w:color w:val="auto"/>
        </w:rPr>
      </w:pPr>
      <w:r>
        <w:rPr>
          <w:rFonts w:ascii="Arial" w:cs="Arial" w:eastAsia="Arial" w:hAnsi="Arial"/>
          <w:sz w:val="17"/>
          <w:szCs w:val="17"/>
          <w:color w:val="auto"/>
        </w:rPr>
        <w:t>The Company’s research and development, supply chain, legal and compliance departments worked together to search the Company’s Product Life-cycle Management (“</w:t>
      </w:r>
      <w:r>
        <w:rPr>
          <w:rFonts w:ascii="Arial" w:cs="Arial" w:eastAsia="Arial" w:hAnsi="Arial"/>
          <w:sz w:val="17"/>
          <w:szCs w:val="17"/>
          <w:b w:val="1"/>
          <w:bCs w:val="1"/>
          <w:i w:val="1"/>
          <w:iCs w:val="1"/>
          <w:color w:val="auto"/>
        </w:rPr>
        <w:t>PLM</w:t>
      </w:r>
      <w:r>
        <w:rPr>
          <w:rFonts w:ascii="Arial" w:cs="Arial" w:eastAsia="Arial" w:hAnsi="Arial"/>
          <w:sz w:val="17"/>
          <w:szCs w:val="17"/>
          <w:color w:val="auto"/>
        </w:rPr>
        <w:t>”) database to identify where Subject Minerals were used in its products. While no responsive conflict mineral matches were uncovered in this system, the cross functional team recognized that several product lines would not necessarily be identified by PLM as containing Subject Minerals. As a result, the Company identified suppliers of materials for products falling outside the PLM database that contained metallic parts (collectively, the “</w:t>
      </w:r>
      <w:r>
        <w:rPr>
          <w:rFonts w:ascii="Arial" w:cs="Arial" w:eastAsia="Arial" w:hAnsi="Arial"/>
          <w:sz w:val="17"/>
          <w:szCs w:val="17"/>
          <w:b w:val="1"/>
          <w:bCs w:val="1"/>
          <w:i w:val="1"/>
          <w:iCs w:val="1"/>
          <w:color w:val="auto"/>
        </w:rPr>
        <w:t>Covered Suppliers</w:t>
      </w:r>
      <w:r>
        <w:rPr>
          <w:rFonts w:ascii="Arial" w:cs="Arial" w:eastAsia="Arial" w:hAnsi="Arial"/>
          <w:sz w:val="17"/>
          <w:szCs w:val="17"/>
          <w:color w:val="auto"/>
        </w:rPr>
        <w:t>”). The Company put in place a survey of the Covered Suppliers to confirm whether the Subject Minerals were contained in these products. The Company inventoried the responses it received from Covered Suppliers and determined that several vendors utilized Subject Minerals originating in the Covered Countries in products it supplied the Company. These materials and products were incorporated into finished goods sold by the Company to its customers.</w:t>
      </w:r>
    </w:p>
    <w:p>
      <w:pPr>
        <w:spacing w:after="0" w:line="204" w:lineRule="exact"/>
        <w:rPr>
          <w:sz w:val="20"/>
          <w:szCs w:val="20"/>
          <w:color w:val="auto"/>
        </w:rPr>
      </w:pPr>
    </w:p>
    <w:p>
      <w:pPr>
        <w:ind w:right="140" w:firstLine="441"/>
        <w:spacing w:after="0" w:line="246" w:lineRule="auto"/>
        <w:rPr>
          <w:sz w:val="20"/>
          <w:szCs w:val="20"/>
          <w:color w:val="auto"/>
        </w:rPr>
      </w:pPr>
      <w:r>
        <w:rPr>
          <w:rFonts w:ascii="Arial" w:cs="Arial" w:eastAsia="Arial" w:hAnsi="Arial"/>
          <w:sz w:val="18"/>
          <w:szCs w:val="18"/>
          <w:color w:val="auto"/>
        </w:rPr>
        <w:t>The RCOI conducted by the Company identified evidence that the Subject Minerals contained in several of its products during the Reporting Period originated in the Covered Countries.</w:t>
      </w:r>
    </w:p>
    <w:p>
      <w:pPr>
        <w:spacing w:after="0" w:line="197" w:lineRule="exact"/>
        <w:rPr>
          <w:sz w:val="20"/>
          <w:szCs w:val="20"/>
          <w:color w:val="auto"/>
        </w:rPr>
      </w:pPr>
    </w:p>
    <w:p>
      <w:pPr>
        <w:ind w:right="100" w:firstLine="441"/>
        <w:spacing w:after="0" w:line="246" w:lineRule="auto"/>
        <w:rPr>
          <w:sz w:val="20"/>
          <w:szCs w:val="20"/>
          <w:color w:val="auto"/>
        </w:rPr>
      </w:pPr>
      <w:r>
        <w:rPr>
          <w:rFonts w:ascii="Arial" w:cs="Arial" w:eastAsia="Arial" w:hAnsi="Arial"/>
          <w:sz w:val="18"/>
          <w:szCs w:val="18"/>
          <w:color w:val="auto"/>
        </w:rPr>
        <w:t>As required by Form SD, the disclosure contained in this Form SD regarding the Company’s RCOI is available on the Company’s website located at http://investor.scotts.com.</w:t>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37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THE SCOTTS MIRACLE-GRO COMPANY</w:t>
      </w:r>
    </w:p>
    <w:p>
      <w:pPr>
        <w:spacing w:after="0" w:line="252" w:lineRule="exact"/>
        <w:rPr>
          <w:sz w:val="20"/>
          <w:szCs w:val="20"/>
          <w:color w:val="auto"/>
        </w:rPr>
      </w:pPr>
    </w:p>
    <w:p>
      <w:pPr>
        <w:ind w:left="1380"/>
        <w:spacing w:after="0"/>
        <w:tabs>
          <w:tab w:leader="none" w:pos="5940" w:val="left"/>
        </w:tabs>
        <w:rPr>
          <w:sz w:val="20"/>
          <w:szCs w:val="20"/>
          <w:color w:val="auto"/>
        </w:rPr>
      </w:pPr>
      <w:r>
        <w:rPr>
          <w:rFonts w:ascii="Arial" w:cs="Arial" w:eastAsia="Arial" w:hAnsi="Arial"/>
          <w:sz w:val="18"/>
          <w:szCs w:val="18"/>
          <w:color w:val="auto"/>
        </w:rPr>
        <w:t>Dated: May 26, 2022</w:t>
      </w:r>
      <w:r>
        <w:rPr>
          <w:sz w:val="20"/>
          <w:szCs w:val="20"/>
          <w:color w:val="auto"/>
        </w:rPr>
        <w:tab/>
      </w:r>
      <w:r>
        <w:rPr>
          <w:rFonts w:ascii="Arial" w:cs="Arial" w:eastAsia="Arial" w:hAnsi="Arial"/>
          <w:sz w:val="17"/>
          <w:szCs w:val="17"/>
          <w:color w:val="auto"/>
        </w:rPr>
        <w:t>By: /s/ IVAN C.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14605</wp:posOffset>
            </wp:positionV>
            <wp:extent cx="2529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205" cy="8255"/>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Printed Name: Ivan C. Smith</w:t>
      </w:r>
    </w:p>
    <w:p>
      <w:pPr>
        <w:spacing w:after="0" w:line="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 Executive Vice President, General Counsel,</w:t>
      </w:r>
    </w:p>
    <w:p>
      <w:pPr>
        <w:ind w:left="5920"/>
        <w:spacing w:after="0"/>
        <w:rPr>
          <w:sz w:val="20"/>
          <w:szCs w:val="20"/>
          <w:color w:val="auto"/>
        </w:rPr>
      </w:pPr>
      <w:r>
        <w:rPr>
          <w:rFonts w:ascii="Arial" w:cs="Arial" w:eastAsia="Arial" w:hAnsi="Arial"/>
          <w:sz w:val="18"/>
          <w:szCs w:val="18"/>
          <w:color w:val="auto"/>
        </w:rPr>
        <w:t>Corporate Secretary and Chief Compliance Officer</w:t>
      </w:r>
    </w:p>
    <w:sectPr>
      <w:pgSz w:w="11900" w:h="16838" w:orient="portrait"/>
      <w:cols w:equalWidth="0" w:num="1">
        <w:col w:w="11220"/>
      </w:cols>
      <w:pgMar w:left="320" w:top="8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2022-05-26T07:10:36Z</dcterms:created>
  <dcterms:modified xsi:type="dcterms:W3CDTF">2022-05-26T07:10:36Z</dcterms:modified>
</cp:coreProperties>
</file>