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 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080" w:right="2000" w:hanging="510"/>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FOR THE QUARTERLY PERIOD ENDED JULY 3, 2010</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080" w:right="1980" w:hanging="470"/>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ind w:left="1080"/>
        <w:spacing w:after="0"/>
        <w:tabs>
          <w:tab w:leader="none" w:pos="5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7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COMMISSION FILE NUMBER: 1-11593</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9"/>
              </w:rPr>
              <w:t>OHIO</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31-1414921</w:t>
            </w:r>
          </w:p>
        </w:tc>
      </w:tr>
      <w:tr>
        <w:trPr>
          <w:trHeight w:val="216"/>
        </w:trPr>
        <w:tc>
          <w:tcPr>
            <w:tcW w:w="4260" w:type="dxa"/>
            <w:vAlign w:val="bottom"/>
          </w:tcPr>
          <w:p>
            <w:pPr>
              <w:jc w:val="center"/>
              <w:ind w:right="1350"/>
              <w:spacing w:after="0"/>
              <w:rPr>
                <w:sz w:val="20"/>
                <w:szCs w:val="20"/>
                <w:color w:val="auto"/>
              </w:rPr>
            </w:pPr>
            <w:r>
              <w:rPr>
                <w:rFonts w:ascii="Arial" w:cs="Arial" w:eastAsia="Arial" w:hAnsi="Arial"/>
                <w:sz w:val="18"/>
                <w:szCs w:val="18"/>
                <w:color w:val="auto"/>
                <w:w w:val="93"/>
              </w:rPr>
              <w:t>(State or other jurisdiction of</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3"/>
              </w:rPr>
              <w:t>(I.R.S. Employer</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incorporation or organization)</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60" w:type="dxa"/>
            <w:vAlign w:val="bottom"/>
          </w:tcPr>
          <w:p>
            <w:pPr>
              <w:jc w:val="center"/>
              <w:ind w:right="1370"/>
              <w:spacing w:after="0"/>
              <w:rPr>
                <w:sz w:val="20"/>
                <w:szCs w:val="20"/>
                <w:color w:val="auto"/>
              </w:rPr>
            </w:pPr>
            <w:r>
              <w:rPr>
                <w:rFonts w:ascii="Arial" w:cs="Arial" w:eastAsia="Arial" w:hAnsi="Arial"/>
                <w:sz w:val="18"/>
                <w:szCs w:val="18"/>
                <w:color w:val="auto"/>
                <w:w w:val="94"/>
              </w:rPr>
              <w:t>14111 SCOTTSLAWN ROAD,</w:t>
            </w:r>
          </w:p>
        </w:tc>
        <w:tc>
          <w:tcPr>
            <w:tcW w:w="2740" w:type="dxa"/>
            <w:vAlign w:val="bottom"/>
          </w:tcPr>
          <w:p>
            <w:pPr>
              <w:spacing w:after="0"/>
              <w:rPr>
                <w:sz w:val="24"/>
                <w:szCs w:val="24"/>
                <w:color w:val="auto"/>
              </w:rPr>
            </w:pPr>
          </w:p>
        </w:tc>
      </w:t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rPr>
              <w:t>MARYSVILLE, OHIO</w:t>
            </w:r>
          </w:p>
        </w:tc>
        <w:tc>
          <w:tcPr>
            <w:tcW w:w="2740" w:type="dxa"/>
            <w:vAlign w:val="bottom"/>
          </w:tcPr>
          <w:p>
            <w:pPr>
              <w:jc w:val="right"/>
              <w:ind w:right="370"/>
              <w:spacing w:after="0"/>
              <w:rPr>
                <w:sz w:val="20"/>
                <w:szCs w:val="20"/>
                <w:color w:val="auto"/>
              </w:rPr>
            </w:pPr>
            <w:r>
              <w:rPr>
                <w:rFonts w:ascii="Arial" w:cs="Arial" w:eastAsia="Arial" w:hAnsi="Arial"/>
                <w:sz w:val="18"/>
                <w:szCs w:val="18"/>
                <w:color w:val="auto"/>
              </w:rPr>
              <w:t>43041</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0" w:lineRule="exact"/>
        <w:rPr>
          <w:sz w:val="20"/>
          <w:szCs w:val="20"/>
          <w:color w:val="auto"/>
        </w:rPr>
      </w:pPr>
    </w:p>
    <w:p>
      <w:pPr>
        <w:jc w:val="both"/>
        <w:ind w:left="340" w:right="1760"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firstLine="373"/>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6"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640" w:gutter="0" w:footer="0" w:header="0"/>
        </w:sectPr>
      </w:pP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Large accelerated filer</w:t>
      </w:r>
    </w:p>
    <w:p>
      <w:pPr>
        <w:spacing w:after="0" w:line="41" w:lineRule="exact"/>
        <w:rPr>
          <w:sz w:val="20"/>
          <w:szCs w:val="20"/>
          <w:color w:val="auto"/>
        </w:rPr>
      </w:pPr>
    </w:p>
    <w:p>
      <w:pPr>
        <w:jc w:val="cente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1960" w:space="360"/>
            <w:col w:w="1340" w:space="340"/>
            <w:col w:w="3360" w:space="200"/>
            <w:col w:w="3860"/>
          </w:cols>
          <w:pgMar w:left="240" w:top="122" w:right="239" w:bottom="640" w:gutter="0" w:footer="0" w:header="0"/>
          <w:type w:val="continuous"/>
        </w:sectPr>
      </w:pPr>
    </w:p>
    <w:p>
      <w:pPr>
        <w:ind w:left="340" w:right="1760"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at August 6, 2010</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8"/>
              </w:rPr>
              <w:t>66,957,829 common shares</w:t>
            </w: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6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gridSpan w:val="8"/>
          </w:tcPr>
          <w:p>
            <w:pPr>
              <w:jc w:val="center"/>
              <w:ind w:right="1920"/>
              <w:spacing w:after="0"/>
              <w:rPr>
                <w:sz w:val="20"/>
                <w:szCs w:val="20"/>
                <w:color w:val="auto"/>
              </w:rPr>
            </w:pPr>
            <w:r>
              <w:rPr>
                <w:rFonts w:ascii="Arial" w:cs="Arial" w:eastAsia="Arial" w:hAnsi="Arial"/>
                <w:sz w:val="18"/>
                <w:szCs w:val="18"/>
                <w:color w:val="auto"/>
                <w:w w:val="95"/>
              </w:rPr>
              <w:t>THE SCOTTS MIRACLE-GRO COMPANY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80" w:type="dxa"/>
            <w:vAlign w:val="bottom"/>
            <w:gridSpan w:val="7"/>
          </w:tcPr>
          <w:p>
            <w:pPr>
              <w:jc w:val="center"/>
              <w:ind w:right="324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 NO.</w:t>
            </w:r>
          </w:p>
        </w:tc>
        <w:tc>
          <w:tcPr>
            <w:tcW w:w="0" w:type="dxa"/>
            <w:vAlign w:val="bottom"/>
          </w:tcPr>
          <w:p>
            <w:pPr>
              <w:spacing w:after="0"/>
              <w:rPr>
                <w:sz w:val="1"/>
                <w:szCs w:val="1"/>
                <w:color w:val="auto"/>
              </w:rPr>
            </w:pPr>
          </w:p>
        </w:tc>
      </w:tr>
      <w:tr>
        <w:trPr>
          <w:trHeight w:val="169"/>
        </w:trPr>
        <w:tc>
          <w:tcPr>
            <w:tcW w:w="8320" w:type="dxa"/>
            <w:vAlign w:val="bottom"/>
            <w:gridSpan w:val="24"/>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4"/>
                <w:szCs w:val="24"/>
                <w:color w:val="auto"/>
              </w:rPr>
            </w:pPr>
          </w:p>
        </w:tc>
        <w:tc>
          <w:tcPr>
            <w:tcW w:w="540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 Three and nine months ended July 3, 2010 and</w:t>
              </w:r>
            </w:hyperlink>
          </w:p>
        </w:tc>
        <w:tc>
          <w:tcPr>
            <w:tcW w:w="7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2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27, 2009</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Nine months ended July 3, 2010 and June 27, 2009</w:t>
              </w:r>
            </w:hyperlink>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 July 3, 2010, June 27, 2009 and September 30, 2009</w:t>
              </w:r>
            </w:hyperlink>
          </w:p>
        </w:tc>
        <w:tc>
          <w:tcPr>
            <w:tcW w:w="110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08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8320" w:type="dxa"/>
            <w:vAlign w:val="bottom"/>
            <w:gridSpan w:val="2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8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13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Item 4. Controls and Procedures</w:t>
              </w:r>
            </w:hyperlink>
          </w:p>
        </w:tc>
        <w:tc>
          <w:tcPr>
            <w:tcW w:w="600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62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PART II. OTHER INFORMATION:</w:t>
              </w:r>
            </w:hyperlink>
          </w:p>
        </w:tc>
        <w:tc>
          <w:tcPr>
            <w:tcW w:w="570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2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1A. Risk Factors</w:t>
              </w:r>
            </w:hyperlink>
          </w:p>
        </w:tc>
        <w:tc>
          <w:tcPr>
            <w:tcW w:w="644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2. Unregistered Sales of Equity Securities and Use of Proceeds</w:t>
              </w:r>
            </w:hyperlink>
          </w:p>
        </w:tc>
        <w:tc>
          <w:tcPr>
            <w:tcW w:w="34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8320" w:type="dxa"/>
            <w:vAlign w:val="bottom"/>
            <w:gridSpan w:val="2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380" w:type="dxa"/>
            <w:vAlign w:val="bottom"/>
            <w:tcBorders>
              <w:top w:val="single" w:sz="8" w:color="0000EE"/>
            </w:tcBorders>
            <w:gridSpan w:val="4"/>
          </w:tcPr>
          <w:p>
            <w:pPr>
              <w:spacing w:after="0"/>
              <w:rPr>
                <w:sz w:val="24"/>
                <w:szCs w:val="24"/>
                <w:color w:val="auto"/>
              </w:rPr>
            </w:pPr>
          </w:p>
        </w:tc>
        <w:tc>
          <w:tcPr>
            <w:tcW w:w="718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12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Index to Exhibits</w:t>
              </w:r>
            </w:hyperlink>
          </w:p>
        </w:tc>
        <w:tc>
          <w:tcPr>
            <w:tcW w:w="708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Exhibit 31.1</w:t>
            </w:r>
          </w:p>
        </w:tc>
        <w:tc>
          <w:tcPr>
            <w:tcW w:w="740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23"/>
          </w:tcPr>
          <w:p>
            <w:pPr>
              <w:spacing w:after="0" w:line="196" w:lineRule="exact"/>
              <w:rPr>
                <w:sz w:val="20"/>
                <w:szCs w:val="20"/>
                <w:color w:val="auto"/>
              </w:rPr>
            </w:pPr>
            <w:r>
              <w:rPr>
                <w:rFonts w:ascii="Arial" w:cs="Arial" w:eastAsia="Arial" w:hAnsi="Arial"/>
                <w:sz w:val="18"/>
                <w:szCs w:val="18"/>
                <w:color w:val="0000EE"/>
              </w:rPr>
              <w:t>Exhibit 31.2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Exhibit 32</w:t>
            </w:r>
          </w:p>
        </w:tc>
        <w:tc>
          <w:tcPr>
            <w:tcW w:w="120" w:type="dxa"/>
            <w:vAlign w:val="bottom"/>
            <w:tcBorders>
              <w:top w:val="single" w:sz="8" w:color="0000EE"/>
            </w:tcBorders>
          </w:tcPr>
          <w:p>
            <w:pPr>
              <w:spacing w:after="0"/>
              <w:rPr>
                <w:sz w:val="17"/>
                <w:szCs w:val="17"/>
                <w:color w:val="auto"/>
              </w:rPr>
            </w:pPr>
          </w:p>
        </w:tc>
        <w:tc>
          <w:tcPr>
            <w:tcW w:w="742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jc w:val="center"/>
        <w:ind w:left="580" w:right="2080"/>
        <w:spacing w:after="0" w:line="262" w:lineRule="auto"/>
        <w:rPr>
          <w:sz w:val="20"/>
          <w:szCs w:val="20"/>
          <w:color w:val="auto"/>
        </w:rPr>
      </w:pPr>
      <w:r>
        <w:rPr>
          <w:rFonts w:ascii="Arial" w:cs="Arial" w:eastAsia="Arial" w:hAnsi="Arial"/>
          <w:sz w:val="18"/>
          <w:szCs w:val="18"/>
          <w:color w:val="auto"/>
        </w:rPr>
        <w:t>THE SCOTTS MIRACLE-GRO COMPANY CONDENSED, CONSOLIDATED STATEMENTS OF OPERATIONS (IN MILLIONS, EXCEPT PER SHARE DATA) (UNAUDITED)</w:t>
      </w:r>
    </w:p>
    <w:p>
      <w:pPr>
        <w:spacing w:after="0" w:line="39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right"/>
              <w:ind w:right="54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JUNE 27,</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734.1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752.4</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1,656.8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4"/>
        </w:trPr>
        <w:tc>
          <w:tcPr>
            <w:tcW w:w="440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580.4</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278.6</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391.5</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Income tax expense from continuing operations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BASIC NET INCOME (LOSS) PER COMMON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during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period</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0"/>
              <w:spacing w:after="0"/>
              <w:rPr>
                <w:sz w:val="20"/>
                <w:szCs w:val="20"/>
                <w:color w:val="auto"/>
              </w:rPr>
            </w:pPr>
            <w:r>
              <w:rPr>
                <w:rFonts w:ascii="Arial" w:cs="Arial" w:eastAsia="Arial" w:hAnsi="Arial"/>
                <w:sz w:val="18"/>
                <w:szCs w:val="18"/>
                <w:color w:val="auto"/>
              </w:rPr>
              <w:t>Basic income per common share from continuing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00"/>
              <w:spacing w:after="0"/>
              <w:rPr>
                <w:sz w:val="20"/>
                <w:szCs w:val="20"/>
                <w:color w:val="auto"/>
              </w:rPr>
            </w:pPr>
            <w:r>
              <w:rPr>
                <w:rFonts w:ascii="Arial" w:cs="Arial" w:eastAsia="Arial" w:hAnsi="Arial"/>
                <w:sz w:val="18"/>
                <w:szCs w:val="18"/>
                <w:color w:val="auto"/>
              </w:rPr>
              <w:t>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Basic loss per common share from discontinued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COMMON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Weighted-average common shares outstanding during</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the period plus dilutive potential common shares</w:t>
            </w:r>
          </w:p>
        </w:tc>
        <w:tc>
          <w:tcPr>
            <w:tcW w:w="120" w:type="dxa"/>
            <w:vAlign w:val="bottom"/>
          </w:tcPr>
          <w:p>
            <w:pPr>
              <w:spacing w:after="0"/>
              <w:rPr>
                <w:sz w:val="20"/>
                <w:szCs w:val="20"/>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Diluted income per common share from continuing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4400" w:type="dxa"/>
            <w:vAlign w:val="bottom"/>
          </w:tcPr>
          <w:p>
            <w:pPr>
              <w:ind w:left="400"/>
              <w:spacing w:after="0" w:line="201" w:lineRule="exact"/>
              <w:rPr>
                <w:sz w:val="20"/>
                <w:szCs w:val="20"/>
                <w:color w:val="auto"/>
              </w:rPr>
            </w:pPr>
            <w:r>
              <w:rPr>
                <w:rFonts w:ascii="Arial" w:cs="Arial" w:eastAsia="Arial" w:hAnsi="Arial"/>
                <w:sz w:val="18"/>
                <w:szCs w:val="18"/>
                <w:color w:val="auto"/>
              </w:rPr>
              <w:t>Diluted loss per common share from discontinued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0.125</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20" w:type="dxa"/>
            <w:vAlign w:val="bottom"/>
            <w:gridSpan w:val="8"/>
          </w:tcPr>
          <w:p>
            <w:pPr>
              <w:ind w:left="2580"/>
              <w:spacing w:after="0"/>
              <w:rPr>
                <w:sz w:val="20"/>
                <w:szCs w:val="20"/>
                <w:color w:val="auto"/>
              </w:rPr>
            </w:pPr>
            <w:r>
              <w:rPr>
                <w:rFonts w:ascii="Arial" w:cs="Arial" w:eastAsia="Arial" w:hAnsi="Arial"/>
                <w:sz w:val="18"/>
                <w:szCs w:val="18"/>
                <w:color w:val="auto"/>
                <w:w w:val="94"/>
              </w:rPr>
              <w:t>See notes to condensed, consolidated financial statements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color w:val="auto"/>
                <w:w w:val="95"/>
              </w:rPr>
              <w:t>THE SCOTTS MIRACLE-GRO COMPANY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0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CONDENSED, CONSOLIDATED STATEMENTS OF CASH FLOWS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19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Impairment and other</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Gain on sale of long-lived assets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(311.3)</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Prepaid and other assets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Restructuring reserves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Other non-current items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 of long-lived assets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property, plant and equipment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Investments in intellectual property</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acquired businesses, net of cash acquired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927.8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(1,234.8)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7.25% Senior Notes, net of discount</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198.5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Payments on seller notes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Financing and issuance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(paid) refunded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580" w:type="dxa"/>
            <w:vAlign w:val="bottom"/>
            <w:gridSpan w:val="5"/>
          </w:tcPr>
          <w:p>
            <w:pPr>
              <w:jc w:val="center"/>
              <w:ind w:left="1610"/>
              <w:spacing w:after="0"/>
              <w:rPr>
                <w:sz w:val="20"/>
                <w:szCs w:val="20"/>
                <w:color w:val="auto"/>
              </w:rPr>
            </w:pPr>
            <w:r>
              <w:rPr>
                <w:rFonts w:ascii="Arial" w:cs="Arial" w:eastAsia="Arial" w:hAnsi="Arial"/>
                <w:sz w:val="18"/>
                <w:szCs w:val="18"/>
                <w:color w:val="auto"/>
                <w:w w:val="95"/>
              </w:rPr>
              <w:t>THE SCOTTS MIRACLE-GRO COMPANY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40" w:type="dxa"/>
            <w:vAlign w:val="bottom"/>
            <w:gridSpan w:val="8"/>
          </w:tcPr>
          <w:p>
            <w:pPr>
              <w:jc w:val="center"/>
              <w:ind w:left="350"/>
              <w:spacing w:after="0"/>
              <w:rPr>
                <w:sz w:val="20"/>
                <w:szCs w:val="20"/>
                <w:color w:val="auto"/>
              </w:rPr>
            </w:pPr>
            <w:r>
              <w:rPr>
                <w:rFonts w:ascii="Arial" w:cs="Arial" w:eastAsia="Arial" w:hAnsi="Arial"/>
                <w:sz w:val="18"/>
                <w:szCs w:val="18"/>
                <w:color w:val="auto"/>
                <w:w w:val="96"/>
              </w:rPr>
              <w:t>CONDENSED, CONSOLIDATED BALANCE SHEETS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20" w:type="dxa"/>
            <w:vAlign w:val="bottom"/>
          </w:tcPr>
          <w:p>
            <w:pPr>
              <w:jc w:val="center"/>
              <w:ind w:left="287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6"/>
              </w:rPr>
              <w:t>JULY 3,</w:t>
            </w:r>
          </w:p>
        </w:tc>
        <w:tc>
          <w:tcPr>
            <w:tcW w:w="1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JUNE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(SEE NOTE 1)</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r>
      <w:tr>
        <w:trPr>
          <w:trHeight w:val="202"/>
        </w:trPr>
        <w:tc>
          <w:tcPr>
            <w:tcW w:w="340" w:type="dxa"/>
            <w:vAlign w:val="bottom"/>
          </w:tcPr>
          <w:p>
            <w:pPr>
              <w:spacing w:after="0"/>
              <w:rPr>
                <w:sz w:val="17"/>
                <w:szCs w:val="17"/>
                <w:color w:val="auto"/>
              </w:rPr>
            </w:pPr>
          </w:p>
        </w:tc>
        <w:tc>
          <w:tcPr>
            <w:tcW w:w="534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Accounts receivable, less allowances of $10.4, $12.0 and $11.1,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384.3</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r>
      <w:tr>
        <w:trPr>
          <w:trHeight w:val="224"/>
        </w:trPr>
        <w:tc>
          <w:tcPr>
            <w:tcW w:w="34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1,613.4</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$480.6, $486.8 and $492.3, respectively</w:t>
            </w: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375.2</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w:t>
            </w: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r>
              <w:rPr>
                <w:rFonts w:ascii="Arial" w:cs="Arial" w:eastAsia="Arial" w:hAnsi="Arial"/>
                <w:sz w:val="18"/>
                <w:szCs w:val="18"/>
                <w:u w:val="single" w:color="auto"/>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80" w:type="dxa"/>
            <w:vAlign w:val="bottom"/>
            <w:gridSpan w:val="5"/>
          </w:tcPr>
          <w:p>
            <w:pPr>
              <w:jc w:val="right"/>
              <w:ind w:right="12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554.0</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958.3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r>
      <w:tr>
        <w:trPr>
          <w:trHeight w:val="432"/>
        </w:trPr>
        <w:tc>
          <w:tcPr>
            <w:tcW w:w="3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w:t>
            </w:r>
          </w:p>
        </w:tc>
      </w:tr>
      <w:tr>
        <w:trPr>
          <w:trHeight w:val="224"/>
        </w:trPr>
        <w:tc>
          <w:tcPr>
            <w:tcW w:w="34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2,107.2</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(notes 3 and 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53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shares and capital in excess of $.01 stated value per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 66.9, 65.7 and 66.2 shares issued and outstanding,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463.8</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451.5</w:t>
            </w: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337.5</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shares, at cost: 1.6, 3.0, and 2.4 shares, respectively</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r>
      <w:tr>
        <w:trPr>
          <w:trHeight w:val="223"/>
        </w:trPr>
        <w:tc>
          <w:tcPr>
            <w:tcW w:w="34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94" w:lineRule="exact"/>
        <w:rPr>
          <w:sz w:val="20"/>
          <w:szCs w:val="20"/>
          <w:color w:val="auto"/>
        </w:rPr>
      </w:pPr>
    </w:p>
    <w:p>
      <w:pPr>
        <w:ind w:left="340" w:right="4459"/>
        <w:spacing w:after="0" w:line="456" w:lineRule="auto"/>
        <w:rPr>
          <w:sz w:val="20"/>
          <w:szCs w:val="20"/>
          <w:color w:val="auto"/>
        </w:rPr>
      </w:pPr>
      <w:r>
        <w:rPr>
          <w:rFonts w:ascii="Arial" w:cs="Arial" w:eastAsia="Arial" w:hAnsi="Arial"/>
          <w:sz w:val="18"/>
          <w:szCs w:val="18"/>
          <w:b w:val="1"/>
          <w:bCs w:val="1"/>
          <w:color w:val="auto"/>
        </w:rPr>
        <w:t xml:space="preserve">NOTE 1. SUMMARY OF SIGNIFICANT ACCOUNTING POLICIES </w:t>
      </w:r>
      <w:r>
        <w:rPr>
          <w:rFonts w:ascii="Arial" w:cs="Arial" w:eastAsia="Arial" w:hAnsi="Arial"/>
          <w:sz w:val="18"/>
          <w:szCs w:val="18"/>
          <w:color w:val="auto"/>
        </w:rPr>
        <w:t>NATURE OF OPERATIONS</w:t>
      </w:r>
    </w:p>
    <w:p>
      <w:pPr>
        <w:spacing w:after="0" w:line="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Scotts Miracle-Gro Company (“Scotts Miracle-Gro”) and its subsidiaries (collectively, together with Scotts Miracle-Gro, the “Company”) are engaged in the manufacturing, marketing and sale of consumer branded non-durable products for lawn and garden care and professional horticulture products. The Company’s primary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which provides residential lawn care, lawn aeration, tree and shrub care and limited pest control services in the United States.</w:t>
      </w:r>
    </w:p>
    <w:p>
      <w:pPr>
        <w:spacing w:after="0" w:line="15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After its acquisition in fiscal 2005, the Company operated Smith &amp; Hawken</w:t>
      </w:r>
      <w:r>
        <w:rPr>
          <w:rFonts w:ascii="Arial" w:cs="Arial" w:eastAsia="Arial" w:hAnsi="Arial"/>
          <w:sz w:val="13"/>
          <w:szCs w:val="13"/>
          <w:color w:val="auto"/>
        </w:rPr>
        <w:t>®(1)</w:t>
      </w:r>
      <w:r>
        <w:rPr>
          <w:rFonts w:ascii="Arial" w:cs="Arial" w:eastAsia="Arial" w:hAnsi="Arial"/>
          <w:sz w:val="16"/>
          <w:szCs w:val="16"/>
          <w:color w:val="auto"/>
        </w:rPr>
        <w:t>, an outdoor living and garden lifestyle category brand. As discussed in “NOTE 2. DISCONTINUED OPERATIONS,” on July 8, 2009, Scotts Miracle-Gro announced its intention to close the Smith &amp; Hawken business by the end of calendar 2009. During the Company’s first quarter of fiscal 2010, all Smith &amp; Hawken stores were closed and substantially all operational activities of Smith &amp; Hawken were discontinued.</w:t>
      </w:r>
    </w:p>
    <w:p>
      <w:pPr>
        <w:spacing w:after="0" w:line="11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 As a result of the seasonal nature of the Company’s business, results for the first nine months cannot be annualized to predict the results of the full fiscal year.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ORGANIZATION AND BASIS OF PRESENTATION</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2009, as updated by its Current Report on Form 8-K filed February 16, 2010.</w:t>
      </w:r>
    </w:p>
    <w:p>
      <w:pPr>
        <w:spacing w:after="0" w:line="13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Company’s Condensed, Consolidated Balance Sheet at September 30, 2009 has been derived from the Company’s audited Consolidated Balance Sheet at that date, but does not include all of the information and footnotes required by GAAP for complete financial statements.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USE OF ESTIMATES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RECOGNITION</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162560</wp:posOffset>
            </wp:positionV>
            <wp:extent cx="1063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56" w:lineRule="exact"/>
        <w:rPr>
          <w:sz w:val="20"/>
          <w:szCs w:val="20"/>
          <w:color w:val="auto"/>
        </w:rPr>
      </w:pPr>
    </w:p>
    <w:p>
      <w:pPr>
        <w:jc w:val="both"/>
        <w:ind w:left="680" w:right="559" w:hanging="348"/>
        <w:spacing w:after="0" w:line="257"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Target Brands, Inc. As discussed in “NOTE 2. DISCONTINUED OPERATIONS,” the Company sold the Smith &amp; Hawken brand and certain intellectual property rights related thereto on December 30, 2009, and subsequently changed the name of the subsidiary entity formerly known as Smith &amp; Hawken, Ltd. to Teak 2, Ltd. References in this Quarterly Report on Form 10-Q to Smith &amp; Hawken refer to Scotts Miracle-Gro’s subsidiary entity, not the brand itself.</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14"/>
          <w:szCs w:val="14"/>
          <w:color w:val="auto"/>
        </w:rPr>
        <w:t>®(2)</w:t>
      </w:r>
      <w:r>
        <w:rPr>
          <w:rFonts w:ascii="Arial" w:cs="Arial" w:eastAsia="Arial" w:hAnsi="Arial"/>
          <w:sz w:val="17"/>
          <w:szCs w:val="17"/>
          <w:color w:val="auto"/>
        </w:rPr>
        <w:t xml:space="preserve"> business. The actual costs incurred by the Company on behalf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are recovered from Monsanto through the terms of the Marketing Agreement. The reimbursement of costs for which the Company is considered the primary obligor is included in net sales.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PROMOTIONAL ALLOWANCES</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Company’s Condensed, Consolidated Balance Sheets.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w:t>
      </w:r>
    </w:p>
    <w:p>
      <w:pPr>
        <w:spacing w:after="0" w:line="19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0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 which such costs are incurred on a monthly basis in proportion to net sales. The costs deferred at July 3, 2010, June 27, 2009 and September 30, 2009 were $2.3 million, $4.0 million and $2.1 million,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effective tax rate for continuing operations for the three and nine months ended July 3, 2010 was 36.9% and 37.2%, respectively, compared to 36.2% and 36.1% for the three and nine months ended June 27, 2009, respectively. The increase in the effective tax rate for the nine months ended July 3, 2010 was partially due to the discrete item related to the Medicare Part D subsidy received by the Company as discussed in “NOTE 10. INCOME TAXES.” The effective tax rate used for interim reporting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PER COMMON SHARE</w:t>
      </w:r>
    </w:p>
    <w:p>
      <w:pPr>
        <w:spacing w:after="0" w:line="18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following table (in millions, except per share data) presents information necessary to calculate basic and diluted net income per common share. Basic net income per common share is computed based on the weighted-average number of common shares outstanding each period. Diluted net income per common share is computed based on the weighted-average number of common shares and dilutive potential common shares (dilutive stock options, stock appreciation rights, restricted stock and restricted stock unit awards) outstanding each period. Stock options with exercise prices greater than the average market price of the underlying common shares are excluded from the computation of diluted net income per common share because the effect of their inclusion would be anti-dilutive. The number of stock options excluded approximated zero and 2.5 million for the three-month periods, and 0.2 million and 2.6 million for the nine-month periods ended July 3, 2010 and June 27, 2009,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174625</wp:posOffset>
            </wp:positionV>
            <wp:extent cx="1063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76" w:lineRule="exact"/>
        <w:rPr>
          <w:sz w:val="20"/>
          <w:szCs w:val="20"/>
          <w:color w:val="auto"/>
        </w:rPr>
      </w:pPr>
    </w:p>
    <w:p>
      <w:pPr>
        <w:ind w:left="4960" w:right="1959" w:hanging="4628"/>
        <w:spacing w:after="0" w:line="935" w:lineRule="auto"/>
        <w:tabs>
          <w:tab w:leader="none" w:pos="689" w:val="left"/>
        </w:tabs>
        <w:numPr>
          <w:ilvl w:val="0"/>
          <w:numId w:val="4"/>
        </w:numPr>
        <w:rPr>
          <w:rFonts w:ascii="Arial" w:cs="Arial" w:eastAsia="Arial" w:hAnsi="Arial"/>
          <w:sz w:val="15"/>
          <w:szCs w:val="15"/>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 company affiliated with Monsanto.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3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JUNE 27, 2009</w:t>
            </w:r>
          </w:p>
        </w:tc>
        <w:tc>
          <w:tcPr>
            <w:tcW w:w="3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JUNE 27, 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Determination of diluted weighted-average</w:t>
            </w: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outstanding:</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Arial" w:cs="Arial" w:eastAsia="Arial" w:hAnsi="Arial"/>
                <w:sz w:val="18"/>
                <w:szCs w:val="18"/>
                <w:color w:val="auto"/>
                <w:w w:val="98"/>
              </w:rPr>
              <w:t>Weighted-average common shares outstanding</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66.2</w:t>
            </w: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Assumed conversion of dilutive potential</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shares</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Diluted weighted-average common shares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4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Basic income per common share from</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line="201" w:lineRule="exact"/>
              <w:rPr>
                <w:sz w:val="20"/>
                <w:szCs w:val="20"/>
                <w:color w:val="auto"/>
              </w:rPr>
            </w:pPr>
            <w:r>
              <w:rPr>
                <w:rFonts w:ascii="Arial" w:cs="Arial" w:eastAsia="Arial" w:hAnsi="Arial"/>
                <w:sz w:val="18"/>
                <w:szCs w:val="18"/>
                <w:color w:val="auto"/>
                <w:w w:val="97"/>
              </w:rPr>
              <w:t>Basic loss per common share from discontinued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4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0"/>
              <w:spacing w:after="0"/>
              <w:rPr>
                <w:sz w:val="20"/>
                <w:szCs w:val="20"/>
                <w:color w:val="auto"/>
              </w:rPr>
            </w:pPr>
            <w:r>
              <w:rPr>
                <w:rFonts w:ascii="Arial" w:cs="Arial" w:eastAsia="Arial" w:hAnsi="Arial"/>
                <w:sz w:val="18"/>
                <w:szCs w:val="18"/>
                <w:color w:val="auto"/>
              </w:rPr>
              <w:t>Diluted income per common share from</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0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Diluted loss per common share from</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EVENTS</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On August 10, 2010, Scotts Miracle-Gro announced that its Board of Directors has authorized the repurchase of up to $500 million of Scotts Miracle-Gro’s common shares over the next four years. The authorization provides the Company with flexibility to purchase the common shares from time to time in open market purchases or through privately negotiated transactions. All or part of the repurchases may be made under Rule 10b5-1 plans, which the Company may enter from time to time and which enable the repurchases to occur on a more regular basis, or pursuant to accelerated share repurchases. The share repurchase authorization, which expires September 30, 2014, may be suspended or discontinued at any time, and there can be no guarantee as to the timing or amount of any repurchases.</w:t>
      </w:r>
    </w:p>
    <w:p>
      <w:pPr>
        <w:spacing w:after="0" w:line="13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Scotts Miracle-Gro also announced that its Board of Directors approved the payment of a cash dividend of $0.25 per common share, payable on September 10, 2010 to all common shareholders of record on August 27, 2010. The approval represents a doubling of the previous quarterly dividend.</w:t>
      </w:r>
    </w:p>
    <w:p>
      <w:pPr>
        <w:spacing w:after="0" w:line="154"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Finally, on August 10, 2010, the Company indicated that it is actively exploring strategic alternatives for its Global Professional business segment. These strategic alternatives include the potential divestiture of that business segment, consistent with the Company’s previously stated intent to focus on its core Global Consumer business segment.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ACCOUNTING PRONOUNCEMENTS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9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December 2007, the Financial Accounting Standards Board (the “FASB”) issued new accounting guidance on business combinations and noncontrolling interests in consolidated financial statements. The objective is to improve the relevance, representational faithfulness and comparability of the information that a reporting entity provides in its financial reports about a business combination and its effects. The guidance applies to all transactions or other events in which an entity (the “acquirer”) obtains control of one or more businesses (the “acquiree”), including those sometimes referred to as “true mergers” or “mergers of equals” and combinations achieved without the transfer of consideration. In April 2009, the FASB issued additional guidance which addresses application issues arising from contingencies in a business combination. The Company adopted the new guidance beginning October 1, 2009. The Company had no acquisition activity for the nine months ended July 3, 2010, and the adoption of the new guidance did not impact the Company’s financial statements and related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Noncontrolling Interests in Consolidated Financial Statements</w:t>
      </w:r>
    </w:p>
    <w:p>
      <w:pPr>
        <w:spacing w:after="0" w:line="185"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December 2007, the FASB issued new accounting and reporting guidance for the noncontrolling interest in a subsidiary and for the deconsolidation of a subsidiary. The new guidance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are to be applied prospectively as of the beginning of the fiscal year in which the guidance is adopted, except for the presentation and disclosure requirements, which are to be applied retrospectively for all periods presented. The Company adopted the new guidance beginning October 1, 2009, and the adoption of the new guidance did not impact the Company’s financial statements and related disclosures.</w:t>
      </w:r>
    </w:p>
    <w:p>
      <w:pPr>
        <w:sectPr>
          <w:pgSz w:w="11900" w:h="16838" w:orient="portrait"/>
          <w:cols w:equalWidth="0" w:num="1">
            <w:col w:w="10219"/>
          </w:cols>
          <w:pgMar w:left="240" w:top="419" w:right="1440" w:bottom="389"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89"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Determination of the Useful Life of Intangible Assets</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April 2008, the FASB issued new accounting guidance which amends the list of factors an entity should consider in developing renewal or extension assumptions used in determining the useful life of recognized intangible assets. The new guidance applies to (a) intangible assets that are acquired individually or with a group of other assets and (b) intangible assets acquired in both business combinations and asset acquisitions.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The new guidance requires certain additional disclosures beginning October 1, 2009 and prospective application to useful life estimates for intangible assets acquired after September 30, 2009. The adoption of the new guidance did not have a material effect on the Company’s financial statements and related disclosures.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Employers’ Disclosures About Postretirement Benefit Plan Assets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In December 2008, the FASB issued new accounting guidance on employers’ disclosures about assets of a defined benefit pension or other postretirement plan. It requires employers to disclose information about fair value measurements of plan assets. The objectives of the disclosures are to provide an understanding of: (a) how investment allocation decisions are made, including the factors that are pertinent to an understanding of investment policies and strategies; (b) the major categories of plan assets;</w:t>
      </w:r>
    </w:p>
    <w:p>
      <w:pPr>
        <w:spacing w:after="0" w:line="2" w:lineRule="exact"/>
        <w:rPr>
          <w:sz w:val="20"/>
          <w:szCs w:val="20"/>
          <w:color w:val="auto"/>
        </w:rPr>
      </w:pPr>
    </w:p>
    <w:p>
      <w:pPr>
        <w:jc w:val="both"/>
        <w:ind w:left="340" w:right="559" w:hanging="8"/>
        <w:spacing w:after="0" w:line="25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inputs and valuation techniques used to measure the fair value of plan assets; (d) the effect of fair value measurements using significant unobservable inputs on changes in plan assets for the period; and (e) significant concentrations of risk within plan assets. The Company will adopt this new guidance at September 30, 2010, the next fair value measurement date of its defined benefit pension and retiree medical plans.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Accounting for Transfers of Financial Assets</w:t>
      </w:r>
    </w:p>
    <w:p>
      <w:pPr>
        <w:spacing w:after="0" w:line="18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 June 2009, the FASB issued new accounting guidance to improve the information provided in financial statements concerning transfers of financial assets, including the effects of transfers on financial position, financial performance and cash flows, and any continuing involvement of the transferor with the transferred financial assets.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Variable Interest Entities</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June 2009, the FASB issued new accounting guidance requiring an enterprise to perform an analysis to determine whether the enterprise’s variable interest or interests give it a controlling financial interest in a variable interest entity. The new guidance also requires enhanced disclosures that will provide users of financial statements with more transparent information about an enterprise’s involvement in a variable interest entity.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Revenue Recognition — Multiple-Element Arrangements</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October 2009, the FASB issued new accounting guidance addressing the accounting for multiple-deliverable arrangements to enable entities to account for products or services (deliverables) separately rather than as a combined unit. The provisions establish the accounting and reporting guidance for arrangements under which the entity will perform multiple revenue-generating activities. Specifically, this guidance addresses how to separate deliverables and how to measure and allocate arrangement consideration to one or more units of accounting.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DISCONTINUED OPERATIONS</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On July 8, 2009, Scotts Miracle-Gro announced that its wholly-owned subsidiary, Smith &amp; Hawken, Ltd., had adopted a plan to close the Smith &amp; Hawken business. During the Company’s first quarter of fiscal 2010, all Smith &amp; Hawken stores were closed and substantially all operational activities of Smith &amp; Hawken were discontinued. As a result, effective in its first quarter of fiscal 2010, the Company classified Smith &amp; Hawken as discontinued operations. Accordingly, the Company has reclassified its results of operations for the three and nine months ended June 27, 2009 to reflect Smith &amp; Hawken as discontinued operations separate from the Company’s results of continuing operations.</w:t>
      </w:r>
    </w:p>
    <w:p>
      <w:pPr>
        <w:spacing w:after="0" w:line="13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fiscal 2010, the Company has incurred charges related to the liquidation of the Smith &amp; Hawken business primarily associated with the termination of retail site lease obligations, third-party agency fees and severance and benefit commitments. These charges, primarily recorded in the Company’s first quarter of fiscal 2010, were partially offset by a gain of approximately $18 million from the sale of the Smith &amp; Hawken intellectual property on December 30,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The following table summarizes results of Smith &amp; Hawken classified as discontinued operations in the Company’s Condensed, Consolidated Statements of Operations for the three and nine months ended July 3, 2010 and June 27, 2009 (in millions).</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20" w:type="dxa"/>
            <w:vAlign w:val="bottom"/>
            <w:gridSpan w:val="9"/>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00" w:type="dxa"/>
            <w:vAlign w:val="bottom"/>
            <w:gridSpan w:val="8"/>
          </w:tcPr>
          <w:p>
            <w:pPr>
              <w:jc w:val="right"/>
              <w:ind w:righ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85"/>
              <w:spacing w:after="0" w:line="191" w:lineRule="exact"/>
              <w:rPr>
                <w:sz w:val="20"/>
                <w:szCs w:val="20"/>
                <w:color w:val="auto"/>
              </w:rPr>
            </w:pPr>
            <w:r>
              <w:rPr>
                <w:rFonts w:ascii="Arial" w:cs="Arial" w:eastAsia="Arial" w:hAnsi="Arial"/>
                <w:sz w:val="18"/>
                <w:szCs w:val="18"/>
                <w:b w:val="1"/>
                <w:bCs w:val="1"/>
                <w:color w:val="auto"/>
                <w:w w:val="99"/>
              </w:rPr>
              <w:t>JULY 3,</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94"/>
              </w:rPr>
              <w:t>JUNE 27,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top w:val="single" w:sz="8" w:color="auto"/>
            </w:tcBorders>
            <w:gridSpan w:val="5"/>
          </w:tcPr>
          <w:p>
            <w:pPr>
              <w:jc w:val="center"/>
              <w:ind w:right="340"/>
              <w:spacing w:after="0" w:line="191" w:lineRule="exact"/>
              <w:rPr>
                <w:sz w:val="20"/>
                <w:szCs w:val="20"/>
                <w:color w:val="auto"/>
              </w:rPr>
            </w:pPr>
            <w:r>
              <w:rPr>
                <w:rFonts w:ascii="Arial" w:cs="Arial" w:eastAsia="Arial" w:hAnsi="Arial"/>
                <w:sz w:val="18"/>
                <w:szCs w:val="18"/>
                <w:b w:val="1"/>
                <w:bCs w:val="1"/>
                <w:color w:val="auto"/>
                <w:w w:val="96"/>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48.6</w:t>
            </w:r>
          </w:p>
        </w:tc>
        <w:tc>
          <w:tcPr>
            <w:tcW w:w="70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Operating costs</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119.6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(17.9)</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 before taxes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Income tax expense (benefit) from discontinued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9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23"/>
        </w:trPr>
        <w:tc>
          <w:tcPr>
            <w:tcW w:w="4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6820" w:type="dxa"/>
            <w:vAlign w:val="bottom"/>
            <w:gridSpan w:val="10"/>
          </w:tcPr>
          <w:p>
            <w:pPr>
              <w:spacing w:after="0"/>
              <w:rPr>
                <w:sz w:val="20"/>
                <w:szCs w:val="20"/>
                <w:color w:val="auto"/>
              </w:rPr>
            </w:pPr>
            <w:r>
              <w:rPr>
                <w:rFonts w:ascii="Arial" w:cs="Arial" w:eastAsia="Arial" w:hAnsi="Arial"/>
                <w:sz w:val="18"/>
                <w:szCs w:val="18"/>
                <w:color w:val="auto"/>
                <w:w w:val="94"/>
              </w:rPr>
              <w:t>The major classes of assets and liabilities of Smith &amp; Hawken were as follows (in millions):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6"/>
              </w:rPr>
              <w:t>JULY 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JUNE 27,</w:t>
            </w:r>
          </w:p>
        </w:tc>
        <w:tc>
          <w:tcPr>
            <w:tcW w:w="300" w:type="dxa"/>
            <w:vAlign w:val="bottom"/>
          </w:tcPr>
          <w:p>
            <w:pPr>
              <w:spacing w:after="0"/>
              <w:rPr>
                <w:sz w:val="24"/>
                <w:szCs w:val="24"/>
                <w:color w:val="auto"/>
              </w:rPr>
            </w:pPr>
          </w:p>
        </w:tc>
        <w:tc>
          <w:tcPr>
            <w:tcW w:w="14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Assets of discontinued operations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Liabilities of discontinued operations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April 2008, the Company became aware that a former associate apparently deliberately circumvented Company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both the U.S. EPA and the U.S. Department of Justice (“U.S. DOJ”) in related civil and criminal investigations into the pesticide product registration issues.</w:t>
      </w:r>
    </w:p>
    <w:p>
      <w:pPr>
        <w:spacing w:after="0" w:line="131"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In late April of 2008, in connection with the U.S. EPA’s investigation, the Company conducted a consumer-level recall of certain consumer lawn and garden products and a Scotts LawnService</w:t>
      </w:r>
      <w:r>
        <w:rPr>
          <w:rFonts w:ascii="Arial" w:cs="Arial" w:eastAsia="Arial" w:hAnsi="Arial"/>
          <w:sz w:val="13"/>
          <w:szCs w:val="13"/>
          <w:color w:val="auto"/>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or year-to-date fiscal 2010 sales and are not expected to materially affect the Company’s sales during the remainder of fiscal 2010.</w:t>
      </w:r>
    </w:p>
    <w:p>
      <w:pPr>
        <w:spacing w:after="0" w:line="12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late 2008, Scotts Miracle-Gro and its indirect subsidiary, EG Systems, Inc., doing business as Scotts LawnService</w:t>
      </w:r>
      <w:r>
        <w:rPr>
          <w:rFonts w:ascii="Arial" w:cs="Arial" w:eastAsia="Arial" w:hAnsi="Arial"/>
          <w:sz w:val="14"/>
          <w:szCs w:val="14"/>
          <w:color w:val="auto"/>
        </w:rPr>
        <w:t>®</w:t>
      </w:r>
      <w:r>
        <w:rPr>
          <w:rFonts w:ascii="Arial" w:cs="Arial" w:eastAsia="Arial" w:hAnsi="Arial"/>
          <w:sz w:val="17"/>
          <w:szCs w:val="17"/>
          <w:color w:val="auto"/>
        </w:rPr>
        <w:t>, were named as defendants in a purported class action filed in the U.S. District Court for the Eastern District of Michigan relating to the application of certain pesticide products by Scotts LawnService</w:t>
      </w:r>
      <w:r>
        <w:rPr>
          <w:rFonts w:ascii="Arial" w:cs="Arial" w:eastAsia="Arial" w:hAnsi="Arial"/>
          <w:sz w:val="14"/>
          <w:szCs w:val="14"/>
          <w:color w:val="auto"/>
        </w:rPr>
        <w:t>®</w:t>
      </w:r>
      <w:r>
        <w:rPr>
          <w:rFonts w:ascii="Arial" w:cs="Arial" w:eastAsia="Arial" w:hAnsi="Arial"/>
          <w:sz w:val="17"/>
          <w:szCs w:val="17"/>
          <w:color w:val="auto"/>
        </w:rPr>
        <w:t>. In the suit, Mark Baumkel, on behalf of himself and the purported classes, sought an unspecified amount of damages, plus costs and attorneys’ fees, for alleged claims involving breach of contract, unjust enrichment and violation of the State of Michigan’s consumer protection act. On September 28, 2009, the court granted the motion filed by Scotts Miracle-Gro and EG Systems, Inc. and dismissed the suit with prejudice. Since that time, Scotts Miracle-Gro, EG Systems, Inc. and Mr. Baumkel have agreed to a confidential settlement that, among other things, precludes an appeal of the decision. The impact of the confidential settlement did not, and will not, materially affect the Company’s financial condition, results of operations or cash flows.</w:t>
      </w:r>
    </w:p>
    <w:p>
      <w:pPr>
        <w:sectPr>
          <w:pgSz w:w="11900" w:h="16838" w:orient="portrait"/>
          <w:cols w:equalWidth="0" w:num="1">
            <w:col w:w="10219"/>
          </w:cols>
          <w:pgMar w:left="240" w:top="419" w:right="1440" w:bottom="1041"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41"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the Company’s fiscal 2009 financial condition, results of operations or cash flows.</w:t>
      </w:r>
    </w:p>
    <w:p>
      <w:pPr>
        <w:spacing w:after="0" w:line="162"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As a result of these registration and recall matters, the Company has reversed sales associated with estimated returns of affected products, recorded charges for affected inventory and recorded other registration and recall-related costs. The impacts of these adjustments were pre-tax charges of $1.5 million and $6.4 million for the three-month periods, and $5.8 million and $22.0 million for the nine-month periods ended July 3, 2010 and June 27, 2009, respectively. The Company expects to incur $8.0 to $10.0 million in fiscal 2010 on recall and registration matters, excluding possible fines, penalties, judgments and/or litigation costs. These fiscal 2010 charges primarily consist of costs associated with the reworking of certain finished goods inventories, the disposal of certain products and ongoing third-party professional services related to the U.S. EPA and U.S. DOJ investigations.</w:t>
      </w:r>
    </w:p>
    <w:p>
      <w:pPr>
        <w:spacing w:after="0" w:line="152"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the Company cannot reasonably determine the scope or magnitude of possible liabilities that could result from known or potential product registration issues, and no reserves for these potential liabilities have been established as of July 3, 2010. However, it is possible that such liabilities, including fines, penalties, judgments and/or litigation costs, could be material and have an adverse effect on the Company’s financial condition, results of operations or cash flows.</w:t>
      </w:r>
    </w:p>
    <w:p>
      <w:pPr>
        <w:spacing w:after="0" w:line="12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during the three and nine months ended July 3, 2010 and June 27, 2009, and on accrued liabilities and inventory reserves as of July 3, 2010 (in millions):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8"/>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NINE MONTHS ENDED</w:t>
            </w:r>
          </w:p>
        </w:tc>
      </w:tr>
      <w:tr>
        <w:trPr>
          <w:trHeight w:val="210"/>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1"/>
              </w:rPr>
              <w:t>JULY 3, 2010</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JUNE 27, 2009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JULY 3, 2010</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JUNE 27, 2009</w:t>
            </w:r>
          </w:p>
        </w:tc>
        <w:tc>
          <w:tcPr>
            <w:tcW w:w="8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 — product recalls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sales — product recalls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other charges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1680" w:type="dxa"/>
            <w:vAlign w:val="bottom"/>
            <w:gridSpan w:val="6"/>
          </w:tcPr>
          <w:p>
            <w:pPr>
              <w:ind w:left="60"/>
              <w:spacing w:after="0"/>
              <w:rPr>
                <w:sz w:val="20"/>
                <w:szCs w:val="20"/>
                <w:color w:val="auto"/>
              </w:rPr>
            </w:pPr>
            <w:r>
              <w:rPr>
                <w:rFonts w:ascii="Arial" w:cs="Arial" w:eastAsia="Arial" w:hAnsi="Arial"/>
                <w:sz w:val="18"/>
                <w:szCs w:val="18"/>
                <w:b w:val="1"/>
                <w:bCs w:val="1"/>
                <w:color w:val="auto"/>
              </w:rPr>
              <w:t>RESERVES AT</w:t>
            </w:r>
          </w:p>
        </w:tc>
        <w:tc>
          <w:tcPr>
            <w:tcW w:w="1480" w:type="dxa"/>
            <w:vAlign w:val="bottom"/>
            <w:gridSpan w:val="4"/>
          </w:tcPr>
          <w:p>
            <w:pPr>
              <w:ind w:left="60"/>
              <w:spacing w:after="0"/>
              <w:rPr>
                <w:sz w:val="20"/>
                <w:szCs w:val="20"/>
                <w:color w:val="auto"/>
              </w:rPr>
            </w:pPr>
            <w:r>
              <w:rPr>
                <w:rFonts w:ascii="Arial" w:cs="Arial" w:eastAsia="Arial" w:hAnsi="Arial"/>
                <w:sz w:val="18"/>
                <w:szCs w:val="18"/>
                <w:b w:val="1"/>
                <w:bCs w:val="1"/>
                <w:color w:val="auto"/>
              </w:rPr>
              <w:t>COSTS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RESERVES AT</w:t>
            </w:r>
          </w:p>
        </w:tc>
      </w:tr>
      <w:tr>
        <w:trPr>
          <w:trHeight w:val="216"/>
        </w:trPr>
        <w:tc>
          <w:tcPr>
            <w:tcW w:w="362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5"/>
              </w:rPr>
              <w:t>SEPTEMBER 30,</w:t>
            </w:r>
          </w:p>
        </w:tc>
        <w:tc>
          <w:tcPr>
            <w:tcW w:w="1480" w:type="dxa"/>
            <w:vAlign w:val="bottom"/>
            <w:gridSpan w:val="4"/>
          </w:tcPr>
          <w:p>
            <w:pPr>
              <w:ind w:left="20"/>
              <w:spacing w:after="0"/>
              <w:rPr>
                <w:sz w:val="20"/>
                <w:szCs w:val="20"/>
                <w:color w:val="auto"/>
              </w:rPr>
            </w:pPr>
            <w:r>
              <w:rPr>
                <w:rFonts w:ascii="Arial" w:cs="Arial" w:eastAsia="Arial" w:hAnsi="Arial"/>
                <w:sz w:val="18"/>
                <w:szCs w:val="18"/>
                <w:b w:val="1"/>
                <w:bCs w:val="1"/>
                <w:color w:val="auto"/>
              </w:rPr>
              <w:t>CHANGES IN</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RESERVES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JULY 3,</w:t>
            </w:r>
          </w:p>
        </w:tc>
      </w:tr>
      <w:tr>
        <w:trPr>
          <w:trHeight w:val="234"/>
        </w:trPr>
        <w:tc>
          <w:tcPr>
            <w:tcW w:w="3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ESTIMATE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USED</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Accrued liabilities and inventory reserves</w:t>
            </w: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DETAIL OF INVENTORIES,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net of lower of cost-or-market reserves of $31.9 million, $33.0 million and $35.3 million as of July 3, 2010, June 27,</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2009 and September 30, 2009, respectively, consisted of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JULY 3,</w:t>
            </w:r>
          </w:p>
        </w:tc>
        <w:tc>
          <w:tcPr>
            <w:tcW w:w="1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JUNE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w:t>
            </w:r>
          </w:p>
        </w:tc>
      </w:tr>
      <w:tr>
        <w:trPr>
          <w:trHeight w:val="223"/>
        </w:trPr>
        <w:tc>
          <w:tcPr>
            <w:tcW w:w="5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MARKETING AGREEMENT</w:t>
      </w:r>
    </w:p>
    <w:p>
      <w:pPr>
        <w:spacing w:after="0" w:line="20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Company is Monsanto’s exclusive agent for the domestic and international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14"/>
          <w:szCs w:val="14"/>
          <w:color w:val="auto"/>
        </w:rPr>
        <w:t>®</w:t>
      </w:r>
      <w:r>
        <w:rPr>
          <w:rFonts w:ascii="Arial" w:cs="Arial" w:eastAsia="Arial" w:hAnsi="Arial"/>
          <w:sz w:val="17"/>
          <w:szCs w:val="17"/>
          <w:color w:val="auto"/>
        </w:rPr>
        <w:t xml:space="preserve"> business. The annual contribution payment is defined in the Marketing Agreement as $20 million.</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14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$18.9 million and $21.8 million for the three-month periods, and $54.0 million and $52.6 million for the nine-month periods, ended July 3, 2010 and June 27, 2009, respectively.</w:t>
      </w:r>
    </w:p>
    <w:p>
      <w:pPr>
        <w:spacing w:after="0" w:line="14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elements of the net commission earned under the Marketing Agreement and included in “Net sales” are as follows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NINE MONTHS ENDED</w:t>
            </w:r>
          </w:p>
        </w:tc>
      </w:tr>
      <w:tr>
        <w:trPr>
          <w:trHeight w:val="210"/>
        </w:trPr>
        <w:tc>
          <w:tcPr>
            <w:tcW w:w="3940" w:type="dxa"/>
            <w:vAlign w:val="bottom"/>
          </w:tcPr>
          <w:p>
            <w:pPr>
              <w:spacing w:after="0"/>
              <w:rPr>
                <w:sz w:val="18"/>
                <w:szCs w:val="18"/>
                <w:color w:val="auto"/>
              </w:rPr>
            </w:pPr>
          </w:p>
        </w:tc>
        <w:tc>
          <w:tcPr>
            <w:tcW w:w="13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JUNE 27, 2009</w:t>
            </w:r>
          </w:p>
        </w:tc>
        <w:tc>
          <w:tcPr>
            <w:tcW w:w="3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JUNE 27, 2009</w:t>
            </w:r>
          </w:p>
        </w:tc>
        <w:tc>
          <w:tcPr>
            <w:tcW w:w="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Contribution expenses</w:t>
            </w:r>
          </w:p>
        </w:tc>
        <w:tc>
          <w:tcPr>
            <w:tcW w:w="14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23"/>
        </w:trPr>
        <w:tc>
          <w:tcPr>
            <w:tcW w:w="3940" w:type="dxa"/>
            <w:vAlign w:val="bottom"/>
          </w:tcPr>
          <w:p>
            <w:pPr>
              <w:ind w:left="200"/>
              <w:spacing w:after="0"/>
              <w:rPr>
                <w:sz w:val="20"/>
                <w:szCs w:val="20"/>
                <w:color w:val="auto"/>
              </w:rPr>
            </w:pPr>
            <w:r>
              <w:rPr>
                <w:rFonts w:ascii="Arial" w:cs="Arial" w:eastAsia="Arial" w:hAnsi="Arial"/>
                <w:sz w:val="18"/>
                <w:szCs w:val="18"/>
                <w:color w:val="auto"/>
              </w:rPr>
              <w:t>Net commission income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Reimbursements associated with Marketing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r>
      <w:tr>
        <w:trPr>
          <w:trHeight w:val="209"/>
        </w:trPr>
        <w:tc>
          <w:tcPr>
            <w:tcW w:w="3940" w:type="dxa"/>
            <w:vAlign w:val="bottom"/>
          </w:tcPr>
          <w:p>
            <w:pPr>
              <w:ind w:left="200"/>
              <w:spacing w:after="0"/>
              <w:rPr>
                <w:sz w:val="20"/>
                <w:szCs w:val="20"/>
                <w:color w:val="auto"/>
              </w:rPr>
            </w:pPr>
            <w:r>
              <w:rPr>
                <w:rFonts w:ascii="Arial" w:cs="Arial" w:eastAsia="Arial" w:hAnsi="Arial"/>
                <w:sz w:val="18"/>
                <w:szCs w:val="18"/>
                <w:color w:val="auto"/>
              </w:rPr>
              <w:t>Total net sales associated with Marketing</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115.0</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91.9</w:t>
            </w: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146"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6. DEBT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The components of long-term debt are as follows (in millions):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JULY 3,</w:t>
            </w:r>
          </w:p>
        </w:tc>
        <w:tc>
          <w:tcPr>
            <w:tcW w:w="1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JUNE 27,</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Revolving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564.7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330.4</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526.4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456.4</w:t>
            </w: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Senior Notes — 7.25%</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 Accounts Receivable Purchase Agreement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Notes due to sellers</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bank borrowings and term loans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1,120.6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810.1</w:t>
            </w: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Less current portions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152.9</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the terms of these credit facilities, the Company may request an additional $200 million in revolving credit and/or term credit commitments, subject to approval from the lenders. Borrowings may be made in various currencies including U.S. dollars, Euros, British pounds, Australian dollars and Canadian dollars. Amortization payments on the term loan portion of the credit facilities began on September 30, 2007 and are due quarterly through 2012. As of July 3, 2010, the cumulative total amortization payments on the term loan were $215.6 million, reducing the balance of the Company’s term loans and effectively reducing the amount outstanding under the credit facilities.</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July 3, 2010, there was $1.45 billion of availability under the senior secured credit facilities, including letters of credit. Under the revolving loan facility, the Company has the ability to issue letter of credit commitments up to $65 million. At July 3, 2010, the Company had letters of credit in the aggregate face amount of $31.2 million outstanding.</w:t>
      </w:r>
    </w:p>
    <w:p>
      <w:pPr>
        <w:spacing w:after="0" w:line="154"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due 2018 (the “Senior Notes”). The proceeds of the offering were used to reduce outstanding borrowings under the Company’s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which began on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Scotts Miracle-Gro stock and prepayments of subordinated debt, limitations on asset sales and restrictions on transactions with affiliates. The Senior Notes mature on January 15, 2018. Certain of Scotts Miracle-Gro’s domestic subsidiaries serve as guarantors of the Senior Notes. Refer to “NOTE 16. FINANCIAL INFORMATION FOR SUBSIDIARY GUARANTORS AND NON-GUARANTORS” for more information regarding the guarantor entities.</w:t>
      </w:r>
    </w:p>
    <w:p>
      <w:pPr>
        <w:spacing w:after="0" w:line="13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At July 3, 2010, the Company had outstanding interest rate swaps with major financial institutions that effectively converted a portion of variable-rate debt denominated in U.S. dollars to a fixed rate. The swap agreements had a total U.S. dollar notional amount of $450 million at July 3, 2010. Interest payments made between the effective date and expiration date are hedged by the swap agreement, except as noted below. The effective dates, expiration dates and rates of these swap agreements are shown in the table below:</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EFFECTIVE</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EXPIRATION</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FIXED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NOTIONAL AMOUNT (IN MILLIONS)</w:t>
            </w:r>
          </w:p>
        </w:tc>
        <w:tc>
          <w:tcPr>
            <w:tcW w:w="60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DATE (a)</w:t>
            </w:r>
          </w:p>
        </w:tc>
        <w:tc>
          <w:tcPr>
            <w:tcW w:w="600" w:type="dxa"/>
            <w:vAlign w:val="bottom"/>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DATE</w:t>
            </w:r>
          </w:p>
        </w:tc>
        <w:tc>
          <w:tcPr>
            <w:tcW w:w="60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w:t>
            </w:r>
          </w:p>
        </w:tc>
        <w:tc>
          <w:tcPr>
            <w:tcW w:w="2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2/14/2007</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2/14/2012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50</w:t>
            </w:r>
          </w:p>
        </w:tc>
        <w:tc>
          <w:tcPr>
            <w:tcW w:w="2280" w:type="dxa"/>
            <w:vAlign w:val="bottom"/>
            <w:gridSpan w:val="3"/>
          </w:tcPr>
          <w:p>
            <w:pPr>
              <w:jc w:val="right"/>
              <w:ind w:right="600"/>
              <w:spacing w:after="0"/>
              <w:rPr>
                <w:sz w:val="20"/>
                <w:szCs w:val="20"/>
                <w:color w:val="auto"/>
              </w:rPr>
            </w:pPr>
            <w:r>
              <w:rPr>
                <w:rFonts w:ascii="Arial" w:cs="Arial" w:eastAsia="Arial" w:hAnsi="Arial"/>
                <w:sz w:val="18"/>
                <w:szCs w:val="18"/>
                <w:color w:val="auto"/>
              </w:rPr>
              <w:t>2/14/2012</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2/14/2016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150 (b)</w:t>
            </w:r>
          </w:p>
        </w:tc>
        <w:tc>
          <w:tcPr>
            <w:tcW w:w="2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11/16/2009</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5/16/2016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50 (c)</w:t>
            </w:r>
          </w:p>
        </w:tc>
        <w:tc>
          <w:tcPr>
            <w:tcW w:w="2280" w:type="dxa"/>
            <w:vAlign w:val="bottom"/>
            <w:gridSpan w:val="3"/>
          </w:tcPr>
          <w:p>
            <w:pPr>
              <w:jc w:val="right"/>
              <w:ind w:right="600"/>
              <w:spacing w:after="0"/>
              <w:rPr>
                <w:sz w:val="20"/>
                <w:szCs w:val="20"/>
                <w:color w:val="auto"/>
              </w:rPr>
            </w:pPr>
            <w:r>
              <w:rPr>
                <w:rFonts w:ascii="Arial" w:cs="Arial" w:eastAsia="Arial" w:hAnsi="Arial"/>
                <w:sz w:val="18"/>
                <w:szCs w:val="18"/>
                <w:color w:val="auto"/>
              </w:rPr>
              <w:t>2/16/2010</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5/16/2016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3.05%</w:t>
            </w:r>
          </w:p>
        </w:tc>
      </w:tr>
    </w:tbl>
    <w:p>
      <w:pPr>
        <w:spacing w:after="0" w:line="93"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effective date refers to the date on which interest payments were first hedged by the applicable swap contract.</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beginning November 14 of each year between the effective date and expiration date are hedged by the swap contract.</w:t>
      </w:r>
    </w:p>
    <w:p>
      <w:pPr>
        <w:spacing w:after="0" w:line="21"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beginning February 14 of each year between the effective date and expiration date are hedged by the swap contract.</w:t>
      </w:r>
    </w:p>
    <w:p>
      <w:pPr>
        <w:sectPr>
          <w:pgSz w:w="11900" w:h="16838" w:orient="portrait"/>
          <w:cols w:equalWidth="0" w:num="1">
            <w:col w:w="10219"/>
          </w:cols>
          <w:pgMar w:left="240" w:top="405" w:right="1440" w:bottom="744"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744"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April 9, 2008, the Company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14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May 1, 2009, the Company entered into a Master Accounts Receivable Purchase Agreement (the “2009 MARP Agreement”), with an initial stated termination date of May 1, 2010, or such later date as may be mutually agreed by the Company and its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13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On May 13, 2010, the Company and its lender entered into a First Amendment to the 2009 MARP Agreement (the “First Amendment”). The First Amendment, which was effective May 1, 2010, extended the stated termination date of the 2009 MARP Agreement through May 12, 2011, or such later date as may be mutually agreed by the Company and its lender. The 2009 MARP Agreement, as amended by the First Amendment, provides an interest rate that approximates the 7-day LIBOR rate plus 125 basis points; the First Amendment did not otherwise modify any substantive provisions of the 2009 MARP Agreement.</w:t>
      </w:r>
    </w:p>
    <w:p>
      <w:pPr>
        <w:spacing w:after="0" w:line="13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Company accounts for the sale of receivables under the 2009 MARP Agreement, as amended, as short-term debt and continues to carry the receivables on its Condensed, Consolidated Balance Sheet, primarily as a result of the Company’s right to repurchase receivables sold. The caption “Accounts receivable pledged” on the accompanying Condensed, Consolidated Balance Sheets in the amounts of $23.3 million, $23.5 million and $17.0 million as of July 3, 2010, June 27, 2009 and September 30, 2009, respectively, represents the pool of receivables that have been designated as “sold” under the 2009 and 2008 MARP Agreements, as applicable, and serve as collateral for short-term debt thereunder in the amounts of $15.0 million, $10.0 million and $4.2 million as of those dates, respectively.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the terms of all borrowing agreements at July 3, 2010.</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Notes Due to Sellers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Notes due to sellers include contingent consideration related to our May 2006 acquisition of certain brands and assets of Turf-Seed, Inc., a leading producer of quality commercial turfgrasses. Payment to the seller is due in the second half of fiscal 2012 and is largely based on the performance of the Company’s consumer and professional seed business for the twelve-month period ending in May 2012.</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description of the methods and assumptions used to estimate the fair values of the Company’s debt instruments is as follows: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 7.25%</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fair value of the Senior Notes can be determined based on the trading of the Senior Notes in the open market. The difference between the carrying value and the fair value of the Senior Notes represents the premium or discount on that date. Based on the trading value on or around July 3, 2010, the carrying value is a reasonable estimate of the fair value of the Senior Notes.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85"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interest rate on the short-term debt associated with accounts receivable pledged under the 2009 MARP Agreement fluctuates with the one-week LIBOR rate, and thus the carrying value is a reasonable estimate of fair value.</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COMPREHENSIVE INCOME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comprehensive income (expense) and total comprehensive income were as follows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right"/>
              <w:ind w:right="54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JUNE 27,</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of derivative instruments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Pension and other postretirement related items</w:t>
            </w:r>
          </w:p>
        </w:tc>
        <w:tc>
          <w:tcPr>
            <w:tcW w:w="12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RETIREMENT AND RETIREE MEDICAL PLANS COST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Company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2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JULY 3,</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JUNE 27,</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23"/>
        </w:trPr>
        <w:tc>
          <w:tcPr>
            <w:tcW w:w="4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On July 1, 2010, the Company froze its two United Kingdom defined benefit pension plans and transferred participants to an amended defined contribution plan. Under the frozen plans, participants are no longer credited for future service; however, future salary increases will continue to be factored into each participant’s final pension benefit. As a result of the freeze, the Company measured the unfunded status of the U.K. defined benefit pension plans as of July 3, 2010. The results of the freeze and remeasurement did not affect the Company’s results of operations or cash flows, and did not significantly affect the Company’s financial position.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SHARE-BASED COMPENSATION AWARDS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share-based compensation awards granted over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NINE MONTHS ENDED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JUNE 27, 2009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367,600</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696,100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Performance shares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w w:val="91"/>
              </w:rPr>
              <w:t>Restricted stock units (including deferred stock units)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287,508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232,350</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659,308</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1,168,850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Aggregate fair value at grant dates (in millions)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7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200" w:type="dxa"/>
            <w:vAlign w:val="bottom"/>
            <w:gridSpan w:val="5"/>
          </w:tcPr>
          <w:p>
            <w:pPr>
              <w:spacing w:after="0"/>
              <w:rPr>
                <w:sz w:val="20"/>
                <w:szCs w:val="20"/>
                <w:color w:val="auto"/>
              </w:rPr>
            </w:pPr>
            <w:r>
              <w:rPr>
                <w:rFonts w:ascii="Arial" w:cs="Arial" w:eastAsia="Arial" w:hAnsi="Arial"/>
                <w:sz w:val="18"/>
                <w:szCs w:val="18"/>
                <w:color w:val="auto"/>
                <w:w w:val="90"/>
              </w:rPr>
              <w:t>Total share-based compensation was as follows for the periods indicated (in millions):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NINE MONTHS ENDED</w:t>
            </w:r>
          </w:p>
        </w:tc>
        <w:tc>
          <w:tcPr>
            <w:tcW w:w="17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JUNE 27, 2009</w:t>
            </w:r>
          </w:p>
        </w:tc>
        <w:tc>
          <w:tcPr>
            <w:tcW w:w="3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JULY 3, 2010</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JUNE 27, 2009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INCOME TAXES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balance of unrecognized tax benefits related to uncertain tax positions and the amount of related interest and penalties were as follows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JULY 3,</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6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Portion that, if recognized, would impact the effective tax rate</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Accrued penalties on unrecognized tax benefits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Accrued interest on unrecognized tax benefits</w:t>
            </w:r>
          </w:p>
        </w:tc>
        <w:tc>
          <w:tcPr>
            <w:tcW w:w="1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147"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years prior to 2007. The Company is currently under examination by the Internal Revenue Service and certain U.S. state and local tax authorities. In regard to the U.S. state and local audits, the tax periods under investigation are limited to fiscal years 2005 through 2008. A federal audit of the Company’s fiscal 2008 tax year also commenced during the quarter ended July 3, 2010. In addition to these audits, certain other tax deficiency notices and refund claims for previous years remain unresolved.</w:t>
      </w:r>
    </w:p>
    <w:p>
      <w:pPr>
        <w:spacing w:after="0" w:line="12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6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has historically received a federal retiree drug subsidy as it offers retiree prescription drug coverage that is at a minimum as valuable as Medicare Part D coverage. The Patient Protection and Affordable Care Act (“PPACA”), which was enacted on March 23, 2010, repealed the existing rule that permitted a tax deduction for the portion of the drug coverage expense that was offset by the Medicare Part D subsidy received by the Company. This provision of PPACA was to be effective beginning with the Company’s fiscal 2012 tax year. On March 30, 2010, a companion bill, the Health Care and Education Reconciliation Act of 2010 (“HCERA”), was enacted. HCERA delayed the effective date of the reduction under PPACA until the Company’s fiscal 2014 tax year. As a result of this new legislation, the Company recorded a $1.9 million charge to tax expense during its second quarter of fiscal 2010 to reduce its deferred tax asset for the portion of the subsidy that will no longer be deductible when paid after fiscal 2013.</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CONTINGENCIES</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adverse effect on the Company’s financial condition, results of operations or cash flows. The following are the more significant of the Company’s identified contingencies: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FIFRA Compliance and the Corresponding Governmental Investigations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description of the Company’s ongoing FIFRA compliance efforts and the corresponding governmental investigations, see</w:t>
      </w:r>
    </w:p>
    <w:p>
      <w:pPr>
        <w:spacing w:after="0" w:line="46" w:lineRule="exact"/>
        <w:rPr>
          <w:sz w:val="20"/>
          <w:szCs w:val="20"/>
          <w:color w:val="auto"/>
        </w:rPr>
      </w:pPr>
    </w:p>
    <w:p>
      <w:pPr>
        <w:ind w:left="340" w:right="4759"/>
        <w:spacing w:after="0" w:line="453" w:lineRule="auto"/>
        <w:rPr>
          <w:sz w:val="20"/>
          <w:szCs w:val="20"/>
          <w:color w:val="auto"/>
        </w:rPr>
      </w:pPr>
      <w:r>
        <w:rPr>
          <w:rFonts w:ascii="Arial" w:cs="Arial" w:eastAsia="Arial" w:hAnsi="Arial"/>
          <w:sz w:val="18"/>
          <w:szCs w:val="18"/>
          <w:color w:val="auto"/>
        </w:rPr>
        <w:t xml:space="preserve">“NOTE 3. PRODUCT REGISTRATION AND RECALL MATTERS.” </w:t>
      </w:r>
      <w:r>
        <w:rPr>
          <w:rFonts w:ascii="Arial" w:cs="Arial" w:eastAsia="Arial" w:hAnsi="Arial"/>
          <w:sz w:val="18"/>
          <w:szCs w:val="18"/>
          <w:b w:val="1"/>
          <w:bCs w:val="1"/>
          <w:i w:val="1"/>
          <w:iCs w:val="1"/>
          <w:u w:val="single" w:color="auto"/>
          <w:color w:val="auto"/>
        </w:rPr>
        <w:t>Other Regulatory Matters</w:t>
      </w:r>
    </w:p>
    <w:p>
      <w:pPr>
        <w:spacing w:after="0" w:line="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1997, the Ohio Environmental Protection Agency initiated an enforcement action against the Company with respect to alleged surface water violations and inadequate wastewater treatment capabilities at its Marysville, Ohio facility, seeking corrective action under the federal Resource Conservation and Recovery Act of 1976, as amended (“RCRA”). The action related to discharges from on-site waste water treatment and several discontinued on-site disposal areas. Pursuant to a Consent Order entered by the Union County Common Pleas Court in 2002, as of June 2010 the Company has completed the required actions to restore the site and eliminate exposure to waste materials from the discontinued on-site disposal areas. The Company is obligated to perform long-term monitoring of the site for up to 25 to 30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or about March 19, 2010, the U.S. EPA Region VII issued notice to the Company indicating that the U.S. EPA intended to file an administrative complaint with respect to alleged RCRA violations arising out of an October 28-29, 2008 inspection of the Company’s Fort Madison, Iowa facility. The notice proposed a penalty of $466,977 and offered the Company the opportunity to negotiate a resolution of the proposed penalty before any complaint was filed. The Company made a timely response to the U.S. EPA and agreed to enter into pre-filing negotiations. Settlement discussions are underway.</w:t>
      </w:r>
    </w:p>
    <w:p>
      <w:pPr>
        <w:spacing w:after="0" w:line="146"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July 3, 2010, $2.5 million was accrued for other regulatory matters in the “Other liabilities” line in the Condensed, Consolidated Balance Sheet. The amounts accrued are believed to be adequate to cover such known environmental exposures based on current facts and estimates of likely outcomes. However, if facts and circumstances change significantly, they could result in a material adverse effect on the Company’s financial condition, results of operations or cash flows.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8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56"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4"/>
          <w:szCs w:val="14"/>
          <w:color w:val="auto"/>
        </w:rPr>
        <w:t>®</w:t>
      </w:r>
      <w:r>
        <w:rPr>
          <w:rFonts w:ascii="Arial" w:cs="Arial" w:eastAsia="Arial" w:hAnsi="Arial"/>
          <w:sz w:val="17"/>
          <w:szCs w:val="17"/>
          <w:color w:val="auto"/>
        </w:rPr>
        <w:t xml:space="preserve"> LawnPro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with respect to the Proposed Order and is awaiting a response.</w:t>
      </w:r>
    </w:p>
    <w:p>
      <w:pPr>
        <w:spacing w:after="0" w:line="13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financial condition,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185"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Company is exposed to market risks, such as changes in interest rates, currency exchange rates and commodity prices. To manage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4"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formally designates and documents qualifying instruments as hedges of underlying exposures at inception. The Company formally assesses, both at inception and at least quarterly,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Condensed,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three- and nine-month periods ended July 3, 2010 and June 27, 2009 were not significant.</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Foreign Currency Swap Contracts</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Company periodically uses foreign currency swap contracts to manage the exchange rate risk associated with intercompany loans with foreign subsidiaries that are denominated in local currencies. At July 3, 2010, the notional amount of outstanding foreign currency swap contracts was $211.4 million, with a fair value of $(5.6) million. The fair value of foreign currency swap contracts is determined based on changes in spot rates. The unrealized loss on the foreign currency swap contracts approximates the unrealized gain on the intercompany loans recognized by the Company’s lending subsidiaries.</w:t>
      </w:r>
    </w:p>
    <w:p>
      <w:pPr>
        <w:sectPr>
          <w:pgSz w:w="11900" w:h="16838" w:orient="portrait"/>
          <w:cols w:equalWidth="0" w:num="1">
            <w:col w:w="10219"/>
          </w:cols>
          <w:pgMar w:left="240" w:top="419" w:right="1440" w:bottom="919"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19"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98" w:lineRule="exact"/>
        <w:rPr>
          <w:sz w:val="20"/>
          <w:szCs w:val="20"/>
          <w:color w:val="auto"/>
        </w:rPr>
      </w:pPr>
    </w:p>
    <w:p>
      <w:pPr>
        <w:jc w:val="both"/>
        <w:ind w:left="340" w:right="1760"/>
        <w:spacing w:after="0" w:line="272"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exposure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137" w:lineRule="exact"/>
        <w:rPr>
          <w:sz w:val="20"/>
          <w:szCs w:val="20"/>
          <w:color w:val="auto"/>
        </w:rPr>
      </w:pPr>
    </w:p>
    <w:p>
      <w:pPr>
        <w:jc w:val="both"/>
        <w:ind w:left="340" w:right="1760"/>
        <w:spacing w:after="0" w:line="273" w:lineRule="auto"/>
        <w:rPr>
          <w:sz w:val="20"/>
          <w:szCs w:val="20"/>
          <w:color w:val="auto"/>
        </w:rPr>
      </w:pPr>
      <w:r>
        <w:rPr>
          <w:rFonts w:ascii="Arial" w:cs="Arial" w:eastAsia="Arial" w:hAnsi="Arial"/>
          <w:sz w:val="17"/>
          <w:szCs w:val="17"/>
          <w:color w:val="auto"/>
        </w:rPr>
        <w:t>At July 3, 2010 and June 27, 2009, the Company had outstanding interest rate swap agreements with major financial institutions that effectively converted a portion of the Company’s variable-rate debt to a fixed rate. The swap agreements had a total U.S. dollar equivalent notional amount of $450 million and $650 million at July 3, 2010 and June 27, 2009, respectively. Refer to “NOTE 6. DEBT” for the terms of the swap agreements outstanding at July 3, 2010. Included in the AOCI balance at July 3, 2010 was a pre-tax loss of $11.5 million related to interest rate swap agreements that is expected to be reclassified to earnings during the next 12 months, consistent with the timing of the underlying hedged transactions.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Commodity Hedges</w:t>
      </w:r>
    </w:p>
    <w:p>
      <w:pPr>
        <w:spacing w:after="0" w:line="198" w:lineRule="exact"/>
        <w:rPr>
          <w:sz w:val="20"/>
          <w:szCs w:val="20"/>
          <w:color w:val="auto"/>
        </w:rPr>
      </w:pPr>
    </w:p>
    <w:p>
      <w:pPr>
        <w:jc w:val="both"/>
        <w:ind w:left="340" w:right="1760"/>
        <w:spacing w:after="0" w:line="271" w:lineRule="auto"/>
        <w:rPr>
          <w:sz w:val="20"/>
          <w:szCs w:val="20"/>
          <w:color w:val="auto"/>
        </w:rPr>
      </w:pPr>
      <w:r>
        <w:rPr>
          <w:rFonts w:ascii="Arial" w:cs="Arial" w:eastAsia="Arial" w:hAnsi="Arial"/>
          <w:sz w:val="17"/>
          <w:szCs w:val="17"/>
          <w:color w:val="auto"/>
        </w:rPr>
        <w:t>The Company had outstanding hedging arrangements at July 3, 2010 designed to fix the price of a portion of its urea needs.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July 3, 2010 was a pre-tax gain of $0.8 million related to urea derivatives that is expected to be reclassified to earnings during the next 12 months, consistent with the timing of the underlying hedged transactions.</w:t>
      </w:r>
    </w:p>
    <w:p>
      <w:pPr>
        <w:spacing w:after="0" w:line="138"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Periodically, the Company also uses fuel derivatives to partially mitigate the effect of fluctuating diesel and gasoline costs on operating results. Fuel derivatives used by the Company that do not qualify for hedge accounting treatment in accordance with GAAP are marked-to-market, with unrealized gains and losses on open contracts and realized gains or losses on settled contracts recorded as an element of cost of sales.</w:t>
      </w:r>
    </w:p>
    <w:p>
      <w:pPr>
        <w:spacing w:after="0" w:line="146" w:lineRule="exact"/>
        <w:rPr>
          <w:sz w:val="20"/>
          <w:szCs w:val="20"/>
          <w:color w:val="auto"/>
        </w:rPr>
      </w:pPr>
    </w:p>
    <w:p>
      <w:pPr>
        <w:jc w:val="both"/>
        <w:ind w:left="340" w:right="1760"/>
        <w:spacing w:after="0" w:line="254" w:lineRule="auto"/>
        <w:rPr>
          <w:sz w:val="20"/>
          <w:szCs w:val="20"/>
          <w:color w:val="auto"/>
        </w:rPr>
      </w:pPr>
      <w:r>
        <w:rPr>
          <w:rFonts w:ascii="Arial" w:cs="Arial" w:eastAsia="Arial" w:hAnsi="Arial"/>
          <w:sz w:val="18"/>
          <w:szCs w:val="18"/>
          <w:color w:val="auto"/>
        </w:rPr>
        <w:t>Beginning in fiscal 2009, the Company entered into fuel derivatives for its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that qualify for hedge accounting treatment. Unrealized gains or losses in the fair value of these contracts are recorded to the AOCI component of shareholders’ equity except for any ineffective portion of the change in fair value, which is immediately recorded in earnings. For the effective portion of the change in fair value, realized gains or losses remain as a component of AOCI until the related fuel is consumed by the Scotts LawnService</w:t>
      </w:r>
      <w:r>
        <w:rPr>
          <w:rFonts w:ascii="Arial" w:cs="Arial" w:eastAsia="Arial" w:hAnsi="Arial"/>
          <w:sz w:val="15"/>
          <w:szCs w:val="15"/>
          <w:color w:val="auto"/>
        </w:rPr>
        <w:t>®</w:t>
      </w:r>
      <w:r>
        <w:rPr>
          <w:rFonts w:ascii="Arial" w:cs="Arial" w:eastAsia="Arial" w:hAnsi="Arial"/>
          <w:sz w:val="18"/>
          <w:szCs w:val="18"/>
          <w:color w:val="auto"/>
        </w:rPr>
        <w:t xml:space="preserve"> service vehicles. Upon consumption of the fuel, the gain or loss is reclassified to cost of sales. The pre-tax gain included in the AOCI balance at July 3, 2010 related to the fuel derivatives that is expected to be reclassified from AOCI to earnings during the next 12 months, consistent with the timing of the underlying hedged transactions, is not significant.</w:t>
      </w:r>
    </w:p>
    <w:p>
      <w:pPr>
        <w:spacing w:after="0" w:line="165"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As of July 3, 2010, the Company had the following outstanding commodity contracts that were entered into to hedge forecasted purchases: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COMMODITY</w:t>
            </w:r>
          </w:p>
        </w:tc>
        <w:tc>
          <w:tcPr>
            <w:tcW w:w="4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VOLUME</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Urea</w:t>
            </w:r>
          </w:p>
        </w:tc>
        <w:tc>
          <w:tcPr>
            <w:tcW w:w="4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62,000 tons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Diesel</w:t>
            </w: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0"/>
              </w:rPr>
              <w:t>2,058,000 gallons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Gasoline</w:t>
            </w:r>
          </w:p>
        </w:tc>
        <w:tc>
          <w:tcPr>
            <w:tcW w:w="4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126,000 gallons</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80" w:type="dxa"/>
            <w:vAlign w:val="bottom"/>
          </w:tcPr>
          <w:p>
            <w:pPr>
              <w:jc w:val="right"/>
              <w:ind w:right="29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Values of Derivative Instruments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6"/>
                <w:szCs w:val="16"/>
                <w:b w:val="1"/>
                <w:bCs w:val="1"/>
                <w:color w:val="auto"/>
              </w:rPr>
              <w:t>ASSETS / (LIABILITIES)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JULY 3,</w:t>
            </w:r>
          </w:p>
        </w:tc>
        <w:tc>
          <w:tcPr>
            <w:tcW w:w="10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JUNE 27,</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w w:val="96"/>
              </w:rPr>
              <w:t>SEPTEMBER 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DERIVATIVES DESIGNATED AS HEDGING</w:t>
            </w: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2010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2009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INSTRUMENTS</w:t>
            </w:r>
          </w:p>
        </w:tc>
        <w:tc>
          <w:tcPr>
            <w:tcW w:w="140" w:type="dxa"/>
            <w:vAlign w:val="bottom"/>
          </w:tcPr>
          <w:p>
            <w:pPr>
              <w:spacing w:after="0"/>
              <w:rPr>
                <w:sz w:val="17"/>
                <w:szCs w:val="17"/>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w:t>
            </w: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rate swap agreements</w:t>
            </w: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(23.5)</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402"/>
        </w:trPr>
        <w:tc>
          <w:tcPr>
            <w:tcW w:w="3680" w:type="dxa"/>
            <w:vAlign w:val="bottom"/>
            <w:gridSpan w:val="2"/>
          </w:tcPr>
          <w:p>
            <w:pPr>
              <w:ind w:left="200"/>
              <w:spacing w:after="0"/>
              <w:rPr>
                <w:sz w:val="20"/>
                <w:szCs w:val="20"/>
                <w:color w:val="auto"/>
              </w:rPr>
            </w:pPr>
            <w:r>
              <w:rPr>
                <w:rFonts w:ascii="Arial" w:cs="Arial" w:eastAsia="Arial" w:hAnsi="Arial"/>
                <w:sz w:val="16"/>
                <w:szCs w:val="16"/>
                <w:color w:val="auto"/>
              </w:rPr>
              <w:t>Commodity hedging instruments</w:t>
            </w:r>
          </w:p>
        </w:tc>
        <w:tc>
          <w:tcPr>
            <w:tcW w:w="1720" w:type="dxa"/>
            <w:vAlign w:val="bottom"/>
          </w:tcPr>
          <w:p>
            <w:pPr>
              <w:spacing w:after="0"/>
              <w:rPr>
                <w:sz w:val="20"/>
                <w:szCs w:val="20"/>
                <w:color w:val="auto"/>
              </w:rPr>
            </w:pPr>
            <w:r>
              <w:rPr>
                <w:rFonts w:ascii="Arial" w:cs="Arial" w:eastAsia="Arial" w:hAnsi="Arial"/>
                <w:sz w:val="16"/>
                <w:szCs w:val="16"/>
                <w:color w:val="auto"/>
                <w:w w:val="95"/>
              </w:rPr>
              <w:t>Prepaid and other assets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6"/>
                <w:szCs w:val="16"/>
                <w:color w:val="auto"/>
                <w:w w:val="99"/>
              </w:rPr>
              <w:t>Total derivatives designated as hedging instruments</w:t>
            </w:r>
          </w:p>
        </w:tc>
        <w:tc>
          <w:tcPr>
            <w:tcW w:w="17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8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(21.0)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(23.1)</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DERIVATIVES NOT DESIGNATED AS</w:t>
            </w: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68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40" w:type="dxa"/>
            <w:vAlign w:val="bottom"/>
            <w:tcBorders>
              <w:bottom w:val="single" w:sz="8" w:color="auto"/>
            </w:tcBorders>
          </w:tcPr>
          <w:p>
            <w:pPr>
              <w:spacing w:after="0" w:line="220" w:lineRule="exact"/>
              <w:rPr>
                <w:sz w:val="20"/>
                <w:szCs w:val="20"/>
                <w:color w:val="auto"/>
              </w:rPr>
            </w:pPr>
            <w:r>
              <w:rPr>
                <w:rFonts w:ascii="Arial" w:cs="Arial" w:eastAsia="Arial" w:hAnsi="Arial"/>
                <w:sz w:val="15"/>
                <w:szCs w:val="15"/>
                <w:b w:val="1"/>
                <w:bCs w:val="1"/>
                <w:color w:val="auto"/>
              </w:rPr>
              <w:t xml:space="preserve">HEDGING INSTRUMENTS </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currency swap contracts</w:t>
            </w: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402"/>
        </w:trPr>
        <w:tc>
          <w:tcPr>
            <w:tcW w:w="3680" w:type="dxa"/>
            <w:vAlign w:val="bottom"/>
            <w:gridSpan w:val="2"/>
          </w:tcPr>
          <w:p>
            <w:pPr>
              <w:ind w:left="200"/>
              <w:spacing w:after="0"/>
              <w:rPr>
                <w:sz w:val="20"/>
                <w:szCs w:val="20"/>
                <w:color w:val="auto"/>
              </w:rPr>
            </w:pPr>
            <w:r>
              <w:rPr>
                <w:rFonts w:ascii="Arial" w:cs="Arial" w:eastAsia="Arial" w:hAnsi="Arial"/>
                <w:sz w:val="16"/>
                <w:szCs w:val="16"/>
                <w:color w:val="auto"/>
              </w:rPr>
              <w:t>Commodity hedging instruments</w:t>
            </w:r>
          </w:p>
        </w:tc>
        <w:tc>
          <w:tcPr>
            <w:tcW w:w="1720" w:type="dxa"/>
            <w:vAlign w:val="bottom"/>
          </w:tcPr>
          <w:p>
            <w:pPr>
              <w:spacing w:after="0"/>
              <w:rPr>
                <w:sz w:val="20"/>
                <w:szCs w:val="20"/>
                <w:color w:val="auto"/>
              </w:rPr>
            </w:pPr>
            <w:r>
              <w:rPr>
                <w:rFonts w:ascii="Arial" w:cs="Arial" w:eastAsia="Arial" w:hAnsi="Arial"/>
                <w:sz w:val="16"/>
                <w:szCs w:val="16"/>
                <w:color w:val="auto"/>
                <w:w w:val="95"/>
              </w:rPr>
              <w:t>Prepaid and other assets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rPr>
                <w:sz w:val="20"/>
                <w:szCs w:val="20"/>
                <w:color w:val="auto"/>
              </w:rPr>
            </w:pPr>
            <w:r>
              <w:rPr>
                <w:rFonts w:ascii="Arial" w:cs="Arial" w:eastAsia="Arial" w:hAnsi="Arial"/>
                <w:sz w:val="16"/>
                <w:szCs w:val="16"/>
                <w:color w:val="auto"/>
              </w:rPr>
              <w:t>Total derivatives not designated as hedging</w:t>
            </w: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200"/>
              <w:spacing w:after="0" w:line="216" w:lineRule="exact"/>
              <w:rPr>
                <w:sz w:val="20"/>
                <w:szCs w:val="20"/>
                <w:color w:val="auto"/>
              </w:rPr>
            </w:pPr>
            <w:r>
              <w:rPr>
                <w:rFonts w:ascii="Arial" w:cs="Arial" w:eastAsia="Arial" w:hAnsi="Arial"/>
                <w:sz w:val="15"/>
                <w:szCs w:val="15"/>
                <w:color w:val="auto"/>
              </w:rPr>
              <w:t xml:space="preserve">instruments </w:t>
            </w:r>
            <w:r>
              <w:rPr>
                <w:rFonts w:ascii="Arial" w:cs="Arial" w:eastAsia="Arial" w:hAnsi="Arial"/>
                <w:sz w:val="25"/>
                <w:szCs w:val="25"/>
                <w:color w:val="auto"/>
                <w:vertAlign w:val="superscript"/>
              </w:rPr>
              <w:t>(1)</w:t>
            </w:r>
          </w:p>
        </w:tc>
        <w:tc>
          <w:tcPr>
            <w:tcW w:w="17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derivatives</w:t>
            </w:r>
          </w:p>
        </w:tc>
        <w:tc>
          <w:tcPr>
            <w:tcW w:w="17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(22.7)</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discussion above for additional information regarding the Company’s purpose for entering into derivatives not designated as hedging instruments and its overall risk management strategy.</w:t>
      </w:r>
    </w:p>
    <w:p>
      <w:pPr>
        <w:spacing w:after="0" w:line="13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Refer to “NOTE 13. FAIR VALUE MEASUREMENTS” for the Company’s fair value measurements of derivative instruments as they relate to the valuation hierarchy.</w:t>
      </w:r>
    </w:p>
    <w:p>
      <w:pPr>
        <w:spacing w:after="0" w:line="13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the three- and nine-month periods ended July 3, 2010 and June 27, 2009 was as follows (in millions):</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gridSpan w:val="12"/>
          </w:tcPr>
          <w:p>
            <w:pPr>
              <w:jc w:val="right"/>
              <w:ind w:right="400"/>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Borders>
              <w:top w:val="single" w:sz="8" w:color="auto"/>
            </w:tcBorders>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48"/>
              <w:spacing w:after="0" w:line="142" w:lineRule="exact"/>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80" w:type="dxa"/>
            <w:vAlign w:val="bottom"/>
            <w:vMerge w:val="restart"/>
          </w:tcPr>
          <w:p>
            <w:pPr>
              <w:spacing w:after="0"/>
              <w:rPr>
                <w:sz w:val="10"/>
                <w:szCs w:val="10"/>
                <w:color w:val="auto"/>
              </w:rPr>
            </w:pPr>
          </w:p>
        </w:tc>
        <w:tc>
          <w:tcPr>
            <w:tcW w:w="800" w:type="dxa"/>
            <w:vAlign w:val="bottom"/>
            <w:tcBorders>
              <w:top w:val="single" w:sz="8" w:color="auto"/>
            </w:tcBorders>
          </w:tcPr>
          <w:p>
            <w:pPr>
              <w:ind w:left="280"/>
              <w:spacing w:after="0" w:line="119" w:lineRule="exact"/>
              <w:rPr>
                <w:sz w:val="20"/>
                <w:szCs w:val="20"/>
                <w:color w:val="auto"/>
              </w:rPr>
            </w:pPr>
            <w:r>
              <w:rPr>
                <w:rFonts w:ascii="Arial" w:cs="Arial" w:eastAsia="Arial" w:hAnsi="Arial"/>
                <w:sz w:val="13"/>
                <w:szCs w:val="13"/>
                <w:b w:val="1"/>
                <w:bCs w:val="1"/>
                <w:color w:val="auto"/>
              </w:rPr>
              <w:t>JULY 3,</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09"/>
              <w:spacing w:after="0" w:line="119" w:lineRule="exact"/>
              <w:rPr>
                <w:sz w:val="20"/>
                <w:szCs w:val="20"/>
                <w:color w:val="auto"/>
              </w:rPr>
            </w:pPr>
            <w:r>
              <w:rPr>
                <w:rFonts w:ascii="Arial" w:cs="Arial" w:eastAsia="Arial" w:hAnsi="Arial"/>
                <w:sz w:val="13"/>
                <w:szCs w:val="13"/>
                <w:b w:val="1"/>
                <w:bCs w:val="1"/>
                <w:color w:val="auto"/>
              </w:rPr>
              <w:t>JUNE 27,</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JULY 3,</w:t>
            </w:r>
          </w:p>
        </w:tc>
        <w:tc>
          <w:tcPr>
            <w:tcW w:w="740" w:type="dxa"/>
            <w:vAlign w:val="bottom"/>
            <w:tcBorders>
              <w:top w:val="single" w:sz="8" w:color="auto"/>
            </w:tcBorders>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JUNE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Interest rate swap agreements</w:t>
            </w:r>
          </w:p>
        </w:tc>
        <w:tc>
          <w:tcPr>
            <w:tcW w:w="800" w:type="dxa"/>
            <w:vAlign w:val="bottom"/>
            <w:shd w:val="clear" w:color="auto" w:fill="CCEEFF"/>
          </w:tcPr>
          <w:p>
            <w:pPr>
              <w:jc w:val="right"/>
              <w:ind w:right="649"/>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97"/>
              </w:rPr>
              <w:t>(6.2)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5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Commodity hedging instruments</w:t>
            </w:r>
          </w:p>
        </w:tc>
        <w:tc>
          <w:tcPr>
            <w:tcW w:w="80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(0.6)</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(6.8)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12"/>
          </w:tcPr>
          <w:p>
            <w:pPr>
              <w:ind w:left="160"/>
              <w:spacing w:after="0"/>
              <w:rPr>
                <w:sz w:val="20"/>
                <w:szCs w:val="20"/>
                <w:color w:val="auto"/>
              </w:rPr>
            </w:pPr>
            <w:r>
              <w:rPr>
                <w:rFonts w:ascii="Arial" w:cs="Arial" w:eastAsia="Arial" w:hAnsi="Arial"/>
                <w:sz w:val="14"/>
                <w:szCs w:val="14"/>
                <w:b w:val="1"/>
                <w:bCs w:val="1"/>
                <w:color w:val="auto"/>
              </w:rPr>
              <w:t>AMOUNT OF GAIN / (LOSS) RECLASSIFIED FROM AOCI</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 / (LOSS)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INTO EARNINGS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90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Arial" w:cs="Arial" w:eastAsia="Arial" w:hAnsi="Arial"/>
                <w:sz w:val="13"/>
                <w:szCs w:val="13"/>
                <w:b w:val="1"/>
                <w:bCs w:val="1"/>
                <w:color w:val="auto"/>
              </w:rPr>
              <w:t>DERIVATIVES IN CASH FLOW</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RECLASSIFIED FROM</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JULY 3,</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JUNE 27,</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JULY 3,</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JUNE 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RELATIONSHIPS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AOCI INTO EARNINGS</w:t>
            </w:r>
          </w:p>
        </w:tc>
        <w:tc>
          <w:tcPr>
            <w:tcW w:w="16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Interest rate swap agreements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1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(3.2)</w:t>
            </w:r>
          </w:p>
        </w:tc>
        <w:tc>
          <w:tcPr>
            <w:tcW w:w="1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EEFF"/>
            </w:tcBorders>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Commodity hedging instruments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Cost of sales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12"/>
          </w:tcPr>
          <w:p>
            <w:pPr>
              <w:ind w:left="160"/>
              <w:spacing w:after="0"/>
              <w:rPr>
                <w:sz w:val="20"/>
                <w:szCs w:val="20"/>
                <w:color w:val="auto"/>
              </w:rPr>
            </w:pPr>
            <w:r>
              <w:rPr>
                <w:rFonts w:ascii="Arial" w:cs="Arial" w:eastAsia="Arial" w:hAnsi="Arial"/>
                <w:sz w:val="14"/>
                <w:szCs w:val="14"/>
                <w:b w:val="1"/>
                <w:bCs w:val="1"/>
                <w:color w:val="auto"/>
              </w:rPr>
              <w:t>AMOUNT OF GAIN / (LOSS) RECOGNIZED IN EARNINGS</w:t>
            </w:r>
          </w:p>
        </w:tc>
        <w:tc>
          <w:tcPr>
            <w:tcW w:w="0" w:type="dxa"/>
            <w:vAlign w:val="bottom"/>
          </w:tcPr>
          <w:p>
            <w:pPr>
              <w:spacing w:after="0"/>
              <w:rPr>
                <w:sz w:val="1"/>
                <w:szCs w:val="1"/>
                <w:color w:val="auto"/>
              </w:rPr>
            </w:pPr>
          </w:p>
        </w:tc>
      </w:tr>
      <w:tr>
        <w:trPr>
          <w:trHeight w:val="142"/>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 / (LOSS)</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6"/>
          </w:tcPr>
          <w:p>
            <w:pPr>
              <w:ind w:left="6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JULY 3,</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9"/>
              <w:spacing w:after="0" w:line="119" w:lineRule="exact"/>
              <w:rPr>
                <w:sz w:val="20"/>
                <w:szCs w:val="20"/>
                <w:color w:val="auto"/>
              </w:rPr>
            </w:pPr>
            <w:r>
              <w:rPr>
                <w:rFonts w:ascii="Arial" w:cs="Arial" w:eastAsia="Arial" w:hAnsi="Arial"/>
                <w:sz w:val="13"/>
                <w:szCs w:val="13"/>
                <w:b w:val="1"/>
                <w:bCs w:val="1"/>
                <w:color w:val="auto"/>
              </w:rPr>
              <w:t>JUNE 27,</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JULY 3,</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JUNE 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HEDGING INSTRUMENTS</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Foreign currency swap contracts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(5.6)</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CEEFF"/>
            </w:tcBorders>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ind w:right="21"/>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CCEEFF"/>
            </w:tcBorders>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Commodity hedging instruments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3"/>
          </w:tcPr>
          <w:p>
            <w:pPr>
              <w:spacing w:after="0" w:line="149" w:lineRule="exact"/>
              <w:rPr>
                <w:sz w:val="20"/>
                <w:szCs w:val="20"/>
                <w:color w:val="auto"/>
              </w:rPr>
            </w:pPr>
            <w:r>
              <w:rPr>
                <w:rFonts w:ascii="Arial" w:cs="Arial" w:eastAsia="Arial" w:hAnsi="Arial"/>
                <w:sz w:val="14"/>
                <w:szCs w:val="14"/>
                <w:color w:val="auto"/>
              </w:rPr>
              <w:t>Cost of sales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(6.4)</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21"/>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FAIR VALUE MEASUREMENTS</w:t>
      </w:r>
    </w:p>
    <w:p>
      <w:pPr>
        <w:spacing w:after="0" w:line="20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adopted the new accounting guidance for all financial assets and liabilities accounted for at fair value on a recurring basis effective October 1, 2008. The Company adopted the new accounting guidance for all non-financial assets and liabilities accounted for at fair value on a non-recurring basis effective October 1, 2009. The guidance defines fair value, establishes a framework for measuring fair value, and expands disclosures about fair value measurements. It defines fair value as the exchange price that would be received for an asset or paid to transfer a liability (an exit price) in the principal or the most advantageous market for the asset or liability in an orderly transaction between market participants at the measurement date. GAAP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85"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active markets; quoted prices for similar assets and liabilities in markets that are not active; or other inputs that are observable or can be corroborated by observable market data.</w:t>
      </w:r>
    </w:p>
    <w:p>
      <w:pPr>
        <w:spacing w:after="0" w:line="154"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or liabilities. This includes pricing models, discounted cash flow methodologies and similar techniques that use significant unobservable inputs.</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The Company uses foreign currency swap contracts to manage the exchange rate risk associated with intercompany loans with foreign subsidiaries that are denominated in U.S. dollars. These contracts are valued using observable forward rates in commonly quoted intervals for the full term of the contracts.</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Interest rate derivatives consist of interest rate swap agreements. The Company enters into interest rate swap agreements as a means to hedge its variable interest rate exposure on debt instruments. The fair value of the swap agreements is determined based on the present value of the estimated future net cash flows using implied rates in the applicable yield curve as of the valuation date.</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hedging arrangements designed to fix the price of a portion of its urea and fuel needs. The objective of the hedges is to mitigate the earnings and cash flow volatility attributable to the risk of changing prices. These contracts are measured using observable commodity exchange prices in active markets.</w:t>
      </w:r>
    </w:p>
    <w:p>
      <w:pPr>
        <w:spacing w:after="0" w:line="154"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assets” and “Other current liabilities.”</w:t>
      </w:r>
    </w:p>
    <w:p>
      <w:pPr>
        <w:spacing w:after="0" w:line="10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For further information on the Company’s derivative instruments, refer to “NOTE 12. DERIVATIVE INSTRUMENTS AND HEDGING ACTIVITIES.”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Other financial assets consist of investment securities in non-qualified retirement plan assets. These securities are valued using observable market prices in active markets. These investment securities are classified within Level 1 of the valuation hierarchy and are included within “Other assets” in the Company’s Condensed, Consolidated Balance Sheets.</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July 3, 2010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Quoted Prices in Active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Markets for Identical</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Significant Other</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1"/>
              </w:rPr>
              <w:t>Assets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Interest rate swap agreements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swap contracts</w:t>
            </w:r>
          </w:p>
        </w:tc>
        <w:tc>
          <w:tcPr>
            <w:tcW w:w="3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Commodity hedging instruments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ACQUISITIONS</w:t>
      </w:r>
    </w:p>
    <w:p>
      <w:pPr>
        <w:spacing w:after="0" w:line="189"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There was no acquisition activity in the first nine months of fiscal 2010. Effective October 1, 2008, the Company acquired Humax Horticulture Limited, a privately-owned growing media company in the United Kingdom, for a total cost of $9.3 million.</w:t>
      </w:r>
    </w:p>
    <w:p>
      <w:pPr>
        <w:spacing w:after="0" w:line="8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May 2006, the Company acquired certain brands and assets of Turf-Seed, Inc., a leading producer of quality commercial turfgrasses, for cash of $10.0 million, assumed liabilities of $4.5 million and contingent consideration due in the second half of fiscal 2012. The contingent consideration is largely based on the performance of the Company’s consumer and professional seed business for the twelve-month period ending in May 2012.</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SEGMENT INFORMATION</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Company divides its business into the following segments —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This division of reportable segments is consistent with how the segments report to and are managed by senior management of the Company. Certain reclassifications were made to the Global Consumer and Global Professional prior period amounts to reflect changes in the structure of the Company’s organization effective in fiscal 2010. Prior to being reported as discontinued operations, Smith &amp; Hawken was included as part of the Company’s Corporate &amp; Other reportable segment.</w:t>
      </w:r>
    </w:p>
    <w:p>
      <w:pPr>
        <w:spacing w:after="0" w:line="11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pacing w:after="0" w:line="13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wetting agents, grass seed products, spreaders and customer application services. Products are sold to commercial nurseries and greenhouses and specialty crop growers, primarily in North America and Europe.</w:t>
      </w:r>
    </w:p>
    <w:p>
      <w:pPr>
        <w:spacing w:after="0" w:line="10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tree and shrub fertilization and limited pest control services primarily to residential consumers through Company-owned branches and franchises in the United States.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&amp; Other segment primarily consists of corporate general and administrative expenses.</w:t>
      </w:r>
    </w:p>
    <w:p>
      <w:pPr>
        <w:spacing w:after="0" w:line="19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are not GAAP measures. Senior management of the Company uses this measure of operating profit to gauge segment performance because the Company believes this measure is the most indicative of performance trends and the overall earnings potential of each segment. The following tables present segment financial information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NINE MONTHS</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ENDED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ENDED</w:t>
            </w: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85"/>
              <w:spacing w:after="0" w:line="191" w:lineRule="exact"/>
              <w:rPr>
                <w:sz w:val="20"/>
                <w:szCs w:val="20"/>
                <w:color w:val="auto"/>
              </w:rPr>
            </w:pPr>
            <w:r>
              <w:rPr>
                <w:rFonts w:ascii="Arial" w:cs="Arial" w:eastAsia="Arial" w:hAnsi="Arial"/>
                <w:sz w:val="18"/>
                <w:szCs w:val="18"/>
                <w:b w:val="1"/>
                <w:bCs w:val="1"/>
                <w:color w:val="auto"/>
                <w:w w:val="99"/>
              </w:rPr>
              <w:t>JULY 3,</w:t>
            </w: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4"/>
          </w:tcPr>
          <w:p>
            <w:pPr>
              <w:jc w:val="center"/>
              <w:ind w:right="5"/>
              <w:spacing w:after="0" w:line="191" w:lineRule="exact"/>
              <w:rPr>
                <w:sz w:val="20"/>
                <w:szCs w:val="20"/>
                <w:color w:val="auto"/>
              </w:rPr>
            </w:pPr>
            <w:r>
              <w:rPr>
                <w:rFonts w:ascii="Arial" w:cs="Arial" w:eastAsia="Arial" w:hAnsi="Arial"/>
                <w:sz w:val="18"/>
                <w:szCs w:val="18"/>
                <w:b w:val="1"/>
                <w:bCs w:val="1"/>
                <w:color w:val="auto"/>
                <w:w w:val="94"/>
              </w:rPr>
              <w:t>JUNE 27,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96"/>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5"/>
              <w:spacing w:after="0"/>
              <w:rPr>
                <w:sz w:val="20"/>
                <w:szCs w:val="20"/>
                <w:color w:val="auto"/>
              </w:rPr>
            </w:pPr>
            <w:r>
              <w:rPr>
                <w:rFonts w:ascii="Arial" w:cs="Arial" w:eastAsia="Arial" w:hAnsi="Arial"/>
                <w:sz w:val="18"/>
                <w:szCs w:val="18"/>
                <w:color w:val="auto"/>
              </w:rPr>
              <w:t>1,085.9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50"/>
              <w:spacing w:after="0"/>
              <w:rPr>
                <w:sz w:val="20"/>
                <w:szCs w:val="20"/>
                <w:color w:val="auto"/>
              </w:rPr>
            </w:pPr>
            <w:r>
              <w:rPr>
                <w:rFonts w:ascii="Arial" w:cs="Arial" w:eastAsia="Arial" w:hAnsi="Arial"/>
                <w:sz w:val="18"/>
                <w:szCs w:val="18"/>
                <w:color w:val="auto"/>
              </w:rPr>
              <w:t>1,083.2</w:t>
            </w:r>
          </w:p>
        </w:tc>
        <w:tc>
          <w:tcPr>
            <w:tcW w:w="3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1200" w:type="dxa"/>
            <w:vAlign w:val="bottom"/>
            <w:gridSpan w:val="5"/>
          </w:tcPr>
          <w:p>
            <w:pPr>
              <w:jc w:val="right"/>
              <w:ind w:right="360"/>
              <w:spacing w:after="0"/>
              <w:rPr>
                <w:sz w:val="20"/>
                <w:szCs w:val="20"/>
                <w:color w:val="auto"/>
              </w:rPr>
            </w:pPr>
            <w:r>
              <w:rPr>
                <w:rFonts w:ascii="Arial" w:cs="Arial" w:eastAsia="Arial" w:hAnsi="Arial"/>
                <w:sz w:val="18"/>
                <w:szCs w:val="18"/>
                <w:color w:val="auto"/>
              </w:rPr>
              <w:t>2,314.6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2,112.1</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71.9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205.3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196.5</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w w:val="88"/>
              </w:rPr>
              <w:t>144.9</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150.5</w:t>
            </w: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2,664.8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2,459.1</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registration and recall matters-returns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1,231.</w:t>
            </w:r>
            <w:r>
              <w:rPr>
                <w:rFonts w:ascii="Arial" w:cs="Arial" w:eastAsia="Arial" w:hAnsi="Arial"/>
                <w:sz w:val="18"/>
                <w:szCs w:val="18"/>
                <w:u w:val="single" w:color="auto"/>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2,664.</w:t>
            </w:r>
            <w:r>
              <w:rPr>
                <w:rFonts w:ascii="Arial" w:cs="Arial" w:eastAsia="Arial" w:hAnsi="Arial"/>
                <w:sz w:val="18"/>
                <w:szCs w:val="18"/>
                <w:u w:val="single" w:color="auto"/>
                <w:color w:val="auto"/>
              </w:rPr>
              <w:t>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2,458.2</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5"/>
              <w:spacing w:after="0"/>
              <w:rPr>
                <w:sz w:val="20"/>
                <w:szCs w:val="20"/>
                <w:color w:val="auto"/>
              </w:rPr>
            </w:pPr>
            <w:r>
              <w:rPr>
                <w:rFonts w:ascii="Arial" w:cs="Arial" w:eastAsia="Arial" w:hAnsi="Arial"/>
                <w:sz w:val="18"/>
                <w:szCs w:val="18"/>
                <w:color w:val="auto"/>
              </w:rPr>
              <w:t>292.7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w w:val="84"/>
              </w:rPr>
              <w:t>265.2</w:t>
            </w:r>
          </w:p>
        </w:tc>
        <w:tc>
          <w:tcPr>
            <w:tcW w:w="3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w w:val="88"/>
              </w:rPr>
              <w:t>510.2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429.2</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5"/>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7"/>
              </w:rPr>
              <w:t>(83.7)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259.3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443.3</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Other amortization</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registration and recall matters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250.0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429.2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6"/>
              </w:rPr>
              <w:t>JULY 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4"/>
              </w:rPr>
              <w:t>JUNE 27,</w:t>
            </w:r>
          </w:p>
        </w:tc>
        <w:tc>
          <w:tcPr>
            <w:tcW w:w="320" w:type="dxa"/>
            <w:vAlign w:val="bottom"/>
          </w:tcPr>
          <w:p>
            <w:pPr>
              <w:spacing w:after="0"/>
              <w:rPr>
                <w:sz w:val="24"/>
                <w:szCs w:val="24"/>
                <w:color w:val="auto"/>
              </w:rPr>
            </w:pPr>
          </w:p>
        </w:tc>
        <w:tc>
          <w:tcPr>
            <w:tcW w:w="14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1,796.2</w:t>
            </w:r>
          </w:p>
        </w:tc>
        <w:tc>
          <w:tcPr>
            <w:tcW w:w="2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1,878.3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1,504.5</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365.8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238.7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284.7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205.4</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2,523.</w:t>
            </w:r>
            <w:r>
              <w:rPr>
                <w:rFonts w:ascii="Arial" w:cs="Arial" w:eastAsia="Arial" w:hAnsi="Arial"/>
                <w:sz w:val="18"/>
                <w:szCs w:val="18"/>
                <w:u w:val="single" w:color="auto"/>
                <w:color w:val="auto"/>
              </w:rPr>
              <w:t>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2,709.</w:t>
            </w:r>
            <w:r>
              <w:rPr>
                <w:rFonts w:ascii="Arial" w:cs="Arial" w:eastAsia="Arial" w:hAnsi="Arial"/>
                <w:sz w:val="18"/>
                <w:szCs w:val="18"/>
                <w:u w:val="single" w:color="auto"/>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assets reported for the Company’s operating segments include the intangible assets associated with the acquired businesses within those segments. Corporate &amp; Other assets primarily include deferred financing and debt issuance costs, corporate intangible assets and deferred tax assets, and Smith &amp; Hawken assets.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202"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 xml:space="preserve">The Senior Notes issued by Scotts Miracle-Gro on January 14, 2010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following 100% directly or indirectly owned subsidiaries fully and unconditionally guarantee the Senior Notes on a joint and several basis: EG Systems, Inc., dba Scotts LawnService</w:t>
      </w:r>
      <w:r>
        <w:rPr>
          <w:rFonts w:ascii="Arial" w:cs="Arial" w:eastAsia="Arial" w:hAnsi="Arial"/>
          <w:sz w:val="13"/>
          <w:szCs w:val="13"/>
          <w:color w:val="auto"/>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Crop Protection Company; Scotts-Sierra Horticultural Products Company; Scotts-Sierra Investments, Inc.; SMG Growing Media, Inc.; Swiss Farms Products, Inc.; and The Scotts Company LLC (collectively, the “Guarantors”). Teak 2, Ltd., f/k/a Smith &amp; Hawken, Ltd., was released from its guarantee under the Senior Notes on March 18, 2010. Accordingly, Teak 2, Ltd. has been classified as a Non-Guarantor for all periods presented in the condensed, consolidating financial information accompanying this Note 16.</w:t>
      </w:r>
    </w:p>
    <w:p>
      <w:pPr>
        <w:spacing w:after="0" w:line="132"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three-month and nine-month periods ended July 3, 2010 and June 27, 2009, condensed, consolidating Statements of Cash Flows for the nine-month periods ended July 3, 2010 and June 27, 2009, and condensed, consolidating Balance Sheets as of July 3, 2010, June 27, 2009 and September 30, 2009. The condensed, consolidating financial information presents, in separate columns, financial information for: Scotts Miracle-Gro on a Parent-only basis, carrying its investment in subsidiaries under the equity method; Guarantors on a combined basis, carrying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senior secured five-year revolving loan facility, the borrowings and related interest expense for the revolving loans outstanding of the Guarantors and Non-Guarantors are also presented in the accompanying Parent-only financial information, and are then eliminated.</w:t>
      </w:r>
    </w:p>
    <w:p>
      <w:pPr>
        <w:sectPr>
          <w:pgSz w:w="11900" w:h="16838" w:orient="portrait"/>
          <w:cols w:equalWidth="0" w:num="1">
            <w:col w:w="10219"/>
          </w:cols>
          <w:pgMar w:left="240" w:top="419" w:right="1440" w:bottom="0" w:gutter="0" w:footer="0" w:header="0"/>
        </w:sectPr>
      </w:pPr>
    </w:p>
    <w:bookmarkStart w:id="23" w:name="page24"/>
    <w:bookmarkEnd w:id="23"/>
    <w:p>
      <w:pPr>
        <w:ind w:left="37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11"/>
          </w:tcPr>
          <w:p>
            <w:pPr>
              <w:jc w:val="center"/>
              <w:ind w:left="11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94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w w:val="89"/>
              </w:rPr>
              <w:t>for the three months ended July 3, 2010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26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1,020.6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592.1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142.0</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734.1</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recall matters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428.5</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504.8</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185.5</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214.4</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290.5</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(180.1)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217.7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274.5</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(192.7)</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278.6</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Income tax (benefit) expense from</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102.7</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8"/>
              </w:rPr>
              <w:t>Loss from discontinued operations, net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11"/>
          </w:tcPr>
          <w:p>
            <w:pPr>
              <w:jc w:val="center"/>
              <w:ind w:left="11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gridSpan w:val="9"/>
          </w:tcPr>
          <w:p>
            <w:pPr>
              <w:jc w:val="center"/>
              <w:ind w:right="880"/>
              <w:spacing w:after="0"/>
              <w:rPr>
                <w:sz w:val="20"/>
                <w:szCs w:val="20"/>
                <w:color w:val="auto"/>
              </w:rPr>
            </w:pPr>
            <w:r>
              <w:rPr>
                <w:rFonts w:ascii="Arial" w:cs="Arial" w:eastAsia="Arial" w:hAnsi="Arial"/>
                <w:sz w:val="18"/>
                <w:szCs w:val="18"/>
                <w:b w:val="1"/>
                <w:bCs w:val="1"/>
                <w:color w:val="auto"/>
                <w:w w:val="89"/>
              </w:rPr>
              <w:t>for the nine months ended July 3, 2010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Parent</w:t>
            </w:r>
          </w:p>
        </w:tc>
        <w:tc>
          <w:tcPr>
            <w:tcW w:w="26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2,123.7</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2,664.2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1,292.9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363.9</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1,656.8</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recall matters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829.3</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176.6</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1,005.9</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466.4</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580.4</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429.2</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(245.2)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391.5</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Income tax (benefit) expense from</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145.5</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246.0</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8"/>
              </w:rPr>
              <w:t>Loss from discontinued operations, net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236.7</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24</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100" w:type="dxa"/>
            <w:vAlign w:val="bottom"/>
            <w:gridSpan w:val="7"/>
          </w:tcPr>
          <w:p>
            <w:pPr>
              <w:jc w:val="center"/>
              <w:ind w:left="2090"/>
              <w:spacing w:after="0"/>
              <w:rPr>
                <w:sz w:val="20"/>
                <w:szCs w:val="20"/>
                <w:color w:val="auto"/>
              </w:rPr>
            </w:pPr>
            <w:r>
              <w:rPr>
                <w:rFonts w:ascii="Arial" w:cs="Arial" w:eastAsia="Arial" w:hAnsi="Arial"/>
                <w:sz w:val="18"/>
                <w:szCs w:val="18"/>
                <w:b w:val="1"/>
                <w:bCs w:val="1"/>
                <w:color w:val="auto"/>
                <w:w w:val="91"/>
              </w:rPr>
              <w:t>The Scotts Miracle-Gro Company</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gridSpan w:val="10"/>
          </w:tcPr>
          <w:p>
            <w:pPr>
              <w:jc w:val="center"/>
              <w:ind w:left="101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80" w:type="dxa"/>
            <w:vAlign w:val="bottom"/>
            <w:gridSpan w:val="8"/>
          </w:tcPr>
          <w:p>
            <w:pPr>
              <w:jc w:val="center"/>
              <w:ind w:left="1910"/>
              <w:spacing w:after="0"/>
              <w:rPr>
                <w:sz w:val="20"/>
                <w:szCs w:val="20"/>
                <w:color w:val="auto"/>
              </w:rPr>
            </w:pPr>
            <w:r>
              <w:rPr>
                <w:rFonts w:ascii="Arial" w:cs="Arial" w:eastAsia="Arial" w:hAnsi="Arial"/>
                <w:sz w:val="18"/>
                <w:szCs w:val="18"/>
                <w:b w:val="1"/>
                <w:bCs w:val="1"/>
                <w:color w:val="auto"/>
                <w:w w:val="89"/>
              </w:rPr>
              <w:t>for the nine months ended July 3, 2010</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80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Subsidiary</w:t>
            </w:r>
          </w:p>
        </w:tc>
        <w:tc>
          <w:tcPr>
            <w:tcW w:w="18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Non-</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Parent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Guarantors</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Guarantors</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186.4</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w:t>
            </w:r>
          </w:p>
        </w:tc>
        <w:tc>
          <w:tcPr>
            <w:tcW w:w="176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long-lived assets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w w:val="99"/>
              </w:rPr>
              <w:t>Investments in property, plant and equipment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8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Investments in acquired businesses, net of cash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tcPr>
          <w:p>
            <w:pPr>
              <w:ind w:left="400"/>
              <w:spacing w:after="0"/>
              <w:rPr>
                <w:sz w:val="20"/>
                <w:szCs w:val="20"/>
                <w:color w:val="auto"/>
              </w:rPr>
            </w:pPr>
            <w:r>
              <w:rPr>
                <w:rFonts w:ascii="Arial" w:cs="Arial" w:eastAsia="Arial" w:hAnsi="Arial"/>
                <w:sz w:val="18"/>
                <w:szCs w:val="18"/>
                <w:color w:val="auto"/>
              </w:rPr>
              <w:t>acquired</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credit and term loans</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593.1</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334.7</w:t>
            </w:r>
          </w:p>
        </w:tc>
        <w:tc>
          <w:tcPr>
            <w:tcW w:w="4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927.8</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8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Repayments under revolving and bank lines of</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tcPr>
          <w:p>
            <w:pPr>
              <w:ind w:left="400"/>
              <w:spacing w:after="0"/>
              <w:rPr>
                <w:sz w:val="20"/>
                <w:szCs w:val="20"/>
                <w:color w:val="auto"/>
              </w:rPr>
            </w:pPr>
            <w:r>
              <w:rPr>
                <w:rFonts w:ascii="Arial" w:cs="Arial" w:eastAsia="Arial" w:hAnsi="Arial"/>
                <w:sz w:val="18"/>
                <w:szCs w:val="18"/>
                <w:color w:val="auto"/>
              </w:rPr>
              <w:t>credit and term loans</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(798.4)</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4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(1,234.8)</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Proceeds from issuance of 7.25% Senior Notes,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of discount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198.5</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Financing and issuance fees</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Excess tax benefits from share-based payment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arrangements</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w w:val="92"/>
              </w:rPr>
              <w:t>Cash received from the exercise of stock options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financing</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820" w:type="dxa"/>
            <w:vAlign w:val="bottom"/>
            <w:gridSpan w:val="2"/>
          </w:tcPr>
          <w:p>
            <w:pPr>
              <w:ind w:left="400"/>
              <w:spacing w:after="0"/>
              <w:rPr>
                <w:sz w:val="20"/>
                <w:szCs w:val="20"/>
                <w:color w:val="auto"/>
              </w:rPr>
            </w:pPr>
            <w:r>
              <w:rPr>
                <w:rFonts w:ascii="Arial" w:cs="Arial" w:eastAsia="Arial" w:hAnsi="Arial"/>
                <w:sz w:val="18"/>
                <w:szCs w:val="18"/>
                <w:color w:val="auto"/>
              </w:rPr>
              <w:t>Net cash (used in) provided by financing</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tcPr>
          <w:p>
            <w:pPr>
              <w:ind w:left="60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(121.4)</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76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left="430"/>
              <w:spacing w:after="0"/>
              <w:rPr>
                <w:sz w:val="20"/>
                <w:szCs w:val="20"/>
                <w:color w:val="auto"/>
              </w:rPr>
            </w:pPr>
            <w:r>
              <w:rPr>
                <w:rFonts w:ascii="Arial" w:cs="Arial" w:eastAsia="Arial" w:hAnsi="Arial"/>
                <w:sz w:val="18"/>
                <w:szCs w:val="18"/>
                <w:color w:val="auto"/>
                <w:w w:val="89"/>
              </w:rPr>
              <w:t>25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1"/>
              </w:rPr>
              <w:t>The Scotts Miracle-Gro Company</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80" w:type="dxa"/>
            <w:vAlign w:val="bottom"/>
            <w:gridSpan w:val="9"/>
          </w:tcPr>
          <w:p>
            <w:pPr>
              <w:jc w:val="center"/>
              <w:ind w:left="1910"/>
              <w:spacing w:after="0"/>
              <w:rPr>
                <w:sz w:val="20"/>
                <w:szCs w:val="20"/>
                <w:color w:val="auto"/>
              </w:rPr>
            </w:pPr>
            <w:r>
              <w:rPr>
                <w:rFonts w:ascii="Arial" w:cs="Arial" w:eastAsia="Arial" w:hAnsi="Arial"/>
                <w:sz w:val="18"/>
                <w:szCs w:val="18"/>
                <w:b w:val="1"/>
                <w:bCs w:val="1"/>
                <w:color w:val="auto"/>
                <w:w w:val="87"/>
              </w:rPr>
              <w:t>Condensed, Consolidating Balance Sheet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As of July 3, 2010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Non-</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Parent</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Guarantors</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Guarantors</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r>
      <w:tr>
        <w:trPr>
          <w:trHeight w:val="216"/>
        </w:trPr>
        <w:tc>
          <w:tcPr>
            <w:tcW w:w="3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462.8</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211.0</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673.8</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r>
      <w:tr>
        <w:trPr>
          <w:trHeight w:val="216"/>
        </w:trPr>
        <w:tc>
          <w:tcPr>
            <w:tcW w:w="3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362.5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461.6</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968.6</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432.4</w:t>
            </w:r>
          </w:p>
        </w:tc>
        <w:tc>
          <w:tcPr>
            <w:tcW w:w="2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1,401.0</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372.5</w:t>
            </w:r>
          </w:p>
        </w:tc>
      </w:tr>
      <w:tr>
        <w:trPr>
          <w:trHeight w:val="216"/>
        </w:trPr>
        <w:tc>
          <w:tcPr>
            <w:tcW w:w="3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305.2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368.9</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w:t>
            </w:r>
          </w:p>
        </w:tc>
      </w:tr>
      <w:tr>
        <w:trPr>
          <w:trHeight w:val="216"/>
        </w:trPr>
        <w:tc>
          <w:tcPr>
            <w:tcW w:w="3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Intercompany assets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w:t>
            </w:r>
            <w:r>
              <w:rPr>
                <w:rFonts w:ascii="Arial" w:cs="Arial" w:eastAsia="Arial" w:hAnsi="Arial"/>
                <w:sz w:val="18"/>
                <w:szCs w:val="18"/>
                <w:u w:val="single" w:color="auto"/>
                <w:color w:val="auto"/>
              </w:rPr>
              <w:t>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gridSpan w:val="11"/>
          </w:tcPr>
          <w:p>
            <w:pPr>
              <w:jc w:val="right"/>
              <w:ind w:right="5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180.6</w:t>
            </w:r>
          </w:p>
        </w:tc>
        <w:tc>
          <w:tcPr>
            <w:tcW w:w="200" w:type="dxa"/>
            <w:vAlign w:val="bottom"/>
          </w:tcPr>
          <w:p>
            <w:pPr>
              <w:spacing w:after="0"/>
              <w:rPr>
                <w:sz w:val="18"/>
                <w:szCs w:val="18"/>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w:t>
            </w:r>
          </w:p>
        </w:tc>
      </w:tr>
      <w:tr>
        <w:trPr>
          <w:trHeight w:val="216"/>
        </w:trPr>
        <w:tc>
          <w:tcPr>
            <w:tcW w:w="3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398.0</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554.0</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983.5</w:t>
            </w:r>
          </w:p>
        </w:tc>
      </w:tr>
      <w:tr>
        <w:trPr>
          <w:trHeight w:val="432"/>
        </w:trPr>
        <w:tc>
          <w:tcPr>
            <w:tcW w:w="34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490.2</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w:t>
            </w:r>
          </w:p>
        </w:tc>
      </w:tr>
      <w:tr>
        <w:trPr>
          <w:trHeight w:val="216"/>
        </w:trPr>
        <w:tc>
          <w:tcPr>
            <w:tcW w:w="3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Equity investment in subsidiaries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1,045.5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688.7</w:t>
            </w: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(604.5)</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1,688.4</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2"/>
              </w:rPr>
              <w:t>Total liabilities and shareholders’ equity</w:t>
            </w:r>
          </w:p>
        </w:tc>
        <w:tc>
          <w:tcPr>
            <w:tcW w:w="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1,393.5</w:t>
            </w:r>
          </w:p>
        </w:tc>
        <w:tc>
          <w:tcPr>
            <w:tcW w:w="200" w:type="dxa"/>
            <w:vAlign w:val="bottom"/>
          </w:tcPr>
          <w:p>
            <w:pPr>
              <w:spacing w:after="0"/>
              <w:rPr>
                <w:sz w:val="24"/>
                <w:szCs w:val="24"/>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1,907.5</w:t>
            </w:r>
          </w:p>
        </w:tc>
        <w:tc>
          <w:tcPr>
            <w:tcW w:w="180" w:type="dxa"/>
            <w:vAlign w:val="bottom"/>
          </w:tcPr>
          <w:p>
            <w:pPr>
              <w:spacing w:after="0"/>
              <w:rPr>
                <w:sz w:val="24"/>
                <w:szCs w:val="24"/>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644.0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2,523.</w:t>
            </w:r>
            <w:r>
              <w:rPr>
                <w:rFonts w:ascii="Arial" w:cs="Arial" w:eastAsia="Arial" w:hAnsi="Arial"/>
                <w:sz w:val="18"/>
                <w:szCs w:val="18"/>
                <w:u w:val="single" w:color="auto"/>
                <w:color w:val="auto"/>
              </w:rPr>
              <w:t>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12"/>
          </w:tcPr>
          <w:p>
            <w:pPr>
              <w:jc w:val="center"/>
              <w:ind w:left="11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80" w:type="dxa"/>
            <w:vAlign w:val="bottom"/>
            <w:gridSpan w:val="11"/>
          </w:tcPr>
          <w:p>
            <w:pPr>
              <w:jc w:val="center"/>
              <w:ind w:right="640"/>
              <w:spacing w:after="0"/>
              <w:rPr>
                <w:sz w:val="20"/>
                <w:szCs w:val="20"/>
                <w:color w:val="auto"/>
              </w:rPr>
            </w:pPr>
            <w:r>
              <w:rPr>
                <w:rFonts w:ascii="Arial" w:cs="Arial" w:eastAsia="Arial" w:hAnsi="Arial"/>
                <w:sz w:val="18"/>
                <w:szCs w:val="18"/>
                <w:b w:val="1"/>
                <w:bCs w:val="1"/>
                <w:color w:val="auto"/>
                <w:w w:val="88"/>
              </w:rPr>
              <w:t>for the three months ended June 27, 2009</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26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1,018.0</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604.9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147.5</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752.4</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recall matters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409.8</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475.7</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w w:val="98"/>
              </w:rPr>
              <w:t>Selling, general and administrative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223.0</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9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(148.7)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236.3</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Income tax expense from continuing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85.6</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4"/>
              </w:rPr>
              <w:t>Loss from discontinued operations, net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11"/>
          </w:tcPr>
          <w:p>
            <w:pPr>
              <w:jc w:val="center"/>
              <w:ind w:left="11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94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w w:val="89"/>
              </w:rPr>
              <w:t>for the nine months ended June 27, 2009</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Parent</w:t>
            </w:r>
          </w:p>
        </w:tc>
        <w:tc>
          <w:tcPr>
            <w:tcW w:w="26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1,960.5</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1,211.2</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330.6</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1,541.8</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recall matters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742.2</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167.1</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909.3</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456.3</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565.7</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Product registration and recall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matters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330.5</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178.4</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Income tax (benefit) expense from</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90.6</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102.7</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8"/>
              </w:rPr>
              <w:t>Loss from discontinued operations, net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154.7</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28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286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1"/>
              </w:rPr>
              <w:t>The Scotts Miracle-Gro Company</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2"/>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0" w:type="dxa"/>
            <w:vAlign w:val="bottom"/>
            <w:gridSpan w:val="10"/>
          </w:tcPr>
          <w:p>
            <w:pPr>
              <w:jc w:val="center"/>
              <w:ind w:left="1970"/>
              <w:spacing w:after="0"/>
              <w:rPr>
                <w:sz w:val="20"/>
                <w:szCs w:val="20"/>
                <w:color w:val="auto"/>
              </w:rPr>
            </w:pPr>
            <w:r>
              <w:rPr>
                <w:rFonts w:ascii="Arial" w:cs="Arial" w:eastAsia="Arial" w:hAnsi="Arial"/>
                <w:sz w:val="18"/>
                <w:szCs w:val="18"/>
                <w:b w:val="1"/>
                <w:bCs w:val="1"/>
                <w:color w:val="auto"/>
                <w:w w:val="89"/>
              </w:rPr>
              <w:t>for the nine months ended June 27, 2009</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4"/>
          </w:tcPr>
          <w:p>
            <w:pPr>
              <w:jc w:val="center"/>
              <w:ind w:left="390"/>
              <w:spacing w:after="0"/>
              <w:rPr>
                <w:sz w:val="20"/>
                <w:szCs w:val="20"/>
                <w:color w:val="auto"/>
              </w:rPr>
            </w:pPr>
            <w:r>
              <w:rPr>
                <w:rFonts w:ascii="Arial" w:cs="Arial" w:eastAsia="Arial" w:hAnsi="Arial"/>
                <w:sz w:val="18"/>
                <w:szCs w:val="18"/>
                <w:color w:val="auto"/>
                <w:w w:val="96"/>
              </w:rPr>
              <w:t>(in millions)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Subsidiary</w:t>
            </w:r>
          </w:p>
        </w:tc>
        <w:tc>
          <w:tcPr>
            <w:tcW w:w="28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Non-</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Parent</w:t>
            </w:r>
          </w:p>
        </w:tc>
        <w:tc>
          <w:tcPr>
            <w:tcW w:w="180" w:type="dxa"/>
            <w:vAlign w:val="bottom"/>
          </w:tcPr>
          <w:p>
            <w:pPr>
              <w:spacing w:after="0"/>
              <w:rPr>
                <w:sz w:val="20"/>
                <w:szCs w:val="20"/>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Guarantors</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Guarantors</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Eliminations</w:t>
            </w:r>
          </w:p>
        </w:tc>
        <w:tc>
          <w:tcPr>
            <w:tcW w:w="940" w:type="dxa"/>
            <w:vAlign w:val="bottom"/>
            <w:gridSpan w:val="2"/>
          </w:tcPr>
          <w:p>
            <w:pPr>
              <w:spacing w:after="0"/>
              <w:rPr>
                <w:sz w:val="20"/>
                <w:szCs w:val="20"/>
                <w:color w:val="auto"/>
              </w:rPr>
            </w:pPr>
            <w:r>
              <w:rPr>
                <w:rFonts w:ascii="Arial" w:cs="Arial" w:eastAsia="Arial" w:hAnsi="Arial"/>
                <w:sz w:val="18"/>
                <w:szCs w:val="18"/>
                <w:color w:val="auto"/>
                <w:w w:val="85"/>
              </w:rPr>
              <w:t>Consolidated</w:t>
            </w:r>
          </w:p>
        </w:tc>
        <w:tc>
          <w:tcPr>
            <w:tcW w:w="1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20" w:type="dxa"/>
            <w:vAlign w:val="bottom"/>
            <w:tcBorders>
              <w:left w:val="single" w:sz="8" w:color="CCEEFF"/>
            </w:tcBorders>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Proceeds from sale of long-lived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20" w:type="dxa"/>
            <w:vAlign w:val="bottom"/>
            <w:tcBorders>
              <w:left w:val="single" w:sz="8" w:color="CCEEFF"/>
            </w:tcBorders>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Investments in property, plant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w:t>
            </w:r>
          </w:p>
        </w:tc>
        <w:tc>
          <w:tcPr>
            <w:tcW w:w="18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20" w:type="dxa"/>
            <w:vAlign w:val="bottom"/>
            <w:tcBorders>
              <w:left w:val="single" w:sz="8" w:color="CCEEFF"/>
            </w:tcBorders>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2"/>
              </w:rPr>
              <w:t>Investments in acquired businesses, net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rPr>
              <w:t>cash acquired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18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20" w:type="dxa"/>
            <w:vAlign w:val="bottom"/>
            <w:tcBorders>
              <w:left w:val="single" w:sz="8" w:color="CCEEFF"/>
            </w:tcBorders>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Borrowings under revolving and bank lines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of credit and term loans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1,005.2</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312.1</w:t>
            </w:r>
          </w:p>
        </w:tc>
        <w:tc>
          <w:tcPr>
            <w:tcW w:w="4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1820" w:type="dxa"/>
            <w:vAlign w:val="bottom"/>
            <w:tcBorders>
              <w:left w:val="single" w:sz="8" w:color="CCEEFF"/>
            </w:tcBorders>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Repayments under revolving and bank</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rPr>
              <w:t>lines of credit and term loans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(999.0)</w:t>
            </w:r>
          </w:p>
        </w:tc>
        <w:tc>
          <w:tcPr>
            <w:tcW w:w="2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(198.9)</w:t>
            </w:r>
          </w:p>
        </w:tc>
        <w:tc>
          <w:tcPr>
            <w:tcW w:w="4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(1,197.9)</w:t>
            </w:r>
          </w:p>
        </w:tc>
        <w:tc>
          <w:tcPr>
            <w:tcW w:w="18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20" w:type="dxa"/>
            <w:vAlign w:val="bottom"/>
            <w:tcBorders>
              <w:left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Payments on seller notes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Financing and issuance fees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20" w:type="dxa"/>
            <w:vAlign w:val="bottom"/>
            <w:tcBorders>
              <w:left w:val="single" w:sz="8" w:color="CCEEFF"/>
            </w:tcBorders>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Excess tax benefits from share-based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rPr>
              <w:t>payment arrangements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82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Cash received from the exercise of stock</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options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20" w:type="dxa"/>
            <w:vAlign w:val="bottom"/>
            <w:tcBorders>
              <w:left w:val="single" w:sz="8" w:color="CCEEFF"/>
            </w:tcBorders>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4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1"/>
              </w:rPr>
              <w:t>Net cash provided by financing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20" w:type="dxa"/>
            <w:vAlign w:val="bottom"/>
            <w:tcBorders>
              <w:left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46"/>
        </w:trPr>
        <w:tc>
          <w:tcPr>
            <w:tcW w:w="3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82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20" w:type="dxa"/>
            <w:vAlign w:val="bottom"/>
            <w:tcBorders>
              <w:left w:val="single" w:sz="8" w:color="CCEEFF"/>
            </w:tcBorders>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820" w:type="dxa"/>
            <w:vAlign w:val="bottom"/>
            <w:tcBorders>
              <w:left w:val="single" w:sz="8" w:color="CCEEFF"/>
            </w:tcBorders>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Cash and cash equivalents, beginning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80.2</w:t>
            </w:r>
          </w:p>
        </w:tc>
        <w:tc>
          <w:tcPr>
            <w:tcW w:w="4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182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20" w:type="dxa"/>
            <w:vAlign w:val="bottom"/>
            <w:tcBorders>
              <w:left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center"/>
              <w:ind w:right="290"/>
              <w:spacing w:after="0"/>
              <w:rPr>
                <w:sz w:val="20"/>
                <w:szCs w:val="20"/>
                <w:color w:val="auto"/>
              </w:rPr>
            </w:pPr>
            <w:r>
              <w:rPr>
                <w:rFonts w:ascii="Arial" w:cs="Arial" w:eastAsia="Arial" w:hAnsi="Arial"/>
                <w:sz w:val="18"/>
                <w:szCs w:val="18"/>
                <w:color w:val="auto"/>
                <w:w w:val="89"/>
              </w:rPr>
              <w:t>29</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4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w w:val="87"/>
              </w:rPr>
              <w:t>Condensed, Consolidating Balance Sheet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88"/>
              </w:rPr>
              <w:t>As of June 27, 2009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Parent</w:t>
            </w:r>
          </w:p>
        </w:tc>
        <w:tc>
          <w:tcPr>
            <w:tcW w:w="30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514.3</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241.2</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755.5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385.9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161.5</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547.4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137.8</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1,105.1</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508.3</w:t>
            </w: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1,613.4</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Property, plant and equipment,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305.1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374.9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Equity investment in subsidiaries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Intercompany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(703.8)</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2,008.3</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(1,345.8)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2,709.</w:t>
            </w:r>
            <w:r>
              <w:rPr>
                <w:rFonts w:ascii="Arial" w:cs="Arial" w:eastAsia="Arial" w:hAnsi="Arial"/>
                <w:sz w:val="18"/>
                <w:szCs w:val="18"/>
                <w:u w:val="single" w:color="auto"/>
                <w:color w:val="auto"/>
              </w:rPr>
              <w:t>2</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gridSpan w:val="11"/>
          </w:tcPr>
          <w:p>
            <w:pPr>
              <w:jc w:val="center"/>
              <w:ind w:right="28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152.9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380.5</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536.0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958.3</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560.0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190.2</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(173.7)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967.7</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98"/>
              </w:rPr>
              <w:t>Equity investment in subsidiaries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706.0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1,410.6</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822.3</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(831.7)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2,107.2</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602.0</w:t>
            </w:r>
          </w:p>
        </w:tc>
        <w:tc>
          <w:tcPr>
            <w:tcW w:w="1760" w:type="dxa"/>
            <w:vAlign w:val="bottom"/>
          </w:tcPr>
          <w:p>
            <w:pPr>
              <w:spacing w:after="0"/>
              <w:rPr>
                <w:sz w:val="18"/>
                <w:szCs w:val="18"/>
                <w:color w:val="auto"/>
              </w:rPr>
            </w:pPr>
          </w:p>
        </w:tc>
      </w:tr>
      <w:tr>
        <w:trPr>
          <w:trHeight w:val="425"/>
        </w:trPr>
        <w:tc>
          <w:tcPr>
            <w:tcW w:w="340" w:type="dxa"/>
            <w:vAlign w:val="bottom"/>
          </w:tcPr>
          <w:p>
            <w:pPr>
              <w:spacing w:after="0"/>
              <w:rPr>
                <w:sz w:val="24"/>
                <w:szCs w:val="24"/>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Total liabilities and shareholders’</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tcPr>
          <w:p>
            <w:pPr>
              <w:ind w:left="600"/>
              <w:spacing w:after="0"/>
              <w:rPr>
                <w:sz w:val="20"/>
                <w:szCs w:val="20"/>
                <w:color w:val="auto"/>
              </w:rPr>
            </w:pPr>
            <w:r>
              <w:rPr>
                <w:rFonts w:ascii="Arial" w:cs="Arial" w:eastAsia="Arial" w:hAnsi="Arial"/>
                <w:sz w:val="18"/>
                <w:szCs w:val="18"/>
                <w:color w:val="auto"/>
              </w:rPr>
              <w:t>equity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1,308.0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2,008.3</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738.7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(1,345.8)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2,709.</w:t>
            </w:r>
            <w:r>
              <w:rPr>
                <w:rFonts w:ascii="Arial" w:cs="Arial" w:eastAsia="Arial" w:hAnsi="Arial"/>
                <w:sz w:val="18"/>
                <w:szCs w:val="18"/>
                <w:u w:val="single" w:color="auto"/>
                <w:color w:val="auto"/>
              </w:rPr>
              <w:t>2</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30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The Scotts Miracle-Gro Company</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4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w w:val="87"/>
              </w:rPr>
              <w:t>Condensed, Consolidating Balance Sheet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89"/>
              </w:rPr>
              <w:t>As of September 30, 2009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Subsidiary</w:t>
            </w:r>
          </w:p>
        </w:tc>
        <w:tc>
          <w:tcPr>
            <w:tcW w:w="24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Parent</w:t>
            </w:r>
          </w:p>
        </w:tc>
        <w:tc>
          <w:tcPr>
            <w:tcW w:w="300" w:type="dxa"/>
            <w:vAlign w:val="bottom"/>
          </w:tcPr>
          <w:p>
            <w:pPr>
              <w:spacing w:after="0"/>
              <w:rPr>
                <w:sz w:val="20"/>
                <w:szCs w:val="2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Guarantors</w:t>
            </w:r>
          </w:p>
        </w:tc>
        <w:tc>
          <w:tcPr>
            <w:tcW w:w="12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269.1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384.3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328.9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734.4</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1,090.9</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Property, plant and equipment,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305.1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375.2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Equity investment in subsidiaries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Intercompany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(798.7)</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1,659.2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w:t>
            </w:r>
            <w:r>
              <w:rPr>
                <w:rFonts w:ascii="Arial" w:cs="Arial" w:eastAsia="Arial" w:hAnsi="Arial"/>
                <w:sz w:val="18"/>
                <w:szCs w:val="18"/>
                <w:u w:val="single" w:color="auto"/>
                <w:color w:val="auto"/>
              </w:rPr>
              <w:t>1</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gridSpan w:val="11"/>
          </w:tcPr>
          <w:p>
            <w:pPr>
              <w:jc w:val="center"/>
              <w:ind w:right="28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263.1</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632.8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221.6</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(330.4)</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98"/>
              </w:rPr>
              <w:t>Equity investment in subsidiaries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806.1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1,078.3</w:t>
            </w:r>
          </w:p>
        </w:tc>
        <w:tc>
          <w:tcPr>
            <w:tcW w:w="2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680.9</w:t>
            </w:r>
          </w:p>
        </w:tc>
        <w:tc>
          <w:tcPr>
            <w:tcW w:w="2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(929.7)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1,635.6</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1760" w:type="dxa"/>
            <w:vAlign w:val="bottom"/>
          </w:tcPr>
          <w:p>
            <w:pPr>
              <w:spacing w:after="0"/>
              <w:rPr>
                <w:sz w:val="18"/>
                <w:szCs w:val="18"/>
                <w:color w:val="auto"/>
              </w:rPr>
            </w:pPr>
          </w:p>
        </w:tc>
      </w:tr>
      <w:tr>
        <w:trPr>
          <w:trHeight w:val="425"/>
        </w:trPr>
        <w:tc>
          <w:tcPr>
            <w:tcW w:w="340" w:type="dxa"/>
            <w:vAlign w:val="bottom"/>
          </w:tcPr>
          <w:p>
            <w:pPr>
              <w:spacing w:after="0"/>
              <w:rPr>
                <w:sz w:val="24"/>
                <w:szCs w:val="24"/>
                <w:color w:val="auto"/>
              </w:rPr>
            </w:pP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Total liabilities and shareholders’</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tcPr>
          <w:p>
            <w:pPr>
              <w:ind w:left="600"/>
              <w:spacing w:after="0"/>
              <w:rPr>
                <w:sz w:val="20"/>
                <w:szCs w:val="20"/>
                <w:color w:val="auto"/>
              </w:rPr>
            </w:pPr>
            <w:r>
              <w:rPr>
                <w:rFonts w:ascii="Arial" w:cs="Arial" w:eastAsia="Arial" w:hAnsi="Arial"/>
                <w:sz w:val="18"/>
                <w:szCs w:val="18"/>
                <w:color w:val="auto"/>
              </w:rPr>
              <w:t>equity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1,390.6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1,659.2</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(1,426.2)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2,220.</w:t>
            </w:r>
            <w:r>
              <w:rPr>
                <w:rFonts w:ascii="Arial" w:cs="Arial" w:eastAsia="Arial" w:hAnsi="Arial"/>
                <w:sz w:val="18"/>
                <w:szCs w:val="18"/>
                <w:u w:val="single" w:color="auto"/>
                <w:color w:val="auto"/>
              </w:rPr>
              <w:t>1</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510"/>
              <w:spacing w:after="0"/>
              <w:rPr>
                <w:sz w:val="20"/>
                <w:szCs w:val="20"/>
                <w:color w:val="auto"/>
              </w:rPr>
            </w:pPr>
            <w:r>
              <w:rPr>
                <w:rFonts w:ascii="Arial" w:cs="Arial" w:eastAsia="Arial" w:hAnsi="Arial"/>
                <w:sz w:val="18"/>
                <w:szCs w:val="18"/>
                <w:color w:val="auto"/>
                <w:w w:val="89"/>
              </w:rPr>
              <w:t>31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559" w:hanging="728"/>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146" w:lineRule="exact"/>
        <w:rPr>
          <w:sz w:val="20"/>
          <w:szCs w:val="20"/>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Regulatory matters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Critical accounting policies and estimates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85"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non-durable products for lawn and garden care and professional horticulture products in North America and Europe. We are Monsanto’s exclusive agent for the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3"/>
          <w:szCs w:val="13"/>
          <w:color w:val="auto"/>
        </w:rPr>
        <w:t>®</w:t>
      </w:r>
      <w:r>
        <w:rPr>
          <w:rFonts w:ascii="Arial" w:cs="Arial" w:eastAsia="Arial" w:hAnsi="Arial"/>
          <w:sz w:val="16"/>
          <w:szCs w:val="16"/>
          <w:color w:val="auto"/>
        </w:rPr>
        <w:t>, the second largest residential lawn care service business. Our continuing operations are divided into the following reportable segments: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The Corporate &amp; Other segment primarily consists of corporate general and administrative expenses.</w:t>
      </w:r>
    </w:p>
    <w:p>
      <w:pPr>
        <w:spacing w:after="0" w:line="14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On July 8, 2009, we announced that we were commencing a process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w:t>
      </w:r>
    </w:p>
    <w:p>
      <w:pPr>
        <w:spacing w:after="0" w:line="146"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As a leading consumer branded lawn and garden company, our marketing efforts are largely focused on providing innovative and differentiated products and on continually increasing brand and product awareness to inspire consumers and create retail demand. We have successfully applied this model for a number of years, consistently investing in research and development and investing approximately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increasing market share.</w:t>
      </w:r>
    </w:p>
    <w:p>
      <w:pPr>
        <w:spacing w:after="0" w:line="127"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sales are susceptible in any one year to weather conditions in the markets in which our products are sold. For instance, periods of wet weather can adversely impact sales of certain products, while increasing demand for other products. We believe that our diversified product line and our broad geographic diversification reduce this risk. We also believe that weather conditions in any one year, positive or negative, do not materially alter longer-term category growth trends.</w:t>
      </w:r>
    </w:p>
    <w:p>
      <w:pPr>
        <w:spacing w:after="0" w:line="14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Due to the nature of our lawn and garden business, significant portions of our products ship to our retail customers during our second and third fiscal quarters. Our annual sales are further concentrated in the second and third fiscal quarters by retailers who increasingly rely on our ability to deliver products “in season” when consumers buy our products, thereby reducing retailers’ inventories.</w:t>
      </w:r>
    </w:p>
    <w:p>
      <w:pPr>
        <w:spacing w:after="0" w:line="183"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Percent of Net Sales from</w:t>
      </w:r>
    </w:p>
    <w:p>
      <w:pPr>
        <w:spacing w:after="0" w:line="2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Continuing Operations by Quarter</w:t>
      </w:r>
    </w:p>
    <w:p>
      <w:pPr>
        <w:spacing w:after="0" w:line="9" w:lineRule="exact"/>
        <w:rPr>
          <w:sz w:val="20"/>
          <w:szCs w:val="20"/>
          <w:color w:val="auto"/>
        </w:rPr>
      </w:pPr>
    </w:p>
    <w:p>
      <w:pPr>
        <w:ind w:left="6160"/>
        <w:spacing w:after="0"/>
        <w:tabs>
          <w:tab w:leader="none" w:pos="7500" w:val="left"/>
          <w:tab w:leader="none" w:pos="88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-130810</wp:posOffset>
            </wp:positionV>
            <wp:extent cx="22980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5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First Quarter</w:t>
            </w:r>
          </w:p>
        </w:tc>
        <w:tc>
          <w:tcPr>
            <w:tcW w:w="13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Second Quarter</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Fourth Quarter</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(retail point-of-sale data), market share, category growth, net sales (including unit volume, pricing, product mix and foreign exchange movements), organic sales growth (net sales growth excluding the impact of foreign exchange movements, product recalls and acquisitions), gross profit margins, income from operations, income from continuing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Registration and Recall Matters</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 April 2008, we became aware that a former associate apparently deliberately circumvented our policies and the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we have been cooperating with both the U.S. EPA and the U.S. Department of Justice (“U.S. DOJ”) in related civil and criminal investigations into our pesticide product registration issues.</w:t>
      </w:r>
    </w:p>
    <w:p>
      <w:pPr>
        <w:spacing w:after="0" w:line="132"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14"/>
          <w:szCs w:val="14"/>
          <w:color w:val="auto"/>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or year-to-date fiscal 2010 sales and are not expected to materially affect our sales during the remainder of fiscal 2010.</w:t>
      </w:r>
    </w:p>
    <w:p>
      <w:pPr>
        <w:spacing w:after="0" w:line="15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late 2008, Scotts Miracle-Gro and its indirect subsidiary, EG Systems, Inc., doing business as Scotts LawnService</w:t>
      </w:r>
      <w:r>
        <w:rPr>
          <w:rFonts w:ascii="Arial" w:cs="Arial" w:eastAsia="Arial" w:hAnsi="Arial"/>
          <w:sz w:val="14"/>
          <w:szCs w:val="14"/>
          <w:color w:val="auto"/>
        </w:rPr>
        <w:t>®</w:t>
      </w:r>
      <w:r>
        <w:rPr>
          <w:rFonts w:ascii="Arial" w:cs="Arial" w:eastAsia="Arial" w:hAnsi="Arial"/>
          <w:sz w:val="17"/>
          <w:szCs w:val="17"/>
          <w:color w:val="auto"/>
        </w:rPr>
        <w:t xml:space="preserve"> were named as defendants in a purported class action filed in the U.S. District Court for the Eastern District of Michigan relating to the application of certain pesticide products by Scotts LawnService</w:t>
      </w:r>
      <w:r>
        <w:rPr>
          <w:rFonts w:ascii="Arial" w:cs="Arial" w:eastAsia="Arial" w:hAnsi="Arial"/>
          <w:sz w:val="14"/>
          <w:szCs w:val="14"/>
          <w:color w:val="auto"/>
        </w:rPr>
        <w:t>®</w:t>
      </w:r>
      <w:r>
        <w:rPr>
          <w:rFonts w:ascii="Arial" w:cs="Arial" w:eastAsia="Arial" w:hAnsi="Arial"/>
          <w:sz w:val="17"/>
          <w:szCs w:val="17"/>
          <w:color w:val="auto"/>
        </w:rPr>
        <w:t>. In the suit, Mark Baumkel, on behalf of himself and the purported classes, sought an unspecified amount of damages, plus costs and attorneys’ fees, for alleged claims involving breach of contract, unjust enrichment and violation of the state of Michigan’s consumer protection act. On September 28, 2009, the court granted the motion filed by Scotts Miracle-Gro and EG Systems, Inc. and dismissed the suit with prejudice. Since that time, Scotts Miracle-Gro, EG Systems, Inc. and Mr. Baumkel have agreed to a confidential settlement that, among other things, precludes an appeal of the decision. The impact of the confidential settlement did not, and will not, materially affect our financial condition, results of operations or cash flows.</w:t>
      </w:r>
    </w:p>
    <w:p>
      <w:pPr>
        <w:spacing w:after="0" w:line="141"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financial condition, results of operations or cash flows.</w:t>
      </w:r>
    </w:p>
    <w:p>
      <w:pPr>
        <w:spacing w:after="0" w:line="124"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As a result of these registration and recall matters, we have reversed sales associated with estimated returns of affected products, recorded charges for affected inventory and recorded other registration and recall-related costs. The impacts of these adjustments were pre-tax charges of $1.5 million and $6.4 million for the three-month periods, and $5.8 million and $22.0 million for the nine-month periods, ended July 3, 2010 and June 27, 2009, respectively. We expect to incur $8.0 to $10.0 million in fiscal 2010 on recall and registration matters, excluding possible fines, penalties, judgments and/or litigation costs. These fiscal 2010 charges primarily consist of costs associated with the reworking of certain finished goods inventories, the disposal of certain products and ongoing third-party professional services related to the U.S. EPA and U.S. DOJ investigations.</w:t>
      </w:r>
    </w:p>
    <w:p>
      <w:pPr>
        <w:spacing w:after="0" w:line="14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we cannot reasonably determine the scope or magnitude of possible liabilities that could result from known or potential product registration issues, and no reserves for these potential liabilities have been established as of July 3, 2010. However, it is possible that such liabilities, including fines, penalties, judgments and/or litigation costs could be material and have an adverse effect on our financial condition, results of operations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Beginning in our first quarter of fiscal 2010, we classified Smith &amp; Hawken as a discontinued operation. Accordingly, we have reclassified our results of operations for the three- and nine-month periods ended June 27, 2009 to reflect Smith &amp; Hawken as discontinued operations separate from our results of continuing operations. As a result, and unless specifically stated, all discussions regarding results for the three- and nine-month periods ended July 3, 2010 and June 27, 2009, respectively, reflect results from our continuing operations.</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nine-month periods ended July 3, 2010 and June 27,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24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20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JULY 3,</w:t>
            </w: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27,</w:t>
            </w:r>
          </w:p>
        </w:tc>
        <w:tc>
          <w:tcPr>
            <w:tcW w:w="44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JULY 3,</w:t>
            </w: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27,</w:t>
            </w:r>
          </w:p>
        </w:tc>
        <w:tc>
          <w:tcPr>
            <w:tcW w:w="16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(UNAUDITED)</w:t>
            </w:r>
          </w:p>
        </w:tc>
        <w:tc>
          <w:tcPr>
            <w:tcW w:w="24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59.3</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61.1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62.2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6"/>
              </w:rPr>
              <w:t>Cost of sales — product registration and recall matters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23"/>
        </w:trPr>
        <w:tc>
          <w:tcPr>
            <w:tcW w:w="42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17.3</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18.0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21.8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r>
      <w:tr>
        <w:trPr>
          <w:trHeight w:val="223"/>
        </w:trPr>
        <w:tc>
          <w:tcPr>
            <w:tcW w:w="42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Income tax expense from continuing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7"/>
        </w:trPr>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7"/>
        </w:trPr>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Net sales for the three months ended July 3, 2010 were $1.24 billion, an increase of 0.6% from net sales of $1.23 billion for the three months ended June 27, 2009. Net sales for the first nine months of fiscal 2010 grew 8.4% versus the comparable period of fiscal 2009. We follow a 13-week quarterly accounting cycle, with our first three fiscal quarters ending on a Saturday, while our fiscal year end always occurs on September 30</w:t>
      </w:r>
      <w:r>
        <w:rPr>
          <w:rFonts w:ascii="Arial" w:cs="Arial" w:eastAsia="Arial" w:hAnsi="Arial"/>
          <w:sz w:val="13"/>
          <w:szCs w:val="13"/>
          <w:color w:val="auto"/>
        </w:rPr>
        <w:t>th</w:t>
      </w:r>
      <w:r>
        <w:rPr>
          <w:rFonts w:ascii="Arial" w:cs="Arial" w:eastAsia="Arial" w:hAnsi="Arial"/>
          <w:sz w:val="16"/>
          <w:szCs w:val="16"/>
          <w:color w:val="auto"/>
        </w:rPr>
        <w:t>. This fiscal calendar convention requires us to cycle forward our first three fiscal quarter ends every four to five years. Fiscal 2010 is the most recent year impacted by this fiscal quarter end cycle forward process. Our third quarter of fiscal 2010 started on April 4</w:t>
      </w:r>
      <w:r>
        <w:rPr>
          <w:rFonts w:ascii="Arial" w:cs="Arial" w:eastAsia="Arial" w:hAnsi="Arial"/>
          <w:sz w:val="13"/>
          <w:szCs w:val="13"/>
          <w:color w:val="auto"/>
        </w:rPr>
        <w:t>th</w:t>
      </w:r>
      <w:r>
        <w:rPr>
          <w:rFonts w:ascii="Arial" w:cs="Arial" w:eastAsia="Arial" w:hAnsi="Arial"/>
          <w:sz w:val="16"/>
          <w:szCs w:val="16"/>
          <w:color w:val="auto"/>
        </w:rPr>
        <w:t xml:space="preserve"> and ended on July 3</w:t>
      </w:r>
      <w:r>
        <w:rPr>
          <w:rFonts w:ascii="Arial" w:cs="Arial" w:eastAsia="Arial" w:hAnsi="Arial"/>
          <w:sz w:val="13"/>
          <w:szCs w:val="13"/>
          <w:color w:val="auto"/>
        </w:rPr>
        <w:t>rd</w:t>
      </w:r>
      <w:r>
        <w:rPr>
          <w:rFonts w:ascii="Arial" w:cs="Arial" w:eastAsia="Arial" w:hAnsi="Arial"/>
          <w:sz w:val="16"/>
          <w:szCs w:val="16"/>
          <w:color w:val="auto"/>
        </w:rPr>
        <w:t>, compared to the third quarter of fiscal 2009 which began on March 29</w:t>
      </w:r>
      <w:r>
        <w:rPr>
          <w:rFonts w:ascii="Arial" w:cs="Arial" w:eastAsia="Arial" w:hAnsi="Arial"/>
          <w:sz w:val="13"/>
          <w:szCs w:val="13"/>
          <w:color w:val="auto"/>
        </w:rPr>
        <w:t>th</w:t>
      </w:r>
      <w:r>
        <w:rPr>
          <w:rFonts w:ascii="Arial" w:cs="Arial" w:eastAsia="Arial" w:hAnsi="Arial"/>
          <w:sz w:val="16"/>
          <w:szCs w:val="16"/>
          <w:color w:val="auto"/>
        </w:rPr>
        <w:t xml:space="preserve"> and ended on June 27</w:t>
      </w:r>
      <w:r>
        <w:rPr>
          <w:rFonts w:ascii="Arial" w:cs="Arial" w:eastAsia="Arial" w:hAnsi="Arial"/>
          <w:sz w:val="13"/>
          <w:szCs w:val="13"/>
          <w:color w:val="auto"/>
        </w:rPr>
        <w:t>th</w:t>
      </w:r>
      <w:r>
        <w:rPr>
          <w:rFonts w:ascii="Arial" w:cs="Arial" w:eastAsia="Arial" w:hAnsi="Arial"/>
          <w:sz w:val="16"/>
          <w:szCs w:val="16"/>
          <w:color w:val="auto"/>
        </w:rPr>
        <w:t>. As a result, a high volume sales week during our peak spring selling season shifted from the third quarter of fiscal 2009 to the second quarter of fiscal 2010, decreasing net sales by 4.8% for the third quarter of fiscal 2010 while increasing net sales by 1.6% for the nine-month period ended July 3, 2010.</w:t>
      </w:r>
    </w:p>
    <w:p>
      <w:pPr>
        <w:spacing w:after="0" w:line="12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After the impact of the calendar shift, organic net sales growth, which excludes the impact of changes in foreign exchange rates, product recalls and acquisitions, was 5.6% and 5.7% for the three and nine months ended July 3, 2010, respectively, as noted in the following table: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Three Months</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Nine Months</w:t>
            </w:r>
          </w:p>
        </w:tc>
      </w:tr>
      <w:tr>
        <w:trPr>
          <w:trHeight w:val="234"/>
        </w:trPr>
        <w:tc>
          <w:tcPr>
            <w:tcW w:w="58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w w:val="89"/>
              </w:rPr>
              <w:t>Ended July 3, 2010</w:t>
            </w:r>
          </w:p>
        </w:tc>
        <w:tc>
          <w:tcPr>
            <w:tcW w:w="38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Ended July 3, 2010</w:t>
            </w:r>
          </w:p>
        </w:tc>
      </w:tr>
      <w:tr>
        <w:trPr>
          <w:trHeight w:val="20"/>
        </w:trPr>
        <w:tc>
          <w:tcPr>
            <w:tcW w:w="58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sales growth</w:t>
            </w:r>
          </w:p>
        </w:tc>
        <w:tc>
          <w:tcPr>
            <w:tcW w:w="18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0.6%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Foreign exchange rates</w:t>
            </w:r>
          </w:p>
        </w:tc>
        <w:tc>
          <w:tcPr>
            <w:tcW w:w="1460" w:type="dxa"/>
            <w:vAlign w:val="bottom"/>
          </w:tcPr>
          <w:p>
            <w:pPr>
              <w:ind w:left="1220"/>
              <w:spacing w:after="0"/>
              <w:rPr>
                <w:sz w:val="20"/>
                <w:szCs w:val="20"/>
                <w:color w:val="auto"/>
              </w:rPr>
            </w:pPr>
            <w:r>
              <w:rPr>
                <w:rFonts w:ascii="Arial" w:cs="Arial" w:eastAsia="Arial" w:hAnsi="Arial"/>
                <w:sz w:val="18"/>
                <w:szCs w:val="18"/>
                <w:color w:val="auto"/>
                <w:w w:val="87"/>
              </w:rPr>
              <w:t>0.2</w:t>
            </w:r>
          </w:p>
        </w:tc>
        <w:tc>
          <w:tcPr>
            <w:tcW w:w="3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58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Organic net sales growth before impact of calendar shift</w:t>
            </w: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0.8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Impact of calendar shift</w:t>
            </w:r>
          </w:p>
        </w:tc>
        <w:tc>
          <w:tcPr>
            <w:tcW w:w="1460" w:type="dxa"/>
            <w:vAlign w:val="bottom"/>
          </w:tcPr>
          <w:p>
            <w:pPr>
              <w:ind w:left="1220"/>
              <w:spacing w:after="0"/>
              <w:rPr>
                <w:sz w:val="20"/>
                <w:szCs w:val="20"/>
                <w:color w:val="auto"/>
              </w:rPr>
            </w:pPr>
            <w:r>
              <w:rPr>
                <w:rFonts w:ascii="Arial" w:cs="Arial" w:eastAsia="Arial" w:hAnsi="Arial"/>
                <w:sz w:val="18"/>
                <w:szCs w:val="18"/>
                <w:color w:val="auto"/>
                <w:w w:val="87"/>
              </w:rPr>
              <w:t>4.8</w:t>
            </w:r>
          </w:p>
        </w:tc>
        <w:tc>
          <w:tcPr>
            <w:tcW w:w="3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Organic net sales growth after impact of calendar shift</w:t>
            </w:r>
          </w:p>
        </w:tc>
        <w:tc>
          <w:tcPr>
            <w:tcW w:w="18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5.6%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8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 the Global Consumer segment, organic net sales after the impact of the calendar shift grew by 5.4% and 6.9% for the third quarter and first nine months of fiscal 2010, respectively. Global Professional organic net sales after the impact of the calendar shift grew by 10.5% and 1.8% for the third quarter and first nine months of fiscal 2010, respectively. In the Scotts LawnService</w:t>
      </w:r>
      <w:r>
        <w:rPr>
          <w:rFonts w:ascii="Arial" w:cs="Arial" w:eastAsia="Arial" w:hAnsi="Arial"/>
          <w:sz w:val="14"/>
          <w:szCs w:val="14"/>
          <w:color w:val="auto"/>
        </w:rPr>
        <w:t>®</w:t>
      </w:r>
      <w:r>
        <w:rPr>
          <w:rFonts w:ascii="Arial" w:cs="Arial" w:eastAsia="Arial" w:hAnsi="Arial"/>
          <w:sz w:val="17"/>
          <w:szCs w:val="17"/>
          <w:color w:val="auto"/>
        </w:rPr>
        <w:t xml:space="preserve"> segment, organic net sales after the impact of the calendar shift increased by 3.7% for the third quarter, and declined by 6.3% for the first nine months of fiscal 2010 compared to the same period of fiscal 2009. On a consolidated basis, we anticipate full-year fiscal 2010 net sales will increase by 5% to 7% compared to fiscal 2009.</w:t>
      </w:r>
    </w:p>
    <w:p>
      <w:pPr>
        <w:spacing w:after="0" w:line="151"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As a percentage of net sales, gross profit was 40.7% for the third quarter of fiscal 2010 compared to 38.6% for the third quarter of fiscal 2009. For the first nine months of fiscal 2010, our gross profit percentage was 37.8% compared to 37.0% in the comparable period of fiscal 2009. Excluding product registration and recall matters, the gross profit rate increased by 180 and 50 basis points, respectively, for the third quarter and first nine months of fiscal 2010. Fiscal 2010 gross profit margins have been favorably impacted by lower input costs and cost productivity improvements, partially offset by increased freight costs. Gross margin rates for the first six months of fiscal 2010 were further impacted by the sell-through of older, higher cost inventory. Excluding the impact of product registration and recall matters, we anticipate the fiscal 2010 full-year gross profit rate to improve by 50 to 80 basis points compared to fiscal 2009, primarily driven by trends consistent with our first nine months.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26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JULY 3,</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JUNE 27,</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1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191"/>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1320" w:type="dxa"/>
            <w:vAlign w:val="bottom"/>
            <w:gridSpan w:val="4"/>
          </w:tcPr>
          <w:p>
            <w:pPr>
              <w:jc w:val="center"/>
              <w:ind w:right="410"/>
              <w:spacing w:after="0" w:line="191" w:lineRule="exact"/>
              <w:rPr>
                <w:sz w:val="20"/>
                <w:szCs w:val="20"/>
                <w:color w:val="auto"/>
              </w:rPr>
            </w:pPr>
            <w:r>
              <w:rPr>
                <w:rFonts w:ascii="Arial" w:cs="Arial" w:eastAsia="Arial" w:hAnsi="Arial"/>
                <w:sz w:val="18"/>
                <w:szCs w:val="18"/>
                <w:b w:val="1"/>
                <w:bCs w:val="1"/>
                <w:color w:val="auto"/>
                <w:w w:val="89"/>
              </w:rPr>
              <w:t>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center"/>
              <w:ind w:right="370"/>
              <w:spacing w:after="0" w:line="191" w:lineRule="exact"/>
              <w:rPr>
                <w:sz w:val="20"/>
                <w:szCs w:val="20"/>
                <w:color w:val="auto"/>
              </w:rPr>
            </w:pPr>
            <w:r>
              <w:rPr>
                <w:rFonts w:ascii="Arial" w:cs="Arial" w:eastAsia="Arial" w:hAnsi="Arial"/>
                <w:sz w:val="18"/>
                <w:szCs w:val="18"/>
                <w:b w:val="1"/>
                <w:bCs w:val="1"/>
                <w:color w:val="auto"/>
                <w:w w:val="89"/>
              </w:rPr>
              <w:t>MILLIONS)</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123.5</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449.5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446.3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r>
      <w:tr>
        <w:trPr>
          <w:trHeight w:val="223"/>
        </w:trPr>
        <w:tc>
          <w:tcPr>
            <w:tcW w:w="4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Selling, general and administrative (“SG&amp;A”) expenses decreased $8.6 million, or 3.8%, to $214.4 million for the third quarter. Excluding the impact of foreign exchange rates, SG&amp;A expenses for the third quarter declined by 3.3%, primarily due to a decline in variable compensation expense as well as lower research and development spending, partially offset by an increase in marketing spend. SG&amp;A expenses increased by $14.7 million, or 2.6%, to $580.4 million for the nine months ended July 3, 2010. Excluding the impact of foreign exchange rates, SG&amp;A expenses for the first nine months of fiscal 2010 increased 1.6%, primarily due to increased investment in media, selling and marketing that were roughly in line with our net sales growth rate, partially offset by a decline in variable compensation expense as well as lower research and development spending. We expect full-year SG&amp;A expenses to increase by 2% to 4%, driven by trends consistent with our first nine months.</w:t>
      </w:r>
    </w:p>
    <w:p>
      <w:pPr>
        <w:spacing w:after="0" w:line="13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recorded $1.5 million and $4.3 million of SG&amp;A-related product registration and recall costs during the third quarter and first nine months of fiscal 2010, respectively, which primarily related to third-party compliance review, legal and consulting fees. For the quarter and nine months ended June 27, 2009, we recorded $3.1 million and $14.8 million of SG&amp;A-related product registration and recall costs, respectively.</w:t>
      </w:r>
    </w:p>
    <w:p>
      <w:pPr>
        <w:spacing w:after="0" w:line="146"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Interest expense for the third quarter and first nine months of fiscal 2010 was $11.9 million and $37.7 million, respectively, compared to $13.7 million and $45.9 million for the third quarter and first nine months of fiscal 2009. The decrease in interest expense for the first nine months of fiscal 2010 was attributable to decreases in both average borrowings and weighted average interest rates, while the decrease for the third quarter was primarily due to a decrease in average borrowings. Excluding the impact of foreign exchange rates, average borrowings decreased by approximately $194 million during the first nine months of fiscal 2010 as compared to the prior year period. Weighted average interest rates decreased by approximately 20 basis points. We expect full-year fiscal 2010 interest expense to approximate $50 million, compared to $56.4 million in fiscal 2009, as lower average borrowings and weighted average interest rates on our senior secured credit facility will be partially offset by higher interest expense attributable to the $200 million aggregate principal amount of Senior Notes, with an effective interest rate of 7.375%, due 2018 (the “Senior Notes”) issued on January 14, 2010. We issued the Senior Notes as part of a broader strategy to diversify sources of liquidity and debt maturities in anticipation of the expiration of our current senior secured credit facility in February 2012. Refer to “NOTE 6. DEBT” of the Notes to Condensed, Consolidated Financial Statements for a further description of the Senior Notes.</w:t>
      </w:r>
    </w:p>
    <w:p>
      <w:pPr>
        <w:spacing w:after="0" w:line="147"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The effective tax rate for continuing operations was 37.2% for the first nine months of fiscal 2010, compared to 36.1% for the same period of fiscal 2009. Fiscal 2010 income tax expense includes a $1.9 million charge recorded during the second quarter related to health care legislation enacted in March 2010 that repealed the existing rule which permitted a tax deduction for the portion of retiree prescription drug expense that was offset by the Medicare Part D subsidy we receive. Additional factors increasing the fiscal 2010 effective tax rate are an increase in state tax rates as well as the sunset of the research and development tax credit. The effective tax rate used for interim reporting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We estimate that the fiscal 2010 full-year effective tax rate will approximate the year-to-date rate of 37.2%; however, our annual effective tax rate is subject to revision at fiscal year end as facts and circumstances change. There can be no assurance that the effective tax rate estimated for interim financial reporting purposes will approximate the effective tax rate determined at fiscal year end.</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spacing w:after="0" w:line="285" w:lineRule="auto"/>
        <w:rPr>
          <w:sz w:val="20"/>
          <w:szCs w:val="20"/>
          <w:color w:val="auto"/>
        </w:rPr>
      </w:pPr>
      <w:r>
        <w:rPr>
          <w:rFonts w:ascii="Arial" w:cs="Arial" w:eastAsia="Arial" w:hAnsi="Arial"/>
          <w:sz w:val="16"/>
          <w:szCs w:val="16"/>
          <w:color w:val="auto"/>
        </w:rPr>
        <w:t>We reported income from continuing operations of $175.9 million, or $2.59 per diluted share, for the third quarter of fiscal 2010, compared to $150.7 million, or $2.28 per diluted share, for the third quarter of fiscal 2009. Income from continuing operations in the first nine months of fiscal 2010 was $246.0 million, or $3.65 per diluted share, versus $181.9 million, or $2.76 per diluted share, for the same period of fiscal 2009. The increase for the third quarter was driven primarily by an increase in gross profit accompanied by a decrease in SG&amp;A spending. The year-to-date improvement was driven by increases in net sales and gross profit, partially offset by an increased investment in media, selling and marketing. The impact of the calendar shift decreased third quarter earnings per diluted share by approximately $0.15, while increasing year-to-date earnings per diluted share by approximately $0.11. Diluted average common shares used in the diluted net income per common share calculation were 67.9 million for the third quarter of fiscal 2010 compared to 66.1 million for the same period a year ago. Diluted average common shares used in the diluted net income per common share calculation were 67.4 million for the nine months ended July 3, 2010 versus 65.8 million for the nine months ended June 27, 2009. Diluted average common shares included 1.4 million and 1.2 million equivalent shares, respectively, for the third quarter and first nine months of fiscal 2010 to reflect the effect of the assumed conversion of dilutive stock options, stock appreciation rights, restricted stock and restricted stock unit awards. For the third quarter and first nine months of fiscal 2009, diluted average common shares included 1.1 million and 0.9 million equivalent shares, respectively. The increase in diluted average common shares was driven by an increase in the Company’s average share price and the issuance of common shares due to exercises of share-based awards.</w:t>
      </w:r>
    </w:p>
    <w:p>
      <w:pPr>
        <w:spacing w:after="0" w:line="151" w:lineRule="exact"/>
        <w:rPr>
          <w:sz w:val="20"/>
          <w:szCs w:val="20"/>
          <w:color w:val="auto"/>
        </w:rPr>
      </w:pPr>
    </w:p>
    <w:p>
      <w:pPr>
        <w:jc w:val="both"/>
        <w:ind w:left="340" w:right="1760"/>
        <w:spacing w:after="0" w:line="291" w:lineRule="auto"/>
        <w:rPr>
          <w:sz w:val="20"/>
          <w:szCs w:val="20"/>
          <w:color w:val="auto"/>
        </w:rPr>
      </w:pPr>
      <w:r>
        <w:rPr>
          <w:rFonts w:ascii="Arial" w:cs="Arial" w:eastAsia="Arial" w:hAnsi="Arial"/>
          <w:sz w:val="16"/>
          <w:szCs w:val="16"/>
          <w:color w:val="auto"/>
        </w:rPr>
        <w:t>In our first quarter of fiscal 2010, we began presenting Smith &amp; Hawken as discontinued operations and prior periods have been reclassified to conform to this presentation. The loss from discontinued operations, net of tax, for the third quarter of fiscal 2010 approximated zero, compared to a loss, net of tax, of $2.9 million for the third quarter of fiscal 2009. The loss from discontinued operations, net of tax, was $9.3 million for the first nine months of fiscal 2010 versus $13.7 million for the same period of fiscal 2009. The losses recorded in fiscal 2010 relate primarily to first quarter charges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w:t>
      </w:r>
    </w:p>
    <w:p>
      <w:pPr>
        <w:spacing w:after="0" w:line="185" w:lineRule="exact"/>
        <w:rPr>
          <w:sz w:val="20"/>
          <w:szCs w:val="20"/>
          <w:color w:val="auto"/>
        </w:rPr>
      </w:pPr>
    </w:p>
    <w:p>
      <w:pPr>
        <w:jc w:val="both"/>
        <w:ind w:left="340" w:right="1760"/>
        <w:spacing w:after="0" w:line="276" w:lineRule="auto"/>
        <w:rPr>
          <w:sz w:val="20"/>
          <w:szCs w:val="20"/>
          <w:color w:val="auto"/>
        </w:rPr>
      </w:pPr>
      <w:r>
        <w:rPr>
          <w:rFonts w:ascii="Arial" w:cs="Arial" w:eastAsia="Arial" w:hAnsi="Arial"/>
          <w:sz w:val="17"/>
          <w:szCs w:val="17"/>
          <w:color w:val="auto"/>
        </w:rPr>
        <w:t>Our continuing operations are divided into the following segments: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xml:space="preserve"> and Corporate &amp; Other. The Corporate &amp; Other segment primarily consists of corporate general and administrative expenses. This division of reportable segments is consistent with how the segments report to and are managed by senior management of the Company. Certain reclassifications were made to the Global Consumer and Global Professional prior period amounts to reflect changes in the structure of the Company’s organization effective in fiscal 2010.</w:t>
      </w:r>
    </w:p>
    <w:p>
      <w:pPr>
        <w:spacing w:after="0" w:line="146" w:lineRule="exact"/>
        <w:rPr>
          <w:sz w:val="20"/>
          <w:szCs w:val="20"/>
          <w:color w:val="auto"/>
        </w:rPr>
      </w:pPr>
    </w:p>
    <w:p>
      <w:pPr>
        <w:jc w:val="both"/>
        <w:ind w:left="340" w:right="1760"/>
        <w:spacing w:after="0" w:line="302" w:lineRule="auto"/>
        <w:rPr>
          <w:sz w:val="20"/>
          <w:szCs w:val="20"/>
          <w:color w:val="auto"/>
        </w:rPr>
      </w:pPr>
      <w:r>
        <w:rPr>
          <w:rFonts w:ascii="Arial" w:cs="Arial" w:eastAsia="Arial" w:hAnsi="Arial"/>
          <w:sz w:val="16"/>
          <w:szCs w:val="16"/>
          <w:color w:val="auto"/>
        </w:rPr>
        <w:t>Segment performance is evaluated based on several factors, including income from continuing operations before amortization, product registration and recall costs, and impairment, restructuring and other charges, which are not measures recognized under generally accepted accounting principles. Management uses this measure of operating profit to gauge segment performance because we believe this measure is the most indicative of performance trends and the overall earnings potential of each segment.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net sales by segment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NINE MONTHS ENDED</w:t>
            </w: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JUNE 27,</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(UNAUDITED)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Global Professional</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196.5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1,239.1</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1,231.6</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2,664.8</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Product registration and recall matters-returns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r>
              <w:rPr>
                <w:rFonts w:ascii="Arial" w:cs="Arial" w:eastAsia="Arial" w:hAnsi="Arial"/>
                <w:sz w:val="18"/>
                <w:szCs w:val="18"/>
                <w:u w:val="single" w:color="auto"/>
                <w:color w:val="auto"/>
              </w:rPr>
              <w:t>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2,458.2</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36</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8"/>
                <w:szCs w:val="18"/>
                <w:color w:val="auto"/>
                <w:w w:val="92"/>
              </w:rPr>
              <w:t>The following table sets forth operating income (loss) by segment (in millions):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18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w w:val="99"/>
              </w:rPr>
              <w:t>JULY 3,</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JUNE 27,</w:t>
            </w: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JULY 3,</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JUNE 27,</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429.2</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Global Professional</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Corporate &amp; Other</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362.0</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Product registration and recall matters</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Consumer</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Global Consumer segment net sales were $1.09 billion for the third quarter and $2.31 billion for the first nine months of fiscal 2010, an increase of 0.3% and 9.6% from the third quarter and first nine months of fiscal 2009, respectively. Organic net sales after the impact of the calendar shift grew by 5.4% and 6.9% for the third quarter and first nine months, respectively, driven primarily by unit growth. We believe this growth was partially attributable to increased marketing efforts as well as continued support of the category by our retail partners. Price decreases on certain commodity and private label products, along with aggressive customer-focused promotional spending, reduced net sales by 0.8% and 1.1% for the third quarter and first nine months of fiscal 2010, respectively. Foreign exchange movements did not have a meaningful impact on net sales for the third quarter, and increased net sales by 1.0% for the first nine months of fiscal 2010.</w:t>
      </w:r>
    </w:p>
    <w:p>
      <w:pPr>
        <w:spacing w:after="0" w:line="13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Organic net sales for U.S. Consumer after the impact of the calendar shift increased 4.9% and 7.6% for the third quarter and first nine months of fiscal 2010, respectively, driven primarily by unit growth. Price decreases on certain commodity and private label products, along with aggressive customer-focused promotional spending, reduced net sales by 0.7% and 1.1% for the third quarter and first nine months of fiscal 2010, respectively. Consumer purchases of our products at our largest U.S. retailers (retail point-of-sale, or “POS”) increased by 4.9% and 5.7% for the quarter and first nine months, respectively, driven by higher sales in growing media, plant foods and grass seed. Our grass seed business benefited from the national launch of our Scotts EZ Seed</w:t>
      </w:r>
      <w:r>
        <w:rPr>
          <w:rFonts w:ascii="Arial" w:cs="Arial" w:eastAsia="Arial" w:hAnsi="Arial"/>
          <w:sz w:val="13"/>
          <w:szCs w:val="13"/>
          <w:color w:val="auto"/>
        </w:rPr>
        <w:t>®</w:t>
      </w:r>
      <w:r>
        <w:rPr>
          <w:rFonts w:ascii="Arial" w:cs="Arial" w:eastAsia="Arial" w:hAnsi="Arial"/>
          <w:sz w:val="16"/>
          <w:szCs w:val="16"/>
          <w:color w:val="auto"/>
        </w:rPr>
        <w:t xml:space="preserve"> product. Organic net sales for International Consumer after the impact of the calendar shift increased by 8.2% and 3.7% for the third quarter and first nine months of fiscal 2010, respectively. Pricing actions decreased net sales by 0.9% and 0.7% for the third quarter and first nine months of fiscal 2010, respectively. Foreign exchange movements did not have a meaningful impact on International Consumer net sales for the third quarter, and increased net sales by 5.9% for the first nine months of fiscal 2010. The increase in International Consumer net sales was primarily driven by double-digit sales growth in Canada and the United Kingdom, which have both benefited from new product launches.</w:t>
      </w:r>
    </w:p>
    <w:p>
      <w:pPr>
        <w:spacing w:after="0" w:line="142"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Global Consumer segment operating income increased by $27.5 million and $81.0 million in the third quarter and first nine months of fiscal 2010, respectively. Excluding the impact of the calendar shift and foreign exchange movements, Global Consumer segment operating income increased by $41.7 million and $68.2 million in the third quarter and first nine months of fiscal 2010, respectively. The increase in operating income was driven by the increase in net sales accompanied by improvement in gross margin rates of 200 and 120 basis points for the third quarter and first nine months of fiscal 2010, respectively. The fiscal 2010 third quarter Global Consumer gross profit rate increase was primarily driven by declines in material costs, partially offset by increased freight expenses. On a year-to-date basis, the Global Consumer gross profit rate increase was driven by lower input costs, favorable product mix and cost productivity improvements, partially offset by higher freight costs and the sell-through of older, higher cost inventory. The improvement in net sales and gross margin rates was partially offset by increases in SG&amp;A spending, primarily related to strategic investments in advertising, selling and marketing.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Professional</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Global Professional segment net sales were $71.9 million for the third quarter and $205.3 million for the first nine months of fiscal 2010, an increase of 3.5% and 4.4% from the third quarter and first nine months of fiscal 2009, respectively. Included in the Global Professional totals are net sales of our U.S. professional seed business, which were $5.6 million and $16.7 million, respectively, for the third quarter and first nine months of fiscal 2010. Excluding the U.S. professional seed business, Global Professional organic net sales after the impact of the calendar shift grew by 12.3% and 2.7%, respectively, for the third quarter and first nine months, driven by double-digit unit growth partially offset by price deflation. Average selling prices decreased by 13.3% and 6.9% for the third quarter and first nine months of fiscal 2010, respectively. Foreign exchange movements decreased net sales by 4.5% for the third quarter, and increased net sales by 2.2% for the first nine months of fiscal 2010.</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Global Professional segment operating income increased by $1.7 million in the third quarter, and decreased by $11.5 million in the first nine months of fiscal 2010. Our U.S. professional seed business had operating losses of $4.6 million and $5.9 million, respectively, for the three- and nine-month periods ended July 3, 2010, compared to operating losses of $1.8 million and $4.0 million, respectively, for the same periods of fiscal 2009. The losses for our U.S. professional seed business primarily relate to charges necessary to reflect seed at current market values, which have been declining for certain seed varieties. Excluding the U.S. professional seed business and the impact of the calendar shift and foreign exchange movements, Global Professional segment operating income increased by $5.2 million in the third quarter, and decreased by $9.7 million in the first nine months of fiscal 2010. The increase in third quarter operating income was driven by an increase in gross profit rates from 28.3% in the third quarter of fiscal 2009 to 34.5% in the third quarter of fiscal 2010 as prices and costs returned to historical normalized levels. The decrease in year-to-date operating income was driven primarily by the sell-through of older, higher cost inventory during the first half of fiscal 2010 at lower average selling prices.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revenues increased by $2.4 million in the third quarter of fiscal 2010, while decreasing by $5.6 million for the first nine months of fiscal 2010, compared to the same periods in fiscal 2009. Excluding the impact of the calendar shift,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increased by $2.9 million in the third quarter, and decreased by $10.1 million in the first nine months of fiscal 2010. The increase in third quarter net sales was consistent with the increase in average customer count over the same period. On a year-to-date basis, declines in average customer count and in customer purchases of à la carte services were the primary contributors to the decline in net sales.</w:t>
      </w:r>
    </w:p>
    <w:p>
      <w:pPr>
        <w:spacing w:after="0" w:line="15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income increased by $1.2 million and $3.8 million in the third quarter and first nine months of fiscal 2010, respectively. Excluding the impact of the calendar shift, 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income increased by $1.4 million and $2.3 million in the third quarter and first nine months of fiscal 2010, respectively. The increases were primarily driven by gross margin improvement due to lower product and fuel costs and increased labor productivity, as well as lower SG&amp;A spending.</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&amp; Other</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net operating loss for the Corporate &amp; Other segment decreased by $5.0 million and $8.0 million, respectively, for the three-and nine-month periods ended July 3, 2010 compared to the same periods of fiscal 2009. The declines in net operating losses were driven by decreases in variable compensation and third-party legal fees, as well as a gain on the sale of property in the first quarter of fiscal 2010.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AND CAPITAL RESOURCES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Cash provided by operating activities totaled $156.2 million for the nine months ended July 3, 2010, compared to $3.5 million for the comparable period in fiscal 2009. Net income plus non-cash impairment and other charges, stock-based compensation, depreciation and amortization increased by $66.3 million from $227.5 million for the nine months ended June 27, 2009 to $293.8 million for the same period in fiscal 2010, driven primarily by an increase in net sales and gross profit. Year-to-date operating cash flows were also favorably impacted by strong working capital management. The decline in accounts receivable was impacted by earlier third quarter sales in fiscal 2010 compared to the third quarter of fiscal 2009 and the impact of the calendar shift, with both factors allowing us to turn a greater portion of sales into cash at the end of the third quarter of fiscal 2010. Inventory declined primarily due to lower commodity costs and the closure of Smith &amp; Hawken, partially offset by a slight increase in units.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20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Cash used in investing activities totaled $23.3 million and $36.2 million for the nine months ended July 3, 2010 and June 27, 2009, respectively. During the first quarter of fiscal 2010, we received $23.6 million related to the sale of long-lived assets, including the sale of the intellectual property of Smith &amp; Hawken to an unrelated third party, in addition to the sale of certain property, plant and equipment. Capital spending, including investments in intellectual property, increased from $27.7 million in the first nine months of fiscal 2009 to $46.9 million in the first nine months of fiscal 2010. The growth primarily relates to additional production capacity being added for a key input to our consumer grass seed business, as well as other supply chain and information technology investments in our consumer business. There was no acquisition activity in the first nine months of fiscal 2010 compared to acquisition activity totaling $9.3 million for the nine months ended June 27,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202"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Cash used in financing activities was $121.4 million for the nine months ended July 3, 2010, compared to cash provided by financing activities of $99.0 million for the nine months ended June 27, 2009. Net repayments primarily under our senior secured credit facilities were $307.0 million for the nine months ended July 3, 2010, compared to net borrowings primarily under our senior secured credit facilities of $119.4 million for the same period in fiscal 2009. Financing activities in fiscal 2010 included the issuance of the Senior Notes on January 14, 2010, yielding net proceeds of $198.5 million, which were used to reduce outstanding borrowings under our senior secured revolving credit facility. In addition, cash received from the exercise of stock options for the nine months ended July 3, 2010 increased by $10.0 million compared to the same period in fiscal 2009, partially offset by an increase in financing and issuance fees of $5.4 million.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Borrowing Agreements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agreements. 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our current structure, we may request an additional $200 million in revolving credit and/or term credit commitments, subject to approval from our lenders. Borrowings may be made in various currencies including U.S. dollars, Euros, British pounds, Australian dollars and Canadian dollars. Amortization payments on the term loan portion of the credit facilities began on September 30, 2007 and are due quarterly through 2012. As of July 3, 2010, the cumulative total amortization payments on the term loan were $215.6 million, reducing the balance of our term loan and effectively reducing the amount outstanding under the credit facilities.</w:t>
      </w:r>
    </w:p>
    <w:p>
      <w:pPr>
        <w:spacing w:after="0" w:line="16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July 3, 2010, there was $1.45 billion of availability under the senior secured credit facilities, including letters of credit. Under the revolving loan facility, we have the ability to issue letter of credit commitments up to $65 million. At July 3, 2010, we had letters of credit in the aggregate face amount of $31.2 million outstanding.</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the proceeds of which were used to reduce outstanding borrowings under our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which began on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Scotts Miracle-Gro stock and prepayments of subordinated debt, limitations on asset sales and restrictions on transactions with affiliates. The Senior Notes mature on January 15, 2018. Certain of Scotts Miracle-Gro’s domestic subsidiaries serve as guarantors of the Senior Notes. Refer to “NOTE 16. FINANCIAL INFORMATION FOR SUBSIDIARY GUARANTORS AND NON-GUARANTORS” of the Notes to Condensed, Consolidated Financial Statements for more information regarding the guarantor entities.</w:t>
      </w:r>
    </w:p>
    <w:p>
      <w:pPr>
        <w:spacing w:after="0" w:line="13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At July 3, 2010,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effective dates, expiration dates and rates of these swap agreements are shown in the table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EFFECTIVE</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EXPIRATION</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FIXED</w:t>
            </w:r>
          </w:p>
        </w:tc>
      </w:tr>
      <w:tr>
        <w:trPr>
          <w:trHeight w:val="234"/>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NOTIONAL AMOUNT (IN MILLIONS)</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DATE</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c>
          <w:tcPr>
            <w:tcW w:w="160" w:type="dxa"/>
            <w:vAlign w:val="bottom"/>
          </w:tcPr>
          <w:p>
            <w:pPr>
              <w:spacing w:after="0"/>
              <w:rPr>
                <w:sz w:val="20"/>
                <w:szCs w:val="20"/>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2/14/2007</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2/14/2012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50</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2/14/2012</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2/14/2016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150 (b)</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11/16/2009</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5/16/2016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50 (c)</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2/16/2010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5/16/2016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3.05%</w:t>
            </w:r>
          </w:p>
        </w:tc>
      </w:tr>
    </w:tbl>
    <w:p>
      <w:pPr>
        <w:spacing w:after="0" w:line="93"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effective date refers to the date on which interest payments were first hedged by the applicable swap contract.</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beginning November 14 of each year between the effective date and expiration date are hedged by the swap contract.</w:t>
      </w:r>
    </w:p>
    <w:p>
      <w:pPr>
        <w:spacing w:after="0" w:line="21"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beginning February 14 of each year between the effective date and expiration date are hedged by the swap contract.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On April 9, 2008, we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13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May 1, 2009, we entered into a Master Accounts Receivable Purchase Agreement (the “2009 MARP Agreement”), with an initial stated termination date of May 1, 2010, or such later date as may be mutually agreed by us and our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13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May 13, 2010, we entered into a First Amendment (the “First Amendment”) to the 2009 MARP Agreement with our lender. The First Amendment, which was effective May 1, 2010, extended the stated termination date of the 2009 MARP Agreement through May 12, 2011, or such later date as may be mutually agreed by us and our lender. The 2009 MARP Agreement, as amended by the First Amendment, provides an interest rate that approximates the 7-day LIBOR rate plus 125 basis points. The First Amendment did not otherwise modify any substantive provisions of the 2009 MARP Agreement. Borrowings under the 2009 MARP Agreement at July 3, 2010 were $15.0 million.</w:t>
      </w:r>
    </w:p>
    <w:p>
      <w:pPr>
        <w:spacing w:after="0" w:line="153"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Contingent consideration related to our May 2006 acquisition of certain brands and assets of Turf-Seed, Inc., a leading producer of quality commercial turfgrasses, is due to the seller in the second half of fiscal 2012. Payment is largely based on the performance of the Company’s consumer and professional seed business for the twelve-month period ending in May 2012.</w:t>
      </w:r>
    </w:p>
    <w:p>
      <w:pPr>
        <w:spacing w:after="0" w:line="12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As of July 3, 2010, we were in compliance with all debt covenants. Our senior secured credit facilities contain, among other obligations, an affirmative covenant regarding our leverage ratio, calculated as indebtedness relative to our earnings before interest, taxes, depreciation and amortization. Under the terms of the senior secured credit facilities, the maximum leverage ratio was 3.75 as of July 3, 2010 and is scheduled to decrease to 3.50 on September 30, 2010. Our senior secured credit facilities also include an affirmative covenant regarding our interest coverage. Under the terms of the senior secured credit facilities, the minimum interest coverage ratio was 3.50 for the twelve months ended July 3, 2010. We continue to monitor our compliance with the leverage ratio, interest coverage ratio and other covenants contained in the senior secured credit facilities and, based upon our current operating assumptions, we expect to remain in compliance with the permissible leverage ratio and interest coverage ratio throughout fiscal 2010. However, an unanticipated charge to earnings, an increase in debt or other factors could materially adversely affect our ability to remain in compliance with the financial or other covenants of our senior secured credit facilities, potentially causing us to have to seek an amendment or waiver from our lending group which could result in repricing of our senior secured credit facilities. While we believe we have good relationships with our banking group, we can provide no assurance that such a request would be likely to result in a modified or replacement credit facility on reasonable terms, if at all.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August 10, 2010, we announced that the Scotts Miracle-Gro Board of Directors has authorized the repurchase of up to $500 million of Scotts Miracle-Gro’s common shares over the next four years and the doubling of our quarterly dividend to 25-cents per share. The decisions to increase the amount of cash we return to our shareholders reflect our continued confidence in the outlook for our business, which should allow us to continue to make wise investments that drive the long-term profitable growth of our business while maintaining our desired leverage ratio of approximately 2.0 - 2.5.</w:t>
      </w:r>
    </w:p>
    <w:p>
      <w:pPr>
        <w:spacing w:after="0" w:line="146"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share repurchase authorization provides us with flexibility to purchase common shares from time to time in open market purchases or through privately negotiated transactions. We may make all or part of the repurchases under Rule 10b5-1 plans, which we may enter from time to time and which enable us to make repurchases on a more regular basis, or pursuant to accelerated share repurchases. The share repurchase authorization, which expires September 30, 2014, may be suspended or discontinued at any time, and there can be no guarantee as to the timing or amount of any repurchases.</w:t>
      </w:r>
    </w:p>
    <w:p>
      <w:pPr>
        <w:spacing w:after="0" w:line="13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Our first quarterly cash dividend of $0.25 per common share is payable on September 10, 2010 to all common shareholders of record on August 27, 2010.</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Finally, on August 10, 2010, we indicated that we are actively exploring strategic alternatives for our Global Professional business segment. These strategic alternatives include the potential divestiture of that business segment, consistent with our previously stated intent to focus on our core Global Consumer business segment.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Judicial and Administrative Proceedings</w:t>
      </w:r>
    </w:p>
    <w:p>
      <w:pPr>
        <w:spacing w:after="0" w:line="202"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adverse effect on our financial condition, results of operations or cash flows; however, there can be no assurance that future quarterly or annual operating results will not be materially affected by final resolution of these matters.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2010,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REGULATORY MATTERS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including those described in “NOTE 11. CONTINGENCIES” of the Notes to Condensed, Consolidated Financial Statements.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2009, under “ITEM 1. BUSINESS — Regulatory Considerations,” “ITEM 1. BUSINESS — FIFRA Compliance, the Corresponding Governmental Investigations and Similar Matters,” “ITEM 1. BUSINESS — Other Regulatory Matters” and “ITEM 3. LEGAL PROCEEDINGS.”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CRITICAL ACCOUNTING POLICIES AND ESTIMATES</w:t>
      </w:r>
    </w:p>
    <w:p>
      <w:pPr>
        <w:spacing w:after="0" w:line="19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2009, as updated by its Current Report on Form 8-K filed February 16, 2010, includes additional information about us, our operations, our financial condition, our critical accounting policies and accounting estimates, and should be read in conjunction with this Quarterly Report on Form 10-Q.</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With the participation of the principal executive officer and principal financial officer of The Scotts Miracle-Gro Company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w:t>
      </w:r>
    </w:p>
    <w:p>
      <w:pPr>
        <w:spacing w:after="0" w:line="132" w:lineRule="exact"/>
        <w:rPr>
          <w:sz w:val="20"/>
          <w:szCs w:val="20"/>
          <w:color w:val="auto"/>
        </w:rPr>
      </w:pPr>
    </w:p>
    <w:p>
      <w:pPr>
        <w:jc w:val="both"/>
        <w:ind w:left="340" w:right="559" w:hanging="8"/>
        <w:spacing w:after="0" w:line="259" w:lineRule="auto"/>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has been accumulated and communicated to the Registrant’s management, including its principal executive officer and principal financial officer, as appropriate to allow timely decisions regarding required disclosure;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hanging="8"/>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has been recorded, processed, summarized and reported within the time periods specified in the SEC’s rules and forms; and</w:t>
      </w:r>
    </w:p>
    <w:p>
      <w:pPr>
        <w:spacing w:after="0" w:line="154" w:lineRule="exact"/>
        <w:rPr>
          <w:rFonts w:ascii="Arial" w:cs="Arial" w:eastAsia="Arial" w:hAnsi="Arial"/>
          <w:sz w:val="18"/>
          <w:szCs w:val="18"/>
          <w:color w:val="auto"/>
        </w:rPr>
      </w:pPr>
    </w:p>
    <w:p>
      <w:pPr>
        <w:ind w:left="340" w:right="559" w:hanging="8"/>
        <w:spacing w:after="0" w:line="277" w:lineRule="auto"/>
        <w:tabs>
          <w:tab w:leader="none" w:pos="6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were effective as of the end of the fiscal quarter covered by this Quarterly Report on Form 10-Q.</w:t>
      </w:r>
    </w:p>
    <w:p>
      <w:pPr>
        <w:spacing w:after="0" w:line="13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addition, there were no changes in the Registrant‘s internal control over financial reporting (as defined in Rule 13a-15(f) under the Exchange Act) that occurred during the Registrant’s fiscal quarter ended July 3, 2010 that have materially affected, or are reasonably likely to materially affect, the Registrant’s internal control over financial reporting.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Other than as discussed in “NOTE 3. PRODUCT REGISTRATION AND RECALL MATTERS” and “NOTE 11. CONTINGENCIES” of the Notes to Condensed, Consolidated Financial Statements, pending material legal proceedings have not changed significantly since those disclosed in Scotts Miracle-Gro’s Annual Report on Form 10-K for the fiscal year ended September 30, 2009.</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1A. RISK FACTORS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as amended, and Section 21E of the Securities Exchange Act of 1934, as amended, in this Quarterly Report on Form 10-Q and in other contexts relating to matters including future growth and profitability targets and strategies designed to increase total shareholder value. Forward-looking statements also include, but are not limited to, information regarding our future economic and financial condition and results of operations, the plans and objectives of our management and our assumptions regarding our performance and these plans and objectives, and the amount and timing of repurchases of common shares of Scotts Miracle-Gro, if any.</w:t>
      </w:r>
    </w:p>
    <w:p>
      <w:pPr>
        <w:spacing w:after="0" w:line="14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“ITEM 1A. RISK FACTORS” in Scotts Miracle-Gro’s Quarterly Report on Form 10-Q for the quarterly period ended January 2, 2010. All forward-looking statements attributable to us or persons working on our behalf are expressly qualified in their entirety by those cautionary statements.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Issuer Purchases of Equity Securities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fiscal month in the three months ended July 3, 2010: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 Shares</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Average Price</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Purchased as</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Common Shares That</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20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Paid</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Part of Publicly</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Common Shares</w:t>
            </w: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per Common</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Announced Plans or</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8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80" w:type="dxa"/>
            <w:vAlign w:val="bottom"/>
          </w:tcPr>
          <w:p>
            <w:pPr>
              <w:spacing w:after="0"/>
              <w:rPr>
                <w:sz w:val="20"/>
                <w:szCs w:val="20"/>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April 4 through May 1, 2010</w:t>
            </w:r>
          </w:p>
        </w:tc>
        <w:tc>
          <w:tcPr>
            <w:tcW w:w="1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49.24</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 applicable</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May 2 through May 29, 2010</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1,733</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43.43</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May 30 through July 3, 2010</w:t>
            </w:r>
          </w:p>
        </w:tc>
        <w:tc>
          <w:tcPr>
            <w:tcW w:w="1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 applicable</w:t>
            </w: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45.10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80" w:right="559" w:hanging="348"/>
        <w:spacing w:after="0" w:line="285"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Performance Award (each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accounts under the ERP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accounts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42" w:lineRule="exact"/>
        <w:rPr>
          <w:rFonts w:ascii="Arial" w:cs="Arial" w:eastAsia="Arial" w:hAnsi="Arial"/>
          <w:sz w:val="16"/>
          <w:szCs w:val="16"/>
          <w:color w:val="auto"/>
        </w:rPr>
      </w:pPr>
    </w:p>
    <w:p>
      <w:pPr>
        <w:ind w:left="680" w:right="559"/>
        <w:spacing w:after="0" w:line="277" w:lineRule="auto"/>
        <w:rPr>
          <w:rFonts w:ascii="Arial" w:cs="Arial" w:eastAsia="Arial" w:hAnsi="Arial"/>
          <w:sz w:val="16"/>
          <w:szCs w:val="16"/>
          <w:color w:val="auto"/>
        </w:rPr>
      </w:pPr>
      <w:r>
        <w:rPr>
          <w:rFonts w:ascii="Arial" w:cs="Arial" w:eastAsia="Arial" w:hAnsi="Arial"/>
          <w:sz w:val="18"/>
          <w:szCs w:val="18"/>
          <w:color w:val="auto"/>
        </w:rPr>
        <w:t>None of the Common Shares purchased during the three months ended July 3, 2010 were purchased pursuant to a publicly announced plan or program.</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to Exhibits at page 45 for a list of the exhibits included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460" w:type="dxa"/>
            <w:vAlign w:val="bottom"/>
          </w:tcPr>
          <w:p>
            <w:pPr>
              <w:ind w:left="340"/>
              <w:spacing w:after="0"/>
              <w:rPr>
                <w:sz w:val="20"/>
                <w:szCs w:val="20"/>
                <w:color w:val="auto"/>
              </w:rPr>
            </w:pPr>
            <w:r>
              <w:rPr>
                <w:rFonts w:ascii="Arial" w:cs="Arial" w:eastAsia="Arial" w:hAnsi="Arial"/>
                <w:sz w:val="18"/>
                <w:szCs w:val="18"/>
                <w:color w:val="auto"/>
              </w:rPr>
              <w:t>Date: August 12, 2010</w:t>
            </w:r>
          </w:p>
        </w:tc>
        <w:tc>
          <w:tcPr>
            <w:tcW w:w="6960" w:type="dxa"/>
            <w:vAlign w:val="bottom"/>
            <w:gridSpan w:val="2"/>
          </w:tcPr>
          <w:p>
            <w:pPr>
              <w:spacing w:after="0"/>
              <w:rPr>
                <w:sz w:val="20"/>
                <w:szCs w:val="20"/>
                <w:color w:val="auto"/>
              </w:rPr>
            </w:pPr>
            <w:r>
              <w:rPr>
                <w:rFonts w:ascii="Arial" w:cs="Arial" w:eastAsia="Arial" w:hAnsi="Arial"/>
                <w:sz w:val="18"/>
                <w:szCs w:val="18"/>
                <w:color w:val="auto"/>
              </w:rPr>
              <w:t>/s/ DAVID C. EVANS</w:t>
            </w:r>
          </w:p>
        </w:tc>
      </w:tr>
      <w:tr>
        <w:trPr>
          <w:trHeight w:val="195"/>
        </w:trPr>
        <w:tc>
          <w:tcPr>
            <w:tcW w:w="44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C. Evans</w:t>
            </w:r>
          </w:p>
        </w:tc>
        <w:tc>
          <w:tcPr>
            <w:tcW w:w="304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(Principal Financial and Principal Accounting Officer)</w:t>
            </w:r>
          </w:p>
        </w:tc>
      </w:t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(Duly Authorized Officer)</w:t>
            </w:r>
          </w:p>
        </w:tc>
      </w:tr>
      <w:tr>
        <w:trPr>
          <w:trHeight w:val="783"/>
        </w:trPr>
        <w:tc>
          <w:tcPr>
            <w:tcW w:w="4460" w:type="dxa"/>
            <w:vAlign w:val="bottom"/>
          </w:tcPr>
          <w:p>
            <w:pPr>
              <w:spacing w:after="0"/>
              <w:rPr>
                <w:sz w:val="24"/>
                <w:szCs w:val="24"/>
                <w:color w:val="auto"/>
              </w:rPr>
            </w:pPr>
          </w:p>
        </w:tc>
        <w:tc>
          <w:tcPr>
            <w:tcW w:w="3920" w:type="dxa"/>
            <w:vAlign w:val="bottom"/>
          </w:tcPr>
          <w:p>
            <w:pPr>
              <w:ind w:left="440"/>
              <w:spacing w:after="0"/>
              <w:rPr>
                <w:sz w:val="20"/>
                <w:szCs w:val="20"/>
                <w:color w:val="auto"/>
              </w:rPr>
            </w:pPr>
            <w:r>
              <w:rPr>
                <w:rFonts w:ascii="Arial" w:cs="Arial" w:eastAsia="Arial" w:hAnsi="Arial"/>
                <w:sz w:val="18"/>
                <w:szCs w:val="18"/>
                <w:color w:val="auto"/>
              </w:rPr>
              <w:t>44</w:t>
            </w:r>
          </w:p>
        </w:tc>
        <w:tc>
          <w:tcPr>
            <w:tcW w:w="3040" w:type="dxa"/>
            <w:vAlign w:val="bottom"/>
          </w:tcPr>
          <w:p>
            <w:pPr>
              <w:spacing w:after="0"/>
              <w:rPr>
                <w:sz w:val="24"/>
                <w:szCs w:val="24"/>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FOR THE QUARTERLY PERIOD ENDED JULY 3, 2010</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 TO EXHIBITS</w:t>
      </w:r>
    </w:p>
    <w:p>
      <w:pPr>
        <w:sectPr>
          <w:pgSz w:w="11900" w:h="16838" w:orient="portrait"/>
          <w:cols w:equalWidth="0" w:num="1">
            <w:col w:w="10219"/>
          </w:cols>
          <w:pgMar w:left="240" w:top="419" w:right="1440" w:bottom="1440" w:gutter="0" w:footer="0" w:header="0"/>
        </w:sect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34"/>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160" w:type="dxa"/>
            <w:vAlign w:val="bottom"/>
          </w:tcPr>
          <w:p>
            <w:pPr>
              <w:spacing w:after="0"/>
              <w:rPr>
                <w:sz w:val="20"/>
                <w:szCs w:val="20"/>
                <w:color w:val="auto"/>
              </w:rPr>
            </w:pPr>
          </w:p>
        </w:tc>
        <w:tc>
          <w:tcPr>
            <w:tcW w:w="524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0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w w:val="94"/>
              </w:rPr>
              <w:t>Employment Agreement for Claude Lopez, executed on behalf of The</w:t>
            </w: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Scotts Company LLC and by Claude Lopez on May 28, 2010, with an</w:t>
            </w: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effective date of October 1, 2010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LOCATION</w:t>
      </w:r>
    </w:p>
    <w:p>
      <w:pPr>
        <w:spacing w:after="0" w:line="27" w:lineRule="exact"/>
        <w:rPr>
          <w:sz w:val="20"/>
          <w:szCs w:val="20"/>
          <w:color w:val="auto"/>
        </w:rPr>
      </w:pPr>
    </w:p>
    <w:p>
      <w:pPr>
        <w:ind w:right="579"/>
        <w:spacing w:after="0" w:line="275"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May 28, 2010 (File No. 1-11593)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18008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6740" w:space="80"/>
            <w:col w:w="3399"/>
          </w:cols>
          <w:pgMar w:left="240" w:top="419" w:right="1440" w:bottom="1440" w:gutter="0" w:footer="0" w:header="0"/>
          <w:type w:val="continuous"/>
        </w:sectPr>
      </w:pPr>
    </w:p>
    <w:tbl>
      <w:tblPr>
        <w:tblLayout w:type="fixed"/>
        <w:tblInd w:w="540" w:type="dxa"/>
        <w:tblCellMar>
          <w:top w:w="0" w:type="dxa"/>
          <w:left w:w="0" w:type="dxa"/>
          <w:bottom w:w="0" w:type="dxa"/>
          <w:right w:w="0" w:type="dxa"/>
        </w:tblCellMar>
      </w:tblPr>
      <w:tr>
        <w:trPr>
          <w:trHeight w:val="216"/>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10.2</w:t>
            </w:r>
          </w:p>
        </w:tc>
        <w:tc>
          <w:tcPr>
            <w:tcW w:w="5580" w:type="dxa"/>
            <w:vAlign w:val="bottom"/>
          </w:tcPr>
          <w:p>
            <w:pPr>
              <w:ind w:left="320"/>
              <w:spacing w:after="0"/>
              <w:rPr>
                <w:sz w:val="20"/>
                <w:szCs w:val="20"/>
                <w:color w:val="auto"/>
              </w:rPr>
            </w:pPr>
            <w:r>
              <w:rPr>
                <w:rFonts w:ascii="Arial" w:cs="Arial" w:eastAsia="Arial" w:hAnsi="Arial"/>
                <w:sz w:val="18"/>
                <w:szCs w:val="18"/>
                <w:color w:val="auto"/>
                <w:w w:val="96"/>
              </w:rPr>
              <w:t>Form of Performance Unit Award Agreement (with Related Dividend</w:t>
            </w:r>
          </w:p>
        </w:tc>
        <w:tc>
          <w:tcPr>
            <w:tcW w:w="2900" w:type="dxa"/>
            <w:vAlign w:val="bottom"/>
          </w:tcPr>
          <w:p>
            <w:pPr>
              <w:ind w:left="60"/>
              <w:spacing w:after="0"/>
              <w:rPr>
                <w:sz w:val="20"/>
                <w:szCs w:val="20"/>
                <w:color w:val="auto"/>
              </w:rPr>
            </w:pPr>
            <w:r>
              <w:rPr>
                <w:rFonts w:ascii="Arial" w:cs="Arial" w:eastAsia="Arial" w:hAnsi="Arial"/>
                <w:sz w:val="18"/>
                <w:szCs w:val="18"/>
                <w:color w:val="auto"/>
                <w:w w:val="90"/>
              </w:rPr>
              <w:t>Incorporated herein by reference to the</w:t>
            </w:r>
          </w:p>
        </w:tc>
      </w:tr>
      <w:tr>
        <w:trPr>
          <w:trHeight w:val="216"/>
        </w:trPr>
        <w:tc>
          <w:tcPr>
            <w:tcW w:w="6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w w:val="92"/>
              </w:rPr>
              <w:t>Equivalents) evidencing grant of Performance Units which will be made</w:t>
            </w:r>
          </w:p>
        </w:tc>
        <w:tc>
          <w:tcPr>
            <w:tcW w:w="2900" w:type="dxa"/>
            <w:vAlign w:val="bottom"/>
          </w:tcPr>
          <w:p>
            <w:pPr>
              <w:ind w:left="60"/>
              <w:spacing w:after="0"/>
              <w:rPr>
                <w:sz w:val="20"/>
                <w:szCs w:val="20"/>
                <w:color w:val="auto"/>
              </w:rPr>
            </w:pPr>
            <w:r>
              <w:rPr>
                <w:rFonts w:ascii="Arial" w:cs="Arial" w:eastAsia="Arial" w:hAnsi="Arial"/>
                <w:sz w:val="18"/>
                <w:szCs w:val="18"/>
                <w:color w:val="auto"/>
              </w:rPr>
              <w:t>Registrant’s Current Report on</w:t>
            </w:r>
          </w:p>
        </w:tc>
      </w:tr>
      <w:tr>
        <w:trPr>
          <w:trHeight w:val="216"/>
        </w:trPr>
        <w:tc>
          <w:tcPr>
            <w:tcW w:w="6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w w:val="98"/>
              </w:rPr>
              <w:t>on October 1, 2010 to Claude Lopez under The Scotts Miracle-Gro</w:t>
            </w:r>
          </w:p>
        </w:tc>
        <w:tc>
          <w:tcPr>
            <w:tcW w:w="2900" w:type="dxa"/>
            <w:vAlign w:val="bottom"/>
          </w:tcPr>
          <w:p>
            <w:pPr>
              <w:ind w:left="60"/>
              <w:spacing w:after="0"/>
              <w:rPr>
                <w:sz w:val="20"/>
                <w:szCs w:val="20"/>
                <w:color w:val="auto"/>
              </w:rPr>
            </w:pPr>
            <w:r>
              <w:rPr>
                <w:rFonts w:ascii="Arial" w:cs="Arial" w:eastAsia="Arial" w:hAnsi="Arial"/>
                <w:sz w:val="18"/>
                <w:szCs w:val="18"/>
                <w:color w:val="auto"/>
                <w:w w:val="93"/>
              </w:rPr>
              <w:t>Form 8-K filed May 28, 2010 (File No.</w:t>
            </w:r>
          </w:p>
        </w:tc>
      </w:tr>
      <w:tr>
        <w:trPr>
          <w:trHeight w:val="216"/>
        </w:trPr>
        <w:tc>
          <w:tcPr>
            <w:tcW w:w="6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w w:val="94"/>
              </w:rPr>
              <w:t>Company Amended and Restated 2006 Long-Term Incentive Plan, as</w:t>
            </w:r>
          </w:p>
        </w:tc>
        <w:tc>
          <w:tcPr>
            <w:tcW w:w="2900" w:type="dxa"/>
            <w:vAlign w:val="bottom"/>
          </w:tcPr>
          <w:p>
            <w:pPr>
              <w:ind w:left="60"/>
              <w:spacing w:after="0"/>
              <w:rPr>
                <w:sz w:val="20"/>
                <w:szCs w:val="20"/>
                <w:color w:val="auto"/>
              </w:rPr>
            </w:pPr>
            <w:r>
              <w:rPr>
                <w:rFonts w:ascii="Arial" w:cs="Arial" w:eastAsia="Arial" w:hAnsi="Arial"/>
                <w:sz w:val="18"/>
                <w:szCs w:val="18"/>
                <w:color w:val="auto"/>
              </w:rPr>
              <w:t>1-11593) [Exhibit 10.2]</w:t>
            </w:r>
          </w:p>
        </w:tc>
      </w:tr>
      <w:tr>
        <w:trPr>
          <w:trHeight w:val="230"/>
        </w:trPr>
        <w:tc>
          <w:tcPr>
            <w:tcW w:w="640" w:type="dxa"/>
            <w:vAlign w:val="bottom"/>
          </w:tcPr>
          <w:p>
            <w:pPr>
              <w:spacing w:after="0"/>
              <w:rPr>
                <w:sz w:val="20"/>
                <w:szCs w:val="20"/>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amended (included as Exhibit A to Exhibit 10.1)</w:t>
            </w:r>
          </w:p>
        </w:tc>
        <w:tc>
          <w:tcPr>
            <w:tcW w:w="29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type w:val="continuous"/>
        </w:sectPr>
      </w:pPr>
    </w:p>
    <w:p>
      <w:pPr>
        <w:spacing w:after="0" w:line="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10.3</w:t>
            </w:r>
          </w:p>
        </w:tc>
        <w:tc>
          <w:tcPr>
            <w:tcW w:w="5380" w:type="dxa"/>
            <w:vAlign w:val="bottom"/>
          </w:tcPr>
          <w:p>
            <w:pPr>
              <w:ind w:left="320"/>
              <w:spacing w:after="0"/>
              <w:rPr>
                <w:sz w:val="20"/>
                <w:szCs w:val="20"/>
                <w:color w:val="auto"/>
              </w:rPr>
            </w:pPr>
            <w:r>
              <w:rPr>
                <w:rFonts w:ascii="Arial" w:cs="Arial" w:eastAsia="Arial" w:hAnsi="Arial"/>
                <w:sz w:val="18"/>
                <w:szCs w:val="18"/>
                <w:color w:val="auto"/>
                <w:w w:val="92"/>
              </w:rPr>
              <w:t>First Amendment, dated as of May 13, 2010, to the Master Accounts</w:t>
            </w:r>
          </w:p>
        </w:tc>
      </w:tr>
      <w:tr>
        <w:trPr>
          <w:trHeight w:val="230"/>
        </w:trPr>
        <w:tc>
          <w:tcPr>
            <w:tcW w:w="640" w:type="dxa"/>
            <w:vAlign w:val="bottom"/>
          </w:tcPr>
          <w:p>
            <w:pPr>
              <w:spacing w:after="0"/>
              <w:rPr>
                <w:sz w:val="20"/>
                <w:szCs w:val="20"/>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w w:val="88"/>
              </w:rPr>
              <w:t>Receivable Purchase Agreement, dated as of May 1, 2009, among The</w:t>
            </w:r>
          </w:p>
        </w:tc>
      </w:tr>
    </w:tbl>
    <w:p>
      <w:pPr>
        <w:ind w:left="1500"/>
        <w:spacing w:after="0" w:line="254" w:lineRule="auto"/>
        <w:rPr>
          <w:sz w:val="20"/>
          <w:szCs w:val="20"/>
          <w:color w:val="auto"/>
        </w:rPr>
      </w:pPr>
      <w:r>
        <w:rPr>
          <w:rFonts w:ascii="Arial" w:cs="Arial" w:eastAsia="Arial" w:hAnsi="Arial"/>
          <w:sz w:val="18"/>
          <w:szCs w:val="18"/>
          <w:color w:val="auto"/>
        </w:rPr>
        <w:t>Scotts Company LLC as the Company, The Scotts Miracle-Gro Company as the Parent and Credit Agricole Corporate and Investment Bank New York Branch (formerly known as Calyon New York Branch) as the Bank</w:t>
      </w:r>
    </w:p>
    <w:p>
      <w:pPr>
        <w:spacing w:after="0" w:line="20" w:lineRule="exact"/>
        <w:rPr>
          <w:sz w:val="20"/>
          <w:szCs w:val="20"/>
          <w:color w:val="auto"/>
        </w:rPr>
      </w:pPr>
      <w:r>
        <w:rPr>
          <w:sz w:val="20"/>
          <w:szCs w:val="20"/>
          <w:color w:val="auto"/>
        </w:rPr>
        <w:br w:type="column"/>
      </w:r>
    </w:p>
    <w:p>
      <w:pPr>
        <w:ind w:right="559"/>
        <w:spacing w:after="0" w:line="257"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10.6]</w:t>
      </w:r>
    </w:p>
    <w:p>
      <w:pPr>
        <w:spacing w:after="0" w:line="404" w:lineRule="exact"/>
        <w:rPr>
          <w:sz w:val="20"/>
          <w:szCs w:val="20"/>
          <w:color w:val="auto"/>
        </w:rPr>
      </w:pPr>
    </w:p>
    <w:p>
      <w:pPr>
        <w:sectPr>
          <w:pgSz w:w="11900" w:h="16838" w:orient="portrait"/>
          <w:cols w:equalWidth="0" w:num="2">
            <w:col w:w="6660" w:space="160"/>
            <w:col w:w="3399"/>
          </w:cols>
          <w:pgMar w:left="240" w:top="419" w:right="1440"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31.1</w:t>
            </w:r>
          </w:p>
        </w:tc>
        <w:tc>
          <w:tcPr>
            <w:tcW w:w="5540" w:type="dxa"/>
            <w:vAlign w:val="bottom"/>
          </w:tcPr>
          <w:p>
            <w:pPr>
              <w:ind w:left="320"/>
              <w:spacing w:after="0"/>
              <w:rPr>
                <w:sz w:val="20"/>
                <w:szCs w:val="20"/>
                <w:color w:val="auto"/>
              </w:rPr>
            </w:pPr>
            <w:r>
              <w:rPr>
                <w:rFonts w:ascii="Arial" w:cs="Arial" w:eastAsia="Arial" w:hAnsi="Arial"/>
                <w:sz w:val="18"/>
                <w:szCs w:val="18"/>
                <w:color w:val="auto"/>
                <w:w w:val="96"/>
              </w:rPr>
              <w:t>Rule 13a-14(a)/15d-14(a) Certifications (Principal Executive Officer)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31.2</w:t>
            </w:r>
          </w:p>
        </w:tc>
        <w:tc>
          <w:tcPr>
            <w:tcW w:w="5540" w:type="dxa"/>
            <w:vAlign w:val="bottom"/>
          </w:tcPr>
          <w:p>
            <w:pPr>
              <w:ind w:left="320"/>
              <w:spacing w:after="0"/>
              <w:rPr>
                <w:sz w:val="20"/>
                <w:szCs w:val="20"/>
                <w:color w:val="auto"/>
              </w:rPr>
            </w:pPr>
            <w:r>
              <w:rPr>
                <w:rFonts w:ascii="Arial" w:cs="Arial" w:eastAsia="Arial" w:hAnsi="Arial"/>
                <w:sz w:val="18"/>
                <w:szCs w:val="18"/>
                <w:color w:val="auto"/>
                <w:w w:val="97"/>
              </w:rPr>
              <w:t>Rule 13a-14(a)/15d-14(a) Certifications (Principal Financial Officer)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64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5540" w:type="dxa"/>
            <w:vAlign w:val="bottom"/>
          </w:tcPr>
          <w:p>
            <w:pPr>
              <w:ind w:left="320"/>
              <w:spacing w:after="0"/>
              <w:rPr>
                <w:sz w:val="20"/>
                <w:szCs w:val="20"/>
                <w:color w:val="auto"/>
              </w:rPr>
            </w:pPr>
            <w:r>
              <w:rPr>
                <w:rFonts w:ascii="Arial" w:cs="Arial" w:eastAsia="Arial" w:hAnsi="Arial"/>
                <w:sz w:val="18"/>
                <w:szCs w:val="18"/>
                <w:color w:val="auto"/>
                <w:w w:val="95"/>
              </w:rPr>
              <w:t>Section 1350 Certifications (Principal Executive Officer and Principal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Financial Officer)</w:t>
            </w:r>
          </w:p>
        </w:tc>
        <w:tc>
          <w:tcPr>
            <w:tcW w:w="200" w:type="dxa"/>
            <w:vAlign w:val="bottom"/>
          </w:tcPr>
          <w:p>
            <w:pPr>
              <w:spacing w:after="0"/>
              <w:rPr>
                <w:sz w:val="20"/>
                <w:szCs w:val="20"/>
                <w:color w:val="auto"/>
              </w:rPr>
            </w:pPr>
          </w:p>
        </w:tc>
      </w:tr>
      <w:tr>
        <w:trPr>
          <w:trHeight w:val="418"/>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93"/>
              </w:rPr>
              <w:t>101</w:t>
            </w:r>
          </w:p>
        </w:tc>
        <w:tc>
          <w:tcPr>
            <w:tcW w:w="5540" w:type="dxa"/>
            <w:vAlign w:val="bottom"/>
          </w:tcPr>
          <w:p>
            <w:pPr>
              <w:ind w:left="320"/>
              <w:spacing w:after="0"/>
              <w:rPr>
                <w:sz w:val="20"/>
                <w:szCs w:val="20"/>
                <w:color w:val="auto"/>
              </w:rPr>
            </w:pPr>
            <w:r>
              <w:rPr>
                <w:rFonts w:ascii="Arial" w:cs="Arial" w:eastAsia="Arial" w:hAnsi="Arial"/>
                <w:sz w:val="18"/>
                <w:szCs w:val="18"/>
                <w:color w:val="auto"/>
              </w:rPr>
              <w:t>Interactive Data Files pursuant to Rule 405 of Regulation S-T: (i)</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w w:val="91"/>
              </w:rPr>
              <w:t>Condensed, Consolidated Statements of Operations — Three and nine</w:t>
            </w:r>
          </w:p>
        </w:tc>
        <w:tc>
          <w:tcPr>
            <w:tcW w:w="2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months ended July 3, 2010 and June 27, 2009; (ii) Condensed,</w:t>
            </w:r>
          </w:p>
        </w:tc>
        <w:tc>
          <w:tcPr>
            <w:tcW w:w="2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w w:val="92"/>
              </w:rPr>
              <w:t>Consolidated Statements of Cash Flows — Nine months ended July 3,</w:t>
            </w:r>
          </w:p>
        </w:tc>
        <w:tc>
          <w:tcPr>
            <w:tcW w:w="20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w w:val="91"/>
              </w:rPr>
              <w:t>2010 and June 27, 2009; (iii) Condensed, Consolidated Balance Sheets</w:t>
            </w:r>
          </w:p>
        </w:tc>
        <w:tc>
          <w:tcPr>
            <w:tcW w:w="200" w:type="dxa"/>
            <w:vAlign w:val="bottom"/>
          </w:tcPr>
          <w:p>
            <w:pPr>
              <w:spacing w:after="0"/>
              <w:rPr>
                <w:sz w:val="20"/>
                <w:szCs w:val="20"/>
                <w:color w:val="auto"/>
              </w:rPr>
            </w:pPr>
          </w:p>
        </w:tc>
      </w:tr>
    </w:tbl>
    <w:p>
      <w:pPr>
        <w:ind w:left="1500" w:right="3599"/>
        <w:spacing w:after="0" w:line="255" w:lineRule="auto"/>
        <w:rPr>
          <w:sz w:val="20"/>
          <w:szCs w:val="20"/>
          <w:color w:val="auto"/>
        </w:rPr>
      </w:pPr>
      <w:r>
        <w:rPr>
          <w:rFonts w:ascii="Arial" w:cs="Arial" w:eastAsia="Arial" w:hAnsi="Arial"/>
          <w:sz w:val="18"/>
          <w:szCs w:val="18"/>
          <w:color w:val="auto"/>
        </w:rPr>
        <w:t>— July 3, 2010, June 27, 2009 and September 30, 2009; and (iv) Notes to Condensed, Consolidated Financial Statements, tagged as blocks of text**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Included herewith</w:t>
      </w:r>
    </w:p>
    <w:p>
      <w:pPr>
        <w:spacing w:after="0" w:line="76" w:lineRule="exact"/>
        <w:rPr>
          <w:sz w:val="20"/>
          <w:szCs w:val="20"/>
          <w:color w:val="auto"/>
        </w:rPr>
      </w:pPr>
    </w:p>
    <w:p>
      <w:pPr>
        <w:jc w:val="both"/>
        <w:ind w:left="680" w:right="559" w:hanging="348"/>
        <w:spacing w:after="0" w:line="259"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deemed not filed or part of a registration statement or prospectus for purposes of Sections 11 and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419" w:right="1440" w:bottom="1440" w:gutter="0" w:footer="0" w:header="0"/>
          <w:type w:val="continuous"/>
        </w:sectPr>
      </w:pPr>
    </w:p>
    <w:bookmarkStart w:id="47" w:name="page48"/>
    <w:bookmarkEnd w:id="4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July 3, 2010;</w:t>
      </w:r>
    </w:p>
    <w:p>
      <w:pPr>
        <w:spacing w:after="0" w:line="12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Date: August 12, 2010</w:t>
            </w:r>
          </w:p>
        </w:tc>
        <w:tc>
          <w:tcPr>
            <w:tcW w:w="6180" w:type="dxa"/>
            <w:vAlign w:val="bottom"/>
            <w:gridSpan w:val="2"/>
          </w:tcPr>
          <w:p>
            <w:pPr>
              <w:ind w:left="640"/>
              <w:spacing w:after="0"/>
              <w:rPr>
                <w:sz w:val="20"/>
                <w:szCs w:val="20"/>
                <w:color w:val="auto"/>
              </w:rPr>
            </w:pPr>
            <w:r>
              <w:rPr>
                <w:rFonts w:ascii="Arial" w:cs="Arial" w:eastAsia="Arial" w:hAnsi="Arial"/>
                <w:sz w:val="18"/>
                <w:szCs w:val="18"/>
                <w:color w:val="auto"/>
              </w:rPr>
              <w:t>By: /s/ JAMES HAGEDORN</w:t>
            </w:r>
          </w:p>
        </w:tc>
      </w:tr>
      <w:tr>
        <w:trPr>
          <w:trHeight w:val="195"/>
        </w:trPr>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Printed Name: James Hagedorn</w:t>
            </w:r>
          </w:p>
        </w:tc>
      </w:tr>
      <w:tr>
        <w:trPr>
          <w:trHeight w:val="230"/>
        </w:trPr>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Chief Executive Officer and Chairman of the Board</w:t>
            </w:r>
          </w:p>
        </w:tc>
      </w:tr>
    </w:tbl>
    <w:p>
      <w:pPr>
        <w:sectPr>
          <w:pgSz w:w="11900" w:h="16838" w:orient="portrait"/>
          <w:cols w:equalWidth="0" w:num="1">
            <w:col w:w="9879"/>
          </w:cols>
          <w:pgMar w:left="580" w:top="121" w:right="1440" w:bottom="1440" w:gutter="0" w:footer="0" w:header="0"/>
        </w:sectPr>
      </w:pPr>
    </w:p>
    <w:bookmarkStart w:id="48" w:name="page49"/>
    <w:bookmarkEnd w:id="4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David C. Evans, certify that:</w:t>
      </w:r>
    </w:p>
    <w:p>
      <w:pPr>
        <w:spacing w:after="0" w:line="185" w:lineRule="exact"/>
        <w:rPr>
          <w:sz w:val="20"/>
          <w:szCs w:val="20"/>
          <w:color w:val="auto"/>
        </w:rPr>
      </w:pPr>
    </w:p>
    <w:p>
      <w:pPr>
        <w:ind w:left="708" w:right="559" w:hanging="343"/>
        <w:spacing w:after="0" w:line="277"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July 3, 2010;</w:t>
      </w:r>
    </w:p>
    <w:p>
      <w:pPr>
        <w:spacing w:after="0" w:line="143"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8" w:right="559" w:hanging="343"/>
        <w:spacing w:after="0" w:line="286" w:lineRule="auto"/>
        <w:tabs>
          <w:tab w:leader="none" w:pos="7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7"/>
          <w:szCs w:val="17"/>
          <w:color w:val="auto"/>
        </w:rPr>
      </w:pPr>
    </w:p>
    <w:p>
      <w:pPr>
        <w:jc w:val="both"/>
        <w:ind w:left="1088" w:right="559" w:hanging="345"/>
        <w:spacing w:after="0" w:line="259" w:lineRule="auto"/>
        <w:tabs>
          <w:tab w:leader="none" w:pos="1088"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1088" w:right="559" w:hanging="345"/>
        <w:spacing w:after="0" w:line="259" w:lineRule="auto"/>
        <w:tabs>
          <w:tab w:leader="none" w:pos="1088"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8" w:right="559" w:hanging="345"/>
        <w:spacing w:after="0" w:line="264" w:lineRule="auto"/>
        <w:tabs>
          <w:tab w:leader="none" w:pos="108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1088" w:right="559" w:hanging="345"/>
        <w:spacing w:after="0" w:line="259" w:lineRule="auto"/>
        <w:tabs>
          <w:tab w:leader="none" w:pos="1088" w:val="left"/>
        </w:tabs>
        <w:numPr>
          <w:ilvl w:val="2"/>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8" w:right="559" w:hanging="345"/>
        <w:spacing w:after="0" w:line="264" w:lineRule="auto"/>
        <w:tabs>
          <w:tab w:leader="none" w:pos="1088" w:val="left"/>
        </w:tabs>
        <w:numPr>
          <w:ilvl w:val="2"/>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088" w:right="559" w:hanging="345"/>
        <w:spacing w:after="0" w:line="277" w:lineRule="auto"/>
        <w:tabs>
          <w:tab w:leader="none" w:pos="1088"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Date: August 12, 2010</w:t>
            </w:r>
          </w:p>
        </w:tc>
        <w:tc>
          <w:tcPr>
            <w:tcW w:w="6240" w:type="dxa"/>
            <w:vAlign w:val="bottom"/>
            <w:gridSpan w:val="2"/>
          </w:tcPr>
          <w:p>
            <w:pPr>
              <w:ind w:left="600"/>
              <w:spacing w:after="0"/>
              <w:rPr>
                <w:sz w:val="20"/>
                <w:szCs w:val="20"/>
                <w:color w:val="auto"/>
              </w:rPr>
            </w:pPr>
            <w:r>
              <w:rPr>
                <w:rFonts w:ascii="Arial" w:cs="Arial" w:eastAsia="Arial" w:hAnsi="Arial"/>
                <w:sz w:val="18"/>
                <w:szCs w:val="18"/>
                <w:color w:val="auto"/>
              </w:rPr>
              <w:t>By: /s/ DAVID C. EVANS</w:t>
            </w:r>
          </w:p>
        </w:tc>
      </w:tr>
      <w:tr>
        <w:trPr>
          <w:trHeight w:val="195"/>
        </w:trPr>
        <w:tc>
          <w:tcPr>
            <w:tcW w:w="2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Printed Name: David C. Evans</w:t>
            </w:r>
          </w:p>
        </w:tc>
      </w:tr>
      <w:tr>
        <w:trPr>
          <w:trHeight w:val="230"/>
        </w:trPr>
        <w:tc>
          <w:tcPr>
            <w:tcW w:w="2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9887"/>
          </w:cols>
          <w:pgMar w:left="572" w:top="513" w:right="1440" w:bottom="1440" w:gutter="0" w:footer="0" w:header="0"/>
        </w:sectPr>
      </w:pPr>
    </w:p>
    <w:bookmarkStart w:id="49" w:name="page50"/>
    <w:bookmarkEnd w:id="49"/>
    <w:p>
      <w:pPr>
        <w:jc w:val="right"/>
        <w:ind w:right="559"/>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July 3, 2010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53" w:lineRule="exact"/>
        <w:rPr>
          <w:sz w:val="20"/>
          <w:szCs w:val="20"/>
          <w:color w:val="auto"/>
        </w:rPr>
      </w:pPr>
    </w:p>
    <w:p>
      <w:pPr>
        <w:ind w:left="708" w:hanging="343"/>
        <w:spacing w:after="0"/>
        <w:tabs>
          <w:tab w:leader="none" w:pos="7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09" w:lineRule="exact"/>
        <w:rPr>
          <w:rFonts w:ascii="Arial" w:cs="Arial" w:eastAsia="Arial" w:hAnsi="Arial"/>
          <w:sz w:val="17"/>
          <w:szCs w:val="17"/>
          <w:color w:val="auto"/>
        </w:rPr>
      </w:pPr>
    </w:p>
    <w:p>
      <w:pPr>
        <w:ind w:left="708" w:right="559" w:hanging="343"/>
        <w:spacing w:after="0" w:line="277"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480" w:type="dxa"/>
            <w:vAlign w:val="bottom"/>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3260" w:type="dxa"/>
            <w:vAlign w:val="bottom"/>
          </w:tcPr>
          <w:p>
            <w:pPr>
              <w:spacing w:after="0"/>
              <w:rPr>
                <w:sz w:val="20"/>
                <w:szCs w:val="20"/>
                <w:color w:val="auto"/>
              </w:rPr>
            </w:pPr>
            <w:r>
              <w:rPr>
                <w:rFonts w:ascii="Arial" w:cs="Arial" w:eastAsia="Arial" w:hAnsi="Arial"/>
                <w:sz w:val="18"/>
                <w:szCs w:val="18"/>
                <w:color w:val="auto"/>
              </w:rPr>
              <w:t>James Hagedorn</w:t>
            </w:r>
          </w:p>
        </w:tc>
        <w:tc>
          <w:tcPr>
            <w:tcW w:w="4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4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August 12, 2010</w:t>
            </w:r>
          </w:p>
        </w:tc>
        <w:tc>
          <w:tcPr>
            <w:tcW w:w="4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August 12, 2010</w:t>
            </w:r>
          </w:p>
        </w:tc>
      </w:tr>
    </w:tbl>
    <w:p>
      <w:pPr>
        <w:spacing w:after="0" w:line="107" w:lineRule="exact"/>
        <w:rPr>
          <w:sz w:val="20"/>
          <w:szCs w:val="20"/>
          <w:color w:val="auto"/>
        </w:rPr>
      </w:pPr>
    </w:p>
    <w:p>
      <w:pPr>
        <w:jc w:val="both"/>
        <w:ind w:left="348" w:right="559" w:hanging="348"/>
        <w:spacing w:after="0" w:line="255"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9887"/>
      </w:cols>
      <w:pgMar w:left="572"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1)"/>
      <w:numFmt w:val="lowerLetter"/>
      <w:start w:val="3"/>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upperLetter"/>
      <w:start w:val="1"/>
    </w:lvl>
  </w:abstractNum>
  <w:abstractNum w:abstractNumId="10">
    <w:nsid w:val="1BEFD79F"/>
    <w:multiLevelType w:val="hybridMultilevel"/>
    <w:lvl w:ilvl="0">
      <w:lvlJc w:val="left"/>
      <w:lvlText w:val="(%1)"/>
      <w:numFmt w:val="upperLetter"/>
      <w:start w:val="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lvl w:ilvl="1">
      <w:lvlJc w:val="left"/>
      <w:lvlText w:val="\emdash "/>
      <w:numFmt w:val="bullet"/>
      <w:start w:val="1"/>
    </w:lvl>
  </w:abstractNum>
  <w:abstractNum w:abstractNumId="13">
    <w:nsid w:val="4E6AFB66"/>
    <w:multiLevelType w:val="hybridMultilevel"/>
    <w:lvl w:ilvl="0">
      <w:lvlJc w:val="left"/>
      <w:lvlText w:val="**"/>
      <w:numFmt w:val="bullet"/>
      <w:start w:val="1"/>
    </w:lvl>
    <w:lvl w:ilvl="1">
      <w:lvlJc w:val="left"/>
      <w:lvlText w:val="\emdash "/>
      <w:numFmt w:val="bullet"/>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
    <w:nsid w:val="431BD7B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2019-12-10T08:29:25Z</dcterms:created>
  <dcterms:modified xsi:type="dcterms:W3CDTF">2019-12-10T08:29:25Z</dcterms:modified>
</cp:coreProperties>
</file>