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2820"/>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Aviles Edith</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20"/>
        <w:spacing w:after="0" w:line="348" w:lineRule="auto"/>
        <w:rPr>
          <w:sz w:val="20"/>
          <w:szCs w:val="20"/>
          <w:color w:val="auto"/>
        </w:rPr>
      </w:pPr>
      <w:r>
        <w:rPr>
          <w:rFonts w:ascii="Times New Roman" w:cs="Times New Roman" w:eastAsia="Times New Roman" w:hAnsi="Times New Roman"/>
          <w:sz w:val="17"/>
          <w:szCs w:val="17"/>
          <w:color w:val="0000FF"/>
        </w:rPr>
        <w:t>C/O THE SCOTTS MIRACLE-GRO COMPANY 14111 SCOTTSLAWN ROAD</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MARYSVILLE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43041</w:t>
            </w:r>
          </w:p>
        </w:tc>
      </w:tr>
      <w:tr>
        <w:trPr>
          <w:trHeight w:val="152"/>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SCOTTS MIRACLE-GRO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SMG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500" w:type="dxa"/>
            <w:vAlign w:val="bottom"/>
            <w:tcBorders>
              <w:top w:val="single" w:sz="8" w:color="0000EE"/>
            </w:tcBorders>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3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06/05/2026</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9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121</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06/05/2026</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121</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673</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6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DSU or RSU grants and become exercisable proportionately with the DSUs or RSUs to which they relate. Each dividend equivalent right is the economic equivalent of one common share of the Issuer.</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Kathy L. Uttley as attorney- </w:t>
      </w:r>
      <w:r>
        <w:rPr>
          <w:rFonts w:ascii="Times New Roman" w:cs="Times New Roman" w:eastAsia="Times New Roman" w:hAnsi="Times New Roman"/>
          <w:sz w:val="33"/>
          <w:szCs w:val="33"/>
          <w:color w:val="0000FF"/>
          <w:vertAlign w:val="subscript"/>
        </w:rPr>
        <w:t>06/09/2026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Edith Aviles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992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9250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57659"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2026-06-09T12:37:33Z</dcterms:created>
  <dcterms:modified xsi:type="dcterms:W3CDTF">2026-06-09T12:37:33Z</dcterms:modified>
</cp:coreProperties>
</file>