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INFORMATION TO BE INCLUDED IN STATEMENTS FILED PURSUANT TO RULE 13d-1(b), (c), AND (d) AND AMENDMENTS THERETO FILED PURSUANT TO RULE 13d-2(b)</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SCOTTS MIRACLE-GRO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00" w:hanging="4"/>
        <w:spacing w:after="0" w:line="254" w:lineRule="auto"/>
        <w:tabs>
          <w:tab w:leader="none" w:pos="984"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13d-1(b) [ ] Rule 13d-1(c) [ ] Rule 13d-1(d)</w:t>
      </w:r>
    </w:p>
    <w:p>
      <w:pPr>
        <w:spacing w:after="0" w:line="187" w:lineRule="exact"/>
        <w:rPr>
          <w:rFonts w:ascii="Times New Roman" w:cs="Times New Roman" w:eastAsia="Times New Roman" w:hAnsi="Times New Roman"/>
          <w:sz w:val="20"/>
          <w:szCs w:val="20"/>
          <w:color w:val="auto"/>
        </w:rPr>
      </w:pPr>
    </w:p>
    <w:p>
      <w:pPr>
        <w:ind w:left="340" w:right="20" w:hanging="324"/>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securities, and for any subsequent amendment containing information which would alter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45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810186106</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2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6180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180455"/>
                    </a:xfrm>
                    <a:prstGeom prst="rect">
                      <a:avLst/>
                    </a:prstGeom>
                    <a:noFill/>
                  </pic:spPr>
                </pic:pic>
              </a:graphicData>
            </a:graphic>
          </wp:anchor>
        </w:drawing>
      </w:r>
    </w:p>
    <w:p>
      <w:pPr>
        <w:spacing w:after="0" w:line="254" w:lineRule="exact"/>
        <w:rPr>
          <w:sz w:val="20"/>
          <w:szCs w:val="20"/>
          <w:color w:val="auto"/>
        </w:rPr>
      </w:pPr>
    </w:p>
    <w:p>
      <w:pPr>
        <w:ind w:left="620" w:hanging="396"/>
        <w:spacing w:after="0"/>
        <w:tabs>
          <w:tab w:leader="none" w:pos="6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 OR</w:t>
      </w:r>
    </w:p>
    <w:p>
      <w:pPr>
        <w:spacing w:after="0" w:line="21"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Kayne Anderson Rudnick Investment Management, LLC</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95-4575414</w:t>
      </w:r>
    </w:p>
    <w:p>
      <w:pPr>
        <w:sectPr>
          <w:pgSz w:w="11900" w:h="16838" w:orient="portrait"/>
          <w:cols w:equalWidth="0" w:num="1">
            <w:col w:w="11240"/>
          </w:cols>
          <w:pgMar w:left="320" w:top="471" w:right="339" w:bottom="1440" w:gutter="0" w:footer="0" w:header="0"/>
        </w:sectPr>
      </w:pPr>
    </w:p>
    <w:p>
      <w:pPr>
        <w:spacing w:after="0" w:line="99" w:lineRule="exact"/>
        <w:rPr>
          <w:sz w:val="20"/>
          <w:szCs w:val="20"/>
          <w:color w:val="auto"/>
        </w:rPr>
      </w:pPr>
    </w:p>
    <w:p>
      <w:pPr>
        <w:ind w:left="620" w:right="3340" w:hanging="399"/>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2.</w:t>
        <w:tab/>
        <w:t>CHECK THE APPROPRIATE BOX IF A MEMBER OF A GROUP (see instructions)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 [ ]</w:t>
      </w:r>
    </w:p>
    <w:p>
      <w:pPr>
        <w:spacing w:after="0" w:line="245" w:lineRule="exact"/>
        <w:rPr>
          <w:sz w:val="20"/>
          <w:szCs w:val="20"/>
          <w:color w:val="auto"/>
        </w:rPr>
      </w:pPr>
    </w:p>
    <w:p>
      <w:pPr>
        <w:sectPr>
          <w:pgSz w:w="11900" w:h="16838" w:orient="portrait"/>
          <w:cols w:equalWidth="0" w:num="2">
            <w:col w:w="9440" w:space="720"/>
            <w:col w:w="1080"/>
          </w:cols>
          <w:pgMar w:left="320" w:top="471" w:right="339" w:bottom="1440" w:gutter="0" w:footer="0" w:header="0"/>
          <w:type w:val="continuous"/>
        </w:sectPr>
      </w:pPr>
    </w:p>
    <w:p>
      <w:pPr>
        <w:spacing w:after="0" w:line="94" w:lineRule="exact"/>
        <w:rPr>
          <w:sz w:val="20"/>
          <w:szCs w:val="20"/>
          <w:color w:val="auto"/>
        </w:rPr>
      </w:pPr>
    </w:p>
    <w:p>
      <w:pPr>
        <w:ind w:left="620" w:hanging="396"/>
        <w:spacing w:after="0"/>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350" w:lineRule="exact"/>
        <w:rPr>
          <w:rFonts w:ascii="Times New Roman" w:cs="Times New Roman" w:eastAsia="Times New Roman" w:hAnsi="Times New Roman"/>
          <w:sz w:val="20"/>
          <w:szCs w:val="20"/>
          <w:color w:val="auto"/>
        </w:rPr>
      </w:pPr>
    </w:p>
    <w:p>
      <w:pPr>
        <w:ind w:left="620" w:right="6580" w:hanging="396"/>
        <w:spacing w:after="0" w:line="295"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CITIZENSHIP OR PLACE OF ORGANIZATION A California Limited Liability Company</w:t>
      </w:r>
    </w:p>
    <w:p>
      <w:pPr>
        <w:spacing w:after="0" w:line="43" w:lineRule="exact"/>
        <w:rPr>
          <w:rFonts w:ascii="Times New Roman" w:cs="Times New Roman" w:eastAsia="Times New Roman" w:hAnsi="Times New Roman"/>
          <w:sz w:val="19"/>
          <w:szCs w:val="19"/>
          <w:color w:val="auto"/>
        </w:rPr>
      </w:pPr>
    </w:p>
    <w:p>
      <w:pPr>
        <w:ind w:left="2880" w:hanging="415"/>
        <w:spacing w:after="0"/>
        <w:tabs>
          <w:tab w:leader="none" w:pos="28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258"/>
        </w:trPr>
        <w:tc>
          <w:tcPr>
            <w:tcW w:w="1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5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3,850,363</w:t>
            </w:r>
          </w:p>
        </w:tc>
        <w:tc>
          <w:tcPr>
            <w:tcW w:w="0" w:type="dxa"/>
            <w:vAlign w:val="bottom"/>
          </w:tcPr>
          <w:p>
            <w:pPr>
              <w:spacing w:after="0"/>
              <w:rPr>
                <w:sz w:val="1"/>
                <w:szCs w:val="1"/>
                <w:color w:val="auto"/>
              </w:rPr>
            </w:pPr>
          </w:p>
        </w:tc>
      </w:tr>
      <w:tr>
        <w:trPr>
          <w:trHeight w:val="48"/>
        </w:trPr>
        <w:tc>
          <w:tcPr>
            <w:tcW w:w="1820" w:type="dxa"/>
            <w:vAlign w:val="bottom"/>
            <w:vMerge w:val="restart"/>
          </w:tcPr>
          <w:p>
            <w:pPr>
              <w:jc w:val="center"/>
              <w:ind w:right="321"/>
              <w:spacing w:after="0"/>
              <w:rPr>
                <w:sz w:val="20"/>
                <w:szCs w:val="20"/>
                <w:color w:val="auto"/>
              </w:rPr>
            </w:pPr>
            <w:r>
              <w:rPr>
                <w:rFonts w:ascii="Times New Roman" w:cs="Times New Roman" w:eastAsia="Times New Roman" w:hAnsi="Times New Roman"/>
                <w:sz w:val="20"/>
                <w:szCs w:val="20"/>
                <w:color w:val="auto"/>
                <w:w w:val="99"/>
              </w:rPr>
              <w:t>NUMBER OF</w:t>
            </w:r>
          </w:p>
        </w:tc>
        <w:tc>
          <w:tcPr>
            <w:tcW w:w="480" w:type="dxa"/>
            <w:vAlign w:val="bottom"/>
            <w:tcBorders>
              <w:bottom w:val="single" w:sz="8" w:color="auto"/>
            </w:tcBorders>
          </w:tcPr>
          <w:p>
            <w:pPr>
              <w:spacing w:after="0"/>
              <w:rPr>
                <w:sz w:val="4"/>
                <w:szCs w:val="4"/>
                <w:color w:val="auto"/>
              </w:rPr>
            </w:pPr>
          </w:p>
        </w:tc>
        <w:tc>
          <w:tcPr>
            <w:tcW w:w="8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4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w:t>
            </w:r>
          </w:p>
        </w:tc>
        <w:tc>
          <w:tcPr>
            <w:tcW w:w="8500" w:type="dxa"/>
            <w:vAlign w:val="bottom"/>
          </w:tcPr>
          <w:p>
            <w:pPr>
              <w:ind w:left="140"/>
              <w:spacing w:after="0" w:line="223" w:lineRule="exact"/>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07"/>
        </w:trPr>
        <w:tc>
          <w:tcPr>
            <w:tcW w:w="1820" w:type="dxa"/>
            <w:vAlign w:val="bottom"/>
          </w:tcPr>
          <w:p>
            <w:pPr>
              <w:jc w:val="center"/>
              <w:ind w:right="321"/>
              <w:spacing w:after="0" w:line="207" w:lineRule="exact"/>
              <w:rPr>
                <w:sz w:val="20"/>
                <w:szCs w:val="20"/>
                <w:color w:val="auto"/>
              </w:rPr>
            </w:pPr>
            <w:r>
              <w:rPr>
                <w:rFonts w:ascii="Times New Roman" w:cs="Times New Roman" w:eastAsia="Times New Roman" w:hAnsi="Times New Roman"/>
                <w:sz w:val="20"/>
                <w:szCs w:val="20"/>
                <w:color w:val="auto"/>
                <w:w w:val="99"/>
              </w:rPr>
              <w:t>SHARES</w:t>
            </w:r>
          </w:p>
        </w:tc>
        <w:tc>
          <w:tcPr>
            <w:tcW w:w="48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8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7"/>
              </w:rPr>
              <w:t>BENEFICIALLY</w:t>
            </w:r>
          </w:p>
        </w:tc>
        <w:tc>
          <w:tcPr>
            <w:tcW w:w="480" w:type="dxa"/>
            <w:vAlign w:val="bottom"/>
          </w:tcPr>
          <w:p>
            <w:pPr>
              <w:spacing w:after="0"/>
              <w:rPr>
                <w:sz w:val="21"/>
                <w:szCs w:val="21"/>
                <w:color w:val="auto"/>
              </w:rPr>
            </w:pPr>
          </w:p>
        </w:tc>
        <w:tc>
          <w:tcPr>
            <w:tcW w:w="85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776,185</w:t>
            </w:r>
          </w:p>
        </w:tc>
        <w:tc>
          <w:tcPr>
            <w:tcW w:w="0" w:type="dxa"/>
            <w:vAlign w:val="bottom"/>
          </w:tcPr>
          <w:p>
            <w:pPr>
              <w:spacing w:after="0"/>
              <w:rPr>
                <w:sz w:val="1"/>
                <w:szCs w:val="1"/>
                <w:color w:val="auto"/>
              </w:rPr>
            </w:pPr>
          </w:p>
        </w:tc>
      </w:tr>
      <w:tr>
        <w:trPr>
          <w:trHeight w:val="108"/>
        </w:trPr>
        <w:tc>
          <w:tcPr>
            <w:tcW w:w="1820" w:type="dxa"/>
            <w:vAlign w:val="bottom"/>
            <w:vMerge w:val="restart"/>
          </w:tcPr>
          <w:p>
            <w:pPr>
              <w:jc w:val="center"/>
              <w:ind w:right="301"/>
              <w:spacing w:after="0" w:line="207" w:lineRule="exact"/>
              <w:rPr>
                <w:sz w:val="20"/>
                <w:szCs w:val="20"/>
                <w:color w:val="auto"/>
              </w:rPr>
            </w:pPr>
            <w:r>
              <w:rPr>
                <w:rFonts w:ascii="Times New Roman" w:cs="Times New Roman" w:eastAsia="Times New Roman" w:hAnsi="Times New Roman"/>
                <w:sz w:val="20"/>
                <w:szCs w:val="20"/>
                <w:color w:val="auto"/>
                <w:w w:val="98"/>
              </w:rPr>
              <w:t>OWNED BY</w:t>
            </w:r>
          </w:p>
        </w:tc>
        <w:tc>
          <w:tcPr>
            <w:tcW w:w="480" w:type="dxa"/>
            <w:vAlign w:val="bottom"/>
            <w:tcBorders>
              <w:bottom w:val="single" w:sz="8" w:color="auto"/>
            </w:tcBorders>
          </w:tcPr>
          <w:p>
            <w:pPr>
              <w:spacing w:after="0"/>
              <w:rPr>
                <w:sz w:val="9"/>
                <w:szCs w:val="9"/>
                <w:color w:val="auto"/>
              </w:rPr>
            </w:pPr>
          </w:p>
        </w:tc>
        <w:tc>
          <w:tcPr>
            <w:tcW w:w="8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820" w:type="dxa"/>
            <w:vAlign w:val="bottom"/>
            <w:vMerge w:val="continue"/>
          </w:tcPr>
          <w:p>
            <w:pPr>
              <w:spacing w:after="0"/>
              <w:rPr>
                <w:sz w:val="6"/>
                <w:szCs w:val="6"/>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85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230"/>
        </w:trPr>
        <w:tc>
          <w:tcPr>
            <w:tcW w:w="18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9"/>
              </w:rPr>
              <w:t>EACH</w:t>
            </w:r>
          </w:p>
        </w:tc>
        <w:tc>
          <w:tcPr>
            <w:tcW w:w="480" w:type="dxa"/>
            <w:vAlign w:val="bottom"/>
            <w:vMerge w:val="continue"/>
          </w:tcPr>
          <w:p>
            <w:pPr>
              <w:spacing w:after="0"/>
              <w:rPr>
                <w:sz w:val="19"/>
                <w:szCs w:val="19"/>
                <w:color w:val="auto"/>
              </w:rPr>
            </w:pPr>
          </w:p>
        </w:tc>
        <w:tc>
          <w:tcPr>
            <w:tcW w:w="8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7"/>
              </w:rPr>
              <w:t>REPORTING</w:t>
            </w:r>
          </w:p>
        </w:tc>
        <w:tc>
          <w:tcPr>
            <w:tcW w:w="480" w:type="dxa"/>
            <w:vAlign w:val="bottom"/>
          </w:tcPr>
          <w:p>
            <w:pPr>
              <w:spacing w:after="0"/>
              <w:rPr>
                <w:sz w:val="19"/>
                <w:szCs w:val="19"/>
                <w:color w:val="auto"/>
              </w:rPr>
            </w:pPr>
          </w:p>
        </w:tc>
        <w:tc>
          <w:tcPr>
            <w:tcW w:w="85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4,106,596</w:t>
            </w:r>
          </w:p>
        </w:tc>
        <w:tc>
          <w:tcPr>
            <w:tcW w:w="0" w:type="dxa"/>
            <w:vAlign w:val="bottom"/>
          </w:tcPr>
          <w:p>
            <w:pPr>
              <w:spacing w:after="0"/>
              <w:rPr>
                <w:sz w:val="1"/>
                <w:szCs w:val="1"/>
                <w:color w:val="auto"/>
              </w:rPr>
            </w:pPr>
          </w:p>
        </w:tc>
      </w:tr>
      <w:tr>
        <w:trPr>
          <w:trHeight w:val="258"/>
        </w:trPr>
        <w:tc>
          <w:tcPr>
            <w:tcW w:w="18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PERSON WITH</w:t>
            </w:r>
          </w:p>
        </w:tc>
        <w:tc>
          <w:tcPr>
            <w:tcW w:w="480" w:type="dxa"/>
            <w:vAlign w:val="bottom"/>
          </w:tcPr>
          <w:p>
            <w:pPr>
              <w:spacing w:after="0"/>
              <w:rPr>
                <w:sz w:val="22"/>
                <w:szCs w:val="22"/>
                <w:color w:val="auto"/>
              </w:rPr>
            </w:pPr>
          </w:p>
        </w:tc>
        <w:tc>
          <w:tcPr>
            <w:tcW w:w="8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880" w:right="5580" w:hanging="415"/>
        <w:spacing w:after="0" w:line="422" w:lineRule="auto"/>
        <w:tabs>
          <w:tab w:leader="none" w:pos="28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776,185</w:t>
      </w:r>
    </w:p>
    <w:p>
      <w:pPr>
        <w:spacing w:after="0" w:line="1" w:lineRule="exact"/>
        <w:rPr>
          <w:rFonts w:ascii="Times New Roman" w:cs="Times New Roman" w:eastAsia="Times New Roman" w:hAnsi="Times New Roman"/>
          <w:sz w:val="20"/>
          <w:szCs w:val="20"/>
          <w:color w:val="auto"/>
        </w:rPr>
      </w:pPr>
    </w:p>
    <w:p>
      <w:pPr>
        <w:ind w:left="620" w:right="3400" w:hanging="396"/>
        <w:spacing w:after="0" w:line="422" w:lineRule="auto"/>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4,882,781</w:t>
      </w:r>
    </w:p>
    <w:p>
      <w:pPr>
        <w:spacing w:after="0" w:line="1" w:lineRule="exact"/>
        <w:rPr>
          <w:sz w:val="20"/>
          <w:szCs w:val="20"/>
          <w:color w:val="auto"/>
        </w:rPr>
      </w:pPr>
    </w:p>
    <w:p>
      <w:pPr>
        <w:ind w:left="620" w:right="3300" w:hanging="445"/>
        <w:spacing w:after="0" w:line="269" w:lineRule="auto"/>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 ]</w:t>
      </w:r>
    </w:p>
    <w:p>
      <w:pPr>
        <w:spacing w:after="0" w:line="294" w:lineRule="exact"/>
        <w:rPr>
          <w:rFonts w:ascii="Times New Roman" w:cs="Times New Roman" w:eastAsia="Times New Roman" w:hAnsi="Times New Roman"/>
          <w:sz w:val="20"/>
          <w:szCs w:val="20"/>
          <w:color w:val="auto"/>
        </w:rPr>
      </w:pPr>
    </w:p>
    <w:p>
      <w:pPr>
        <w:ind w:left="620" w:right="5040" w:hanging="442"/>
        <w:spacing w:after="0" w:line="422" w:lineRule="auto"/>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8.61%</w:t>
      </w:r>
    </w:p>
    <w:p>
      <w:pPr>
        <w:spacing w:after="0" w:line="1" w:lineRule="exact"/>
        <w:rPr>
          <w:rFonts w:ascii="Times New Roman" w:cs="Times New Roman" w:eastAsia="Times New Roman" w:hAnsi="Times New Roman"/>
          <w:sz w:val="20"/>
          <w:szCs w:val="20"/>
          <w:color w:val="auto"/>
        </w:rPr>
      </w:pPr>
    </w:p>
    <w:p>
      <w:pPr>
        <w:ind w:left="620" w:hanging="445"/>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ectPr>
          <w:pgSz w:w="11900" w:h="16838" w:orient="portrait"/>
          <w:cols w:equalWidth="0" w:num="1">
            <w:col w:w="11240"/>
          </w:cols>
          <w:pgMar w:left="320" w:top="471" w:right="33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CUSIP No. 810186106</w:t>
            </w:r>
          </w:p>
        </w:tc>
        <w:tc>
          <w:tcPr>
            <w:tcW w:w="1220" w:type="dxa"/>
            <w:vAlign w:val="bottom"/>
          </w:tcPr>
          <w:p>
            <w:pPr>
              <w:spacing w:after="0"/>
              <w:rPr>
                <w:sz w:val="24"/>
                <w:szCs w:val="24"/>
                <w:color w:val="auto"/>
              </w:rPr>
            </w:pPr>
          </w:p>
        </w:tc>
        <w:tc>
          <w:tcPr>
            <w:tcW w:w="326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3 of 5 Pages</w:t>
            </w:r>
          </w:p>
        </w:tc>
      </w:tr>
      <w:tr>
        <w:trPr>
          <w:trHeight w:val="48"/>
        </w:trPr>
        <w:tc>
          <w:tcPr>
            <w:tcW w:w="840" w:type="dxa"/>
            <w:vAlign w:val="bottom"/>
            <w:tcBorders>
              <w:left w:val="single" w:sz="8" w:color="auto"/>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326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430"/>
        </w:trPr>
        <w:tc>
          <w:tcPr>
            <w:tcW w:w="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w:t>
            </w:r>
          </w:p>
        </w:tc>
        <w:tc>
          <w:tcPr>
            <w:tcW w:w="37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  Name of Issuer</w:t>
            </w:r>
          </w:p>
        </w:tc>
        <w:tc>
          <w:tcPr>
            <w:tcW w:w="32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58"/>
        </w:trPr>
        <w:tc>
          <w:tcPr>
            <w:tcW w:w="840" w:type="dxa"/>
            <w:vAlign w:val="bottom"/>
          </w:tcPr>
          <w:p>
            <w:pPr>
              <w:spacing w:after="0"/>
              <w:rPr>
                <w:sz w:val="22"/>
                <w:szCs w:val="22"/>
                <w:color w:val="auto"/>
              </w:rPr>
            </w:pPr>
          </w:p>
        </w:tc>
        <w:tc>
          <w:tcPr>
            <w:tcW w:w="378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Scotts Miracle-Gro Company</w:t>
            </w:r>
          </w:p>
        </w:tc>
        <w:tc>
          <w:tcPr>
            <w:tcW w:w="3260" w:type="dxa"/>
            <w:vAlign w:val="bottom"/>
          </w:tcPr>
          <w:p>
            <w:pPr>
              <w:spacing w:after="0"/>
              <w:rPr>
                <w:sz w:val="22"/>
                <w:szCs w:val="22"/>
                <w:color w:val="auto"/>
              </w:rPr>
            </w:pPr>
          </w:p>
        </w:tc>
        <w:tc>
          <w:tcPr>
            <w:tcW w:w="3360" w:type="dxa"/>
            <w:vAlign w:val="bottom"/>
          </w:tcPr>
          <w:p>
            <w:pPr>
              <w:spacing w:after="0"/>
              <w:rPr>
                <w:sz w:val="22"/>
                <w:szCs w:val="22"/>
                <w:color w:val="auto"/>
              </w:rPr>
            </w:pPr>
          </w:p>
        </w:tc>
      </w:tr>
    </w:tbl>
    <w:p>
      <w:pPr>
        <w:spacing w:after="0" w:line="201" w:lineRule="exact"/>
        <w:rPr>
          <w:sz w:val="20"/>
          <w:szCs w:val="20"/>
          <w:color w:val="auto"/>
        </w:rPr>
      </w:pPr>
    </w:p>
    <w:p>
      <w:pPr>
        <w:jc w:val="both"/>
        <w:ind w:left="1440" w:right="6040" w:hanging="352"/>
        <w:spacing w:after="0" w:line="295" w:lineRule="auto"/>
        <w:tabs>
          <w:tab w:leader="none" w:pos="14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Address of Issuer’s Principal Executive Offices 14111 Scottslawn Road, Marysville, OH 43041</w:t>
      </w:r>
    </w:p>
    <w:p>
      <w:pPr>
        <w:spacing w:after="0" w:line="1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color w:val="auto"/>
        </w:rPr>
        <w:t>(a)  Name of Person Filing</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Kayne Anderson Rudnick Investment Management, LLC</w:t>
      </w:r>
    </w:p>
    <w:p>
      <w:pPr>
        <w:spacing w:after="0" w:line="207" w:lineRule="exact"/>
        <w:rPr>
          <w:sz w:val="20"/>
          <w:szCs w:val="20"/>
          <w:color w:val="auto"/>
        </w:rPr>
      </w:pPr>
    </w:p>
    <w:p>
      <w:pPr>
        <w:ind w:left="1440" w:hanging="352"/>
        <w:spacing w:after="0"/>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the Principal Office or, if none, residence</w:t>
      </w:r>
    </w:p>
    <w:p>
      <w:pPr>
        <w:spacing w:after="0" w:line="21"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 Avenue of the Stars, Suite 1110, Los Angeles, CA 90067</w:t>
      </w:r>
    </w:p>
    <w:p>
      <w:pPr>
        <w:spacing w:after="0" w:line="207" w:lineRule="exact"/>
        <w:rPr>
          <w:rFonts w:ascii="Times New Roman" w:cs="Times New Roman" w:eastAsia="Times New Roman" w:hAnsi="Times New Roman"/>
          <w:sz w:val="20"/>
          <w:szCs w:val="20"/>
          <w:color w:val="auto"/>
        </w:rPr>
      </w:pPr>
    </w:p>
    <w:p>
      <w:pPr>
        <w:ind w:left="1440" w:hanging="352"/>
        <w:spacing w:after="0"/>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w:t>
      </w:r>
    </w:p>
    <w:p>
      <w:pPr>
        <w:spacing w:after="0" w:line="21"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California Limited Liability Company</w:t>
      </w:r>
    </w:p>
    <w:p>
      <w:pPr>
        <w:spacing w:after="0" w:line="207" w:lineRule="exact"/>
        <w:rPr>
          <w:rFonts w:ascii="Times New Roman" w:cs="Times New Roman" w:eastAsia="Times New Roman" w:hAnsi="Times New Roman"/>
          <w:sz w:val="20"/>
          <w:szCs w:val="20"/>
          <w:color w:val="auto"/>
        </w:rPr>
      </w:pPr>
    </w:p>
    <w:p>
      <w:pPr>
        <w:ind w:left="1440" w:right="7700" w:hanging="352"/>
        <w:spacing w:after="0" w:line="269" w:lineRule="auto"/>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of Class of Securities Common Stock</w:t>
      </w:r>
    </w:p>
    <w:p>
      <w:pPr>
        <w:spacing w:after="0" w:line="172" w:lineRule="exact"/>
        <w:rPr>
          <w:rFonts w:ascii="Times New Roman" w:cs="Times New Roman" w:eastAsia="Times New Roman" w:hAnsi="Times New Roman"/>
          <w:sz w:val="20"/>
          <w:szCs w:val="20"/>
          <w:color w:val="auto"/>
        </w:rPr>
      </w:pPr>
    </w:p>
    <w:p>
      <w:pPr>
        <w:ind w:left="1440" w:right="8540" w:hanging="352"/>
        <w:spacing w:after="0" w:line="295" w:lineRule="auto"/>
        <w:tabs>
          <w:tab w:leader="none" w:pos="14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CUSIP Number 810186106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If this statement is filed pursuant to §§240.13d-1(b) or 240.13d-2(b) or (c), check whether the person filing is a:</w:t>
      </w:r>
    </w:p>
    <w:p>
      <w:pPr>
        <w:spacing w:after="0" w:line="233" w:lineRule="exact"/>
        <w:rPr>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 investment adviser in accordance with §240.13d-1(b)(1)(ii)(E);</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§240.13d-1(b)(1)(ii)(F);</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parent holding company or control person in accordance with §240.13d-1(b)(1)(ii)(G);</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associations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1420" w:hanging="697"/>
        <w:spacing w:after="0" w:line="269" w:lineRule="auto"/>
        <w:tabs>
          <w:tab w:leader="none" w:pos="106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2"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§240.13d-1(b)(1)(ii)(J).</w:t>
      </w:r>
    </w:p>
    <w:p>
      <w:pPr>
        <w:sectPr>
          <w:pgSz w:w="11900" w:h="16838" w:orient="portrait"/>
          <w:cols w:equalWidth="0" w:num="1">
            <w:col w:w="11240"/>
          </w:cols>
          <w:pgMar w:left="320" w:top="47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810186106</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4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(a)</w:t>
            </w:r>
          </w:p>
        </w:tc>
        <w:tc>
          <w:tcPr>
            <w:tcW w:w="5780" w:type="dxa"/>
            <w:vAlign w:val="bottom"/>
            <w:shd w:val="clear" w:color="auto" w:fill="DCDCDC"/>
          </w:tcPr>
          <w:p>
            <w:pPr>
              <w:ind w:left="160"/>
              <w:spacing w:after="0"/>
              <w:rPr>
                <w:sz w:val="20"/>
                <w:szCs w:val="20"/>
                <w:color w:val="auto"/>
              </w:rPr>
            </w:pPr>
            <w:r>
              <w:rPr>
                <w:rFonts w:ascii="Times New Roman" w:cs="Times New Roman" w:eastAsia="Times New Roman" w:hAnsi="Times New Roman"/>
                <w:sz w:val="20"/>
                <w:szCs w:val="20"/>
                <w:color w:val="auto"/>
              </w:rPr>
              <w:t>Amount beneficially owned:</w:t>
            </w:r>
          </w:p>
        </w:tc>
        <w:tc>
          <w:tcPr>
            <w:tcW w:w="5020" w:type="dxa"/>
            <w:vAlign w:val="bottom"/>
            <w:shd w:val="clear" w:color="auto" w:fill="DCDCDC"/>
          </w:tcPr>
          <w:p>
            <w:pPr>
              <w:ind w:left="3380"/>
              <w:spacing w:after="0"/>
              <w:rPr>
                <w:sz w:val="20"/>
                <w:szCs w:val="20"/>
                <w:color w:val="auto"/>
              </w:rPr>
            </w:pPr>
            <w:r>
              <w:rPr>
                <w:rFonts w:ascii="Times New Roman" w:cs="Times New Roman" w:eastAsia="Times New Roman" w:hAnsi="Times New Roman"/>
                <w:sz w:val="20"/>
                <w:szCs w:val="20"/>
                <w:color w:val="auto"/>
              </w:rPr>
              <w:t>4,882,781</w:t>
            </w:r>
          </w:p>
        </w:tc>
      </w:tr>
      <w:tr>
        <w:trPr>
          <w:trHeight w:val="263"/>
        </w:trPr>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Percent of class:</w:t>
            </w:r>
          </w:p>
        </w:tc>
        <w:tc>
          <w:tcPr>
            <w:tcW w:w="5020" w:type="dxa"/>
            <w:vAlign w:val="bottom"/>
          </w:tcPr>
          <w:p>
            <w:pPr>
              <w:ind w:left="3380"/>
              <w:spacing w:after="0"/>
              <w:rPr>
                <w:sz w:val="20"/>
                <w:szCs w:val="20"/>
                <w:color w:val="auto"/>
              </w:rPr>
            </w:pPr>
            <w:r>
              <w:rPr>
                <w:rFonts w:ascii="Times New Roman" w:cs="Times New Roman" w:eastAsia="Times New Roman" w:hAnsi="Times New Roman"/>
                <w:sz w:val="20"/>
                <w:szCs w:val="20"/>
                <w:color w:val="auto"/>
              </w:rPr>
              <w:t>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 w:lineRule="exact"/>
        <w:rPr>
          <w:sz w:val="20"/>
          <w:szCs w:val="20"/>
          <w:color w:val="auto"/>
        </w:rPr>
      </w:pPr>
    </w:p>
    <w:p>
      <w:pPr>
        <w:ind w:left="600" w:hanging="565"/>
        <w:spacing w:after="0"/>
        <w:tabs>
          <w:tab w:leader="none" w:pos="6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w:t>
            </w:r>
          </w:p>
        </w:tc>
        <w:tc>
          <w:tcPr>
            <w:tcW w:w="6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3700" w:type="dxa"/>
            <w:vAlign w:val="bottom"/>
          </w:tcPr>
          <w:p>
            <w:pPr>
              <w:ind w:left="2060"/>
              <w:spacing w:after="0"/>
              <w:rPr>
                <w:sz w:val="20"/>
                <w:szCs w:val="20"/>
                <w:color w:val="auto"/>
              </w:rPr>
            </w:pPr>
            <w:r>
              <w:rPr>
                <w:rFonts w:ascii="Times New Roman" w:cs="Times New Roman" w:eastAsia="Times New Roman" w:hAnsi="Times New Roman"/>
                <w:sz w:val="20"/>
                <w:szCs w:val="20"/>
                <w:color w:val="auto"/>
              </w:rPr>
              <w:t>3,850,363</w:t>
            </w:r>
          </w:p>
        </w:tc>
      </w:tr>
      <w:tr>
        <w:trPr>
          <w:trHeight w:val="21"/>
        </w:trPr>
        <w:tc>
          <w:tcPr>
            <w:tcW w:w="10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63"/>
        </w:trPr>
        <w:tc>
          <w:tcPr>
            <w:tcW w:w="1040" w:type="dxa"/>
            <w:vAlign w:val="bottom"/>
            <w:tcBorders>
              <w:bottom w:val="single" w:sz="8" w:color="DCDCDC"/>
            </w:tcBorders>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(ii)</w:t>
            </w:r>
          </w:p>
        </w:tc>
        <w:tc>
          <w:tcPr>
            <w:tcW w:w="6500" w:type="dxa"/>
            <w:vAlign w:val="bottom"/>
            <w:tcBorders>
              <w:bottom w:val="single" w:sz="8" w:color="DCDCDC"/>
            </w:tcBorders>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3700" w:type="dxa"/>
            <w:vAlign w:val="bottom"/>
            <w:tcBorders>
              <w:bottom w:val="single" w:sz="8" w:color="DCDCDC"/>
            </w:tcBorders>
            <w:shd w:val="clear" w:color="auto" w:fill="DCDCDC"/>
          </w:tcPr>
          <w:p>
            <w:pPr>
              <w:ind w:left="2060"/>
              <w:spacing w:after="0"/>
              <w:rPr>
                <w:sz w:val="20"/>
                <w:szCs w:val="20"/>
                <w:color w:val="auto"/>
              </w:rPr>
            </w:pPr>
            <w:r>
              <w:rPr>
                <w:rFonts w:ascii="Times New Roman" w:cs="Times New Roman" w:eastAsia="Times New Roman" w:hAnsi="Times New Roman"/>
                <w:sz w:val="20"/>
                <w:szCs w:val="20"/>
                <w:color w:val="auto"/>
              </w:rPr>
              <w:t>776,185</w:t>
            </w:r>
          </w:p>
        </w:tc>
      </w:tr>
      <w:tr>
        <w:trPr>
          <w:trHeight w:val="263"/>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(iii)</w:t>
            </w:r>
          </w:p>
        </w:tc>
        <w:tc>
          <w:tcPr>
            <w:tcW w:w="6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3700" w:type="dxa"/>
            <w:vAlign w:val="bottom"/>
          </w:tcPr>
          <w:p>
            <w:pPr>
              <w:ind w:left="2060"/>
              <w:spacing w:after="0"/>
              <w:rPr>
                <w:sz w:val="20"/>
                <w:szCs w:val="20"/>
                <w:color w:val="auto"/>
              </w:rPr>
            </w:pPr>
            <w:r>
              <w:rPr>
                <w:rFonts w:ascii="Times New Roman" w:cs="Times New Roman" w:eastAsia="Times New Roman" w:hAnsi="Times New Roman"/>
                <w:sz w:val="20"/>
                <w:szCs w:val="20"/>
                <w:color w:val="auto"/>
              </w:rPr>
              <w:t>4,106,596</w:t>
            </w:r>
          </w:p>
        </w:tc>
      </w:tr>
      <w:tr>
        <w:trPr>
          <w:trHeight w:val="21"/>
        </w:trPr>
        <w:tc>
          <w:tcPr>
            <w:tcW w:w="10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63"/>
        </w:trPr>
        <w:tc>
          <w:tcPr>
            <w:tcW w:w="1040" w:type="dxa"/>
            <w:vAlign w:val="bottom"/>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(iv)</w:t>
            </w:r>
          </w:p>
        </w:tc>
        <w:tc>
          <w:tcPr>
            <w:tcW w:w="6500" w:type="dxa"/>
            <w:vAlign w:val="bottom"/>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3700" w:type="dxa"/>
            <w:vAlign w:val="bottom"/>
            <w:shd w:val="clear" w:color="auto" w:fill="DCDCDC"/>
          </w:tcPr>
          <w:p>
            <w:pPr>
              <w:ind w:left="2060"/>
              <w:spacing w:after="0"/>
              <w:rPr>
                <w:sz w:val="20"/>
                <w:szCs w:val="20"/>
                <w:color w:val="auto"/>
              </w:rPr>
            </w:pPr>
            <w:r>
              <w:rPr>
                <w:rFonts w:ascii="Times New Roman" w:cs="Times New Roman" w:eastAsia="Times New Roman" w:hAnsi="Times New Roman"/>
                <w:sz w:val="20"/>
                <w:szCs w:val="20"/>
                <w:color w:val="auto"/>
              </w:rPr>
              <w:t>776,185</w:t>
            </w:r>
          </w:p>
        </w:tc>
      </w:tr>
      <w:tr>
        <w:trPr>
          <w:trHeight w:val="21"/>
        </w:trPr>
        <w:tc>
          <w:tcPr>
            <w:tcW w:w="1040" w:type="dxa"/>
            <w:vAlign w:val="bottom"/>
            <w:shd w:val="clear" w:color="auto" w:fill="DCDCDC"/>
          </w:tcPr>
          <w:p>
            <w:pPr>
              <w:spacing w:after="0" w:line="20" w:lineRule="exact"/>
              <w:rPr>
                <w:sz w:val="1"/>
                <w:szCs w:val="1"/>
                <w:color w:val="auto"/>
              </w:rPr>
            </w:pPr>
          </w:p>
        </w:tc>
        <w:tc>
          <w:tcPr>
            <w:tcW w:w="6500" w:type="dxa"/>
            <w:vAlign w:val="bottom"/>
            <w:shd w:val="clear" w:color="auto" w:fill="DCDCDC"/>
          </w:tcPr>
          <w:p>
            <w:pPr>
              <w:spacing w:after="0" w:line="20" w:lineRule="exact"/>
              <w:rPr>
                <w:sz w:val="1"/>
                <w:szCs w:val="1"/>
                <w:color w:val="auto"/>
              </w:rPr>
            </w:pPr>
          </w:p>
        </w:tc>
        <w:tc>
          <w:tcPr>
            <w:tcW w:w="3700" w:type="dxa"/>
            <w:vAlign w:val="bottom"/>
            <w:shd w:val="clear" w:color="auto" w:fill="DCDCDC"/>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Ownership of Five Percent or Less of a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 five percent of the class of securities, check the following [ ] .</w:t>
      </w:r>
    </w:p>
    <w:p>
      <w:pPr>
        <w:spacing w:after="0"/>
        <w:rPr>
          <w:sz w:val="20"/>
          <w:szCs w:val="20"/>
          <w:color w:val="auto"/>
        </w:rPr>
      </w:pPr>
      <w:r>
        <w:rPr>
          <w:rFonts w:ascii="Times New Roman" w:cs="Times New Roman" w:eastAsia="Times New Roman" w:hAnsi="Times New Roman"/>
          <w:sz w:val="20"/>
          <w:szCs w:val="20"/>
          <w:i w:val="1"/>
          <w:iCs w:val="1"/>
          <w:color w:val="auto"/>
        </w:rPr>
        <w:t>Instruction</w:t>
      </w:r>
      <w:r>
        <w:rPr>
          <w:rFonts w:ascii="Times New Roman" w:cs="Times New Roman" w:eastAsia="Times New Roman" w:hAnsi="Times New Roman"/>
          <w:sz w:val="20"/>
          <w:szCs w:val="20"/>
          <w:color w:val="auto"/>
        </w:rPr>
        <w:t>. Dissolution of a group requires a response to this item.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ectPr>
          <w:pgSz w:w="11900" w:h="16838" w:orient="portrait"/>
          <w:cols w:equalWidth="0" w:num="1">
            <w:col w:w="11240"/>
          </w:cols>
          <w:pgMar w:left="320" w:top="47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810186106</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5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Certification.</w:t>
      </w:r>
    </w:p>
    <w:p>
      <w:pPr>
        <w:spacing w:after="0" w:line="233" w:lineRule="exact"/>
        <w:rPr>
          <w:sz w:val="20"/>
          <w:szCs w:val="20"/>
          <w:color w:val="auto"/>
        </w:rPr>
      </w:pPr>
    </w:p>
    <w:p>
      <w:pPr>
        <w:jc w:val="both"/>
        <w:ind w:right="20" w:firstLine="972"/>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p>
    <w:p>
      <w:pPr>
        <w:spacing w:after="0" w:line="23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Kayne Anderson Rudnick Investment Management, LLC</w:t>
      </w:r>
    </w:p>
    <w:p>
      <w:pPr>
        <w:spacing w:after="0" w:line="233" w:lineRule="exact"/>
        <w:rPr>
          <w:sz w:val="20"/>
          <w:szCs w:val="20"/>
          <w:color w:val="auto"/>
        </w:rPr>
      </w:pPr>
    </w:p>
    <w:p>
      <w:pPr>
        <w:ind w:left="5480"/>
        <w:spacing w:after="0"/>
        <w:tabs>
          <w:tab w:leader="none" w:pos="6040" w:val="left"/>
        </w:tabs>
        <w:rPr>
          <w:sz w:val="20"/>
          <w:szCs w:val="20"/>
          <w:color w:val="auto"/>
        </w:rPr>
      </w:pPr>
      <w:r>
        <w:rPr>
          <w:rFonts w:ascii="Times New Roman" w:cs="Times New Roman" w:eastAsia="Times New Roman" w:hAnsi="Times New Roman"/>
          <w:sz w:val="20"/>
          <w:szCs w:val="20"/>
          <w:color w:val="auto"/>
        </w:rPr>
        <w:t>By:</w:t>
        <w:tab/>
        <w:t>/s/ Michael Shoemaker</w:t>
      </w:r>
    </w:p>
    <w:p>
      <w:pPr>
        <w:spacing w:after="0" w:line="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Michael Shoemaker</w:t>
      </w:r>
    </w:p>
    <w:p>
      <w:pPr>
        <w:ind w:left="5480"/>
        <w:spacing w:after="0"/>
        <w:tabs>
          <w:tab w:leader="none" w:pos="60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Compliance Officer</w:t>
      </w:r>
    </w:p>
    <w:p>
      <w:pPr>
        <w:ind w:left="5480"/>
        <w:spacing w:after="0"/>
        <w:rPr>
          <w:sz w:val="20"/>
          <w:szCs w:val="20"/>
          <w:color w:val="auto"/>
        </w:rPr>
      </w:pPr>
      <w:r>
        <w:rPr>
          <w:rFonts w:ascii="Times New Roman" w:cs="Times New Roman" w:eastAsia="Times New Roman" w:hAnsi="Times New Roman"/>
          <w:sz w:val="20"/>
          <w:szCs w:val="20"/>
          <w:color w:val="auto"/>
        </w:rPr>
        <w:t>Date:  February 13, 2024</w:t>
      </w:r>
    </w:p>
    <w:sectPr>
      <w:pgSz w:w="11900" w:h="16838" w:orient="portrait"/>
      <w:cols w:equalWidth="0" w:num="1">
        <w:col w:w="11240"/>
      </w:cols>
      <w:pgMar w:left="320" w:top="4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2024-02-13T15:23:31Z</dcterms:created>
  <dcterms:modified xsi:type="dcterms:W3CDTF">2024-02-13T15:23:31Z</dcterms:modified>
</cp:coreProperties>
</file>