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880" w:type="dxa"/>
        <w:tblCellMar>
          <w:top w:w="0" w:type="dxa"/>
          <w:left w:w="0" w:type="dxa"/>
          <w:bottom w:w="0" w:type="dxa"/>
          <w:right w:w="0" w:type="dxa"/>
        </w:tblCellMar>
      </w:tblPr>
      <w:tr>
        <w:trPr>
          <w:trHeight w:val="170"/>
        </w:trPr>
        <w:tc>
          <w:tcPr>
            <w:tcW w:w="3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SECURITIES AND EXCHANGE COMMISSION</w:t>
            </w:r>
          </w:p>
        </w:tc>
      </w:tr>
      <w:tr>
        <w:trPr>
          <w:trHeight w:val="173"/>
        </w:trPr>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WASHINGTON,</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D.C. 20549</w:t>
            </w:r>
          </w:p>
        </w:tc>
      </w:tr>
      <w:tr>
        <w:trPr>
          <w:trHeight w:val="347"/>
        </w:trPr>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FORM</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8-K</w:t>
            </w:r>
          </w:p>
        </w:tc>
      </w:tr>
      <w:tr>
        <w:trPr>
          <w:trHeight w:val="347"/>
        </w:trPr>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CURRENT</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REPORT</w:t>
            </w:r>
          </w:p>
        </w:tc>
      </w:tr>
      <w:tr>
        <w:trPr>
          <w:trHeight w:val="173"/>
        </w:trPr>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w w:val="99"/>
              </w:rPr>
              <w:t>Pursuant to Section</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w w:val="99"/>
              </w:rPr>
              <w:t>13 or 15(d) of the</w:t>
            </w:r>
          </w:p>
        </w:tc>
      </w:tr>
    </w:tbl>
    <w:p>
      <w:pPr>
        <w:spacing w:after="0" w:line="3" w:lineRule="exact"/>
        <w:rPr>
          <w:sz w:val="24"/>
          <w:szCs w:val="24"/>
          <w:color w:val="auto"/>
        </w:rPr>
      </w:pPr>
    </w:p>
    <w:p>
      <w:pPr>
        <w:ind w:left="2240"/>
        <w:spacing w:after="0"/>
        <w:rPr>
          <w:sz w:val="20"/>
          <w:szCs w:val="20"/>
          <w:color w:val="auto"/>
        </w:rPr>
      </w:pPr>
      <w:r>
        <w:rPr>
          <w:rFonts w:ascii="Courier New" w:cs="Courier New" w:eastAsia="Courier New" w:hAnsi="Courier New"/>
          <w:sz w:val="15"/>
          <w:szCs w:val="15"/>
          <w:color w:val="auto"/>
        </w:rPr>
        <w:t>Securities Exchange Act of 1934</w:t>
      </w:r>
    </w:p>
    <w:p>
      <w:pPr>
        <w:spacing w:after="0" w:line="350"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Date of Report (Date of earliest event reported): July 31, 2003</w:t>
      </w:r>
    </w:p>
    <w:p>
      <w:pPr>
        <w:spacing w:after="0" w:line="4" w:lineRule="exact"/>
        <w:rPr>
          <w:sz w:val="24"/>
          <w:szCs w:val="24"/>
          <w:color w:val="auto"/>
        </w:rPr>
      </w:pPr>
    </w:p>
    <w:p>
      <w:pPr>
        <w:ind w:left="53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334" w:lineRule="exact"/>
        <w:rPr>
          <w:sz w:val="24"/>
          <w:szCs w:val="24"/>
          <w:color w:val="auto"/>
        </w:rPr>
      </w:pPr>
    </w:p>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4"/>
          <w:szCs w:val="24"/>
          <w:color w:val="auto"/>
        </w:rPr>
      </w:pPr>
    </w:p>
    <w:p>
      <w:pPr>
        <w:ind w:left="27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407" w:right="1440" w:bottom="1440" w:gutter="0" w:footer="0" w:header="0"/>
        </w:sectPr>
      </w:pPr>
    </w:p>
    <w:p>
      <w:pPr>
        <w:spacing w:after="0" w:line="200" w:lineRule="exact"/>
        <w:rPr>
          <w:sz w:val="24"/>
          <w:szCs w:val="24"/>
          <w:color w:val="auto"/>
        </w:rPr>
      </w:pPr>
    </w:p>
    <w:p>
      <w:pPr>
        <w:spacing w:after="0" w:line="324" w:lineRule="exact"/>
        <w:rPr>
          <w:sz w:val="24"/>
          <w:szCs w:val="24"/>
          <w:color w:val="auto"/>
        </w:rPr>
      </w:pPr>
    </w:p>
    <w:p>
      <w:pPr>
        <w:ind w:left="1080"/>
        <w:spacing w:after="0"/>
        <w:rPr>
          <w:sz w:val="20"/>
          <w:szCs w:val="20"/>
          <w:color w:val="auto"/>
        </w:rPr>
      </w:pPr>
      <w:r>
        <w:rPr>
          <w:rFonts w:ascii="Courier New" w:cs="Courier New" w:eastAsia="Courier New" w:hAnsi="Courier New"/>
          <w:sz w:val="15"/>
          <w:szCs w:val="15"/>
          <w:color w:val="auto"/>
        </w:rPr>
        <w:t>OHIO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 jurisdiction</w:t>
      </w:r>
    </w:p>
    <w:p>
      <w:pPr>
        <w:spacing w:after="0" w:line="3"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1-13292</w:t>
      </w:r>
    </w:p>
    <w:p>
      <w:pPr>
        <w:spacing w:after="0" w:line="3"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w:t>
      </w:r>
    </w:p>
    <w:p>
      <w:pPr>
        <w:spacing w:after="0" w:line="3"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31-1414921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Identification No.)</w:t>
      </w:r>
    </w:p>
    <w:p>
      <w:pPr>
        <w:spacing w:after="0" w:line="200" w:lineRule="exact"/>
        <w:rPr>
          <w:sz w:val="24"/>
          <w:szCs w:val="24"/>
          <w:color w:val="auto"/>
        </w:rPr>
      </w:pPr>
    </w:p>
    <w:p>
      <w:pPr>
        <w:sectPr>
          <w:pgSz w:w="11900" w:h="16838" w:orient="portrait"/>
          <w:cols w:equalWidth="0" w:num="3">
            <w:col w:w="2880" w:space="260"/>
            <w:col w:w="1820" w:space="180"/>
            <w:col w:w="5079"/>
          </w:cols>
          <w:pgMar w:left="240" w:top="407" w:right="1440" w:bottom="1440" w:gutter="0" w:footer="0" w:header="0"/>
          <w:type w:val="continuous"/>
        </w:sectPr>
      </w:pPr>
    </w:p>
    <w:p>
      <w:pPr>
        <w:spacing w:after="0" w:line="324" w:lineRule="exact"/>
        <w:rPr>
          <w:sz w:val="24"/>
          <w:szCs w:val="24"/>
          <w:color w:val="auto"/>
        </w:rPr>
      </w:pPr>
    </w:p>
    <w:p>
      <w:pPr>
        <w:ind w:left="1260"/>
        <w:spacing w:after="0"/>
        <w:tabs>
          <w:tab w:leader="none" w:pos="5480" w:val="left"/>
        </w:tabs>
        <w:rPr>
          <w:sz w:val="20"/>
          <w:szCs w:val="20"/>
          <w:color w:val="auto"/>
        </w:rPr>
      </w:pPr>
      <w:r>
        <w:rPr>
          <w:rFonts w:ascii="Courier New" w:cs="Courier New" w:eastAsia="Courier New" w:hAnsi="Courier New"/>
          <w:sz w:val="15"/>
          <w:szCs w:val="15"/>
          <w:color w:val="auto"/>
        </w:rPr>
        <w:t>14111 SCOTTSLAWN ROAD, MARYSVILLE, OHIO</w:t>
      </w:r>
      <w:r>
        <w:rPr>
          <w:sz w:val="20"/>
          <w:szCs w:val="20"/>
          <w:color w:val="auto"/>
        </w:rPr>
        <w:tab/>
      </w:r>
      <w:r>
        <w:rPr>
          <w:rFonts w:ascii="Courier New" w:cs="Courier New" w:eastAsia="Courier New" w:hAnsi="Courier New"/>
          <w:sz w:val="14"/>
          <w:szCs w:val="14"/>
          <w:color w:val="auto"/>
        </w:rPr>
        <w:t>43041</w:t>
      </w:r>
    </w:p>
    <w:p>
      <w:pPr>
        <w:spacing w:after="0" w:line="3"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1160"/>
        <w:spacing w:after="0"/>
        <w:tabs>
          <w:tab w:leader="none" w:pos="530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51" w:lineRule="exact"/>
        <w:rPr>
          <w:sz w:val="24"/>
          <w:szCs w:val="24"/>
          <w:color w:val="auto"/>
        </w:rPr>
      </w:pPr>
    </w:p>
    <w:p>
      <w:pPr>
        <w:jc w:val="right"/>
        <w:ind w:left="720" w:right="3639"/>
        <w:spacing w:after="0" w:line="243" w:lineRule="auto"/>
        <w:rPr>
          <w:sz w:val="20"/>
          <w:szCs w:val="20"/>
          <w:color w:val="auto"/>
        </w:rPr>
      </w:pPr>
      <w:r>
        <w:rPr>
          <w:rFonts w:ascii="Courier New" w:cs="Courier New" w:eastAsia="Courier New" w:hAnsi="Courier New"/>
          <w:sz w:val="15"/>
          <w:szCs w:val="15"/>
          <w:color w:val="auto"/>
        </w:rPr>
        <w:t>Registrant's telephone number, including area code (937) 644-0011 --------------</w:t>
      </w:r>
    </w:p>
    <w:p>
      <w:pPr>
        <w:sectPr>
          <w:pgSz w:w="11900" w:h="16838" w:orient="portrait"/>
          <w:cols w:equalWidth="0" w:num="1">
            <w:col w:w="10219"/>
          </w:cols>
          <w:pgMar w:left="240" w:top="407"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ind w:left="2240"/>
        <w:spacing w:after="0"/>
        <w:rPr>
          <w:sz w:val="20"/>
          <w:szCs w:val="20"/>
          <w:color w:val="auto"/>
        </w:rPr>
      </w:pPr>
      <w:r>
        <w:rPr>
          <w:rFonts w:ascii="Courier New" w:cs="Courier New" w:eastAsia="Courier New" w:hAnsi="Courier New"/>
          <w:sz w:val="15"/>
          <w:szCs w:val="15"/>
          <w:color w:val="auto"/>
        </w:rPr>
        <w:t>Index to Exhibits is on Page 4.</w:t>
      </w:r>
    </w:p>
    <w:p>
      <w:pPr>
        <w:sectPr>
          <w:pgSz w:w="11900" w:h="16838" w:orient="portrait"/>
          <w:cols w:equalWidth="0" w:num="1">
            <w:col w:w="10219"/>
          </w:cols>
          <w:pgMar w:left="240" w:top="407" w:right="1440" w:bottom="1440" w:gutter="0" w:footer="0" w:header="0"/>
          <w:type w:val="continuous"/>
        </w:sectPr>
      </w:pPr>
    </w:p>
    <w:bookmarkStart w:id="1" w:name="page2"/>
    <w:bookmarkEnd w:id="1"/>
    <w:p>
      <w:pPr>
        <w:spacing w:after="0"/>
        <w:tabs>
          <w:tab w:leader="none" w:pos="124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77" w:lineRule="exact"/>
        <w:rPr>
          <w:sz w:val="20"/>
          <w:szCs w:val="20"/>
          <w:color w:val="auto"/>
        </w:rPr>
      </w:pPr>
    </w:p>
    <w:p>
      <w:pPr>
        <w:ind w:left="1800" w:hanging="545"/>
        <w:spacing w:after="0"/>
        <w:tabs>
          <w:tab w:leader="none" w:pos="18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required.</w:t>
      </w:r>
    </w:p>
    <w:p>
      <w:pPr>
        <w:spacing w:after="0" w:line="176" w:lineRule="exact"/>
        <w:rPr>
          <w:rFonts w:ascii="Courier New" w:cs="Courier New" w:eastAsia="Courier New" w:hAnsi="Courier New"/>
          <w:sz w:val="15"/>
          <w:szCs w:val="15"/>
          <w:color w:val="auto"/>
        </w:rPr>
      </w:pPr>
    </w:p>
    <w:p>
      <w:pPr>
        <w:ind w:left="1800" w:hanging="545"/>
        <w:spacing w:after="0"/>
        <w:tabs>
          <w:tab w:leader="none" w:pos="18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required.</w:t>
      </w:r>
    </w:p>
    <w:p>
      <w:pPr>
        <w:spacing w:after="0" w:line="176" w:lineRule="exact"/>
        <w:rPr>
          <w:rFonts w:ascii="Courier New" w:cs="Courier New" w:eastAsia="Courier New" w:hAnsi="Courier New"/>
          <w:sz w:val="15"/>
          <w:szCs w:val="15"/>
          <w:color w:val="auto"/>
        </w:rPr>
      </w:pPr>
    </w:p>
    <w:p>
      <w:pPr>
        <w:ind w:left="1800" w:hanging="545"/>
        <w:spacing w:after="0"/>
        <w:tabs>
          <w:tab w:leader="none" w:pos="18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7" w:lineRule="exact"/>
        <w:rPr>
          <w:rFonts w:ascii="Courier New" w:cs="Courier New" w:eastAsia="Courier New" w:hAnsi="Courier New"/>
          <w:sz w:val="15"/>
          <w:szCs w:val="15"/>
          <w:color w:val="auto"/>
        </w:rPr>
      </w:pPr>
    </w:p>
    <w:p>
      <w:pPr>
        <w:ind w:left="2600" w:right="3199" w:hanging="811"/>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99.1Press Release issued July 31, 2003 containing information regarding the Registrant's results of operations or financial condition for the fiscal quarter ended June 28, 2003</w:t>
      </w:r>
    </w:p>
    <w:p>
      <w:pPr>
        <w:spacing w:after="0" w:line="175"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Results of Operations and Financial Condition.</w:t>
      </w:r>
    </w:p>
    <w:p>
      <w:pPr>
        <w:spacing w:after="0" w:line="178"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On July 31, 2003, The Scotts Company issued a press release reporting its second quarter financial results. The press release is attached to this Report as Exhibit 99.1.</w:t>
      </w:r>
    </w:p>
    <w:p>
      <w:pPr>
        <w:spacing w:after="0" w:line="175"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The press release includes the following non-GAAP financial measures as defined in Regulation G: (1) adjusted net income, (2) adjusted diluted earnings per share, (3) EBITDA and (4) adjusted EBITDA. The Registrant's management believes that the disclosure of these non-GAAP financial measures provides useful information to investors or other users of the financial statements, such as lenders.</w:t>
      </w:r>
    </w:p>
    <w:p>
      <w:pPr>
        <w:spacing w:after="0" w:line="177"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As to adjusted net income, adjusted EBITDA and adjusted diluted earnings per share, the excluded items are costs or gains for discrete projects or transactions related to the closure, downsizing or divestiture of certain operations that are apart from and not indicative of the results of the operations of the business.</w:t>
      </w:r>
    </w:p>
    <w:p>
      <w:pPr>
        <w:spacing w:after="0" w:line="177" w:lineRule="exact"/>
        <w:rPr>
          <w:sz w:val="20"/>
          <w:szCs w:val="20"/>
          <w:color w:val="auto"/>
        </w:rPr>
      </w:pPr>
    </w:p>
    <w:p>
      <w:pPr>
        <w:ind w:right="3019" w:firstLine="1352"/>
        <w:spacing w:after="0" w:line="265" w:lineRule="auto"/>
        <w:rPr>
          <w:sz w:val="20"/>
          <w:szCs w:val="20"/>
          <w:color w:val="auto"/>
        </w:rPr>
      </w:pPr>
      <w:r>
        <w:rPr>
          <w:rFonts w:ascii="Courier New" w:cs="Courier New" w:eastAsia="Courier New" w:hAnsi="Courier New"/>
          <w:sz w:val="14"/>
          <w:szCs w:val="14"/>
          <w:color w:val="auto"/>
        </w:rPr>
        <w:t>EBITDA and adjusted EBITDA are provided as a convenience to the Registrant's lenders because EBITDA is a component of certain debt compliance covenants. The Registrant makes no representation or assertion that EBITDA or adjusted EBITDA are indicative of its cash flows from operations or results of operations. The Registrant has provided a reconciliation of EBITDA to income from operations solely for the purpose of complying with Regulation G and not as an indication that EBITDA is a substitute measure for income from operations.</w:t>
      </w: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11" w:right="1440" w:bottom="1440" w:gutter="0" w:footer="0" w:header="0"/>
        </w:sectPr>
      </w:pPr>
    </w:p>
    <w:bookmarkStart w:id="2" w:name="page3"/>
    <w:bookmarkEnd w:id="2"/>
    <w:p>
      <w:pPr>
        <w:ind w:left="3140"/>
        <w:spacing w:after="0"/>
        <w:rPr>
          <w:sz w:val="20"/>
          <w:szCs w:val="20"/>
          <w:color w:val="auto"/>
        </w:rPr>
      </w:pPr>
      <w:r>
        <w:rPr>
          <w:rFonts w:ascii="Courier New" w:cs="Courier New" w:eastAsia="Courier New" w:hAnsi="Courier New"/>
          <w:sz w:val="15"/>
          <w:szCs w:val="15"/>
          <w:color w:val="auto"/>
        </w:rPr>
        <w:t>SIGNATURES</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19" w:firstLine="1623"/>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THE SCOTTS COMPANY</w:t>
      </w:r>
    </w:p>
    <w:p>
      <w:pPr>
        <w:sectPr>
          <w:pgSz w:w="11900" w:h="16838" w:orient="portrait"/>
          <w:cols w:equalWidth="0" w:num="1">
            <w:col w:w="10219"/>
          </w:cols>
          <w:pgMar w:left="240" w:top="638"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31,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both"/>
        <w:ind w:right="3099" w:hanging="269"/>
        <w:spacing w:after="0" w:line="244" w:lineRule="auto"/>
        <w:rPr>
          <w:sz w:val="20"/>
          <w:szCs w:val="20"/>
          <w:color w:val="auto"/>
        </w:rPr>
      </w:pPr>
      <w:r>
        <w:rPr>
          <w:rFonts w:ascii="Courier New" w:cs="Courier New" w:eastAsia="Courier New" w:hAnsi="Courier New"/>
          <w:sz w:val="15"/>
          <w:szCs w:val="15"/>
          <w:color w:val="auto"/>
        </w:rPr>
        <w:t>By: /s/ Christopher L. Nagel ---------------------------------------------- Christopher L. Nagel, Executive Vice President and Chief Financial Officer</w:t>
      </w:r>
    </w:p>
    <w:p>
      <w:pPr>
        <w:spacing w:after="0" w:line="175" w:lineRule="exact"/>
        <w:rPr>
          <w:sz w:val="20"/>
          <w:szCs w:val="20"/>
          <w:color w:val="auto"/>
        </w:rPr>
      </w:pPr>
    </w:p>
    <w:p>
      <w:pPr>
        <w:sectPr>
          <w:pgSz w:w="11900" w:h="16838" w:orient="portrait"/>
          <w:cols w:equalWidth="0" w:num="3">
            <w:col w:w="440" w:space="180"/>
            <w:col w:w="1620" w:space="720"/>
            <w:col w:w="7259"/>
          </w:cols>
          <w:pgMar w:left="240" w:top="638" w:right="1440" w:bottom="1440" w:gutter="0" w:footer="0" w:header="0"/>
          <w:type w:val="continuous"/>
        </w:sect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8" w:right="1440" w:bottom="1440" w:gutter="0" w:footer="0" w:header="0"/>
          <w:type w:val="continuous"/>
        </w:sectPr>
      </w:pPr>
    </w:p>
    <w:bookmarkStart w:id="3" w:name="page4"/>
    <w:bookmarkEnd w:id="3"/>
    <w:p>
      <w:pPr>
        <w:ind w:left="2880"/>
        <w:spacing w:after="0"/>
        <w:rPr>
          <w:sz w:val="20"/>
          <w:szCs w:val="20"/>
          <w:color w:val="auto"/>
        </w:rPr>
      </w:pPr>
      <w:r>
        <w:rPr>
          <w:rFonts w:ascii="Courier New" w:cs="Courier New" w:eastAsia="Courier New" w:hAnsi="Courier New"/>
          <w:sz w:val="15"/>
          <w:szCs w:val="15"/>
          <w:color w:val="auto"/>
        </w:rPr>
        <w:t>INDEX TO EXHIBITS</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811" w:right="1440" w:bottom="1440" w:gutter="0" w:footer="0" w:header="0"/>
        </w:sect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2700" w:space="720"/>
            <w:col w:w="6799"/>
          </w:cols>
          <w:pgMar w:left="240" w:top="81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Press Release issued July 31, 2003</w:t>
      </w:r>
    </w:p>
    <w:p>
      <w:pPr>
        <w:spacing w:after="0" w:line="210" w:lineRule="exact"/>
        <w:rPr>
          <w:sz w:val="20"/>
          <w:szCs w:val="20"/>
          <w:color w:val="auto"/>
        </w:rPr>
      </w:pPr>
    </w:p>
    <w:p>
      <w:pPr>
        <w:sectPr>
          <w:pgSz w:w="11900" w:h="16838" w:orient="portrait"/>
          <w:cols w:equalWidth="0" w:num="2">
            <w:col w:w="2520" w:space="720"/>
            <w:col w:w="6979"/>
          </w:cols>
          <w:pgMar w:left="240" w:top="811" w:right="1440" w:bottom="1440" w:gutter="0" w:footer="0" w:header="0"/>
          <w:type w:val="continuous"/>
        </w:sect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11" w:right="1440" w:bottom="1440" w:gutter="0" w:footer="0" w:header="0"/>
          <w:type w:val="continuous"/>
        </w:sectPr>
      </w:pPr>
    </w:p>
    <w:bookmarkStart w:id="4" w:name="page5"/>
    <w:bookmarkEnd w:id="4"/>
    <w:p>
      <w:pPr>
        <w:ind w:left="6120"/>
        <w:spacing w:after="0"/>
        <w:rPr>
          <w:sz w:val="20"/>
          <w:szCs w:val="20"/>
          <w:color w:val="auto"/>
        </w:rPr>
      </w:pPr>
      <w:r>
        <w:rPr>
          <w:rFonts w:ascii="Courier New" w:cs="Courier New" w:eastAsia="Courier New" w:hAnsi="Courier New"/>
          <w:sz w:val="14"/>
          <w:szCs w:val="14"/>
          <w:color w:val="auto"/>
        </w:rPr>
        <w:t>Exhibit 99.1</w:t>
      </w:r>
    </w:p>
    <w:p>
      <w:pPr>
        <w:spacing w:after="0" w:line="188" w:lineRule="exact"/>
        <w:rPr>
          <w:sz w:val="20"/>
          <w:szCs w:val="20"/>
          <w:color w:val="auto"/>
        </w:rPr>
      </w:pPr>
    </w:p>
    <w:p>
      <w:pPr>
        <w:ind w:left="5320"/>
        <w:spacing w:after="0"/>
        <w:rPr>
          <w:sz w:val="20"/>
          <w:szCs w:val="20"/>
          <w:color w:val="auto"/>
        </w:rPr>
      </w:pPr>
      <w:r>
        <w:rPr>
          <w:rFonts w:ascii="Courier New" w:cs="Courier New" w:eastAsia="Courier New" w:hAnsi="Courier New"/>
          <w:sz w:val="14"/>
          <w:szCs w:val="14"/>
          <w:color w:val="auto"/>
        </w:rPr>
        <w:t>FOR IMMEDIATE RELEASE</w:t>
      </w:r>
    </w:p>
    <w:p>
      <w:pPr>
        <w:sectPr>
          <w:pgSz w:w="11900" w:h="16838" w:orient="portrait"/>
          <w:cols w:equalWidth="0" w:num="1">
            <w:col w:w="10219"/>
          </w:cols>
          <w:pgMar w:left="240" w:top="315" w:right="1440" w:bottom="1440" w:gutter="0" w:footer="0" w:header="0"/>
        </w:sect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SCOTTS COMPANY</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NEWS</w:t>
      </w:r>
    </w:p>
    <w:p>
      <w:pPr>
        <w:spacing w:after="0" w:line="177" w:lineRule="exact"/>
        <w:rPr>
          <w:sz w:val="20"/>
          <w:szCs w:val="20"/>
          <w:color w:val="auto"/>
        </w:rPr>
      </w:pPr>
    </w:p>
    <w:p>
      <w:pPr>
        <w:sectPr>
          <w:pgSz w:w="11900" w:h="16838" w:orient="portrait"/>
          <w:cols w:equalWidth="0" w:num="2">
            <w:col w:w="5580" w:space="720"/>
            <w:col w:w="3919"/>
          </w:cols>
          <w:pgMar w:left="240" w:top="315" w:right="1440" w:bottom="1440" w:gutter="0" w:footer="0" w:header="0"/>
          <w:type w:val="continuous"/>
        </w:sectPr>
      </w:pPr>
    </w:p>
    <w:p>
      <w:pPr>
        <w:jc w:val="center"/>
        <w:ind w:right="3019"/>
        <w:spacing w:after="0"/>
        <w:rPr>
          <w:sz w:val="20"/>
          <w:szCs w:val="20"/>
          <w:color w:val="auto"/>
        </w:rPr>
      </w:pPr>
      <w:r>
        <w:rPr>
          <w:rFonts w:ascii="Courier New" w:cs="Courier New" w:eastAsia="Courier New" w:hAnsi="Courier New"/>
          <w:sz w:val="15"/>
          <w:szCs w:val="15"/>
          <w:color w:val="auto"/>
        </w:rPr>
        <w:t>THE SCOTTS COMPANY REPORTS THIRD QUARTER RESULTS</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4"/>
          <w:szCs w:val="14"/>
          <w:color w:val="auto"/>
        </w:rPr>
        <w:t>COMPANY CONTINUES TO EXPECT DOUBLE-DIGIT ADJUSTED NET INCOME GROWTH FOR 2003</w:t>
      </w:r>
    </w:p>
    <w:p>
      <w:pPr>
        <w:sectPr>
          <w:pgSz w:w="11900" w:h="16838" w:orient="portrait"/>
          <w:cols w:equalWidth="0" w:num="1">
            <w:col w:w="10219"/>
          </w:cols>
          <w:pgMar w:left="240" w:top="315" w:right="1440" w:bottom="1440" w:gutter="0" w:footer="0" w:header="0"/>
          <w:type w:val="continuous"/>
        </w:sectPr>
      </w:pPr>
    </w:p>
    <w:p>
      <w:pPr>
        <w:spacing w:after="0" w:line="188" w:lineRule="exact"/>
        <w:rPr>
          <w:sz w:val="20"/>
          <w:szCs w:val="20"/>
          <w:color w:val="auto"/>
        </w:rPr>
      </w:pPr>
    </w:p>
    <w:p>
      <w:pPr>
        <w:ind w:left="900" w:right="3199" w:hanging="457"/>
        <w:spacing w:after="0" w:line="243" w:lineRule="auto"/>
        <w:tabs>
          <w:tab w:leader="none" w:pos="9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Earnings Per Share of $2.85; Reported Earnings Per Share of $2.81</w:t>
      </w:r>
    </w:p>
    <w:p>
      <w:pPr>
        <w:spacing w:after="0" w:line="1"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North American consumer sales up 5% on year-to-date basis</w:t>
      </w:r>
    </w:p>
    <w:p>
      <w:pPr>
        <w:spacing w:after="0" w:line="4" w:lineRule="exact"/>
        <w:rPr>
          <w:rFonts w:ascii="Courier New" w:cs="Courier New" w:eastAsia="Courier New" w:hAnsi="Courier New"/>
          <w:sz w:val="15"/>
          <w:szCs w:val="15"/>
          <w:color w:val="auto"/>
        </w:rPr>
      </w:pPr>
    </w:p>
    <w:p>
      <w:pPr>
        <w:ind w:left="900" w:right="3639" w:hanging="457"/>
        <w:spacing w:after="0" w:line="243" w:lineRule="auto"/>
        <w:tabs>
          <w:tab w:leader="none" w:pos="9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Consumer, Global Professional see strong earnings improvement</w:t>
      </w:r>
    </w:p>
    <w:p>
      <w:pPr>
        <w:spacing w:after="0" w:line="176"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MARYSVILLE, Ohio (July 31, 2003) - The Scotts Company (NYSE: SMG), the global leader in the consumer lawn and garden industry, today announced adjusted earnings per share of $2.85 in the third quarter, in line with its previous estimates. On a reported basis, earnings per share for the quarter were $2.81. The Company also reaffirmed its outlook for double-digit adjusted net income growth for fiscal 2003.</w:t>
      </w:r>
    </w:p>
    <w:p>
      <w:pPr>
        <w:spacing w:after="0" w:line="4"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"Our third quarter and year-to-date results demonstrate the continued strength of our business," said Jim Hagedorn, chairman and chief executive officer. "While this gardening season was clearly impacted by cool, wet weather, we remained focused and overcame serious challenges in our busiest time of the year. Our confidence in producing earnings growth of at least 10 percent for 2003 speaks to the fundamental strength of this business, especially in a year in which we also are making significant long-term investments in the business and expensing stock options for the first time."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 Quarter Results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For the period ended June 28, 2003, the Company reported sales of $710 million, up 3 percent from $689 million last year. Excluding the impact of foreign exchange rates, sales were flat to the prior year. Adjusted earnings in the quarter were $92.3 million, or $2.85 per diluted share, compared with $95.6 million, or $3.01 per diluted share, for the same period last year. Current period adjusted earnings exclude restructuring and other non-recurring</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315" w:right="1440" w:bottom="1440" w:gutter="0" w:footer="0" w:header="0"/>
          <w:type w:val="continuous"/>
        </w:sectPr>
      </w:pPr>
    </w:p>
    <w:bookmarkStart w:id="5" w:name="page6"/>
    <w:bookmarkEnd w:id="5"/>
    <w:p>
      <w:pPr>
        <w:ind w:right="3199"/>
        <w:spacing w:after="0" w:line="244" w:lineRule="auto"/>
        <w:rPr>
          <w:sz w:val="20"/>
          <w:szCs w:val="20"/>
          <w:color w:val="auto"/>
        </w:rPr>
      </w:pPr>
      <w:r>
        <w:rPr>
          <w:rFonts w:ascii="Courier New" w:cs="Courier New" w:eastAsia="Courier New" w:hAnsi="Courier New"/>
          <w:sz w:val="15"/>
          <w:szCs w:val="15"/>
          <w:color w:val="auto"/>
        </w:rPr>
        <w:t>charges of $1.1 million, net of tax. Including these restructuring and non-recurring items, net income in the quarter was $91.2 million, or $2.81 per diluted share.</w:t>
      </w:r>
    </w:p>
    <w:p>
      <w:pPr>
        <w:spacing w:after="0" w:line="2"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Adjusted earnings before interest, taxes, depreciation and amortization (EBITDA) were $175.8 million, compared with $185.4 million for the same period last year.</w:t>
      </w:r>
    </w:p>
    <w:p>
      <w:pPr>
        <w:spacing w:after="0" w:line="2"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Sales in the quarter were impacted by weaker than expected results in April caused by cool, wet weather in many key markets in North America. Those weather conditions also impacted consumer purchases, which were down in April, but finished up 4 percent in the quarter compared to last year. On a year-to-date basis, consumer purchases of Scotts' products at the Company's largest retailers are up 7 percent compared to last year.</w:t>
      </w:r>
    </w:p>
    <w:p>
      <w:pPr>
        <w:spacing w:after="0" w:line="4" w:lineRule="exact"/>
        <w:rPr>
          <w:sz w:val="20"/>
          <w:szCs w:val="20"/>
          <w:color w:val="auto"/>
        </w:rPr>
      </w:pPr>
    </w:p>
    <w:p>
      <w:pPr>
        <w:ind w:right="3019" w:firstLine="811"/>
        <w:spacing w:after="0" w:line="262" w:lineRule="auto"/>
        <w:rPr>
          <w:sz w:val="20"/>
          <w:szCs w:val="20"/>
          <w:color w:val="auto"/>
        </w:rPr>
      </w:pPr>
      <w:r>
        <w:rPr>
          <w:rFonts w:ascii="Courier New" w:cs="Courier New" w:eastAsia="Courier New" w:hAnsi="Courier New"/>
          <w:sz w:val="14"/>
          <w:szCs w:val="14"/>
          <w:color w:val="auto"/>
        </w:rPr>
        <w:t>The impact of April conditions caused the Company's North American consumer business to report sales in the quarter down 1 percent to $524 million. Within that business, Lawns was up 1 percent to $184 million, Gardening Products was down 4 percent to $226 million and Ortho declined 4 percent to $97 million.</w:t>
      </w:r>
    </w:p>
    <w:p>
      <w:pPr>
        <w:spacing w:after="0" w:line="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Scotts LawnService(R) reported sales of $41 million in the quarter, up 41 percent from last year, reflecting the continued organic growth of the business as well as the integration of several acquisitions, partially offset by the negative impact of the unfavorable early spring weather.</w:t>
      </w:r>
    </w:p>
    <w:p>
      <w:pPr>
        <w:spacing w:after="0" w:line="3"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International Consumer sales increased 11 percent to $90 million compared to $81 million for the same period last year. Excluding the impact of foreign exchange rates and non-recurring sales last year, sales increased 2 percent in the quarter. Global Professional sales were $55 million in the quarter, up nearly 10 percent. Excluding the impact of foreign exchange rates, Global Professional sales were flat to last year's levels.</w:t>
      </w:r>
    </w:p>
    <w:p>
      <w:pPr>
        <w:spacing w:after="0" w:line="4"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Gross margin rose to 39.5 percent in the quarter from 39.3 percent for the same period last year driven by the growth of Scotts LawnService, which has a higher gross margin than the Company's other business segments, and improved product mix in North America, particularly in the Gardening Products and Ortho lines.</w:t>
      </w:r>
    </w:p>
    <w:p>
      <w:pPr>
        <w:spacing w:after="0" w:line="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Operating expenses increased in the quarter to $136.3 million from $112.7 million in the same period last year. The increase was due to planned investment in areas such as advertising, new business development, a doubling of the number of in-store counselors, and Scotts LawnService, as well as an increase in costs associated with the expensing of stock options, rising healthcare and pension costs and foreign exchange rates.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8" w:right="1440" w:bottom="1440" w:gutter="0" w:footer="0" w:header="0"/>
        </w:sectPr>
      </w:pPr>
    </w:p>
    <w:bookmarkStart w:id="6" w:name="page7"/>
    <w:bookmarkEnd w:id="6"/>
    <w:p>
      <w:pPr>
        <w:ind w:right="3019" w:firstLine="811"/>
        <w:spacing w:after="0" w:line="244" w:lineRule="auto"/>
        <w:rPr>
          <w:sz w:val="20"/>
          <w:szCs w:val="20"/>
          <w:color w:val="auto"/>
        </w:rPr>
      </w:pPr>
      <w:r>
        <w:rPr>
          <w:rFonts w:ascii="Courier New" w:cs="Courier New" w:eastAsia="Courier New" w:hAnsi="Courier New"/>
          <w:sz w:val="15"/>
          <w:szCs w:val="15"/>
          <w:color w:val="auto"/>
        </w:rPr>
        <w:t>Net Roundup commission was $16.5 million, flat with last year. Improved earnings in the business offset a $1.3 million increase in the contribution expense paid during the quarter to Monsanto.</w:t>
      </w:r>
    </w:p>
    <w:p>
      <w:pPr>
        <w:spacing w:after="0" w:line="2"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"Solid growth in May and June helped us address challenges caused by unfavorable weather in April," Hagedorn said. "It's evident that the consumer remains enthusiastic about the lawn and garden category - even with the challenges presented by this season. We still expect the overall category to grow this year and we believe we are growing market shares this year in both the U.S. and Europe."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 Results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For the first nine months, Scotts reported global sales of $1.57 billion, up 8 percent from $1.45 billion the same period last year. Excluding the impact of foreign exchange rates, year-to-date sales were up 5 percent from last year. Adjusted earnings were $114.0 million, or $3.55 per diluted share, compared with $115.1 million, or $3.64 per diluted share, for the same period last year. Adjusted earnings for the first nine months of fiscal 2003 exclude restructuring and other charges of $7.1 million, net of tax. Those charges include $4.2 million related primarily to restructuring of the North American distribution model and $2.9 million related to the Company's international growth and integration efforts. Including restructuring and non-recurring items, year-to-date net income was $106.9 million, or $3.33 per share, compared with $95.2 million, or $3.01 per diluted share, for the same period last year. Results for 2002 include an after-tax impairment charge of $18.5 million.</w:t>
      </w:r>
    </w:p>
    <w:p>
      <w:pPr>
        <w:spacing w:after="0" w:line="8"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Adjusted EBITDA was $270.2 million, compared with $278.2 million for the same period last year. Including restructuring and non-recurring items, EBITDA was $259 million on a year-to-date basis.</w:t>
      </w:r>
    </w:p>
    <w:p>
      <w:pPr>
        <w:spacing w:after="0" w:line="2"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North American consumer sales were $1.1 billion during the first nine months of 2002, up nearly 5 percent from last year. Scotts LawnService had revenue growth of 50 percent in the first nine months to $67 million.</w:t>
      </w:r>
    </w:p>
    <w:p>
      <w:pPr>
        <w:spacing w:after="0" w:line="2"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International Consumer sales were $242 million compared with $209 million last year. Excluding the impact of foreign exchange rates and non-recurring sales last year, sales increased 2 percent. Global Professional year-to-date sales were $156</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8" w:right="1440" w:bottom="1440" w:gutter="0" w:footer="0" w:header="0"/>
        </w:sectPr>
      </w:pPr>
    </w:p>
    <w:bookmarkStart w:id="7" w:name="page8"/>
    <w:bookmarkEnd w:id="7"/>
    <w:p>
      <w:pPr>
        <w:ind w:right="3099"/>
        <w:spacing w:after="0" w:line="243" w:lineRule="auto"/>
        <w:rPr>
          <w:sz w:val="20"/>
          <w:szCs w:val="20"/>
          <w:color w:val="auto"/>
        </w:rPr>
      </w:pPr>
      <w:r>
        <w:rPr>
          <w:rFonts w:ascii="Courier New" w:cs="Courier New" w:eastAsia="Courier New" w:hAnsi="Courier New"/>
          <w:sz w:val="15"/>
          <w:szCs w:val="15"/>
          <w:color w:val="auto"/>
        </w:rPr>
        <w:t>million compared with $142 million last year and flat when excluding the impact of foreign exchange rates.</w:t>
      </w:r>
    </w:p>
    <w:p>
      <w:pPr>
        <w:spacing w:after="0" w:line="3"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"Both International Consumer and Global Professional are making significant bottom line improvements this year," Hagedorn said. "We continue to believe both of these businesses will benefit from our International growth and integration efforts and will continue to be increasingly important contributors to both earnings and improvement in return on invested capital."</w:t>
      </w:r>
    </w:p>
    <w:p>
      <w:pPr>
        <w:spacing w:after="0" w:line="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Gross margin through the first nine months was 36.8 percent compared with 37.4 percent for the same period last year. Unfavorable North American warehousing and logistics costs, due in part to higher than planned inventory levels earlier in the quarter arising from the sales shortfall in April, as well as planned upgrades in warehousing facilities, contributed to the margin decline. Increased restructuring charges included in cost of goods sold in fiscal 2003 also added to the decline in gross margin percent.</w:t>
      </w:r>
    </w:p>
    <w:p>
      <w:pPr>
        <w:spacing w:after="0" w:line="4"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Operating expenses were $368.0 million, up from $311.2 million in 2002. The increase, which was significantly less than expected, was driven by the same investments and costs described for the third quarter.</w:t>
      </w:r>
    </w:p>
    <w:p>
      <w:pPr>
        <w:spacing w:after="0" w:line="2"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On a year-to-date basis, Net Roundup commission was $13.5 million, up slightly from $13.3 million a year earlier. Increased global sales and improved earnings helped offset a $3.8 million increase in the contribution payment to Monsanto.</w:t>
      </w:r>
    </w:p>
    <w:p>
      <w:pPr>
        <w:spacing w:after="0" w:line="3"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company will host a live audio webcast today at 10:00 a.m. EDT at www.scotts.com to discuss third quarter results and the outlook for the balance of the year.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About Scotts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The Scotts Company is the world's leading supplier of consumer products for lawn and garden care, with a full range of products for professional horticulture as well. The company owns the industry's most recognized brands. In the U.S., the company's Scotts(R), Miracle-Gro(R) and Ortho(R) brands are market leading in their categories, as is the consumer Roundup(R) brand which is marketed in North America and most of Europe exclusively by Scotts and owned by Monsanto. In Europe, Scotts' brands include Weedol(R) Pathclear(R), Evergreen(R), Levington(R) Miracle-Gro(R), KB(R), Fertiligene(R) and Substral(R).</w:t>
      </w:r>
    </w:p>
    <w:p>
      <w:pPr>
        <w:spacing w:after="0" w:line="16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STATEMENT UNDER THE PRIVATE SECURITIES LITIGATION ACT OF 1995: Certain of the statements contained in this press release, including, but not limited to, information regarding the future economic performance and financial condition of the company, the plans and objectives of the company's management, and the company's assumptions regarding such performance and plans are forward looking in nature. Actual results could differ materially from the forward looking information in this release, due to a variety of factors, including, but not limited to:</w:t>
      </w:r>
    </w:p>
    <w:p>
      <w:pPr>
        <w:spacing w:after="0" w:line="178" w:lineRule="exact"/>
        <w:rPr>
          <w:sz w:val="20"/>
          <w:szCs w:val="20"/>
          <w:color w:val="auto"/>
        </w:rPr>
      </w:pPr>
    </w:p>
    <w:p>
      <w:pPr>
        <w:ind w:left="900" w:right="3099" w:hanging="457"/>
        <w:spacing w:after="0" w:line="243" w:lineRule="auto"/>
        <w:tabs>
          <w:tab w:leader="none" w:pos="9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 weather conditions could adversely affect the Company's sales and financial results;</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8" w:right="1440" w:bottom="1440" w:gutter="0" w:footer="0" w:header="0"/>
        </w:sectPr>
      </w:pPr>
    </w:p>
    <w:bookmarkStart w:id="8" w:name="page9"/>
    <w:bookmarkEnd w:id="8"/>
    <w:p>
      <w:pPr>
        <w:ind w:left="900" w:right="3279" w:hanging="457"/>
        <w:spacing w:after="0" w:line="243" w:lineRule="auto"/>
        <w:tabs>
          <w:tab w:leader="none" w:pos="9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historical seasonality could impair the Company's ability to pay obligations as they come due and operating expenses;</w:t>
      </w:r>
    </w:p>
    <w:p>
      <w:pPr>
        <w:spacing w:after="0" w:line="2" w:lineRule="exact"/>
        <w:rPr>
          <w:rFonts w:ascii="Courier New" w:cs="Courier New" w:eastAsia="Courier New" w:hAnsi="Courier New"/>
          <w:sz w:val="15"/>
          <w:szCs w:val="15"/>
          <w:color w:val="auto"/>
        </w:rPr>
      </w:pPr>
    </w:p>
    <w:p>
      <w:pPr>
        <w:ind w:left="900" w:right="3459" w:hanging="457"/>
        <w:spacing w:after="0" w:line="243" w:lineRule="auto"/>
        <w:tabs>
          <w:tab w:leader="none" w:pos="9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substantial indebtedness could adversely affect the Company's financial health;</w:t>
      </w:r>
    </w:p>
    <w:p>
      <w:pPr>
        <w:spacing w:after="0" w:line="2" w:lineRule="exact"/>
        <w:rPr>
          <w:rFonts w:ascii="Courier New" w:cs="Courier New" w:eastAsia="Courier New" w:hAnsi="Courier New"/>
          <w:sz w:val="15"/>
          <w:szCs w:val="15"/>
          <w:color w:val="auto"/>
        </w:rPr>
      </w:pPr>
    </w:p>
    <w:p>
      <w:pPr>
        <w:ind w:left="900" w:right="3459" w:hanging="457"/>
        <w:spacing w:after="0" w:line="243" w:lineRule="auto"/>
        <w:tabs>
          <w:tab w:leader="none" w:pos="9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perceptions regarding the safety of the Company's products could adversely affect the Company;</w:t>
      </w:r>
    </w:p>
    <w:p>
      <w:pPr>
        <w:spacing w:after="0" w:line="2" w:lineRule="exact"/>
        <w:rPr>
          <w:rFonts w:ascii="Courier New" w:cs="Courier New" w:eastAsia="Courier New" w:hAnsi="Courier New"/>
          <w:sz w:val="15"/>
          <w:szCs w:val="15"/>
          <w:color w:val="auto"/>
        </w:rPr>
      </w:pPr>
    </w:p>
    <w:p>
      <w:pPr>
        <w:jc w:val="both"/>
        <w:ind w:left="900" w:right="3019" w:hanging="457"/>
        <w:spacing w:after="0" w:line="262" w:lineRule="auto"/>
        <w:tabs>
          <w:tab w:leader="none" w:pos="9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loss of one or more of the Company's top customers could adversely affect the Company's financial results because of the concentration of the Company's sales to a small number of retail customers;</w:t>
      </w:r>
    </w:p>
    <w:p>
      <w:pPr>
        <w:ind w:left="900" w:right="3379" w:hanging="457"/>
        <w:spacing w:after="0" w:line="243" w:lineRule="auto"/>
        <w:tabs>
          <w:tab w:leader="none" w:pos="9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of certain patents could substantially increase the Company's competition in the United States;</w:t>
      </w:r>
    </w:p>
    <w:p>
      <w:pPr>
        <w:spacing w:after="0" w:line="2" w:lineRule="exact"/>
        <w:rPr>
          <w:rFonts w:ascii="Courier New" w:cs="Courier New" w:eastAsia="Courier New" w:hAnsi="Courier New"/>
          <w:sz w:val="15"/>
          <w:szCs w:val="15"/>
          <w:color w:val="auto"/>
        </w:rPr>
      </w:pPr>
    </w:p>
    <w:p>
      <w:pPr>
        <w:ind w:left="900" w:right="3459" w:hanging="457"/>
        <w:spacing w:after="0" w:line="243" w:lineRule="auto"/>
        <w:tabs>
          <w:tab w:leader="none" w:pos="9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environmental and other public health regulations could increase the Company's cost of doing business; and</w:t>
      </w:r>
    </w:p>
    <w:p>
      <w:pPr>
        <w:spacing w:after="0" w:line="2" w:lineRule="exact"/>
        <w:rPr>
          <w:rFonts w:ascii="Courier New" w:cs="Courier New" w:eastAsia="Courier New" w:hAnsi="Courier New"/>
          <w:sz w:val="15"/>
          <w:szCs w:val="15"/>
          <w:color w:val="auto"/>
        </w:rPr>
      </w:pPr>
    </w:p>
    <w:p>
      <w:pPr>
        <w:ind w:left="900" w:right="3019" w:hanging="457"/>
        <w:spacing w:after="0" w:line="244" w:lineRule="auto"/>
        <w:tabs>
          <w:tab w:leader="none" w:pos="9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significant international operations make the Company more susceptible to fluctuations in currency exchange rates and to the costs of international regulation.</w:t>
      </w:r>
    </w:p>
    <w:p>
      <w:pPr>
        <w:spacing w:after="0" w:line="175"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Additional detailed information concerning a number of the important factors that could cause actual results to differ materially from the forward looking information contained in this release is readily available in the company's publicly filed quarterly, annual, and other reports.</w:t>
      </w:r>
    </w:p>
    <w:p>
      <w:pPr>
        <w:sectPr>
          <w:pgSz w:w="11900" w:h="16838" w:orient="portrait"/>
          <w:cols w:equalWidth="0" w:num="1">
            <w:col w:w="10219"/>
          </w:cols>
          <w:pgMar w:left="240" w:top="638"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Rebecca J. Bruening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Corporate Treasurer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937-578-5607</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Jim King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Investor Relations/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Communications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937-578-5622</w:t>
      </w:r>
    </w:p>
    <w:p>
      <w:pPr>
        <w:spacing w:after="0" w:line="177" w:lineRule="exact"/>
        <w:rPr>
          <w:sz w:val="20"/>
          <w:szCs w:val="20"/>
          <w:color w:val="auto"/>
        </w:rPr>
      </w:pPr>
    </w:p>
    <w:p>
      <w:pPr>
        <w:sectPr>
          <w:pgSz w:w="11900" w:h="16838" w:orient="portrait"/>
          <w:cols w:equalWidth="0" w:num="2">
            <w:col w:w="3240" w:space="720"/>
            <w:col w:w="6259"/>
          </w:cols>
          <w:pgMar w:left="240" w:top="638" w:right="1440" w:bottom="1440" w:gutter="0" w:footer="0" w:header="0"/>
          <w:type w:val="continuous"/>
        </w:sect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8" w:right="1440" w:bottom="1440" w:gutter="0" w:footer="0" w:header="0"/>
          <w:type w:val="continuous"/>
        </w:sectPr>
      </w:pPr>
    </w:p>
    <w:bookmarkStart w:id="9" w:name="page10"/>
    <w:bookmarkEnd w:id="9"/>
    <w:p>
      <w:pPr>
        <w:jc w:val="center"/>
        <w:ind w:right="4320"/>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0"/>
          <w:szCs w:val="20"/>
          <w:color w:val="auto"/>
        </w:rPr>
      </w:pPr>
    </w:p>
    <w:p>
      <w:pPr>
        <w:jc w:val="center"/>
        <w:ind w:right="4240"/>
        <w:spacing w:after="0"/>
        <w:rPr>
          <w:sz w:val="20"/>
          <w:szCs w:val="20"/>
          <w:color w:val="auto"/>
        </w:rPr>
      </w:pPr>
      <w:r>
        <w:rPr>
          <w:rFonts w:ascii="Courier New" w:cs="Courier New" w:eastAsia="Courier New" w:hAnsi="Courier New"/>
          <w:sz w:val="15"/>
          <w:szCs w:val="15"/>
          <w:color w:val="auto"/>
        </w:rPr>
        <w:t>RESULTS OF OPERATIONS FOR THE THREE AND NINE MONTHS</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ENDED JUNE 28, 2003 AND JUNE 29, 2002</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(in millions, except per share data)</w:t>
      </w:r>
    </w:p>
    <w:p>
      <w:pPr>
        <w:spacing w:after="0" w:line="3" w:lineRule="exact"/>
        <w:rPr>
          <w:sz w:val="20"/>
          <w:szCs w:val="20"/>
          <w:color w:val="auto"/>
        </w:rPr>
      </w:pPr>
    </w:p>
    <w:p>
      <w:pPr>
        <w:jc w:val="center"/>
        <w:ind w:right="4240"/>
        <w:spacing w:after="0"/>
        <w:rPr>
          <w:sz w:val="20"/>
          <w:szCs w:val="20"/>
          <w:color w:val="auto"/>
        </w:rPr>
      </w:pPr>
      <w:r>
        <w:rPr>
          <w:rFonts w:ascii="Courier New" w:cs="Courier New" w:eastAsia="Courier New" w:hAnsi="Courier New"/>
          <w:sz w:val="15"/>
          <w:szCs w:val="15"/>
          <w:color w:val="auto"/>
        </w:rPr>
        <w:t>(Unaudited)</w:t>
      </w:r>
    </w:p>
    <w:p>
      <w:pPr>
        <w:spacing w:after="0" w:line="3" w:lineRule="exact"/>
        <w:rPr>
          <w:sz w:val="20"/>
          <w:szCs w:val="20"/>
          <w:color w:val="auto"/>
        </w:rPr>
      </w:pPr>
    </w:p>
    <w:p>
      <w:pPr>
        <w:jc w:val="center"/>
        <w:ind w:right="4240"/>
        <w:spacing w:after="0"/>
        <w:rPr>
          <w:sz w:val="20"/>
          <w:szCs w:val="20"/>
          <w:color w:val="auto"/>
        </w:rPr>
      </w:pPr>
      <w:r>
        <w:rPr>
          <w:rFonts w:ascii="Courier New" w:cs="Courier New" w:eastAsia="Courier New" w:hAnsi="Courier New"/>
          <w:sz w:val="15"/>
          <w:szCs w:val="15"/>
          <w:color w:val="auto"/>
        </w:rPr>
        <w:t>Note: See Accompanying Footnotes on Page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1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Three Months Ended</w:t>
            </w:r>
          </w:p>
        </w:tc>
        <w:tc>
          <w:tcPr>
            <w:tcW w:w="292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4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June 28,</w:t>
            </w: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7"/>
              </w:rPr>
              <w:t>June 29,</w:t>
            </w:r>
          </w:p>
        </w:tc>
        <w:tc>
          <w:tcPr>
            <w:tcW w:w="18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June 28,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June 29,</w:t>
            </w:r>
          </w:p>
        </w:tc>
      </w:tr>
      <w:tr>
        <w:trPr>
          <w:trHeight w:val="173"/>
        </w:trPr>
        <w:tc>
          <w:tcPr>
            <w:tcW w:w="4460" w:type="dxa"/>
            <w:vAlign w:val="bottom"/>
          </w:tcPr>
          <w:p>
            <w:pPr>
              <w:spacing w:after="0"/>
              <w:rPr>
                <w:sz w:val="15"/>
                <w:szCs w:val="15"/>
                <w:color w:val="auto"/>
              </w:rPr>
            </w:pPr>
          </w:p>
        </w:tc>
        <w:tc>
          <w:tcPr>
            <w:tcW w:w="98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8"/>
              </w:rPr>
              <w:t>Footnotes</w:t>
            </w:r>
          </w:p>
        </w:tc>
        <w:tc>
          <w:tcPr>
            <w:tcW w:w="1940" w:type="dxa"/>
            <w:vAlign w:val="bottom"/>
          </w:tcPr>
          <w:p>
            <w:pPr>
              <w:ind w:left="780"/>
              <w:spacing w:after="0"/>
              <w:rPr>
                <w:sz w:val="20"/>
                <w:szCs w:val="20"/>
                <w:color w:val="auto"/>
              </w:rPr>
            </w:pPr>
            <w:r>
              <w:rPr>
                <w:rFonts w:ascii="Courier New" w:cs="Courier New" w:eastAsia="Courier New" w:hAnsi="Courier New"/>
                <w:sz w:val="15"/>
                <w:szCs w:val="15"/>
                <w:color w:val="auto"/>
              </w:rPr>
              <w:t>2003</w:t>
            </w:r>
          </w:p>
        </w:tc>
        <w:tc>
          <w:tcPr>
            <w:tcW w:w="12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2002</w:t>
            </w:r>
          </w:p>
        </w:tc>
        <w:tc>
          <w:tcPr>
            <w:tcW w:w="186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2003</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2002</w:t>
            </w:r>
          </w:p>
        </w:tc>
      </w:tr>
      <w:tr>
        <w:trPr>
          <w:trHeight w:val="173"/>
        </w:trPr>
        <w:tc>
          <w:tcPr>
            <w:tcW w:w="4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980" w:type="dxa"/>
            <w:vAlign w:val="bottom"/>
          </w:tcPr>
          <w:p>
            <w:pPr>
              <w:spacing w:after="0"/>
              <w:rPr>
                <w:sz w:val="24"/>
                <w:szCs w:val="2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$ 710.0</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$ 689.0</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$ 1,567.0</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$ 1,449.0</w:t>
            </w:r>
          </w:p>
        </w:tc>
      </w:tr>
      <w:tr>
        <w:trPr>
          <w:trHeight w:val="173"/>
        </w:trPr>
        <w:tc>
          <w:tcPr>
            <w:tcW w:w="446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980" w:type="dxa"/>
            <w:vAlign w:val="bottom"/>
          </w:tcPr>
          <w:p>
            <w:pPr>
              <w:spacing w:after="0"/>
              <w:rPr>
                <w:sz w:val="15"/>
                <w:szCs w:val="15"/>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428.6</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418.0</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985.3</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905.9</w:t>
            </w:r>
          </w:p>
        </w:tc>
      </w:tr>
      <w:tr>
        <w:trPr>
          <w:trHeight w:val="173"/>
        </w:trPr>
        <w:tc>
          <w:tcPr>
            <w:tcW w:w="4460" w:type="dxa"/>
            <w:vAlign w:val="bottom"/>
          </w:tcPr>
          <w:p>
            <w:pPr>
              <w:spacing w:after="0"/>
              <w:rPr>
                <w:sz w:val="20"/>
                <w:szCs w:val="20"/>
                <w:color w:val="auto"/>
              </w:rPr>
            </w:pPr>
            <w:r>
              <w:rPr>
                <w:rFonts w:ascii="Courier New" w:cs="Courier New" w:eastAsia="Courier New" w:hAnsi="Courier New"/>
                <w:sz w:val="15"/>
                <w:szCs w:val="15"/>
                <w:color w:val="auto"/>
              </w:rPr>
              <w:t>Cost of sales - restructuring and other</w:t>
            </w:r>
          </w:p>
        </w:tc>
        <w:tc>
          <w:tcPr>
            <w:tcW w:w="980" w:type="dxa"/>
            <w:vAlign w:val="bottom"/>
          </w:tcPr>
          <w:p>
            <w:pPr>
              <w:spacing w:after="0"/>
              <w:rPr>
                <w:sz w:val="15"/>
                <w:szCs w:val="15"/>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5.7</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r>
      <w:tr>
        <w:trPr>
          <w:trHeight w:val="173"/>
        </w:trPr>
        <w:tc>
          <w:tcPr>
            <w:tcW w:w="4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4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980" w:type="dxa"/>
            <w:vAlign w:val="bottom"/>
          </w:tcPr>
          <w:p>
            <w:pPr>
              <w:spacing w:after="0"/>
              <w:rPr>
                <w:sz w:val="15"/>
                <w:szCs w:val="15"/>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280.8</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270.6</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576.0</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541.6</w:t>
            </w:r>
          </w:p>
        </w:tc>
      </w:tr>
      <w:tr>
        <w:trPr>
          <w:trHeight w:val="173"/>
        </w:trPr>
        <w:tc>
          <w:tcPr>
            <w:tcW w:w="4460" w:type="dxa"/>
            <w:vAlign w:val="bottom"/>
          </w:tcPr>
          <w:p>
            <w:pPr>
              <w:spacing w:after="0"/>
              <w:rPr>
                <w:sz w:val="20"/>
                <w:szCs w:val="20"/>
                <w:color w:val="auto"/>
              </w:rPr>
            </w:pPr>
            <w:r>
              <w:rPr>
                <w:rFonts w:ascii="Courier New" w:cs="Courier New" w:eastAsia="Courier New" w:hAnsi="Courier New"/>
                <w:sz w:val="15"/>
                <w:szCs w:val="15"/>
                <w:color w:val="auto"/>
              </w:rPr>
              <w:t>% of sales</w:t>
            </w:r>
          </w:p>
        </w:tc>
        <w:tc>
          <w:tcPr>
            <w:tcW w:w="980" w:type="dxa"/>
            <w:vAlign w:val="bottom"/>
          </w:tcPr>
          <w:p>
            <w:pPr>
              <w:spacing w:after="0"/>
              <w:rPr>
                <w:sz w:val="15"/>
                <w:szCs w:val="15"/>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39.5%</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39.3%</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36.8%</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37.4%</w:t>
            </w: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Gross commission from marketing agreement</w:t>
            </w:r>
          </w:p>
        </w:tc>
        <w:tc>
          <w:tcPr>
            <w:tcW w:w="980" w:type="dxa"/>
            <w:vAlign w:val="bottom"/>
          </w:tcPr>
          <w:p>
            <w:pPr>
              <w:spacing w:after="0"/>
              <w:rPr>
                <w:sz w:val="24"/>
                <w:szCs w:val="2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23.6</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22.4</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34.8</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30.8</w:t>
            </w:r>
          </w:p>
        </w:tc>
      </w:tr>
      <w:tr>
        <w:trPr>
          <w:trHeight w:val="173"/>
        </w:trPr>
        <w:tc>
          <w:tcPr>
            <w:tcW w:w="4460" w:type="dxa"/>
            <w:vAlign w:val="bottom"/>
          </w:tcPr>
          <w:p>
            <w:pPr>
              <w:spacing w:after="0"/>
              <w:rPr>
                <w:sz w:val="20"/>
                <w:szCs w:val="20"/>
                <w:color w:val="auto"/>
              </w:rPr>
            </w:pPr>
            <w:r>
              <w:rPr>
                <w:rFonts w:ascii="Courier New" w:cs="Courier New" w:eastAsia="Courier New" w:hAnsi="Courier New"/>
                <w:sz w:val="15"/>
                <w:szCs w:val="15"/>
                <w:color w:val="auto"/>
              </w:rPr>
              <w:t>Contribution expenses under marketing agreement</w:t>
            </w:r>
          </w:p>
        </w:tc>
        <w:tc>
          <w:tcPr>
            <w:tcW w:w="980" w:type="dxa"/>
            <w:vAlign w:val="bottom"/>
          </w:tcPr>
          <w:p>
            <w:pPr>
              <w:spacing w:after="0"/>
              <w:rPr>
                <w:sz w:val="15"/>
                <w:szCs w:val="15"/>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18.8</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w:t>
            </w:r>
          </w:p>
        </w:tc>
      </w:tr>
      <w:tr>
        <w:trPr>
          <w:trHeight w:val="173"/>
        </w:trPr>
        <w:tc>
          <w:tcPr>
            <w:tcW w:w="4460" w:type="dxa"/>
            <w:vAlign w:val="bottom"/>
          </w:tcPr>
          <w:p>
            <w:pPr>
              <w:spacing w:after="0"/>
              <w:rPr>
                <w:sz w:val="20"/>
                <w:szCs w:val="20"/>
                <w:color w:val="auto"/>
              </w:rPr>
            </w:pPr>
            <w:r>
              <w:rPr>
                <w:rFonts w:ascii="Courier New" w:cs="Courier New" w:eastAsia="Courier New" w:hAnsi="Courier New"/>
                <w:sz w:val="15"/>
                <w:szCs w:val="15"/>
                <w:color w:val="auto"/>
              </w:rPr>
              <w:t>Amortization of marketing fee</w:t>
            </w:r>
          </w:p>
        </w:tc>
        <w:tc>
          <w:tcPr>
            <w:tcW w:w="980" w:type="dxa"/>
            <w:vAlign w:val="bottom"/>
          </w:tcPr>
          <w:p>
            <w:pPr>
              <w:spacing w:after="0"/>
              <w:rPr>
                <w:sz w:val="15"/>
                <w:szCs w:val="15"/>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0.8</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0.8</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w:t>
            </w:r>
          </w:p>
        </w:tc>
      </w:tr>
      <w:tr>
        <w:trPr>
          <w:trHeight w:val="173"/>
        </w:trPr>
        <w:tc>
          <w:tcPr>
            <w:tcW w:w="4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460" w:type="dxa"/>
            <w:vAlign w:val="bottom"/>
          </w:tcPr>
          <w:p>
            <w:pPr>
              <w:spacing w:after="0"/>
              <w:rPr>
                <w:sz w:val="20"/>
                <w:szCs w:val="20"/>
                <w:color w:val="auto"/>
              </w:rPr>
            </w:pPr>
            <w:r>
              <w:rPr>
                <w:rFonts w:ascii="Courier New" w:cs="Courier New" w:eastAsia="Courier New" w:hAnsi="Courier New"/>
                <w:sz w:val="15"/>
                <w:szCs w:val="15"/>
                <w:color w:val="auto"/>
              </w:rPr>
              <w:t>Net commission from marketing agreement</w:t>
            </w:r>
          </w:p>
        </w:tc>
        <w:tc>
          <w:tcPr>
            <w:tcW w:w="980" w:type="dxa"/>
            <w:vAlign w:val="bottom"/>
          </w:tcPr>
          <w:p>
            <w:pPr>
              <w:spacing w:after="0"/>
              <w:rPr>
                <w:sz w:val="15"/>
                <w:szCs w:val="15"/>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16.5</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16.6</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13.5</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w:t>
            </w: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9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3"/>
        </w:trPr>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Advertising</w:t>
            </w:r>
          </w:p>
        </w:tc>
        <w:tc>
          <w:tcPr>
            <w:tcW w:w="980" w:type="dxa"/>
            <w:vAlign w:val="bottom"/>
          </w:tcPr>
          <w:p>
            <w:pPr>
              <w:spacing w:after="0"/>
              <w:rPr>
                <w:sz w:val="15"/>
                <w:szCs w:val="15"/>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38.1</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30.6</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81.7</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68.6</w:t>
            </w:r>
          </w:p>
        </w:tc>
      </w:tr>
      <w:tr>
        <w:trPr>
          <w:trHeight w:val="173"/>
        </w:trPr>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S,G&amp;A - excluding lawn service business</w:t>
            </w:r>
          </w:p>
        </w:tc>
        <w:tc>
          <w:tcPr>
            <w:tcW w:w="9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3"/>
        </w:trPr>
        <w:tc>
          <w:tcPr>
            <w:tcW w:w="4460" w:type="dxa"/>
            <w:vAlign w:val="bottom"/>
          </w:tcPr>
          <w:p>
            <w:pPr>
              <w:ind w:left="540"/>
              <w:spacing w:after="0"/>
              <w:rPr>
                <w:sz w:val="20"/>
                <w:szCs w:val="20"/>
                <w:color w:val="auto"/>
              </w:rPr>
            </w:pPr>
            <w:r>
              <w:rPr>
                <w:rFonts w:ascii="Courier New" w:cs="Courier New" w:eastAsia="Courier New" w:hAnsi="Courier New"/>
                <w:sz w:val="15"/>
                <w:szCs w:val="15"/>
                <w:color w:val="auto"/>
              </w:rPr>
              <w:t>and stock-based compensation</w:t>
            </w:r>
          </w:p>
        </w:tc>
        <w:tc>
          <w:tcPr>
            <w:tcW w:w="980" w:type="dxa"/>
            <w:vAlign w:val="bottom"/>
          </w:tcPr>
          <w:p>
            <w:pPr>
              <w:spacing w:after="0"/>
              <w:rPr>
                <w:sz w:val="15"/>
                <w:szCs w:val="15"/>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85.0</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77.4</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243.8</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222.2</w:t>
            </w:r>
          </w:p>
        </w:tc>
      </w:tr>
      <w:tr>
        <w:trPr>
          <w:trHeight w:val="173"/>
        </w:trPr>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Stock-based compensation</w:t>
            </w:r>
          </w:p>
        </w:tc>
        <w:tc>
          <w:tcPr>
            <w:tcW w:w="980" w:type="dxa"/>
            <w:vAlign w:val="bottom"/>
          </w:tcPr>
          <w:p>
            <w:pPr>
              <w:spacing w:after="0"/>
              <w:rPr>
                <w:sz w:val="15"/>
                <w:szCs w:val="15"/>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S,G&amp;A - lawn service business</w:t>
            </w:r>
          </w:p>
        </w:tc>
        <w:tc>
          <w:tcPr>
            <w:tcW w:w="980" w:type="dxa"/>
            <w:vAlign w:val="bottom"/>
          </w:tcPr>
          <w:p>
            <w:pPr>
              <w:spacing w:after="0"/>
              <w:rPr>
                <w:sz w:val="15"/>
                <w:szCs w:val="15"/>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11.8</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9.0</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34.9</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23.7</w:t>
            </w:r>
          </w:p>
        </w:tc>
      </w:tr>
      <w:tr>
        <w:trPr>
          <w:trHeight w:val="173"/>
        </w:trPr>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S,G&amp;A - restructuring and other</w:t>
            </w:r>
          </w:p>
        </w:tc>
        <w:tc>
          <w:tcPr>
            <w:tcW w:w="980" w:type="dxa"/>
            <w:vAlign w:val="bottom"/>
          </w:tcPr>
          <w:p>
            <w:pPr>
              <w:spacing w:after="0"/>
              <w:rPr>
                <w:sz w:val="15"/>
                <w:szCs w:val="15"/>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5.5</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r>
      <w:tr>
        <w:trPr>
          <w:trHeight w:val="173"/>
        </w:trPr>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intangibles</w:t>
            </w:r>
          </w:p>
        </w:tc>
        <w:tc>
          <w:tcPr>
            <w:tcW w:w="980" w:type="dxa"/>
            <w:vAlign w:val="bottom"/>
          </w:tcPr>
          <w:p>
            <w:pPr>
              <w:spacing w:after="0"/>
              <w:rPr>
                <w:sz w:val="15"/>
                <w:szCs w:val="15"/>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6.3</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w:t>
            </w:r>
          </w:p>
        </w:tc>
      </w:tr>
      <w:tr>
        <w:trPr>
          <w:trHeight w:val="173"/>
        </w:trPr>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Other (income) expense</w:t>
            </w:r>
          </w:p>
        </w:tc>
        <w:tc>
          <w:tcPr>
            <w:tcW w:w="980" w:type="dxa"/>
            <w:vAlign w:val="bottom"/>
          </w:tcPr>
          <w:p>
            <w:pPr>
              <w:spacing w:after="0"/>
              <w:rPr>
                <w:sz w:val="15"/>
                <w:szCs w:val="15"/>
                <w:color w:val="auto"/>
              </w:rPr>
            </w:pPr>
          </w:p>
        </w:tc>
        <w:tc>
          <w:tcPr>
            <w:tcW w:w="1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w:t>
            </w:r>
          </w:p>
        </w:tc>
        <w:tc>
          <w:tcPr>
            <w:tcW w:w="1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r>
      <w:tr>
        <w:trPr>
          <w:trHeight w:val="173"/>
        </w:trPr>
        <w:tc>
          <w:tcPr>
            <w:tcW w:w="4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46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980" w:type="dxa"/>
            <w:vAlign w:val="bottom"/>
          </w:tcPr>
          <w:p>
            <w:pPr>
              <w:spacing w:after="0"/>
              <w:rPr>
                <w:sz w:val="15"/>
                <w:szCs w:val="15"/>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136.3</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112.7</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368.0</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311.2</w:t>
            </w:r>
          </w:p>
        </w:tc>
      </w:tr>
      <w:tr>
        <w:trPr>
          <w:trHeight w:val="173"/>
        </w:trPr>
        <w:tc>
          <w:tcPr>
            <w:tcW w:w="4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980" w:type="dxa"/>
            <w:vAlign w:val="bottom"/>
          </w:tcPr>
          <w:p>
            <w:pPr>
              <w:spacing w:after="0"/>
              <w:rPr>
                <w:sz w:val="24"/>
                <w:szCs w:val="2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161.0</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174.5</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221.5</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243.7</w:t>
            </w:r>
          </w:p>
        </w:tc>
      </w:tr>
      <w:tr>
        <w:trPr>
          <w:trHeight w:val="173"/>
        </w:trPr>
        <w:tc>
          <w:tcPr>
            <w:tcW w:w="4460" w:type="dxa"/>
            <w:vAlign w:val="bottom"/>
          </w:tcPr>
          <w:p>
            <w:pPr>
              <w:spacing w:after="0"/>
              <w:rPr>
                <w:sz w:val="20"/>
                <w:szCs w:val="20"/>
                <w:color w:val="auto"/>
              </w:rPr>
            </w:pPr>
            <w:r>
              <w:rPr>
                <w:rFonts w:ascii="Courier New" w:cs="Courier New" w:eastAsia="Courier New" w:hAnsi="Courier New"/>
                <w:sz w:val="15"/>
                <w:szCs w:val="15"/>
                <w:color w:val="auto"/>
              </w:rPr>
              <w:t>% of sales</w:t>
            </w:r>
          </w:p>
        </w:tc>
        <w:tc>
          <w:tcPr>
            <w:tcW w:w="980" w:type="dxa"/>
            <w:vAlign w:val="bottom"/>
          </w:tcPr>
          <w:p>
            <w:pPr>
              <w:spacing w:after="0"/>
              <w:rPr>
                <w:sz w:val="15"/>
                <w:szCs w:val="15"/>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22.7%</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25.3%</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14.1%</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16.8%</w:t>
            </w: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980" w:type="dxa"/>
            <w:vAlign w:val="bottom"/>
          </w:tcPr>
          <w:p>
            <w:pPr>
              <w:spacing w:after="0"/>
              <w:rPr>
                <w:sz w:val="24"/>
                <w:szCs w:val="2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18.2</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18.7</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53.4</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58.8</w:t>
            </w:r>
          </w:p>
        </w:tc>
      </w:tr>
      <w:tr>
        <w:trPr>
          <w:trHeight w:val="173"/>
        </w:trPr>
        <w:tc>
          <w:tcPr>
            <w:tcW w:w="4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Income before taxes</w:t>
            </w:r>
          </w:p>
        </w:tc>
        <w:tc>
          <w:tcPr>
            <w:tcW w:w="980" w:type="dxa"/>
            <w:vAlign w:val="bottom"/>
          </w:tcPr>
          <w:p>
            <w:pPr>
              <w:spacing w:after="0"/>
              <w:rPr>
                <w:sz w:val="24"/>
                <w:szCs w:val="2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142.8</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155.8</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168.1</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184.9</w:t>
            </w: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980" w:type="dxa"/>
            <w:vAlign w:val="bottom"/>
          </w:tcPr>
          <w:p>
            <w:pPr>
              <w:spacing w:after="0"/>
              <w:rPr>
                <w:sz w:val="24"/>
                <w:szCs w:val="2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51.6</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60.0</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61.2</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71.2</w:t>
            </w:r>
          </w:p>
        </w:tc>
      </w:tr>
      <w:tr>
        <w:trPr>
          <w:trHeight w:val="173"/>
        </w:trPr>
        <w:tc>
          <w:tcPr>
            <w:tcW w:w="4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Net income before cumulative effect</w:t>
            </w:r>
          </w:p>
        </w:tc>
        <w:tc>
          <w:tcPr>
            <w:tcW w:w="9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3"/>
        </w:trPr>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of accounting change</w:t>
            </w:r>
          </w:p>
        </w:tc>
        <w:tc>
          <w:tcPr>
            <w:tcW w:w="980" w:type="dxa"/>
            <w:vAlign w:val="bottom"/>
          </w:tcPr>
          <w:p>
            <w:pPr>
              <w:spacing w:after="0"/>
              <w:rPr>
                <w:sz w:val="15"/>
                <w:szCs w:val="15"/>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91.2</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95.8</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106.9</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113.7</w:t>
            </w: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w:t>
            </w:r>
          </w:p>
        </w:tc>
        <w:tc>
          <w:tcPr>
            <w:tcW w:w="9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3"/>
        </w:trPr>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for intangible assets (non-cash), net of tax</w:t>
            </w:r>
          </w:p>
        </w:tc>
        <w:tc>
          <w:tcPr>
            <w:tcW w:w="980" w:type="dxa"/>
            <w:vAlign w:val="bottom"/>
          </w:tcPr>
          <w:p>
            <w:pPr>
              <w:spacing w:after="0"/>
              <w:rPr>
                <w:sz w:val="15"/>
                <w:szCs w:val="15"/>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r>
      <w:tr>
        <w:trPr>
          <w:trHeight w:val="173"/>
        </w:trPr>
        <w:tc>
          <w:tcPr>
            <w:tcW w:w="4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spacing w:after="0"/>
              <w:rPr>
                <w:sz w:val="24"/>
                <w:szCs w:val="2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91.2</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95.8</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106.9</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95.2</w:t>
            </w:r>
          </w:p>
        </w:tc>
      </w:tr>
      <w:tr>
        <w:trPr>
          <w:trHeight w:val="173"/>
        </w:trPr>
        <w:tc>
          <w:tcPr>
            <w:tcW w:w="4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980" w:type="dxa"/>
            <w:vAlign w:val="bottom"/>
          </w:tcPr>
          <w:p>
            <w:pPr>
              <w:jc w:val="center"/>
              <w:ind w:left="25"/>
              <w:spacing w:after="0"/>
              <w:rPr>
                <w:sz w:val="20"/>
                <w:szCs w:val="20"/>
                <w:color w:val="auto"/>
              </w:rPr>
            </w:pPr>
            <w:r>
              <w:rPr>
                <w:rFonts w:ascii="Courier New" w:cs="Courier New" w:eastAsia="Courier New" w:hAnsi="Courier New"/>
                <w:sz w:val="15"/>
                <w:szCs w:val="15"/>
                <w:color w:val="auto"/>
              </w:rPr>
              <w:t>(1)</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2.93</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3.25</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3.48</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3.27</w:t>
            </w:r>
          </w:p>
        </w:tc>
      </w:tr>
      <w:tr>
        <w:trPr>
          <w:trHeight w:val="173"/>
        </w:trPr>
        <w:tc>
          <w:tcPr>
            <w:tcW w:w="4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4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980" w:type="dxa"/>
            <w:vAlign w:val="bottom"/>
          </w:tcPr>
          <w:p>
            <w:pPr>
              <w:jc w:val="center"/>
              <w:ind w:left="25"/>
              <w:spacing w:after="0"/>
              <w:rPr>
                <w:sz w:val="20"/>
                <w:szCs w:val="20"/>
                <w:color w:val="auto"/>
              </w:rPr>
            </w:pPr>
            <w:r>
              <w:rPr>
                <w:rFonts w:ascii="Courier New" w:cs="Courier New" w:eastAsia="Courier New" w:hAnsi="Courier New"/>
                <w:sz w:val="15"/>
                <w:szCs w:val="15"/>
                <w:color w:val="auto"/>
              </w:rPr>
              <w:t>(2)</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2.81</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3.02</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3.33</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3.01</w:t>
            </w:r>
          </w:p>
        </w:tc>
      </w:tr>
      <w:tr>
        <w:trPr>
          <w:trHeight w:val="173"/>
        </w:trPr>
        <w:tc>
          <w:tcPr>
            <w:tcW w:w="4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Common shares used in basic earnings</w:t>
            </w:r>
          </w:p>
        </w:tc>
        <w:tc>
          <w:tcPr>
            <w:tcW w:w="9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3"/>
        </w:trPr>
        <w:tc>
          <w:tcPr>
            <w:tcW w:w="4460" w:type="dxa"/>
            <w:vAlign w:val="bottom"/>
          </w:tcPr>
          <w:p>
            <w:pPr>
              <w:ind w:left="540"/>
              <w:spacing w:after="0"/>
              <w:rPr>
                <w:sz w:val="20"/>
                <w:szCs w:val="20"/>
                <w:color w:val="auto"/>
              </w:rPr>
            </w:pPr>
            <w:r>
              <w:rPr>
                <w:rFonts w:ascii="Courier New" w:cs="Courier New" w:eastAsia="Courier New" w:hAnsi="Courier New"/>
                <w:sz w:val="15"/>
                <w:szCs w:val="15"/>
                <w:color w:val="auto"/>
              </w:rPr>
              <w:t>per share calculation</w:t>
            </w:r>
          </w:p>
        </w:tc>
        <w:tc>
          <w:tcPr>
            <w:tcW w:w="980" w:type="dxa"/>
            <w:vAlign w:val="bottom"/>
          </w:tcPr>
          <w:p>
            <w:pPr>
              <w:spacing w:after="0"/>
              <w:rPr>
                <w:sz w:val="15"/>
                <w:szCs w:val="15"/>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31.1</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29.5</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30.7</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29.1</w:t>
            </w:r>
          </w:p>
        </w:tc>
      </w:tr>
      <w:tr>
        <w:trPr>
          <w:trHeight w:val="173"/>
        </w:trPr>
        <w:tc>
          <w:tcPr>
            <w:tcW w:w="4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Common shares and potential common</w:t>
            </w:r>
          </w:p>
        </w:tc>
        <w:tc>
          <w:tcPr>
            <w:tcW w:w="9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3"/>
        </w:trPr>
        <w:tc>
          <w:tcPr>
            <w:tcW w:w="4460" w:type="dxa"/>
            <w:vAlign w:val="bottom"/>
          </w:tcPr>
          <w:p>
            <w:pPr>
              <w:ind w:left="540"/>
              <w:spacing w:after="0"/>
              <w:rPr>
                <w:sz w:val="20"/>
                <w:szCs w:val="20"/>
                <w:color w:val="auto"/>
              </w:rPr>
            </w:pPr>
            <w:r>
              <w:rPr>
                <w:rFonts w:ascii="Courier New" w:cs="Courier New" w:eastAsia="Courier New" w:hAnsi="Courier New"/>
                <w:sz w:val="15"/>
                <w:szCs w:val="15"/>
                <w:color w:val="auto"/>
              </w:rPr>
              <w:t>shares used in diluted earnings per</w:t>
            </w:r>
          </w:p>
        </w:tc>
        <w:tc>
          <w:tcPr>
            <w:tcW w:w="9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3"/>
        </w:trPr>
        <w:tc>
          <w:tcPr>
            <w:tcW w:w="4460" w:type="dxa"/>
            <w:vAlign w:val="bottom"/>
          </w:tcPr>
          <w:p>
            <w:pPr>
              <w:ind w:left="540"/>
              <w:spacing w:after="0"/>
              <w:rPr>
                <w:sz w:val="20"/>
                <w:szCs w:val="20"/>
                <w:color w:val="auto"/>
              </w:rPr>
            </w:pPr>
            <w:r>
              <w:rPr>
                <w:rFonts w:ascii="Courier New" w:cs="Courier New" w:eastAsia="Courier New" w:hAnsi="Courier New"/>
                <w:sz w:val="15"/>
                <w:szCs w:val="15"/>
                <w:color w:val="auto"/>
              </w:rPr>
              <w:t>share calculation</w:t>
            </w:r>
          </w:p>
        </w:tc>
        <w:tc>
          <w:tcPr>
            <w:tcW w:w="980" w:type="dxa"/>
            <w:vAlign w:val="bottom"/>
          </w:tcPr>
          <w:p>
            <w:pPr>
              <w:spacing w:after="0"/>
              <w:rPr>
                <w:sz w:val="15"/>
                <w:szCs w:val="15"/>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32.4</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31.8</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32.1</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31.6</w:t>
            </w:r>
          </w:p>
        </w:tc>
      </w:tr>
      <w:tr>
        <w:trPr>
          <w:trHeight w:val="173"/>
        </w:trPr>
        <w:tc>
          <w:tcPr>
            <w:tcW w:w="4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980" w:type="dxa"/>
            <w:vAlign w:val="bottom"/>
          </w:tcPr>
          <w:p>
            <w:pPr>
              <w:jc w:val="center"/>
              <w:ind w:left="25"/>
              <w:spacing w:after="0"/>
              <w:rPr>
                <w:sz w:val="20"/>
                <w:szCs w:val="20"/>
                <w:color w:val="auto"/>
              </w:rPr>
            </w:pPr>
            <w:r>
              <w:rPr>
                <w:rFonts w:ascii="Courier New" w:cs="Courier New" w:eastAsia="Courier New" w:hAnsi="Courier New"/>
                <w:sz w:val="15"/>
                <w:szCs w:val="15"/>
                <w:color w:val="auto"/>
              </w:rPr>
              <w:t>(3)</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$ 174.0</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$ 185.5</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$ 259.0</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$ 276.0</w:t>
            </w:r>
          </w:p>
        </w:tc>
      </w:tr>
      <w:tr>
        <w:trPr>
          <w:trHeight w:val="173"/>
        </w:trPr>
        <w:tc>
          <w:tcPr>
            <w:tcW w:w="4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4460" w:type="dxa"/>
            <w:vAlign w:val="bottom"/>
          </w:tcPr>
          <w:p>
            <w:pPr>
              <w:spacing w:after="0"/>
              <w:rPr>
                <w:sz w:val="20"/>
                <w:szCs w:val="20"/>
                <w:color w:val="auto"/>
              </w:rPr>
            </w:pPr>
            <w:r>
              <w:rPr>
                <w:rFonts w:ascii="Courier New" w:cs="Courier New" w:eastAsia="Courier New" w:hAnsi="Courier New"/>
                <w:sz w:val="15"/>
                <w:szCs w:val="15"/>
                <w:color w:val="auto"/>
              </w:rPr>
              <w:t>Results of operations excluding restructuring and</w:t>
            </w:r>
          </w:p>
        </w:tc>
        <w:tc>
          <w:tcPr>
            <w:tcW w:w="9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3"/>
        </w:trPr>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other charges, one-time additions to income and</w:t>
            </w:r>
          </w:p>
        </w:tc>
        <w:tc>
          <w:tcPr>
            <w:tcW w:w="9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3"/>
        </w:trPr>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cumulative effect of accounting change:</w:t>
            </w:r>
          </w:p>
        </w:tc>
        <w:tc>
          <w:tcPr>
            <w:tcW w:w="9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Adjusted net income</w:t>
            </w:r>
          </w:p>
        </w:tc>
        <w:tc>
          <w:tcPr>
            <w:tcW w:w="980" w:type="dxa"/>
            <w:vAlign w:val="bottom"/>
          </w:tcPr>
          <w:p>
            <w:pPr>
              <w:spacing w:after="0"/>
              <w:rPr>
                <w:sz w:val="24"/>
                <w:szCs w:val="2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92.3</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95.6</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114.0</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115.1</w:t>
            </w:r>
          </w:p>
        </w:tc>
      </w:tr>
      <w:tr>
        <w:trPr>
          <w:trHeight w:val="173"/>
        </w:trPr>
        <w:tc>
          <w:tcPr>
            <w:tcW w:w="4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Adjusted diluted earnings per share</w:t>
            </w:r>
          </w:p>
        </w:tc>
        <w:tc>
          <w:tcPr>
            <w:tcW w:w="980" w:type="dxa"/>
            <w:vAlign w:val="bottom"/>
          </w:tcPr>
          <w:p>
            <w:pPr>
              <w:jc w:val="center"/>
              <w:ind w:left="25"/>
              <w:spacing w:after="0"/>
              <w:rPr>
                <w:sz w:val="20"/>
                <w:szCs w:val="20"/>
                <w:color w:val="auto"/>
              </w:rPr>
            </w:pPr>
            <w:r>
              <w:rPr>
                <w:rFonts w:ascii="Courier New" w:cs="Courier New" w:eastAsia="Courier New" w:hAnsi="Courier New"/>
                <w:sz w:val="15"/>
                <w:szCs w:val="15"/>
                <w:color w:val="auto"/>
              </w:rPr>
              <w:t>(2)</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2.85</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3.01</w:t>
            </w:r>
          </w:p>
        </w:tc>
        <w:tc>
          <w:tcPr>
            <w:tcW w:w="1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3.55</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3.64</w:t>
            </w:r>
          </w:p>
        </w:tc>
      </w:tr>
      <w:tr>
        <w:trPr>
          <w:trHeight w:val="173"/>
        </w:trPr>
        <w:tc>
          <w:tcPr>
            <w:tcW w:w="4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520"/>
          </w:cols>
          <w:pgMar w:left="240" w:top="811" w:right="1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Adjusted EBITDA</w:t>
            </w:r>
          </w:p>
        </w:tc>
        <w:tc>
          <w:tcPr>
            <w:tcW w:w="2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w:t>
            </w:r>
          </w:p>
        </w:tc>
        <w:tc>
          <w:tcPr>
            <w:tcW w:w="2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$ 175.8</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$ 185.4</w:t>
            </w:r>
          </w:p>
        </w:tc>
        <w:tc>
          <w:tcPr>
            <w:tcW w:w="1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$ 270.2</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$ 278.2</w:t>
            </w:r>
          </w:p>
        </w:tc>
      </w:tr>
      <w:tr>
        <w:trPr>
          <w:trHeight w:val="173"/>
        </w:trPr>
        <w:tc>
          <w:tcPr>
            <w:tcW w:w="31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1520"/>
          </w:cols>
          <w:pgMar w:left="240" w:top="314" w:right="139" w:bottom="1440" w:gutter="0" w:footer="0" w:header="0"/>
        </w:sectPr>
      </w:pPr>
    </w:p>
    <w:bookmarkStart w:id="11" w:name="page12"/>
    <w:bookmarkEnd w:id="11"/>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NET SALES BY BUSINESS UNIT - THREE AND NINE MONTHS</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ENDED JUNE 28, 2003 AND JUNE 29, 2002</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(in millions)</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w:t>
            </w:r>
          </w:p>
        </w:tc>
        <w:tc>
          <w:tcPr>
            <w:tcW w:w="1160" w:type="dxa"/>
            <w:vAlign w:val="bottom"/>
          </w:tcPr>
          <w:p>
            <w:pPr>
              <w:spacing w:after="0"/>
              <w:rPr>
                <w:sz w:val="14"/>
                <w:szCs w:val="14"/>
                <w:color w:val="auto"/>
              </w:rPr>
            </w:pPr>
          </w:p>
        </w:tc>
        <w:tc>
          <w:tcPr>
            <w:tcW w:w="15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 Change</w:t>
            </w:r>
          </w:p>
        </w:tc>
      </w:tr>
      <w:tr>
        <w:trPr>
          <w:trHeight w:val="173"/>
        </w:trPr>
        <w:tc>
          <w:tcPr>
            <w:tcW w:w="1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80" w:type="dxa"/>
            <w:vAlign w:val="bottom"/>
            <w:gridSpan w:val="2"/>
          </w:tcPr>
          <w:p>
            <w:pPr>
              <w:ind w:left="540"/>
              <w:spacing w:after="0"/>
              <w:rPr>
                <w:sz w:val="20"/>
                <w:szCs w:val="20"/>
                <w:color w:val="auto"/>
              </w:rPr>
            </w:pPr>
            <w:r>
              <w:rPr>
                <w:rFonts w:ascii="Courier New" w:cs="Courier New" w:eastAsia="Courier New" w:hAnsi="Courier New"/>
                <w:sz w:val="14"/>
                <w:szCs w:val="14"/>
                <w:color w:val="auto"/>
                <w:w w:val="74"/>
              </w:rPr>
              <w:t>----------------------------------------</w:t>
            </w:r>
          </w:p>
        </w:tc>
        <w:tc>
          <w:tcPr>
            <w:tcW w:w="1160" w:type="dxa"/>
            <w:vAlign w:val="bottom"/>
          </w:tcPr>
          <w:p>
            <w:pPr>
              <w:spacing w:after="0"/>
              <w:rPr>
                <w:sz w:val="15"/>
                <w:szCs w:val="15"/>
                <w:color w:val="auto"/>
              </w:rPr>
            </w:pPr>
          </w:p>
        </w:tc>
        <w:tc>
          <w:tcPr>
            <w:tcW w:w="15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1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9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June 28,</w:t>
            </w:r>
          </w:p>
        </w:tc>
        <w:tc>
          <w:tcPr>
            <w:tcW w:w="1340" w:type="dxa"/>
            <w:vAlign w:val="bottom"/>
            <w:gridSpan w:val="2"/>
          </w:tcPr>
          <w:p>
            <w:pPr>
              <w:jc w:val="center"/>
              <w:ind w:right="545"/>
              <w:spacing w:after="0"/>
              <w:rPr>
                <w:sz w:val="20"/>
                <w:szCs w:val="20"/>
                <w:color w:val="auto"/>
              </w:rPr>
            </w:pPr>
            <w:r>
              <w:rPr>
                <w:rFonts w:ascii="Courier New" w:cs="Courier New" w:eastAsia="Courier New" w:hAnsi="Courier New"/>
                <w:sz w:val="15"/>
                <w:szCs w:val="15"/>
                <w:color w:val="auto"/>
                <w:w w:val="99"/>
              </w:rPr>
              <w:t>June 29,</w:t>
            </w:r>
          </w:p>
        </w:tc>
        <w:tc>
          <w:tcPr>
            <w:tcW w:w="1540" w:type="dxa"/>
            <w:vAlign w:val="bottom"/>
          </w:tcPr>
          <w:p>
            <w:pPr>
              <w:spacing w:after="0"/>
              <w:rPr>
                <w:sz w:val="15"/>
                <w:szCs w:val="15"/>
                <w:color w:val="auto"/>
              </w:rPr>
            </w:pPr>
          </w:p>
        </w:tc>
      </w:tr>
      <w:tr>
        <w:trPr>
          <w:trHeight w:val="173"/>
        </w:trPr>
        <w:tc>
          <w:tcPr>
            <w:tcW w:w="1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9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2003</w:t>
            </w:r>
          </w:p>
        </w:tc>
        <w:tc>
          <w:tcPr>
            <w:tcW w:w="180" w:type="dxa"/>
            <w:vAlign w:val="bottom"/>
          </w:tcPr>
          <w:p>
            <w:pPr>
              <w:spacing w:after="0"/>
              <w:rPr>
                <w:sz w:val="15"/>
                <w:szCs w:val="15"/>
                <w:color w:val="auto"/>
              </w:rPr>
            </w:pPr>
          </w:p>
        </w:tc>
        <w:tc>
          <w:tcPr>
            <w:tcW w:w="1160" w:type="dxa"/>
            <w:vAlign w:val="bottom"/>
          </w:tcPr>
          <w:p>
            <w:pPr>
              <w:jc w:val="center"/>
              <w:ind w:right="725"/>
              <w:spacing w:after="0"/>
              <w:rPr>
                <w:sz w:val="20"/>
                <w:szCs w:val="20"/>
                <w:color w:val="auto"/>
              </w:rPr>
            </w:pPr>
            <w:r>
              <w:rPr>
                <w:rFonts w:ascii="Courier New" w:cs="Courier New" w:eastAsia="Courier New" w:hAnsi="Courier New"/>
                <w:sz w:val="15"/>
                <w:szCs w:val="15"/>
                <w:color w:val="auto"/>
                <w:w w:val="99"/>
              </w:rPr>
              <w:t>2002</w:t>
            </w:r>
          </w:p>
        </w:tc>
        <w:tc>
          <w:tcPr>
            <w:tcW w:w="1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Actual</w:t>
            </w:r>
          </w:p>
        </w:tc>
      </w:tr>
      <w:tr>
        <w:trPr>
          <w:trHeight w:val="173"/>
        </w:trPr>
        <w:tc>
          <w:tcPr>
            <w:tcW w:w="1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80" w:type="dxa"/>
            <w:vAlign w:val="bottom"/>
            <w:gridSpan w:val="2"/>
          </w:tcPr>
          <w:p>
            <w:pPr>
              <w:ind w:left="540"/>
              <w:spacing w:after="0"/>
              <w:rPr>
                <w:sz w:val="20"/>
                <w:szCs w:val="20"/>
                <w:color w:val="auto"/>
              </w:rPr>
            </w:pPr>
            <w:r>
              <w:rPr>
                <w:rFonts w:ascii="Courier New" w:cs="Courier New" w:eastAsia="Courier New" w:hAnsi="Courier New"/>
                <w:sz w:val="14"/>
                <w:szCs w:val="14"/>
                <w:color w:val="auto"/>
                <w:w w:val="74"/>
              </w:rPr>
              <w:t>-------------------- -------------------</w:t>
            </w:r>
          </w:p>
        </w:tc>
        <w:tc>
          <w:tcPr>
            <w:tcW w:w="1160" w:type="dxa"/>
            <w:vAlign w:val="bottom"/>
          </w:tcPr>
          <w:p>
            <w:pPr>
              <w:spacing w:after="0"/>
              <w:rPr>
                <w:sz w:val="15"/>
                <w:szCs w:val="15"/>
                <w:color w:val="auto"/>
              </w:rPr>
            </w:pPr>
          </w:p>
        </w:tc>
        <w:tc>
          <w:tcPr>
            <w:tcW w:w="15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1260" w:type="dxa"/>
            <w:vAlign w:val="bottom"/>
          </w:tcPr>
          <w:p>
            <w:pPr>
              <w:spacing w:after="0"/>
              <w:rPr>
                <w:sz w:val="20"/>
                <w:szCs w:val="20"/>
                <w:color w:val="auto"/>
              </w:rPr>
            </w:pPr>
            <w:r>
              <w:rPr>
                <w:rFonts w:ascii="Courier New" w:cs="Courier New" w:eastAsia="Courier New" w:hAnsi="Courier New"/>
                <w:sz w:val="15"/>
                <w:szCs w:val="15"/>
                <w:color w:val="auto"/>
              </w:rPr>
              <w:t>Lawns</w:t>
            </w:r>
          </w:p>
        </w:tc>
        <w:tc>
          <w:tcPr>
            <w:tcW w:w="1340" w:type="dxa"/>
            <w:vAlign w:val="bottom"/>
          </w:tcPr>
          <w:p>
            <w:pPr>
              <w:spacing w:after="0"/>
              <w:rPr>
                <w:sz w:val="24"/>
                <w:szCs w:val="24"/>
                <w:color w:val="auto"/>
              </w:rPr>
            </w:pPr>
          </w:p>
        </w:tc>
        <w:tc>
          <w:tcPr>
            <w:tcW w:w="29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$ 183.5</w:t>
            </w:r>
          </w:p>
        </w:tc>
        <w:tc>
          <w:tcPr>
            <w:tcW w:w="180" w:type="dxa"/>
            <w:vAlign w:val="bottom"/>
          </w:tcPr>
          <w:p>
            <w:pPr>
              <w:spacing w:after="0"/>
              <w:rPr>
                <w:sz w:val="24"/>
                <w:szCs w:val="2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$ 181.8</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w:t>
            </w:r>
          </w:p>
        </w:tc>
      </w:tr>
      <w:tr>
        <w:trPr>
          <w:trHeight w:val="173"/>
        </w:trPr>
        <w:tc>
          <w:tcPr>
            <w:tcW w:w="2600" w:type="dxa"/>
            <w:vAlign w:val="bottom"/>
            <w:gridSpan w:val="2"/>
          </w:tcPr>
          <w:p>
            <w:pPr>
              <w:spacing w:after="0"/>
              <w:rPr>
                <w:sz w:val="20"/>
                <w:szCs w:val="20"/>
                <w:color w:val="auto"/>
              </w:rPr>
            </w:pPr>
            <w:r>
              <w:rPr>
                <w:rFonts w:ascii="Courier New" w:cs="Courier New" w:eastAsia="Courier New" w:hAnsi="Courier New"/>
                <w:sz w:val="15"/>
                <w:szCs w:val="15"/>
                <w:color w:val="auto"/>
              </w:rPr>
              <w:t>Gardening Products</w:t>
            </w:r>
          </w:p>
        </w:tc>
        <w:tc>
          <w:tcPr>
            <w:tcW w:w="29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225.7</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234.8</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w:t>
            </w:r>
          </w:p>
        </w:tc>
      </w:tr>
      <w:tr>
        <w:trPr>
          <w:trHeight w:val="173"/>
        </w:trPr>
        <w:tc>
          <w:tcPr>
            <w:tcW w:w="1260" w:type="dxa"/>
            <w:vAlign w:val="bottom"/>
          </w:tcPr>
          <w:p>
            <w:pPr>
              <w:spacing w:after="0"/>
              <w:rPr>
                <w:sz w:val="20"/>
                <w:szCs w:val="20"/>
                <w:color w:val="auto"/>
              </w:rPr>
            </w:pPr>
            <w:r>
              <w:rPr>
                <w:rFonts w:ascii="Courier New" w:cs="Courier New" w:eastAsia="Courier New" w:hAnsi="Courier New"/>
                <w:sz w:val="15"/>
                <w:szCs w:val="15"/>
                <w:color w:val="auto"/>
              </w:rPr>
              <w:t>Ortho</w:t>
            </w:r>
          </w:p>
        </w:tc>
        <w:tc>
          <w:tcPr>
            <w:tcW w:w="1340" w:type="dxa"/>
            <w:vAlign w:val="bottom"/>
          </w:tcPr>
          <w:p>
            <w:pPr>
              <w:spacing w:after="0"/>
              <w:rPr>
                <w:sz w:val="15"/>
                <w:szCs w:val="15"/>
                <w:color w:val="auto"/>
              </w:rPr>
            </w:pPr>
          </w:p>
        </w:tc>
        <w:tc>
          <w:tcPr>
            <w:tcW w:w="29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96.6</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100.7</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w:t>
            </w:r>
          </w:p>
        </w:tc>
      </w:tr>
      <w:tr>
        <w:trPr>
          <w:trHeight w:val="173"/>
        </w:trPr>
        <w:tc>
          <w:tcPr>
            <w:tcW w:w="1260" w:type="dxa"/>
            <w:vAlign w:val="bottom"/>
          </w:tcPr>
          <w:p>
            <w:pPr>
              <w:spacing w:after="0"/>
              <w:rPr>
                <w:sz w:val="20"/>
                <w:szCs w:val="20"/>
                <w:color w:val="auto"/>
              </w:rPr>
            </w:pPr>
            <w:r>
              <w:rPr>
                <w:rFonts w:ascii="Courier New" w:cs="Courier New" w:eastAsia="Courier New" w:hAnsi="Courier New"/>
                <w:sz w:val="15"/>
                <w:szCs w:val="15"/>
                <w:color w:val="auto"/>
              </w:rPr>
              <w:t>Canada</w:t>
            </w:r>
          </w:p>
        </w:tc>
        <w:tc>
          <w:tcPr>
            <w:tcW w:w="1340" w:type="dxa"/>
            <w:vAlign w:val="bottom"/>
          </w:tcPr>
          <w:p>
            <w:pPr>
              <w:spacing w:after="0"/>
              <w:rPr>
                <w:sz w:val="15"/>
                <w:szCs w:val="15"/>
                <w:color w:val="auto"/>
              </w:rPr>
            </w:pPr>
          </w:p>
        </w:tc>
        <w:tc>
          <w:tcPr>
            <w:tcW w:w="29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16.4</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46.4%</w:t>
            </w:r>
          </w:p>
        </w:tc>
      </w:tr>
      <w:tr>
        <w:trPr>
          <w:trHeight w:val="173"/>
        </w:trPr>
        <w:tc>
          <w:tcPr>
            <w:tcW w:w="2600" w:type="dxa"/>
            <w:vAlign w:val="bottom"/>
            <w:gridSpan w:val="2"/>
          </w:tcPr>
          <w:p>
            <w:pPr>
              <w:spacing w:after="0"/>
              <w:rPr>
                <w:sz w:val="20"/>
                <w:szCs w:val="20"/>
                <w:color w:val="auto"/>
              </w:rPr>
            </w:pPr>
            <w:r>
              <w:rPr>
                <w:rFonts w:ascii="Courier New" w:cs="Courier New" w:eastAsia="Courier New" w:hAnsi="Courier New"/>
                <w:sz w:val="15"/>
                <w:szCs w:val="15"/>
                <w:color w:val="auto"/>
              </w:rPr>
              <w:t>Pottery and other</w:t>
            </w:r>
          </w:p>
        </w:tc>
        <w:tc>
          <w:tcPr>
            <w:tcW w:w="29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1.8</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w:t>
            </w:r>
          </w:p>
        </w:tc>
        <w:tc>
          <w:tcPr>
            <w:tcW w:w="1540" w:type="dxa"/>
            <w:vAlign w:val="bottom"/>
          </w:tcPr>
          <w:p>
            <w:pPr>
              <w:spacing w:after="0"/>
              <w:rPr>
                <w:sz w:val="15"/>
                <w:szCs w:val="15"/>
                <w:color w:val="auto"/>
              </w:rPr>
            </w:pPr>
          </w:p>
        </w:tc>
      </w:tr>
      <w:tr>
        <w:trPr>
          <w:trHeight w:val="173"/>
        </w:trPr>
        <w:tc>
          <w:tcPr>
            <w:tcW w:w="1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4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 -------------------</w:t>
            </w:r>
          </w:p>
        </w:tc>
        <w:tc>
          <w:tcPr>
            <w:tcW w:w="1540" w:type="dxa"/>
            <w:vAlign w:val="bottom"/>
          </w:tcPr>
          <w:p>
            <w:pPr>
              <w:spacing w:after="0"/>
              <w:rPr>
                <w:sz w:val="15"/>
                <w:szCs w:val="15"/>
                <w:color w:val="auto"/>
              </w:rPr>
            </w:pPr>
          </w:p>
        </w:tc>
      </w:tr>
      <w:tr>
        <w:trPr>
          <w:trHeight w:val="173"/>
        </w:trPr>
        <w:tc>
          <w:tcPr>
            <w:tcW w:w="2600" w:type="dxa"/>
            <w:vAlign w:val="bottom"/>
            <w:gridSpan w:val="2"/>
          </w:tcPr>
          <w:p>
            <w:pPr>
              <w:spacing w:after="0"/>
              <w:rPr>
                <w:sz w:val="20"/>
                <w:szCs w:val="20"/>
                <w:color w:val="auto"/>
              </w:rPr>
            </w:pPr>
            <w:r>
              <w:rPr>
                <w:rFonts w:ascii="Courier New" w:cs="Courier New" w:eastAsia="Courier New" w:hAnsi="Courier New"/>
                <w:sz w:val="15"/>
                <w:szCs w:val="15"/>
                <w:color w:val="auto"/>
              </w:rPr>
              <w:t>North America Consumer</w:t>
            </w:r>
          </w:p>
        </w:tc>
        <w:tc>
          <w:tcPr>
            <w:tcW w:w="29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524.0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528.6</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w:t>
            </w:r>
          </w:p>
        </w:tc>
      </w:tr>
      <w:tr>
        <w:trPr>
          <w:trHeight w:val="173"/>
        </w:trPr>
        <w:tc>
          <w:tcPr>
            <w:tcW w:w="1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4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 -------------------</w:t>
            </w:r>
          </w:p>
        </w:tc>
        <w:tc>
          <w:tcPr>
            <w:tcW w:w="1540" w:type="dxa"/>
            <w:vAlign w:val="bottom"/>
          </w:tcPr>
          <w:p>
            <w:pPr>
              <w:spacing w:after="0"/>
              <w:rPr>
                <w:sz w:val="15"/>
                <w:szCs w:val="15"/>
                <w:color w:val="auto"/>
              </w:rPr>
            </w:pPr>
          </w:p>
        </w:tc>
      </w:tr>
      <w:tr>
        <w:trPr>
          <w:trHeight w:val="347"/>
        </w:trPr>
        <w:tc>
          <w:tcPr>
            <w:tcW w:w="1260" w:type="dxa"/>
            <w:vAlign w:val="bottom"/>
          </w:tcPr>
          <w:p>
            <w:pPr>
              <w:spacing w:after="0"/>
              <w:rPr>
                <w:sz w:val="20"/>
                <w:szCs w:val="20"/>
                <w:color w:val="auto"/>
              </w:rPr>
            </w:pPr>
            <w:r>
              <w:rPr>
                <w:rFonts w:ascii="Courier New" w:cs="Courier New" w:eastAsia="Courier New" w:hAnsi="Courier New"/>
                <w:sz w:val="15"/>
                <w:szCs w:val="15"/>
                <w:color w:val="auto"/>
              </w:rPr>
              <w:t>Lawn Service</w:t>
            </w:r>
          </w:p>
        </w:tc>
        <w:tc>
          <w:tcPr>
            <w:tcW w:w="1340" w:type="dxa"/>
            <w:vAlign w:val="bottom"/>
          </w:tcPr>
          <w:p>
            <w:pPr>
              <w:spacing w:after="0"/>
              <w:rPr>
                <w:sz w:val="24"/>
                <w:szCs w:val="24"/>
                <w:color w:val="auto"/>
              </w:rPr>
            </w:pPr>
          </w:p>
        </w:tc>
        <w:tc>
          <w:tcPr>
            <w:tcW w:w="29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40.5</w:t>
            </w:r>
          </w:p>
        </w:tc>
        <w:tc>
          <w:tcPr>
            <w:tcW w:w="180" w:type="dxa"/>
            <w:vAlign w:val="bottom"/>
          </w:tcPr>
          <w:p>
            <w:pPr>
              <w:spacing w:after="0"/>
              <w:rPr>
                <w:sz w:val="24"/>
                <w:szCs w:val="2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28.7</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41.1%</w:t>
            </w:r>
          </w:p>
        </w:tc>
      </w:tr>
      <w:tr>
        <w:trPr>
          <w:trHeight w:val="347"/>
        </w:trPr>
        <w:tc>
          <w:tcPr>
            <w:tcW w:w="126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Consumer</w:t>
            </w:r>
          </w:p>
        </w:tc>
        <w:tc>
          <w:tcPr>
            <w:tcW w:w="29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90.2</w:t>
            </w:r>
          </w:p>
        </w:tc>
        <w:tc>
          <w:tcPr>
            <w:tcW w:w="180" w:type="dxa"/>
            <w:vAlign w:val="bottom"/>
          </w:tcPr>
          <w:p>
            <w:pPr>
              <w:spacing w:after="0"/>
              <w:rPr>
                <w:sz w:val="24"/>
                <w:szCs w:val="2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81.2</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11.1%</w:t>
            </w:r>
          </w:p>
        </w:tc>
      </w:tr>
      <w:tr>
        <w:trPr>
          <w:trHeight w:val="347"/>
        </w:trPr>
        <w:tc>
          <w:tcPr>
            <w:tcW w:w="2600" w:type="dxa"/>
            <w:vAlign w:val="bottom"/>
            <w:gridSpan w:val="2"/>
          </w:tcPr>
          <w:p>
            <w:pPr>
              <w:spacing w:after="0"/>
              <w:rPr>
                <w:sz w:val="20"/>
                <w:szCs w:val="20"/>
                <w:color w:val="auto"/>
              </w:rPr>
            </w:pPr>
            <w:r>
              <w:rPr>
                <w:rFonts w:ascii="Courier New" w:cs="Courier New" w:eastAsia="Courier New" w:hAnsi="Courier New"/>
                <w:sz w:val="15"/>
                <w:szCs w:val="15"/>
                <w:color w:val="auto"/>
              </w:rPr>
              <w:t>Global Professional</w:t>
            </w:r>
          </w:p>
        </w:tc>
        <w:tc>
          <w:tcPr>
            <w:tcW w:w="29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55.3</w:t>
            </w:r>
          </w:p>
        </w:tc>
        <w:tc>
          <w:tcPr>
            <w:tcW w:w="180" w:type="dxa"/>
            <w:vAlign w:val="bottom"/>
          </w:tcPr>
          <w:p>
            <w:pPr>
              <w:spacing w:after="0"/>
              <w:rPr>
                <w:sz w:val="24"/>
                <w:szCs w:val="2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50.5</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w:t>
            </w:r>
          </w:p>
        </w:tc>
      </w:tr>
      <w:tr>
        <w:trPr>
          <w:trHeight w:val="173"/>
        </w:trPr>
        <w:tc>
          <w:tcPr>
            <w:tcW w:w="1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4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 -------------------</w:t>
            </w:r>
          </w:p>
        </w:tc>
        <w:tc>
          <w:tcPr>
            <w:tcW w:w="1540" w:type="dxa"/>
            <w:vAlign w:val="bottom"/>
          </w:tcPr>
          <w:p>
            <w:pPr>
              <w:spacing w:after="0"/>
              <w:rPr>
                <w:sz w:val="15"/>
                <w:szCs w:val="15"/>
                <w:color w:val="auto"/>
              </w:rPr>
            </w:pPr>
          </w:p>
        </w:tc>
      </w:tr>
      <w:tr>
        <w:trPr>
          <w:trHeight w:val="347"/>
        </w:trPr>
        <w:tc>
          <w:tcPr>
            <w:tcW w:w="12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1340" w:type="dxa"/>
            <w:vAlign w:val="bottom"/>
          </w:tcPr>
          <w:p>
            <w:pPr>
              <w:spacing w:after="0"/>
              <w:rPr>
                <w:sz w:val="24"/>
                <w:szCs w:val="24"/>
                <w:color w:val="auto"/>
              </w:rPr>
            </w:pPr>
          </w:p>
        </w:tc>
        <w:tc>
          <w:tcPr>
            <w:tcW w:w="29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$ 710.0</w:t>
            </w:r>
          </w:p>
        </w:tc>
        <w:tc>
          <w:tcPr>
            <w:tcW w:w="180" w:type="dxa"/>
            <w:vAlign w:val="bottom"/>
          </w:tcPr>
          <w:p>
            <w:pPr>
              <w:spacing w:after="0"/>
              <w:rPr>
                <w:sz w:val="24"/>
                <w:szCs w:val="2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$ 689.0</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w:t>
            </w:r>
          </w:p>
        </w:tc>
      </w:tr>
      <w:tr>
        <w:trPr>
          <w:trHeight w:val="173"/>
        </w:trPr>
        <w:tc>
          <w:tcPr>
            <w:tcW w:w="1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4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 ===================</w:t>
            </w:r>
          </w:p>
        </w:tc>
        <w:tc>
          <w:tcPr>
            <w:tcW w:w="1540" w:type="dxa"/>
            <w:vAlign w:val="bottom"/>
          </w:tcPr>
          <w:p>
            <w:pPr>
              <w:spacing w:after="0"/>
              <w:rPr>
                <w:sz w:val="15"/>
                <w:szCs w:val="15"/>
                <w:color w:val="auto"/>
              </w:rPr>
            </w:pPr>
          </w:p>
        </w:tc>
      </w:tr>
      <w:tr>
        <w:trPr>
          <w:trHeight w:val="694"/>
        </w:trPr>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w:t>
            </w:r>
          </w:p>
        </w:tc>
        <w:tc>
          <w:tcPr>
            <w:tcW w:w="1160" w:type="dxa"/>
            <w:vAlign w:val="bottom"/>
          </w:tcPr>
          <w:p>
            <w:pPr>
              <w:spacing w:after="0"/>
              <w:rPr>
                <w:sz w:val="24"/>
                <w:szCs w:val="24"/>
                <w:color w:val="auto"/>
              </w:rPr>
            </w:pPr>
          </w:p>
        </w:tc>
        <w:tc>
          <w:tcPr>
            <w:tcW w:w="15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 Change</w:t>
            </w:r>
          </w:p>
        </w:tc>
      </w:tr>
      <w:tr>
        <w:trPr>
          <w:trHeight w:val="173"/>
        </w:trPr>
        <w:tc>
          <w:tcPr>
            <w:tcW w:w="1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80" w:type="dxa"/>
            <w:vAlign w:val="bottom"/>
            <w:gridSpan w:val="2"/>
          </w:tcPr>
          <w:p>
            <w:pPr>
              <w:ind w:left="540"/>
              <w:spacing w:after="0"/>
              <w:rPr>
                <w:sz w:val="20"/>
                <w:szCs w:val="20"/>
                <w:color w:val="auto"/>
              </w:rPr>
            </w:pPr>
            <w:r>
              <w:rPr>
                <w:rFonts w:ascii="Courier New" w:cs="Courier New" w:eastAsia="Courier New" w:hAnsi="Courier New"/>
                <w:sz w:val="14"/>
                <w:szCs w:val="14"/>
                <w:color w:val="auto"/>
                <w:w w:val="74"/>
              </w:rPr>
              <w:t>----------------------------------------</w:t>
            </w:r>
          </w:p>
        </w:tc>
        <w:tc>
          <w:tcPr>
            <w:tcW w:w="1160" w:type="dxa"/>
            <w:vAlign w:val="bottom"/>
          </w:tcPr>
          <w:p>
            <w:pPr>
              <w:spacing w:after="0"/>
              <w:rPr>
                <w:sz w:val="15"/>
                <w:szCs w:val="15"/>
                <w:color w:val="auto"/>
              </w:rPr>
            </w:pPr>
          </w:p>
        </w:tc>
        <w:tc>
          <w:tcPr>
            <w:tcW w:w="15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1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9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June 28,</w:t>
            </w:r>
          </w:p>
        </w:tc>
        <w:tc>
          <w:tcPr>
            <w:tcW w:w="1340" w:type="dxa"/>
            <w:vAlign w:val="bottom"/>
            <w:gridSpan w:val="2"/>
          </w:tcPr>
          <w:p>
            <w:pPr>
              <w:jc w:val="center"/>
              <w:ind w:right="545"/>
              <w:spacing w:after="0"/>
              <w:rPr>
                <w:sz w:val="20"/>
                <w:szCs w:val="20"/>
                <w:color w:val="auto"/>
              </w:rPr>
            </w:pPr>
            <w:r>
              <w:rPr>
                <w:rFonts w:ascii="Courier New" w:cs="Courier New" w:eastAsia="Courier New" w:hAnsi="Courier New"/>
                <w:sz w:val="15"/>
                <w:szCs w:val="15"/>
                <w:color w:val="auto"/>
                <w:w w:val="99"/>
              </w:rPr>
              <w:t>June 29,</w:t>
            </w:r>
          </w:p>
        </w:tc>
        <w:tc>
          <w:tcPr>
            <w:tcW w:w="1540" w:type="dxa"/>
            <w:vAlign w:val="bottom"/>
          </w:tcPr>
          <w:p>
            <w:pPr>
              <w:spacing w:after="0"/>
              <w:rPr>
                <w:sz w:val="15"/>
                <w:szCs w:val="15"/>
                <w:color w:val="auto"/>
              </w:rPr>
            </w:pPr>
          </w:p>
        </w:tc>
      </w:tr>
      <w:tr>
        <w:trPr>
          <w:trHeight w:val="173"/>
        </w:trPr>
        <w:tc>
          <w:tcPr>
            <w:tcW w:w="1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9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2003</w:t>
            </w:r>
          </w:p>
        </w:tc>
        <w:tc>
          <w:tcPr>
            <w:tcW w:w="180" w:type="dxa"/>
            <w:vAlign w:val="bottom"/>
          </w:tcPr>
          <w:p>
            <w:pPr>
              <w:spacing w:after="0"/>
              <w:rPr>
                <w:sz w:val="15"/>
                <w:szCs w:val="15"/>
                <w:color w:val="auto"/>
              </w:rPr>
            </w:pPr>
          </w:p>
        </w:tc>
        <w:tc>
          <w:tcPr>
            <w:tcW w:w="1160" w:type="dxa"/>
            <w:vAlign w:val="bottom"/>
          </w:tcPr>
          <w:p>
            <w:pPr>
              <w:jc w:val="center"/>
              <w:ind w:right="725"/>
              <w:spacing w:after="0"/>
              <w:rPr>
                <w:sz w:val="20"/>
                <w:szCs w:val="20"/>
                <w:color w:val="auto"/>
              </w:rPr>
            </w:pPr>
            <w:r>
              <w:rPr>
                <w:rFonts w:ascii="Courier New" w:cs="Courier New" w:eastAsia="Courier New" w:hAnsi="Courier New"/>
                <w:sz w:val="15"/>
                <w:szCs w:val="15"/>
                <w:color w:val="auto"/>
                <w:w w:val="99"/>
              </w:rPr>
              <w:t>2002</w:t>
            </w:r>
          </w:p>
        </w:tc>
        <w:tc>
          <w:tcPr>
            <w:tcW w:w="154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Actual</w:t>
            </w:r>
          </w:p>
        </w:tc>
      </w:tr>
      <w:tr>
        <w:trPr>
          <w:trHeight w:val="173"/>
        </w:trPr>
        <w:tc>
          <w:tcPr>
            <w:tcW w:w="1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80" w:type="dxa"/>
            <w:vAlign w:val="bottom"/>
            <w:gridSpan w:val="2"/>
          </w:tcPr>
          <w:p>
            <w:pPr>
              <w:ind w:left="540"/>
              <w:spacing w:after="0"/>
              <w:rPr>
                <w:sz w:val="20"/>
                <w:szCs w:val="20"/>
                <w:color w:val="auto"/>
              </w:rPr>
            </w:pPr>
            <w:r>
              <w:rPr>
                <w:rFonts w:ascii="Courier New" w:cs="Courier New" w:eastAsia="Courier New" w:hAnsi="Courier New"/>
                <w:sz w:val="14"/>
                <w:szCs w:val="14"/>
                <w:color w:val="auto"/>
                <w:w w:val="74"/>
              </w:rPr>
              <w:t>-------------------- -------------------</w:t>
            </w:r>
          </w:p>
        </w:tc>
        <w:tc>
          <w:tcPr>
            <w:tcW w:w="1160" w:type="dxa"/>
            <w:vAlign w:val="bottom"/>
          </w:tcPr>
          <w:p>
            <w:pPr>
              <w:spacing w:after="0"/>
              <w:rPr>
                <w:sz w:val="15"/>
                <w:szCs w:val="15"/>
                <w:color w:val="auto"/>
              </w:rPr>
            </w:pPr>
          </w:p>
        </w:tc>
        <w:tc>
          <w:tcPr>
            <w:tcW w:w="15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1260" w:type="dxa"/>
            <w:vAlign w:val="bottom"/>
          </w:tcPr>
          <w:p>
            <w:pPr>
              <w:spacing w:after="0"/>
              <w:rPr>
                <w:sz w:val="20"/>
                <w:szCs w:val="20"/>
                <w:color w:val="auto"/>
              </w:rPr>
            </w:pPr>
            <w:r>
              <w:rPr>
                <w:rFonts w:ascii="Courier New" w:cs="Courier New" w:eastAsia="Courier New" w:hAnsi="Courier New"/>
                <w:sz w:val="15"/>
                <w:szCs w:val="15"/>
                <w:color w:val="auto"/>
              </w:rPr>
              <w:t>Lawns</w:t>
            </w:r>
          </w:p>
        </w:tc>
        <w:tc>
          <w:tcPr>
            <w:tcW w:w="1340" w:type="dxa"/>
            <w:vAlign w:val="bottom"/>
          </w:tcPr>
          <w:p>
            <w:pPr>
              <w:spacing w:after="0"/>
              <w:rPr>
                <w:sz w:val="24"/>
                <w:szCs w:val="24"/>
                <w:color w:val="auto"/>
              </w:rPr>
            </w:pPr>
          </w:p>
        </w:tc>
        <w:tc>
          <w:tcPr>
            <w:tcW w:w="29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$ 476.2</w:t>
            </w:r>
          </w:p>
        </w:tc>
        <w:tc>
          <w:tcPr>
            <w:tcW w:w="180" w:type="dxa"/>
            <w:vAlign w:val="bottom"/>
          </w:tcPr>
          <w:p>
            <w:pPr>
              <w:spacing w:after="0"/>
              <w:rPr>
                <w:sz w:val="24"/>
                <w:szCs w:val="2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$ 432.5</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w:t>
            </w:r>
          </w:p>
        </w:tc>
      </w:tr>
      <w:tr>
        <w:trPr>
          <w:trHeight w:val="173"/>
        </w:trPr>
        <w:tc>
          <w:tcPr>
            <w:tcW w:w="2600" w:type="dxa"/>
            <w:vAlign w:val="bottom"/>
            <w:gridSpan w:val="2"/>
          </w:tcPr>
          <w:p>
            <w:pPr>
              <w:spacing w:after="0"/>
              <w:rPr>
                <w:sz w:val="20"/>
                <w:szCs w:val="20"/>
                <w:color w:val="auto"/>
              </w:rPr>
            </w:pPr>
            <w:r>
              <w:rPr>
                <w:rFonts w:ascii="Courier New" w:cs="Courier New" w:eastAsia="Courier New" w:hAnsi="Courier New"/>
                <w:sz w:val="15"/>
                <w:szCs w:val="15"/>
                <w:color w:val="auto"/>
              </w:rPr>
              <w:t>Gardening Products</w:t>
            </w:r>
          </w:p>
        </w:tc>
        <w:tc>
          <w:tcPr>
            <w:tcW w:w="29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409.9</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413.0</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-0.8%</w:t>
            </w:r>
          </w:p>
        </w:tc>
      </w:tr>
      <w:tr>
        <w:trPr>
          <w:trHeight w:val="173"/>
        </w:trPr>
        <w:tc>
          <w:tcPr>
            <w:tcW w:w="1260" w:type="dxa"/>
            <w:vAlign w:val="bottom"/>
          </w:tcPr>
          <w:p>
            <w:pPr>
              <w:spacing w:after="0"/>
              <w:rPr>
                <w:sz w:val="20"/>
                <w:szCs w:val="20"/>
                <w:color w:val="auto"/>
              </w:rPr>
            </w:pPr>
            <w:r>
              <w:rPr>
                <w:rFonts w:ascii="Courier New" w:cs="Courier New" w:eastAsia="Courier New" w:hAnsi="Courier New"/>
                <w:sz w:val="15"/>
                <w:szCs w:val="15"/>
                <w:color w:val="auto"/>
              </w:rPr>
              <w:t>Ortho</w:t>
            </w:r>
          </w:p>
        </w:tc>
        <w:tc>
          <w:tcPr>
            <w:tcW w:w="1340" w:type="dxa"/>
            <w:vAlign w:val="bottom"/>
          </w:tcPr>
          <w:p>
            <w:pPr>
              <w:spacing w:after="0"/>
              <w:rPr>
                <w:sz w:val="15"/>
                <w:szCs w:val="15"/>
                <w:color w:val="auto"/>
              </w:rPr>
            </w:pPr>
          </w:p>
        </w:tc>
        <w:tc>
          <w:tcPr>
            <w:tcW w:w="29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182.6</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184.1</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-0.8%</w:t>
            </w:r>
          </w:p>
        </w:tc>
      </w:tr>
      <w:tr>
        <w:trPr>
          <w:trHeight w:val="173"/>
        </w:trPr>
        <w:tc>
          <w:tcPr>
            <w:tcW w:w="1260" w:type="dxa"/>
            <w:vAlign w:val="bottom"/>
          </w:tcPr>
          <w:p>
            <w:pPr>
              <w:spacing w:after="0"/>
              <w:rPr>
                <w:sz w:val="20"/>
                <w:szCs w:val="20"/>
                <w:color w:val="auto"/>
              </w:rPr>
            </w:pPr>
            <w:r>
              <w:rPr>
                <w:rFonts w:ascii="Courier New" w:cs="Courier New" w:eastAsia="Courier New" w:hAnsi="Courier New"/>
                <w:sz w:val="15"/>
                <w:szCs w:val="15"/>
                <w:color w:val="auto"/>
              </w:rPr>
              <w:t>Canada</w:t>
            </w:r>
          </w:p>
        </w:tc>
        <w:tc>
          <w:tcPr>
            <w:tcW w:w="1340" w:type="dxa"/>
            <w:vAlign w:val="bottom"/>
          </w:tcPr>
          <w:p>
            <w:pPr>
              <w:spacing w:after="0"/>
              <w:rPr>
                <w:sz w:val="15"/>
                <w:szCs w:val="15"/>
                <w:color w:val="auto"/>
              </w:rPr>
            </w:pPr>
          </w:p>
        </w:tc>
        <w:tc>
          <w:tcPr>
            <w:tcW w:w="29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31.7</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23.7</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33.8%</w:t>
            </w:r>
          </w:p>
        </w:tc>
      </w:tr>
      <w:tr>
        <w:trPr>
          <w:trHeight w:val="173"/>
        </w:trPr>
        <w:tc>
          <w:tcPr>
            <w:tcW w:w="2600" w:type="dxa"/>
            <w:vAlign w:val="bottom"/>
            <w:gridSpan w:val="2"/>
          </w:tcPr>
          <w:p>
            <w:pPr>
              <w:spacing w:after="0"/>
              <w:rPr>
                <w:sz w:val="20"/>
                <w:szCs w:val="20"/>
                <w:color w:val="auto"/>
              </w:rPr>
            </w:pPr>
            <w:r>
              <w:rPr>
                <w:rFonts w:ascii="Courier New" w:cs="Courier New" w:eastAsia="Courier New" w:hAnsi="Courier New"/>
                <w:sz w:val="15"/>
                <w:szCs w:val="15"/>
                <w:color w:val="auto"/>
              </w:rPr>
              <w:t>Pottery and other</w:t>
            </w:r>
          </w:p>
        </w:tc>
        <w:tc>
          <w:tcPr>
            <w:tcW w:w="29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w:t>
            </w:r>
          </w:p>
        </w:tc>
        <w:tc>
          <w:tcPr>
            <w:tcW w:w="1540" w:type="dxa"/>
            <w:vAlign w:val="bottom"/>
          </w:tcPr>
          <w:p>
            <w:pPr>
              <w:spacing w:after="0"/>
              <w:rPr>
                <w:sz w:val="15"/>
                <w:szCs w:val="15"/>
                <w:color w:val="auto"/>
              </w:rPr>
            </w:pPr>
          </w:p>
        </w:tc>
      </w:tr>
      <w:tr>
        <w:trPr>
          <w:trHeight w:val="173"/>
        </w:trPr>
        <w:tc>
          <w:tcPr>
            <w:tcW w:w="1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4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 -------------------</w:t>
            </w:r>
          </w:p>
        </w:tc>
        <w:tc>
          <w:tcPr>
            <w:tcW w:w="1540" w:type="dxa"/>
            <w:vAlign w:val="bottom"/>
          </w:tcPr>
          <w:p>
            <w:pPr>
              <w:spacing w:after="0"/>
              <w:rPr>
                <w:sz w:val="15"/>
                <w:szCs w:val="15"/>
                <w:color w:val="auto"/>
              </w:rPr>
            </w:pPr>
          </w:p>
        </w:tc>
      </w:tr>
      <w:tr>
        <w:trPr>
          <w:trHeight w:val="173"/>
        </w:trPr>
        <w:tc>
          <w:tcPr>
            <w:tcW w:w="2600" w:type="dxa"/>
            <w:vAlign w:val="bottom"/>
            <w:gridSpan w:val="2"/>
          </w:tcPr>
          <w:p>
            <w:pPr>
              <w:spacing w:after="0"/>
              <w:rPr>
                <w:sz w:val="20"/>
                <w:szCs w:val="20"/>
                <w:color w:val="auto"/>
              </w:rPr>
            </w:pPr>
            <w:r>
              <w:rPr>
                <w:rFonts w:ascii="Courier New" w:cs="Courier New" w:eastAsia="Courier New" w:hAnsi="Courier New"/>
                <w:sz w:val="15"/>
                <w:szCs w:val="15"/>
                <w:color w:val="auto"/>
              </w:rPr>
              <w:t>North America Consumer</w:t>
            </w:r>
          </w:p>
        </w:tc>
        <w:tc>
          <w:tcPr>
            <w:tcW w:w="29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1,101.9</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1,053.4</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w:t>
            </w:r>
          </w:p>
        </w:tc>
      </w:tr>
      <w:tr>
        <w:trPr>
          <w:trHeight w:val="173"/>
        </w:trPr>
        <w:tc>
          <w:tcPr>
            <w:tcW w:w="1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4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 -------------------</w:t>
            </w:r>
          </w:p>
        </w:tc>
        <w:tc>
          <w:tcPr>
            <w:tcW w:w="1540" w:type="dxa"/>
            <w:vAlign w:val="bottom"/>
          </w:tcPr>
          <w:p>
            <w:pPr>
              <w:spacing w:after="0"/>
              <w:rPr>
                <w:sz w:val="15"/>
                <w:szCs w:val="15"/>
                <w:color w:val="auto"/>
              </w:rPr>
            </w:pPr>
          </w:p>
        </w:tc>
      </w:tr>
      <w:tr>
        <w:trPr>
          <w:trHeight w:val="347"/>
        </w:trPr>
        <w:tc>
          <w:tcPr>
            <w:tcW w:w="1260" w:type="dxa"/>
            <w:vAlign w:val="bottom"/>
          </w:tcPr>
          <w:p>
            <w:pPr>
              <w:spacing w:after="0"/>
              <w:rPr>
                <w:sz w:val="20"/>
                <w:szCs w:val="20"/>
                <w:color w:val="auto"/>
              </w:rPr>
            </w:pPr>
            <w:r>
              <w:rPr>
                <w:rFonts w:ascii="Courier New" w:cs="Courier New" w:eastAsia="Courier New" w:hAnsi="Courier New"/>
                <w:sz w:val="15"/>
                <w:szCs w:val="15"/>
                <w:color w:val="auto"/>
              </w:rPr>
              <w:t>Lawn Service</w:t>
            </w:r>
          </w:p>
        </w:tc>
        <w:tc>
          <w:tcPr>
            <w:tcW w:w="1340" w:type="dxa"/>
            <w:vAlign w:val="bottom"/>
          </w:tcPr>
          <w:p>
            <w:pPr>
              <w:spacing w:after="0"/>
              <w:rPr>
                <w:sz w:val="24"/>
                <w:szCs w:val="24"/>
                <w:color w:val="auto"/>
              </w:rPr>
            </w:pPr>
          </w:p>
        </w:tc>
        <w:tc>
          <w:tcPr>
            <w:tcW w:w="29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67.3</w:t>
            </w:r>
          </w:p>
        </w:tc>
        <w:tc>
          <w:tcPr>
            <w:tcW w:w="180" w:type="dxa"/>
            <w:vAlign w:val="bottom"/>
          </w:tcPr>
          <w:p>
            <w:pPr>
              <w:spacing w:after="0"/>
              <w:rPr>
                <w:sz w:val="24"/>
                <w:szCs w:val="2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44.8</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50.2%</w:t>
            </w:r>
          </w:p>
        </w:tc>
      </w:tr>
      <w:tr>
        <w:trPr>
          <w:trHeight w:val="347"/>
        </w:trPr>
        <w:tc>
          <w:tcPr>
            <w:tcW w:w="126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Consumer</w:t>
            </w:r>
          </w:p>
        </w:tc>
        <w:tc>
          <w:tcPr>
            <w:tcW w:w="29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241.6</w:t>
            </w:r>
          </w:p>
        </w:tc>
        <w:tc>
          <w:tcPr>
            <w:tcW w:w="180" w:type="dxa"/>
            <w:vAlign w:val="bottom"/>
          </w:tcPr>
          <w:p>
            <w:pPr>
              <w:spacing w:after="0"/>
              <w:rPr>
                <w:sz w:val="24"/>
                <w:szCs w:val="2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208.6</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15.8%</w:t>
            </w:r>
          </w:p>
        </w:tc>
      </w:tr>
      <w:tr>
        <w:trPr>
          <w:trHeight w:val="347"/>
        </w:trPr>
        <w:tc>
          <w:tcPr>
            <w:tcW w:w="2600" w:type="dxa"/>
            <w:vAlign w:val="bottom"/>
            <w:gridSpan w:val="2"/>
          </w:tcPr>
          <w:p>
            <w:pPr>
              <w:spacing w:after="0"/>
              <w:rPr>
                <w:sz w:val="20"/>
                <w:szCs w:val="20"/>
                <w:color w:val="auto"/>
              </w:rPr>
            </w:pPr>
            <w:r>
              <w:rPr>
                <w:rFonts w:ascii="Courier New" w:cs="Courier New" w:eastAsia="Courier New" w:hAnsi="Courier New"/>
                <w:sz w:val="15"/>
                <w:szCs w:val="15"/>
                <w:color w:val="auto"/>
              </w:rPr>
              <w:t>Global Professional</w:t>
            </w:r>
          </w:p>
        </w:tc>
        <w:tc>
          <w:tcPr>
            <w:tcW w:w="29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156.2</w:t>
            </w:r>
          </w:p>
        </w:tc>
        <w:tc>
          <w:tcPr>
            <w:tcW w:w="180" w:type="dxa"/>
            <w:vAlign w:val="bottom"/>
          </w:tcPr>
          <w:p>
            <w:pPr>
              <w:spacing w:after="0"/>
              <w:rPr>
                <w:sz w:val="24"/>
                <w:szCs w:val="2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142.2</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w:t>
            </w:r>
          </w:p>
        </w:tc>
      </w:tr>
      <w:tr>
        <w:trPr>
          <w:trHeight w:val="173"/>
        </w:trPr>
        <w:tc>
          <w:tcPr>
            <w:tcW w:w="1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4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 -------------------</w:t>
            </w:r>
          </w:p>
        </w:tc>
        <w:tc>
          <w:tcPr>
            <w:tcW w:w="1540" w:type="dxa"/>
            <w:vAlign w:val="bottom"/>
          </w:tcPr>
          <w:p>
            <w:pPr>
              <w:spacing w:after="0"/>
              <w:rPr>
                <w:sz w:val="15"/>
                <w:szCs w:val="15"/>
                <w:color w:val="auto"/>
              </w:rPr>
            </w:pPr>
          </w:p>
        </w:tc>
      </w:tr>
      <w:tr>
        <w:trPr>
          <w:trHeight w:val="173"/>
        </w:trPr>
        <w:tc>
          <w:tcPr>
            <w:tcW w:w="12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1340" w:type="dxa"/>
            <w:vAlign w:val="bottom"/>
          </w:tcPr>
          <w:p>
            <w:pPr>
              <w:spacing w:after="0"/>
              <w:rPr>
                <w:sz w:val="15"/>
                <w:szCs w:val="15"/>
                <w:color w:val="auto"/>
              </w:rPr>
            </w:pPr>
          </w:p>
        </w:tc>
        <w:tc>
          <w:tcPr>
            <w:tcW w:w="29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$1,567.0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$1,449.0</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w:t>
            </w:r>
          </w:p>
        </w:tc>
      </w:tr>
      <w:tr>
        <w:trPr>
          <w:trHeight w:val="173"/>
        </w:trPr>
        <w:tc>
          <w:tcPr>
            <w:tcW w:w="1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4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 ===================</w:t>
            </w:r>
          </w:p>
        </w:tc>
        <w:tc>
          <w:tcPr>
            <w:tcW w:w="1540" w:type="dxa"/>
            <w:vAlign w:val="bottom"/>
          </w:tcPr>
          <w:p>
            <w:pPr>
              <w:spacing w:after="0"/>
              <w:rPr>
                <w:sz w:val="15"/>
                <w:szCs w:val="15"/>
                <w:color w:val="auto"/>
              </w:rPr>
            </w:pPr>
          </w:p>
        </w:tc>
      </w:tr>
    </w:tbl>
    <w:p>
      <w:pPr>
        <w:spacing w:after="0" w:line="200" w:lineRule="exact"/>
        <w:rPr>
          <w:sz w:val="20"/>
          <w:szCs w:val="20"/>
          <w:color w:val="auto"/>
        </w:rPr>
      </w:pPr>
    </w:p>
    <w:p>
      <w:pPr>
        <w:spacing w:after="0" w:line="32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10219"/>
          </w:cols>
          <w:pgMar w:left="240" w:top="464" w:right="1440" w:bottom="1440" w:gutter="0" w:footer="0" w:header="0"/>
        </w:sectPr>
      </w:pPr>
    </w:p>
    <w:bookmarkStart w:id="12" w:name="page13"/>
    <w:bookmarkEnd w:id="12"/>
    <w:p>
      <w:pPr>
        <w:ind w:left="2780"/>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CONSOLIDATED BALANCE SHEETS</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JUNE 28, 2003, JUNE 29, 2002 AND SEPTEMBER 30, 2002</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(UNAUDITED)</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(IN MILLIONS, EXCEPT SHARES &amp; SHARE PRICES)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20" w:type="dxa"/>
            <w:vAlign w:val="bottom"/>
          </w:tcPr>
          <w:p>
            <w:pPr>
              <w:spacing w:after="0"/>
              <w:rPr>
                <w:sz w:val="14"/>
                <w:szCs w:val="14"/>
                <w:color w:val="auto"/>
              </w:rPr>
            </w:pPr>
          </w:p>
        </w:tc>
        <w:tc>
          <w:tcPr>
            <w:tcW w:w="2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June 28,</w:t>
            </w:r>
          </w:p>
        </w:tc>
        <w:tc>
          <w:tcPr>
            <w:tcW w:w="22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June 29,</w:t>
            </w:r>
          </w:p>
        </w:tc>
        <w:tc>
          <w:tcPr>
            <w:tcW w:w="1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Sept 30,</w:t>
            </w:r>
          </w:p>
        </w:tc>
      </w:tr>
      <w:tr>
        <w:trPr>
          <w:trHeight w:val="173"/>
        </w:trPr>
        <w:tc>
          <w:tcPr>
            <w:tcW w:w="4720" w:type="dxa"/>
            <w:vAlign w:val="bottom"/>
          </w:tcPr>
          <w:p>
            <w:pPr>
              <w:spacing w:after="0"/>
              <w:rPr>
                <w:sz w:val="15"/>
                <w:szCs w:val="15"/>
                <w:color w:val="auto"/>
              </w:rPr>
            </w:pPr>
          </w:p>
        </w:tc>
        <w:tc>
          <w:tcPr>
            <w:tcW w:w="22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2003</w:t>
            </w:r>
          </w:p>
        </w:tc>
        <w:tc>
          <w:tcPr>
            <w:tcW w:w="220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2002</w:t>
            </w:r>
          </w:p>
        </w:tc>
        <w:tc>
          <w:tcPr>
            <w:tcW w:w="15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2002</w:t>
            </w:r>
          </w:p>
        </w:tc>
      </w:tr>
      <w:tr>
        <w:trPr>
          <w:trHeight w:val="173"/>
        </w:trPr>
        <w:tc>
          <w:tcPr>
            <w:tcW w:w="4720" w:type="dxa"/>
            <w:vAlign w:val="bottom"/>
          </w:tcPr>
          <w:p>
            <w:pPr>
              <w:spacing w:after="0"/>
              <w:rPr>
                <w:sz w:val="15"/>
                <w:szCs w:val="15"/>
                <w:color w:val="auto"/>
              </w:rPr>
            </w:pPr>
          </w:p>
        </w:tc>
        <w:tc>
          <w:tcPr>
            <w:tcW w:w="2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7"/>
        </w:trPr>
        <w:tc>
          <w:tcPr>
            <w:tcW w:w="47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3"/>
        </w:trPr>
        <w:tc>
          <w:tcPr>
            <w:tcW w:w="4720" w:type="dxa"/>
            <w:vAlign w:val="bottom"/>
          </w:tcPr>
          <w:p>
            <w:pPr>
              <w:ind w:left="440"/>
              <w:spacing w:after="0"/>
              <w:rPr>
                <w:sz w:val="20"/>
                <w:szCs w:val="20"/>
                <w:color w:val="auto"/>
              </w:rPr>
            </w:pPr>
            <w:r>
              <w:rPr>
                <w:rFonts w:ascii="Courier New" w:cs="Courier New" w:eastAsia="Courier New" w:hAnsi="Courier New"/>
                <w:sz w:val="15"/>
                <w:szCs w:val="15"/>
                <w:color w:val="auto"/>
              </w:rPr>
              <w:t>Current assets</w:t>
            </w:r>
          </w:p>
        </w:tc>
        <w:tc>
          <w:tcPr>
            <w:tcW w:w="22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3"/>
        </w:trPr>
        <w:tc>
          <w:tcPr>
            <w:tcW w:w="4720" w:type="dxa"/>
            <w:vAlign w:val="bottom"/>
          </w:tcPr>
          <w:p>
            <w:pPr>
              <w:ind w:left="620"/>
              <w:spacing w:after="0"/>
              <w:rPr>
                <w:sz w:val="20"/>
                <w:szCs w:val="20"/>
                <w:color w:val="auto"/>
              </w:rPr>
            </w:pPr>
            <w:r>
              <w:rPr>
                <w:rFonts w:ascii="Courier New" w:cs="Courier New" w:eastAsia="Courier New" w:hAnsi="Courier New"/>
                <w:sz w:val="15"/>
                <w:szCs w:val="15"/>
                <w:color w:val="auto"/>
              </w:rPr>
              <w:t>Cash and cash equivalents</w:t>
            </w:r>
          </w:p>
        </w:tc>
        <w:tc>
          <w:tcPr>
            <w:tcW w:w="2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56.6</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76.4</w:t>
            </w:r>
          </w:p>
        </w:tc>
        <w:tc>
          <w:tcPr>
            <w:tcW w:w="1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99.7</w:t>
            </w:r>
          </w:p>
        </w:tc>
      </w:tr>
      <w:tr>
        <w:trPr>
          <w:trHeight w:val="173"/>
        </w:trPr>
        <w:tc>
          <w:tcPr>
            <w:tcW w:w="4720" w:type="dxa"/>
            <w:vAlign w:val="bottom"/>
          </w:tcPr>
          <w:p>
            <w:pPr>
              <w:ind w:left="620"/>
              <w:spacing w:after="0"/>
              <w:rPr>
                <w:sz w:val="20"/>
                <w:szCs w:val="20"/>
                <w:color w:val="auto"/>
              </w:rPr>
            </w:pPr>
            <w:r>
              <w:rPr>
                <w:rFonts w:ascii="Courier New" w:cs="Courier New" w:eastAsia="Courier New" w:hAnsi="Courier New"/>
                <w:sz w:val="15"/>
                <w:szCs w:val="15"/>
                <w:color w:val="auto"/>
              </w:rPr>
              <w:t>Accounts receivable, net</w:t>
            </w:r>
          </w:p>
        </w:tc>
        <w:tc>
          <w:tcPr>
            <w:tcW w:w="2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521.5</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435.1</w:t>
            </w:r>
          </w:p>
        </w:tc>
        <w:tc>
          <w:tcPr>
            <w:tcW w:w="1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249.9</w:t>
            </w:r>
          </w:p>
        </w:tc>
      </w:tr>
      <w:tr>
        <w:trPr>
          <w:trHeight w:val="173"/>
        </w:trPr>
        <w:tc>
          <w:tcPr>
            <w:tcW w:w="4720" w:type="dxa"/>
            <w:vAlign w:val="bottom"/>
          </w:tcPr>
          <w:p>
            <w:pPr>
              <w:ind w:left="620"/>
              <w:spacing w:after="0"/>
              <w:rPr>
                <w:sz w:val="20"/>
                <w:szCs w:val="20"/>
                <w:color w:val="auto"/>
              </w:rPr>
            </w:pPr>
            <w:r>
              <w:rPr>
                <w:rFonts w:ascii="Courier New" w:cs="Courier New" w:eastAsia="Courier New" w:hAnsi="Courier New"/>
                <w:sz w:val="15"/>
                <w:szCs w:val="15"/>
                <w:color w:val="auto"/>
              </w:rPr>
              <w:t>Inventories, net</w:t>
            </w:r>
          </w:p>
        </w:tc>
        <w:tc>
          <w:tcPr>
            <w:tcW w:w="2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323.3</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301.9</w:t>
            </w:r>
          </w:p>
        </w:tc>
        <w:tc>
          <w:tcPr>
            <w:tcW w:w="1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269.1</w:t>
            </w:r>
          </w:p>
        </w:tc>
      </w:tr>
      <w:tr>
        <w:trPr>
          <w:trHeight w:val="173"/>
        </w:trPr>
        <w:tc>
          <w:tcPr>
            <w:tcW w:w="4720" w:type="dxa"/>
            <w:vAlign w:val="bottom"/>
          </w:tcPr>
          <w:p>
            <w:pPr>
              <w:ind w:left="620"/>
              <w:spacing w:after="0"/>
              <w:rPr>
                <w:sz w:val="20"/>
                <w:szCs w:val="20"/>
                <w:color w:val="auto"/>
              </w:rPr>
            </w:pPr>
            <w:r>
              <w:rPr>
                <w:rFonts w:ascii="Courier New" w:cs="Courier New" w:eastAsia="Courier New" w:hAnsi="Courier New"/>
                <w:sz w:val="15"/>
                <w:szCs w:val="15"/>
                <w:color w:val="auto"/>
              </w:rPr>
              <w:t>Current deferred tax asset</w:t>
            </w:r>
          </w:p>
        </w:tc>
        <w:tc>
          <w:tcPr>
            <w:tcW w:w="2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77.7</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52.1</w:t>
            </w:r>
          </w:p>
        </w:tc>
        <w:tc>
          <w:tcPr>
            <w:tcW w:w="1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74.6</w:t>
            </w:r>
          </w:p>
        </w:tc>
      </w:tr>
      <w:tr>
        <w:trPr>
          <w:trHeight w:val="173"/>
        </w:trPr>
        <w:tc>
          <w:tcPr>
            <w:tcW w:w="4720" w:type="dxa"/>
            <w:vAlign w:val="bottom"/>
          </w:tcPr>
          <w:p>
            <w:pPr>
              <w:ind w:left="620"/>
              <w:spacing w:after="0"/>
              <w:rPr>
                <w:sz w:val="20"/>
                <w:szCs w:val="20"/>
                <w:color w:val="auto"/>
              </w:rPr>
            </w:pPr>
            <w:r>
              <w:rPr>
                <w:rFonts w:ascii="Courier New" w:cs="Courier New" w:eastAsia="Courier New" w:hAnsi="Courier New"/>
                <w:sz w:val="15"/>
                <w:szCs w:val="15"/>
                <w:color w:val="auto"/>
              </w:rPr>
              <w:t>Prepaid and other current assets</w:t>
            </w:r>
          </w:p>
        </w:tc>
        <w:tc>
          <w:tcPr>
            <w:tcW w:w="2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44.0</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45.2</w:t>
            </w:r>
          </w:p>
        </w:tc>
        <w:tc>
          <w:tcPr>
            <w:tcW w:w="1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36.8</w:t>
            </w:r>
          </w:p>
        </w:tc>
      </w:tr>
      <w:tr>
        <w:trPr>
          <w:trHeight w:val="173"/>
        </w:trPr>
        <w:tc>
          <w:tcPr>
            <w:tcW w:w="4720" w:type="dxa"/>
            <w:vAlign w:val="bottom"/>
          </w:tcPr>
          <w:p>
            <w:pPr>
              <w:spacing w:after="0"/>
              <w:rPr>
                <w:sz w:val="15"/>
                <w:szCs w:val="15"/>
                <w:color w:val="auto"/>
              </w:rPr>
            </w:pPr>
          </w:p>
        </w:tc>
        <w:tc>
          <w:tcPr>
            <w:tcW w:w="2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7"/>
        </w:trPr>
        <w:tc>
          <w:tcPr>
            <w:tcW w:w="4720" w:type="dxa"/>
            <w:vAlign w:val="bottom"/>
          </w:tcPr>
          <w:p>
            <w:pPr>
              <w:ind w:left="900"/>
              <w:spacing w:after="0"/>
              <w:rPr>
                <w:sz w:val="20"/>
                <w:szCs w:val="20"/>
                <w:color w:val="auto"/>
              </w:rPr>
            </w:pPr>
            <w:r>
              <w:rPr>
                <w:rFonts w:ascii="Courier New" w:cs="Courier New" w:eastAsia="Courier New" w:hAnsi="Courier New"/>
                <w:sz w:val="15"/>
                <w:szCs w:val="15"/>
                <w:color w:val="auto"/>
              </w:rPr>
              <w:t>Total current assets</w:t>
            </w:r>
          </w:p>
        </w:tc>
        <w:tc>
          <w:tcPr>
            <w:tcW w:w="2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1,023.1</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910.7</w:t>
            </w:r>
          </w:p>
        </w:tc>
        <w:tc>
          <w:tcPr>
            <w:tcW w:w="1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730.1</w:t>
            </w:r>
          </w:p>
        </w:tc>
      </w:tr>
      <w:tr>
        <w:trPr>
          <w:trHeight w:val="173"/>
        </w:trPr>
        <w:tc>
          <w:tcPr>
            <w:tcW w:w="4720" w:type="dxa"/>
            <w:vAlign w:val="bottom"/>
          </w:tcPr>
          <w:p>
            <w:pPr>
              <w:spacing w:after="0"/>
              <w:rPr>
                <w:sz w:val="15"/>
                <w:szCs w:val="15"/>
                <w:color w:val="auto"/>
              </w:rPr>
            </w:pPr>
          </w:p>
        </w:tc>
        <w:tc>
          <w:tcPr>
            <w:tcW w:w="2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7"/>
        </w:trPr>
        <w:tc>
          <w:tcPr>
            <w:tcW w:w="4720" w:type="dxa"/>
            <w:vAlign w:val="bottom"/>
          </w:tcPr>
          <w:p>
            <w:pPr>
              <w:ind w:left="440"/>
              <w:spacing w:after="0"/>
              <w:rPr>
                <w:sz w:val="20"/>
                <w:szCs w:val="20"/>
                <w:color w:val="auto"/>
              </w:rPr>
            </w:pPr>
            <w:r>
              <w:rPr>
                <w:rFonts w:ascii="Courier New" w:cs="Courier New" w:eastAsia="Courier New" w:hAnsi="Courier New"/>
                <w:sz w:val="15"/>
                <w:szCs w:val="15"/>
                <w:color w:val="auto"/>
              </w:rPr>
              <w:t>Property, plant and equipment, net</w:t>
            </w:r>
          </w:p>
        </w:tc>
        <w:tc>
          <w:tcPr>
            <w:tcW w:w="2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341.4</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317.1</w:t>
            </w:r>
          </w:p>
        </w:tc>
        <w:tc>
          <w:tcPr>
            <w:tcW w:w="1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329.2</w:t>
            </w:r>
          </w:p>
        </w:tc>
      </w:tr>
      <w:tr>
        <w:trPr>
          <w:trHeight w:val="173"/>
        </w:trPr>
        <w:tc>
          <w:tcPr>
            <w:tcW w:w="4720" w:type="dxa"/>
            <w:vAlign w:val="bottom"/>
          </w:tcPr>
          <w:p>
            <w:pPr>
              <w:ind w:left="440"/>
              <w:spacing w:after="0"/>
              <w:rPr>
                <w:sz w:val="20"/>
                <w:szCs w:val="20"/>
                <w:color w:val="auto"/>
              </w:rPr>
            </w:pPr>
            <w:r>
              <w:rPr>
                <w:rFonts w:ascii="Courier New" w:cs="Courier New" w:eastAsia="Courier New" w:hAnsi="Courier New"/>
                <w:sz w:val="15"/>
                <w:szCs w:val="15"/>
                <w:color w:val="auto"/>
              </w:rPr>
              <w:t>Goodwill and other intangible assets, net</w:t>
            </w:r>
          </w:p>
        </w:tc>
        <w:tc>
          <w:tcPr>
            <w:tcW w:w="2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819.2</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765.3</w:t>
            </w:r>
          </w:p>
        </w:tc>
        <w:tc>
          <w:tcPr>
            <w:tcW w:w="1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791.7</w:t>
            </w:r>
          </w:p>
        </w:tc>
      </w:tr>
      <w:tr>
        <w:trPr>
          <w:trHeight w:val="173"/>
        </w:trPr>
        <w:tc>
          <w:tcPr>
            <w:tcW w:w="4720" w:type="dxa"/>
            <w:vAlign w:val="bottom"/>
          </w:tcPr>
          <w:p>
            <w:pPr>
              <w:ind w:left="440"/>
              <w:spacing w:after="0"/>
              <w:rPr>
                <w:sz w:val="20"/>
                <w:szCs w:val="20"/>
                <w:color w:val="auto"/>
              </w:rPr>
            </w:pPr>
            <w:r>
              <w:rPr>
                <w:rFonts w:ascii="Courier New" w:cs="Courier New" w:eastAsia="Courier New" w:hAnsi="Courier New"/>
                <w:sz w:val="15"/>
                <w:szCs w:val="15"/>
                <w:color w:val="auto"/>
              </w:rPr>
              <w:t>Other assets</w:t>
            </w:r>
          </w:p>
        </w:tc>
        <w:tc>
          <w:tcPr>
            <w:tcW w:w="2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45.4</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77.0</w:t>
            </w:r>
          </w:p>
        </w:tc>
        <w:tc>
          <w:tcPr>
            <w:tcW w:w="1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50.4</w:t>
            </w:r>
          </w:p>
        </w:tc>
      </w:tr>
      <w:tr>
        <w:trPr>
          <w:trHeight w:val="173"/>
        </w:trPr>
        <w:tc>
          <w:tcPr>
            <w:tcW w:w="4720" w:type="dxa"/>
            <w:vAlign w:val="bottom"/>
          </w:tcPr>
          <w:p>
            <w:pPr>
              <w:spacing w:after="0"/>
              <w:rPr>
                <w:sz w:val="15"/>
                <w:szCs w:val="15"/>
                <w:color w:val="auto"/>
              </w:rPr>
            </w:pPr>
          </w:p>
        </w:tc>
        <w:tc>
          <w:tcPr>
            <w:tcW w:w="2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7"/>
        </w:trPr>
        <w:tc>
          <w:tcPr>
            <w:tcW w:w="4720" w:type="dxa"/>
            <w:vAlign w:val="bottom"/>
          </w:tcPr>
          <w:p>
            <w:pPr>
              <w:ind w:left="900"/>
              <w:spacing w:after="0"/>
              <w:rPr>
                <w:sz w:val="20"/>
                <w:szCs w:val="20"/>
                <w:color w:val="auto"/>
              </w:rPr>
            </w:pPr>
            <w:r>
              <w:rPr>
                <w:rFonts w:ascii="Courier New" w:cs="Courier New" w:eastAsia="Courier New" w:hAnsi="Courier New"/>
                <w:sz w:val="15"/>
                <w:szCs w:val="15"/>
                <w:color w:val="auto"/>
              </w:rPr>
              <w:t>Total assets</w:t>
            </w:r>
          </w:p>
        </w:tc>
        <w:tc>
          <w:tcPr>
            <w:tcW w:w="2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$ 2,229.1</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$ 2,070.1</w:t>
            </w:r>
          </w:p>
        </w:tc>
        <w:tc>
          <w:tcPr>
            <w:tcW w:w="1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$ 1,901.4</w:t>
            </w:r>
          </w:p>
        </w:tc>
      </w:tr>
      <w:tr>
        <w:trPr>
          <w:trHeight w:val="173"/>
        </w:trPr>
        <w:tc>
          <w:tcPr>
            <w:tcW w:w="4720" w:type="dxa"/>
            <w:vAlign w:val="bottom"/>
          </w:tcPr>
          <w:p>
            <w:pPr>
              <w:spacing w:after="0"/>
              <w:rPr>
                <w:sz w:val="15"/>
                <w:szCs w:val="15"/>
                <w:color w:val="auto"/>
              </w:rPr>
            </w:pPr>
          </w:p>
        </w:tc>
        <w:tc>
          <w:tcPr>
            <w:tcW w:w="2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520"/>
        </w:trPr>
        <w:tc>
          <w:tcPr>
            <w:tcW w:w="47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3"/>
        </w:trPr>
        <w:tc>
          <w:tcPr>
            <w:tcW w:w="4720" w:type="dxa"/>
            <w:vAlign w:val="bottom"/>
          </w:tcPr>
          <w:p>
            <w:pPr>
              <w:ind w:left="440"/>
              <w:spacing w:after="0"/>
              <w:rPr>
                <w:sz w:val="20"/>
                <w:szCs w:val="20"/>
                <w:color w:val="auto"/>
              </w:rPr>
            </w:pPr>
            <w:r>
              <w:rPr>
                <w:rFonts w:ascii="Courier New" w:cs="Courier New" w:eastAsia="Courier New" w:hAnsi="Courier New"/>
                <w:sz w:val="15"/>
                <w:szCs w:val="15"/>
                <w:color w:val="auto"/>
              </w:rPr>
              <w:t>Current liabilities</w:t>
            </w:r>
          </w:p>
        </w:tc>
        <w:tc>
          <w:tcPr>
            <w:tcW w:w="22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3"/>
        </w:trPr>
        <w:tc>
          <w:tcPr>
            <w:tcW w:w="4720" w:type="dxa"/>
            <w:vAlign w:val="bottom"/>
          </w:tcPr>
          <w:p>
            <w:pPr>
              <w:ind w:left="620"/>
              <w:spacing w:after="0"/>
              <w:rPr>
                <w:sz w:val="20"/>
                <w:szCs w:val="20"/>
                <w:color w:val="auto"/>
              </w:rPr>
            </w:pPr>
            <w:r>
              <w:rPr>
                <w:rFonts w:ascii="Courier New" w:cs="Courier New" w:eastAsia="Courier New" w:hAnsi="Courier New"/>
                <w:sz w:val="15"/>
                <w:szCs w:val="15"/>
                <w:color w:val="auto"/>
              </w:rPr>
              <w:t>Current portion of debt</w:t>
            </w:r>
          </w:p>
        </w:tc>
        <w:tc>
          <w:tcPr>
            <w:tcW w:w="2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60.7</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68.8</w:t>
            </w:r>
          </w:p>
        </w:tc>
        <w:tc>
          <w:tcPr>
            <w:tcW w:w="1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98.2</w:t>
            </w:r>
          </w:p>
        </w:tc>
      </w:tr>
      <w:tr>
        <w:trPr>
          <w:trHeight w:val="173"/>
        </w:trPr>
        <w:tc>
          <w:tcPr>
            <w:tcW w:w="4720" w:type="dxa"/>
            <w:vAlign w:val="bottom"/>
          </w:tcPr>
          <w:p>
            <w:pPr>
              <w:ind w:left="620"/>
              <w:spacing w:after="0"/>
              <w:rPr>
                <w:sz w:val="20"/>
                <w:szCs w:val="20"/>
                <w:color w:val="auto"/>
              </w:rPr>
            </w:pPr>
            <w:r>
              <w:rPr>
                <w:rFonts w:ascii="Courier New" w:cs="Courier New" w:eastAsia="Courier New" w:hAnsi="Courier New"/>
                <w:sz w:val="15"/>
                <w:szCs w:val="15"/>
                <w:color w:val="auto"/>
              </w:rPr>
              <w:t>Accounts payable</w:t>
            </w:r>
          </w:p>
        </w:tc>
        <w:tc>
          <w:tcPr>
            <w:tcW w:w="2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255.3</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197.4</w:t>
            </w:r>
          </w:p>
        </w:tc>
        <w:tc>
          <w:tcPr>
            <w:tcW w:w="1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134.0</w:t>
            </w:r>
          </w:p>
        </w:tc>
      </w:tr>
      <w:tr>
        <w:trPr>
          <w:trHeight w:val="173"/>
        </w:trPr>
        <w:tc>
          <w:tcPr>
            <w:tcW w:w="4720" w:type="dxa"/>
            <w:vAlign w:val="bottom"/>
          </w:tcPr>
          <w:p>
            <w:pPr>
              <w:ind w:left="620"/>
              <w:spacing w:after="0"/>
              <w:rPr>
                <w:sz w:val="20"/>
                <w:szCs w:val="20"/>
                <w:color w:val="auto"/>
              </w:rPr>
            </w:pPr>
            <w:r>
              <w:rPr>
                <w:rFonts w:ascii="Courier New" w:cs="Courier New" w:eastAsia="Courier New" w:hAnsi="Courier New"/>
                <w:sz w:val="15"/>
                <w:szCs w:val="15"/>
                <w:color w:val="auto"/>
              </w:rPr>
              <w:t>Other current liabilities</w:t>
            </w:r>
          </w:p>
        </w:tc>
        <w:tc>
          <w:tcPr>
            <w:tcW w:w="2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309.9</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323.3</w:t>
            </w:r>
          </w:p>
        </w:tc>
        <w:tc>
          <w:tcPr>
            <w:tcW w:w="1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219.6</w:t>
            </w:r>
          </w:p>
        </w:tc>
      </w:tr>
      <w:tr>
        <w:trPr>
          <w:trHeight w:val="173"/>
        </w:trPr>
        <w:tc>
          <w:tcPr>
            <w:tcW w:w="4720" w:type="dxa"/>
            <w:vAlign w:val="bottom"/>
          </w:tcPr>
          <w:p>
            <w:pPr>
              <w:spacing w:after="0"/>
              <w:rPr>
                <w:sz w:val="15"/>
                <w:szCs w:val="15"/>
                <w:color w:val="auto"/>
              </w:rPr>
            </w:pPr>
          </w:p>
        </w:tc>
        <w:tc>
          <w:tcPr>
            <w:tcW w:w="2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7"/>
        </w:trPr>
        <w:tc>
          <w:tcPr>
            <w:tcW w:w="4720" w:type="dxa"/>
            <w:vAlign w:val="bottom"/>
          </w:tcPr>
          <w:p>
            <w:pPr>
              <w:ind w:left="900"/>
              <w:spacing w:after="0"/>
              <w:rPr>
                <w:sz w:val="20"/>
                <w:szCs w:val="20"/>
                <w:color w:val="auto"/>
              </w:rPr>
            </w:pPr>
            <w:r>
              <w:rPr>
                <w:rFonts w:ascii="Courier New" w:cs="Courier New" w:eastAsia="Courier New" w:hAnsi="Courier New"/>
                <w:sz w:val="15"/>
                <w:szCs w:val="15"/>
                <w:color w:val="auto"/>
              </w:rPr>
              <w:t>Total current liabilities</w:t>
            </w:r>
          </w:p>
        </w:tc>
        <w:tc>
          <w:tcPr>
            <w:tcW w:w="2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625.9</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589.5</w:t>
            </w:r>
          </w:p>
        </w:tc>
        <w:tc>
          <w:tcPr>
            <w:tcW w:w="1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451.8</w:t>
            </w:r>
          </w:p>
        </w:tc>
      </w:tr>
      <w:tr>
        <w:trPr>
          <w:trHeight w:val="173"/>
        </w:trPr>
        <w:tc>
          <w:tcPr>
            <w:tcW w:w="4720" w:type="dxa"/>
            <w:vAlign w:val="bottom"/>
          </w:tcPr>
          <w:p>
            <w:pPr>
              <w:spacing w:after="0"/>
              <w:rPr>
                <w:sz w:val="15"/>
                <w:szCs w:val="15"/>
                <w:color w:val="auto"/>
              </w:rPr>
            </w:pPr>
          </w:p>
        </w:tc>
        <w:tc>
          <w:tcPr>
            <w:tcW w:w="2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7"/>
        </w:trPr>
        <w:tc>
          <w:tcPr>
            <w:tcW w:w="4720" w:type="dxa"/>
            <w:vAlign w:val="bottom"/>
          </w:tcPr>
          <w:p>
            <w:pPr>
              <w:ind w:left="440"/>
              <w:spacing w:after="0"/>
              <w:rPr>
                <w:sz w:val="20"/>
                <w:szCs w:val="20"/>
                <w:color w:val="auto"/>
              </w:rPr>
            </w:pPr>
            <w:r>
              <w:rPr>
                <w:rFonts w:ascii="Courier New" w:cs="Courier New" w:eastAsia="Courier New" w:hAnsi="Courier New"/>
                <w:sz w:val="15"/>
                <w:szCs w:val="15"/>
                <w:color w:val="auto"/>
              </w:rPr>
              <w:t>Long-term debt</w:t>
            </w:r>
          </w:p>
        </w:tc>
        <w:tc>
          <w:tcPr>
            <w:tcW w:w="2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754.9</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767.2</w:t>
            </w:r>
          </w:p>
        </w:tc>
        <w:tc>
          <w:tcPr>
            <w:tcW w:w="1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731.2</w:t>
            </w:r>
          </w:p>
        </w:tc>
      </w:tr>
      <w:tr>
        <w:trPr>
          <w:trHeight w:val="173"/>
        </w:trPr>
        <w:tc>
          <w:tcPr>
            <w:tcW w:w="4720" w:type="dxa"/>
            <w:vAlign w:val="bottom"/>
          </w:tcPr>
          <w:p>
            <w:pPr>
              <w:ind w:left="440"/>
              <w:spacing w:after="0"/>
              <w:rPr>
                <w:sz w:val="20"/>
                <w:szCs w:val="20"/>
                <w:color w:val="auto"/>
              </w:rPr>
            </w:pPr>
            <w:r>
              <w:rPr>
                <w:rFonts w:ascii="Courier New" w:cs="Courier New" w:eastAsia="Courier New" w:hAnsi="Courier New"/>
                <w:sz w:val="15"/>
                <w:szCs w:val="15"/>
                <w:color w:val="auto"/>
              </w:rPr>
              <w:t>Other liabilities</w:t>
            </w:r>
          </w:p>
        </w:tc>
        <w:tc>
          <w:tcPr>
            <w:tcW w:w="2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131.0</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91.6</w:t>
            </w:r>
          </w:p>
        </w:tc>
        <w:tc>
          <w:tcPr>
            <w:tcW w:w="1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124.5</w:t>
            </w:r>
          </w:p>
        </w:tc>
      </w:tr>
      <w:tr>
        <w:trPr>
          <w:trHeight w:val="173"/>
        </w:trPr>
        <w:tc>
          <w:tcPr>
            <w:tcW w:w="4720" w:type="dxa"/>
            <w:vAlign w:val="bottom"/>
          </w:tcPr>
          <w:p>
            <w:pPr>
              <w:spacing w:after="0"/>
              <w:rPr>
                <w:sz w:val="15"/>
                <w:szCs w:val="15"/>
                <w:color w:val="auto"/>
              </w:rPr>
            </w:pPr>
          </w:p>
        </w:tc>
        <w:tc>
          <w:tcPr>
            <w:tcW w:w="2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7"/>
        </w:trPr>
        <w:tc>
          <w:tcPr>
            <w:tcW w:w="4720" w:type="dxa"/>
            <w:vAlign w:val="bottom"/>
          </w:tcPr>
          <w:p>
            <w:pPr>
              <w:ind w:left="900"/>
              <w:spacing w:after="0"/>
              <w:rPr>
                <w:sz w:val="20"/>
                <w:szCs w:val="20"/>
                <w:color w:val="auto"/>
              </w:rPr>
            </w:pPr>
            <w:r>
              <w:rPr>
                <w:rFonts w:ascii="Courier New" w:cs="Courier New" w:eastAsia="Courier New" w:hAnsi="Courier New"/>
                <w:sz w:val="15"/>
                <w:szCs w:val="15"/>
                <w:color w:val="auto"/>
              </w:rPr>
              <w:t>Total liabilities</w:t>
            </w:r>
          </w:p>
        </w:tc>
        <w:tc>
          <w:tcPr>
            <w:tcW w:w="2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1,511.8</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1,448.3</w:t>
            </w:r>
          </w:p>
        </w:tc>
        <w:tc>
          <w:tcPr>
            <w:tcW w:w="1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1,307.5</w:t>
            </w:r>
          </w:p>
        </w:tc>
      </w:tr>
      <w:tr>
        <w:trPr>
          <w:trHeight w:val="347"/>
        </w:trPr>
        <w:tc>
          <w:tcPr>
            <w:tcW w:w="4720" w:type="dxa"/>
            <w:vAlign w:val="bottom"/>
          </w:tcPr>
          <w:p>
            <w:pPr>
              <w:ind w:left="440"/>
              <w:spacing w:after="0"/>
              <w:rPr>
                <w:sz w:val="20"/>
                <w:szCs w:val="20"/>
                <w:color w:val="auto"/>
              </w:rPr>
            </w:pPr>
            <w:r>
              <w:rPr>
                <w:rFonts w:ascii="Courier New" w:cs="Courier New" w:eastAsia="Courier New" w:hAnsi="Courier New"/>
                <w:sz w:val="15"/>
                <w:szCs w:val="15"/>
                <w:color w:val="auto"/>
              </w:rPr>
              <w:t>Shareholders' equity</w:t>
            </w:r>
          </w:p>
        </w:tc>
        <w:tc>
          <w:tcPr>
            <w:tcW w:w="2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717.3</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621.8</w:t>
            </w:r>
          </w:p>
        </w:tc>
        <w:tc>
          <w:tcPr>
            <w:tcW w:w="1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593.9</w:t>
            </w:r>
          </w:p>
        </w:tc>
      </w:tr>
      <w:tr>
        <w:trPr>
          <w:trHeight w:val="173"/>
        </w:trPr>
        <w:tc>
          <w:tcPr>
            <w:tcW w:w="4720" w:type="dxa"/>
            <w:vAlign w:val="bottom"/>
          </w:tcPr>
          <w:p>
            <w:pPr>
              <w:spacing w:after="0"/>
              <w:rPr>
                <w:sz w:val="15"/>
                <w:szCs w:val="15"/>
                <w:color w:val="auto"/>
              </w:rPr>
            </w:pPr>
          </w:p>
        </w:tc>
        <w:tc>
          <w:tcPr>
            <w:tcW w:w="2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7"/>
        </w:trPr>
        <w:tc>
          <w:tcPr>
            <w:tcW w:w="4720" w:type="dxa"/>
            <w:vAlign w:val="bottom"/>
          </w:tcPr>
          <w:p>
            <w:pPr>
              <w:ind w:left="900"/>
              <w:spacing w:after="0"/>
              <w:rPr>
                <w:sz w:val="20"/>
                <w:szCs w:val="20"/>
                <w:color w:val="auto"/>
              </w:rPr>
            </w:pPr>
            <w:r>
              <w:rPr>
                <w:rFonts w:ascii="Courier New" w:cs="Courier New" w:eastAsia="Courier New" w:hAnsi="Courier New"/>
                <w:sz w:val="15"/>
                <w:szCs w:val="15"/>
                <w:color w:val="auto"/>
              </w:rPr>
              <w:t>Total liabilities and equity</w:t>
            </w:r>
          </w:p>
        </w:tc>
        <w:tc>
          <w:tcPr>
            <w:tcW w:w="2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$ 2,229.1</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$ 2,070.1</w:t>
            </w:r>
          </w:p>
        </w:tc>
        <w:tc>
          <w:tcPr>
            <w:tcW w:w="1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$ 1,901.4</w:t>
            </w:r>
          </w:p>
        </w:tc>
      </w:tr>
      <w:tr>
        <w:trPr>
          <w:trHeight w:val="173"/>
        </w:trPr>
        <w:tc>
          <w:tcPr>
            <w:tcW w:w="4720" w:type="dxa"/>
            <w:vAlign w:val="bottom"/>
          </w:tcPr>
          <w:p>
            <w:pPr>
              <w:spacing w:after="0"/>
              <w:rPr>
                <w:sz w:val="15"/>
                <w:szCs w:val="15"/>
                <w:color w:val="auto"/>
              </w:rPr>
            </w:pPr>
          </w:p>
        </w:tc>
        <w:tc>
          <w:tcPr>
            <w:tcW w:w="6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7"/>
        </w:trPr>
        <w:tc>
          <w:tcPr>
            <w:tcW w:w="4720" w:type="dxa"/>
            <w:vAlign w:val="bottom"/>
          </w:tcPr>
          <w:p>
            <w:pPr>
              <w:spacing w:after="0"/>
              <w:rPr>
                <w:sz w:val="20"/>
                <w:szCs w:val="20"/>
                <w:color w:val="auto"/>
              </w:rPr>
            </w:pPr>
            <w:r>
              <w:rPr>
                <w:rFonts w:ascii="Courier New" w:cs="Courier New" w:eastAsia="Courier New" w:hAnsi="Courier New"/>
                <w:sz w:val="15"/>
                <w:szCs w:val="15"/>
                <w:color w:val="auto"/>
              </w:rPr>
              <w:t>KEY STATISTICS:</w:t>
            </w:r>
          </w:p>
        </w:tc>
        <w:tc>
          <w:tcPr>
            <w:tcW w:w="2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3"/>
        </w:trPr>
        <w:tc>
          <w:tcPr>
            <w:tcW w:w="4720" w:type="dxa"/>
            <w:vAlign w:val="bottom"/>
          </w:tcPr>
          <w:p>
            <w:pPr>
              <w:ind w:left="440"/>
              <w:spacing w:after="0"/>
              <w:rPr>
                <w:sz w:val="20"/>
                <w:szCs w:val="20"/>
                <w:color w:val="auto"/>
              </w:rPr>
            </w:pPr>
            <w:r>
              <w:rPr>
                <w:rFonts w:ascii="Courier New" w:cs="Courier New" w:eastAsia="Courier New" w:hAnsi="Courier New"/>
                <w:sz w:val="15"/>
                <w:szCs w:val="15"/>
                <w:color w:val="auto"/>
              </w:rPr>
              <w:t>Debt to book capitalization</w:t>
            </w:r>
          </w:p>
        </w:tc>
        <w:tc>
          <w:tcPr>
            <w:tcW w:w="2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53.2%</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57.3%</w:t>
            </w:r>
          </w:p>
        </w:tc>
        <w:tc>
          <w:tcPr>
            <w:tcW w:w="1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58.3%</w:t>
            </w:r>
          </w:p>
        </w:tc>
      </w:tr>
      <w:tr>
        <w:trPr>
          <w:trHeight w:val="347"/>
        </w:trPr>
        <w:tc>
          <w:tcPr>
            <w:tcW w:w="4720" w:type="dxa"/>
            <w:vAlign w:val="bottom"/>
          </w:tcPr>
          <w:p>
            <w:pPr>
              <w:ind w:left="440"/>
              <w:spacing w:after="0"/>
              <w:rPr>
                <w:sz w:val="20"/>
                <w:szCs w:val="20"/>
                <w:color w:val="auto"/>
              </w:rPr>
            </w:pPr>
            <w:r>
              <w:rPr>
                <w:rFonts w:ascii="Courier New" w:cs="Courier New" w:eastAsia="Courier New" w:hAnsi="Courier New"/>
                <w:sz w:val="15"/>
                <w:szCs w:val="15"/>
                <w:color w:val="auto"/>
              </w:rPr>
              <w:t>Market capitalization:</w:t>
            </w:r>
          </w:p>
        </w:tc>
        <w:tc>
          <w:tcPr>
            <w:tcW w:w="2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3"/>
        </w:trPr>
        <w:tc>
          <w:tcPr>
            <w:tcW w:w="4720" w:type="dxa"/>
            <w:vAlign w:val="bottom"/>
          </w:tcPr>
          <w:p>
            <w:pPr>
              <w:ind w:left="620"/>
              <w:spacing w:after="0"/>
              <w:rPr>
                <w:sz w:val="20"/>
                <w:szCs w:val="20"/>
                <w:color w:val="auto"/>
              </w:rPr>
            </w:pPr>
            <w:r>
              <w:rPr>
                <w:rFonts w:ascii="Courier New" w:cs="Courier New" w:eastAsia="Courier New" w:hAnsi="Courier New"/>
                <w:sz w:val="15"/>
                <w:szCs w:val="15"/>
                <w:color w:val="auto"/>
              </w:rPr>
              <w:t>Common shares outstanding and</w:t>
            </w:r>
          </w:p>
        </w:tc>
        <w:tc>
          <w:tcPr>
            <w:tcW w:w="22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3"/>
        </w:trPr>
        <w:tc>
          <w:tcPr>
            <w:tcW w:w="4720" w:type="dxa"/>
            <w:vAlign w:val="bottom"/>
          </w:tcPr>
          <w:p>
            <w:pPr>
              <w:ind w:left="620"/>
              <w:spacing w:after="0"/>
              <w:rPr>
                <w:sz w:val="20"/>
                <w:szCs w:val="20"/>
                <w:color w:val="auto"/>
              </w:rPr>
            </w:pPr>
            <w:r>
              <w:rPr>
                <w:rFonts w:ascii="Courier New" w:cs="Courier New" w:eastAsia="Courier New" w:hAnsi="Courier New"/>
                <w:sz w:val="15"/>
                <w:szCs w:val="15"/>
                <w:color w:val="auto"/>
              </w:rPr>
              <w:t>dilutive common share equivalents</w:t>
            </w:r>
          </w:p>
        </w:tc>
        <w:tc>
          <w:tcPr>
            <w:tcW w:w="2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32.1</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31.6</w:t>
            </w:r>
          </w:p>
        </w:tc>
        <w:tc>
          <w:tcPr>
            <w:tcW w:w="1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31.7</w:t>
            </w:r>
          </w:p>
        </w:tc>
      </w:tr>
      <w:tr>
        <w:trPr>
          <w:trHeight w:val="347"/>
        </w:trPr>
        <w:tc>
          <w:tcPr>
            <w:tcW w:w="4720" w:type="dxa"/>
            <w:vAlign w:val="bottom"/>
          </w:tcPr>
          <w:p>
            <w:pPr>
              <w:ind w:left="620"/>
              <w:spacing w:after="0"/>
              <w:rPr>
                <w:sz w:val="20"/>
                <w:szCs w:val="20"/>
                <w:color w:val="auto"/>
              </w:rPr>
            </w:pPr>
            <w:r>
              <w:rPr>
                <w:rFonts w:ascii="Courier New" w:cs="Courier New" w:eastAsia="Courier New" w:hAnsi="Courier New"/>
                <w:sz w:val="15"/>
                <w:szCs w:val="15"/>
                <w:color w:val="auto"/>
              </w:rPr>
              <w:t>Share price on balance sheet date</w:t>
            </w:r>
          </w:p>
        </w:tc>
        <w:tc>
          <w:tcPr>
            <w:tcW w:w="2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49.35</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45.40</w:t>
            </w:r>
          </w:p>
        </w:tc>
        <w:tc>
          <w:tcPr>
            <w:tcW w:w="1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41.69</w:t>
            </w:r>
          </w:p>
        </w:tc>
      </w:tr>
      <w:tr>
        <w:trPr>
          <w:trHeight w:val="173"/>
        </w:trPr>
        <w:tc>
          <w:tcPr>
            <w:tcW w:w="4720" w:type="dxa"/>
            <w:vAlign w:val="bottom"/>
          </w:tcPr>
          <w:p>
            <w:pPr>
              <w:spacing w:after="0"/>
              <w:rPr>
                <w:sz w:val="15"/>
                <w:szCs w:val="15"/>
                <w:color w:val="auto"/>
              </w:rPr>
            </w:pPr>
          </w:p>
        </w:tc>
        <w:tc>
          <w:tcPr>
            <w:tcW w:w="2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3"/>
        </w:trPr>
        <w:tc>
          <w:tcPr>
            <w:tcW w:w="4720" w:type="dxa"/>
            <w:vAlign w:val="bottom"/>
          </w:tcPr>
          <w:p>
            <w:pPr>
              <w:spacing w:after="0"/>
              <w:rPr>
                <w:sz w:val="15"/>
                <w:szCs w:val="15"/>
                <w:color w:val="auto"/>
              </w:rPr>
            </w:pPr>
          </w:p>
        </w:tc>
        <w:tc>
          <w:tcPr>
            <w:tcW w:w="2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$ 1,584.1</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$ 1,434.6</w:t>
            </w:r>
          </w:p>
        </w:tc>
        <w:tc>
          <w:tcPr>
            <w:tcW w:w="1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$ 1,319.9</w:t>
            </w:r>
          </w:p>
        </w:tc>
      </w:tr>
      <w:tr>
        <w:trPr>
          <w:trHeight w:val="173"/>
        </w:trPr>
        <w:tc>
          <w:tcPr>
            <w:tcW w:w="4720" w:type="dxa"/>
            <w:vAlign w:val="bottom"/>
          </w:tcPr>
          <w:p>
            <w:pPr>
              <w:spacing w:after="0"/>
              <w:rPr>
                <w:sz w:val="15"/>
                <w:szCs w:val="15"/>
                <w:color w:val="auto"/>
              </w:rPr>
            </w:pPr>
          </w:p>
        </w:tc>
        <w:tc>
          <w:tcPr>
            <w:tcW w:w="2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35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8</w:t>
      </w:r>
    </w:p>
    <w:p>
      <w:pPr>
        <w:sectPr>
          <w:pgSz w:w="11900" w:h="16838" w:orient="portrait"/>
          <w:cols w:equalWidth="0" w:num="1">
            <w:col w:w="10720"/>
          </w:cols>
          <w:pgMar w:left="240" w:top="464" w:right="939" w:bottom="1440" w:gutter="0" w:footer="0" w:header="0"/>
        </w:sectPr>
      </w:pPr>
    </w:p>
    <w:bookmarkStart w:id="13" w:name="page14"/>
    <w:bookmarkEnd w:id="13"/>
    <w:p>
      <w:pPr>
        <w:jc w:val="center"/>
        <w:ind w:right="4320"/>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0"/>
          <w:szCs w:val="20"/>
          <w:color w:val="auto"/>
        </w:rPr>
      </w:pPr>
    </w:p>
    <w:p>
      <w:pPr>
        <w:jc w:val="center"/>
        <w:ind w:right="4320"/>
        <w:spacing w:after="0"/>
        <w:rPr>
          <w:sz w:val="20"/>
          <w:szCs w:val="20"/>
          <w:color w:val="auto"/>
        </w:rPr>
      </w:pPr>
      <w:r>
        <w:rPr>
          <w:rFonts w:ascii="Courier New" w:cs="Courier New" w:eastAsia="Courier New" w:hAnsi="Courier New"/>
          <w:sz w:val="15"/>
          <w:szCs w:val="15"/>
          <w:color w:val="auto"/>
        </w:rPr>
        <w:t>RECONCILIATION OF NON-GAAP DISCLOSURE ITEMS FOR THE THREE AND NINE</w:t>
      </w:r>
    </w:p>
    <w:p>
      <w:pPr>
        <w:spacing w:after="0" w:line="3" w:lineRule="exact"/>
        <w:rPr>
          <w:sz w:val="20"/>
          <w:szCs w:val="20"/>
          <w:color w:val="auto"/>
        </w:rPr>
      </w:pPr>
    </w:p>
    <w:p>
      <w:pPr>
        <w:jc w:val="center"/>
        <w:ind w:right="4320"/>
        <w:spacing w:after="0"/>
        <w:rPr>
          <w:sz w:val="20"/>
          <w:szCs w:val="20"/>
          <w:color w:val="auto"/>
        </w:rPr>
      </w:pPr>
      <w:r>
        <w:rPr>
          <w:rFonts w:ascii="Courier New" w:cs="Courier New" w:eastAsia="Courier New" w:hAnsi="Courier New"/>
          <w:sz w:val="15"/>
          <w:szCs w:val="15"/>
          <w:color w:val="auto"/>
        </w:rPr>
        <w:t>MONTHS ENDED JUNE 28, 2003 AND JUNE 29, 2002</w:t>
      </w:r>
    </w:p>
    <w:p>
      <w:pPr>
        <w:spacing w:after="0" w:line="3" w:lineRule="exact"/>
        <w:rPr>
          <w:sz w:val="20"/>
          <w:szCs w:val="20"/>
          <w:color w:val="auto"/>
        </w:rPr>
      </w:pPr>
    </w:p>
    <w:p>
      <w:pPr>
        <w:jc w:val="center"/>
        <w:ind w:right="4320"/>
        <w:spacing w:after="0"/>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3640" w:type="dxa"/>
            <w:vAlign w:val="bottom"/>
            <w:gridSpan w:val="2"/>
          </w:tcPr>
          <w:p>
            <w:pPr>
              <w:jc w:val="right"/>
              <w:ind w:right="1005"/>
              <w:spacing w:after="0"/>
              <w:rPr>
                <w:sz w:val="20"/>
                <w:szCs w:val="20"/>
                <w:color w:val="auto"/>
              </w:rPr>
            </w:pPr>
            <w:r>
              <w:rPr>
                <w:rFonts w:ascii="Courier New" w:cs="Courier New" w:eastAsia="Courier New" w:hAnsi="Courier New"/>
                <w:sz w:val="15"/>
                <w:szCs w:val="15"/>
                <w:color w:val="auto"/>
              </w:rPr>
              <w:t>Three Months Ended</w:t>
            </w:r>
          </w:p>
        </w:tc>
        <w:tc>
          <w:tcPr>
            <w:tcW w:w="3600" w:type="dxa"/>
            <w:vAlign w:val="bottom"/>
            <w:gridSpan w:val="3"/>
          </w:tcPr>
          <w:p>
            <w:pPr>
              <w:jc w:val="center"/>
              <w:ind w:left="25"/>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4280" w:type="dxa"/>
            <w:vAlign w:val="bottom"/>
          </w:tcPr>
          <w:p>
            <w:pPr>
              <w:spacing w:after="0"/>
              <w:rPr>
                <w:sz w:val="15"/>
                <w:szCs w:val="15"/>
                <w:color w:val="auto"/>
              </w:rPr>
            </w:pPr>
          </w:p>
        </w:tc>
        <w:tc>
          <w:tcPr>
            <w:tcW w:w="36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280" w:type="dxa"/>
            <w:vAlign w:val="bottom"/>
          </w:tcPr>
          <w:p>
            <w:pPr>
              <w:spacing w:after="0"/>
              <w:rPr>
                <w:sz w:val="15"/>
                <w:szCs w:val="15"/>
                <w:color w:val="auto"/>
              </w:rPr>
            </w:pPr>
          </w:p>
        </w:tc>
        <w:tc>
          <w:tcPr>
            <w:tcW w:w="19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June 28,</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June 29,</w:t>
            </w:r>
          </w:p>
        </w:tc>
        <w:tc>
          <w:tcPr>
            <w:tcW w:w="17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June 28,</w:t>
            </w:r>
          </w:p>
        </w:tc>
        <w:tc>
          <w:tcPr>
            <w:tcW w:w="180" w:type="dxa"/>
            <w:vAlign w:val="bottom"/>
          </w:tcPr>
          <w:p>
            <w:pPr>
              <w:spacing w:after="0"/>
              <w:rPr>
                <w:sz w:val="15"/>
                <w:szCs w:val="15"/>
                <w:color w:val="auto"/>
              </w:rPr>
            </w:pPr>
          </w:p>
        </w:tc>
        <w:tc>
          <w:tcPr>
            <w:tcW w:w="16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June 29,</w:t>
            </w:r>
          </w:p>
        </w:tc>
      </w:tr>
      <w:tr>
        <w:trPr>
          <w:trHeight w:val="173"/>
        </w:trPr>
        <w:tc>
          <w:tcPr>
            <w:tcW w:w="4280" w:type="dxa"/>
            <w:vAlign w:val="bottom"/>
          </w:tcPr>
          <w:p>
            <w:pPr>
              <w:spacing w:after="0"/>
              <w:rPr>
                <w:sz w:val="15"/>
                <w:szCs w:val="15"/>
                <w:color w:val="auto"/>
              </w:rPr>
            </w:pPr>
          </w:p>
        </w:tc>
        <w:tc>
          <w:tcPr>
            <w:tcW w:w="19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2003</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2002</w:t>
            </w:r>
          </w:p>
        </w:tc>
        <w:tc>
          <w:tcPr>
            <w:tcW w:w="17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2003</w:t>
            </w:r>
          </w:p>
        </w:tc>
        <w:tc>
          <w:tcPr>
            <w:tcW w:w="180" w:type="dxa"/>
            <w:vAlign w:val="bottom"/>
          </w:tcPr>
          <w:p>
            <w:pPr>
              <w:spacing w:after="0"/>
              <w:rPr>
                <w:sz w:val="15"/>
                <w:szCs w:val="15"/>
                <w:color w:val="auto"/>
              </w:rPr>
            </w:pPr>
          </w:p>
        </w:tc>
        <w:tc>
          <w:tcPr>
            <w:tcW w:w="16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2002</w:t>
            </w:r>
          </w:p>
        </w:tc>
      </w:tr>
      <w:tr>
        <w:trPr>
          <w:trHeight w:val="173"/>
        </w:trPr>
        <w:tc>
          <w:tcPr>
            <w:tcW w:w="4280" w:type="dxa"/>
            <w:vAlign w:val="bottom"/>
          </w:tcPr>
          <w:p>
            <w:pPr>
              <w:spacing w:after="0"/>
              <w:rPr>
                <w:sz w:val="15"/>
                <w:szCs w:val="15"/>
                <w:color w:val="auto"/>
              </w:rPr>
            </w:pPr>
          </w:p>
        </w:tc>
        <w:tc>
          <w:tcPr>
            <w:tcW w:w="36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2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$ 91.2</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$ 95.8</w:t>
            </w:r>
          </w:p>
        </w:tc>
        <w:tc>
          <w:tcPr>
            <w:tcW w:w="1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$ 106.9</w:t>
            </w:r>
          </w:p>
        </w:tc>
        <w:tc>
          <w:tcPr>
            <w:tcW w:w="180" w:type="dxa"/>
            <w:vAlign w:val="bottom"/>
          </w:tcPr>
          <w:p>
            <w:pPr>
              <w:spacing w:after="0"/>
              <w:rPr>
                <w:sz w:val="24"/>
                <w:szCs w:val="24"/>
                <w:color w:val="auto"/>
              </w:rPr>
            </w:pP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$ 95.2</w:t>
            </w:r>
          </w:p>
        </w:tc>
      </w:tr>
      <w:tr>
        <w:trPr>
          <w:trHeight w:val="173"/>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Restructuring and other charges, net of tax</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w:t>
            </w:r>
          </w:p>
        </w:tc>
        <w:tc>
          <w:tcPr>
            <w:tcW w:w="1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w:t>
            </w:r>
          </w:p>
        </w:tc>
        <w:tc>
          <w:tcPr>
            <w:tcW w:w="180" w:type="dxa"/>
            <w:vAlign w:val="bottom"/>
          </w:tcPr>
          <w:p>
            <w:pPr>
              <w:spacing w:after="0"/>
              <w:rPr>
                <w:sz w:val="15"/>
                <w:szCs w:val="15"/>
                <w:color w:val="auto"/>
              </w:rPr>
            </w:pP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r>
      <w:tr>
        <w:trPr>
          <w:trHeight w:val="173"/>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Peat bog income</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w:t>
            </w:r>
          </w:p>
        </w:tc>
        <w:tc>
          <w:tcPr>
            <w:tcW w:w="1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3"/>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Environmental charge</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w:t>
            </w:r>
          </w:p>
        </w:tc>
        <w:tc>
          <w:tcPr>
            <w:tcW w:w="1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w:t>
            </w:r>
          </w:p>
        </w:tc>
      </w:tr>
      <w:tr>
        <w:trPr>
          <w:trHeight w:val="173"/>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Impairment write-off, net of tax</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18.5</w:t>
            </w:r>
          </w:p>
        </w:tc>
      </w:tr>
      <w:tr>
        <w:trPr>
          <w:trHeight w:val="173"/>
        </w:trPr>
        <w:tc>
          <w:tcPr>
            <w:tcW w:w="4280" w:type="dxa"/>
            <w:vAlign w:val="bottom"/>
          </w:tcPr>
          <w:p>
            <w:pPr>
              <w:spacing w:after="0"/>
              <w:rPr>
                <w:sz w:val="15"/>
                <w:szCs w:val="15"/>
                <w:color w:val="auto"/>
              </w:rPr>
            </w:pPr>
          </w:p>
        </w:tc>
        <w:tc>
          <w:tcPr>
            <w:tcW w:w="1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280" w:type="dxa"/>
            <w:vAlign w:val="bottom"/>
          </w:tcPr>
          <w:p>
            <w:pPr>
              <w:spacing w:after="0"/>
              <w:rPr>
                <w:sz w:val="20"/>
                <w:szCs w:val="20"/>
                <w:color w:val="auto"/>
              </w:rPr>
            </w:pPr>
            <w:r>
              <w:rPr>
                <w:rFonts w:ascii="Courier New" w:cs="Courier New" w:eastAsia="Courier New" w:hAnsi="Courier New"/>
                <w:sz w:val="15"/>
                <w:szCs w:val="15"/>
                <w:color w:val="auto"/>
              </w:rPr>
              <w:t>Adjusted net income</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$ 92.3</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$ 95.6</w:t>
            </w:r>
          </w:p>
        </w:tc>
        <w:tc>
          <w:tcPr>
            <w:tcW w:w="1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$ 114.0</w:t>
            </w:r>
          </w:p>
        </w:tc>
        <w:tc>
          <w:tcPr>
            <w:tcW w:w="180" w:type="dxa"/>
            <w:vAlign w:val="bottom"/>
          </w:tcPr>
          <w:p>
            <w:pPr>
              <w:spacing w:after="0"/>
              <w:rPr>
                <w:sz w:val="24"/>
                <w:szCs w:val="24"/>
                <w:color w:val="auto"/>
              </w:rPr>
            </w:pP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$ 115.1</w:t>
            </w:r>
          </w:p>
        </w:tc>
      </w:tr>
      <w:tr>
        <w:trPr>
          <w:trHeight w:val="173"/>
        </w:trPr>
        <w:tc>
          <w:tcPr>
            <w:tcW w:w="4280" w:type="dxa"/>
            <w:vAlign w:val="bottom"/>
          </w:tcPr>
          <w:p>
            <w:pPr>
              <w:spacing w:after="0"/>
              <w:rPr>
                <w:sz w:val="15"/>
                <w:szCs w:val="15"/>
                <w:color w:val="auto"/>
              </w:rPr>
            </w:pPr>
          </w:p>
        </w:tc>
        <w:tc>
          <w:tcPr>
            <w:tcW w:w="1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2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$ 161.0</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$ 174.5</w:t>
            </w:r>
          </w:p>
        </w:tc>
        <w:tc>
          <w:tcPr>
            <w:tcW w:w="1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$ 221.5</w:t>
            </w:r>
          </w:p>
        </w:tc>
        <w:tc>
          <w:tcPr>
            <w:tcW w:w="180" w:type="dxa"/>
            <w:vAlign w:val="bottom"/>
          </w:tcPr>
          <w:p>
            <w:pPr>
              <w:spacing w:after="0"/>
              <w:rPr>
                <w:sz w:val="24"/>
                <w:szCs w:val="24"/>
                <w:color w:val="auto"/>
              </w:rPr>
            </w:pP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$ 243.7</w:t>
            </w:r>
          </w:p>
        </w:tc>
      </w:tr>
      <w:tr>
        <w:trPr>
          <w:trHeight w:val="173"/>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Depreciation per cash flow</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10.0</w:t>
            </w:r>
          </w:p>
        </w:tc>
        <w:tc>
          <w:tcPr>
            <w:tcW w:w="1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28.7</w:t>
            </w:r>
          </w:p>
        </w:tc>
        <w:tc>
          <w:tcPr>
            <w:tcW w:w="180" w:type="dxa"/>
            <w:vAlign w:val="bottom"/>
          </w:tcPr>
          <w:p>
            <w:pPr>
              <w:spacing w:after="0"/>
              <w:rPr>
                <w:sz w:val="15"/>
                <w:szCs w:val="15"/>
                <w:color w:val="auto"/>
              </w:rPr>
            </w:pP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26.0</w:t>
            </w:r>
          </w:p>
        </w:tc>
      </w:tr>
      <w:tr>
        <w:trPr>
          <w:trHeight w:val="173"/>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Amortization, including marketing fee</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w:t>
            </w:r>
          </w:p>
        </w:tc>
        <w:tc>
          <w:tcPr>
            <w:tcW w:w="1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w:t>
            </w:r>
          </w:p>
        </w:tc>
        <w:tc>
          <w:tcPr>
            <w:tcW w:w="180" w:type="dxa"/>
            <w:vAlign w:val="bottom"/>
          </w:tcPr>
          <w:p>
            <w:pPr>
              <w:spacing w:after="0"/>
              <w:rPr>
                <w:sz w:val="15"/>
                <w:szCs w:val="15"/>
                <w:color w:val="auto"/>
              </w:rPr>
            </w:pP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w:t>
            </w:r>
          </w:p>
        </w:tc>
      </w:tr>
      <w:tr>
        <w:trPr>
          <w:trHeight w:val="173"/>
        </w:trPr>
        <w:tc>
          <w:tcPr>
            <w:tcW w:w="4280" w:type="dxa"/>
            <w:vAlign w:val="bottom"/>
          </w:tcPr>
          <w:p>
            <w:pPr>
              <w:spacing w:after="0"/>
              <w:rPr>
                <w:sz w:val="15"/>
                <w:szCs w:val="15"/>
                <w:color w:val="auto"/>
              </w:rPr>
            </w:pPr>
          </w:p>
        </w:tc>
        <w:tc>
          <w:tcPr>
            <w:tcW w:w="1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28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174.0</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185.5</w:t>
            </w:r>
          </w:p>
        </w:tc>
        <w:tc>
          <w:tcPr>
            <w:tcW w:w="1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259.0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276.0</w:t>
            </w:r>
          </w:p>
        </w:tc>
      </w:tr>
      <w:tr>
        <w:trPr>
          <w:trHeight w:val="173"/>
        </w:trPr>
        <w:tc>
          <w:tcPr>
            <w:tcW w:w="4280" w:type="dxa"/>
            <w:vAlign w:val="bottom"/>
          </w:tcPr>
          <w:p>
            <w:pPr>
              <w:spacing w:after="0"/>
              <w:rPr>
                <w:sz w:val="15"/>
                <w:szCs w:val="15"/>
                <w:color w:val="auto"/>
              </w:rPr>
            </w:pPr>
          </w:p>
        </w:tc>
        <w:tc>
          <w:tcPr>
            <w:tcW w:w="1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Restructuring and other charges, gross</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w:t>
            </w:r>
          </w:p>
        </w:tc>
        <w:tc>
          <w:tcPr>
            <w:tcW w:w="1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w:t>
            </w:r>
          </w:p>
        </w:tc>
        <w:tc>
          <w:tcPr>
            <w:tcW w:w="180" w:type="dxa"/>
            <w:vAlign w:val="bottom"/>
          </w:tcPr>
          <w:p>
            <w:pPr>
              <w:spacing w:after="0"/>
              <w:rPr>
                <w:sz w:val="24"/>
                <w:szCs w:val="24"/>
                <w:color w:val="auto"/>
              </w:rPr>
            </w:pP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w:t>
            </w:r>
          </w:p>
        </w:tc>
      </w:tr>
      <w:tr>
        <w:trPr>
          <w:trHeight w:val="173"/>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Peat bog income</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w:t>
            </w:r>
          </w:p>
        </w:tc>
        <w:tc>
          <w:tcPr>
            <w:tcW w:w="1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3"/>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Environmental charge</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w:t>
            </w:r>
          </w:p>
        </w:tc>
        <w:tc>
          <w:tcPr>
            <w:tcW w:w="1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r>
      <w:tr>
        <w:trPr>
          <w:trHeight w:val="173"/>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w:t>
            </w:r>
          </w:p>
        </w:tc>
        <w:tc>
          <w:tcPr>
            <w:tcW w:w="1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r>
      <w:tr>
        <w:trPr>
          <w:trHeight w:val="173"/>
        </w:trPr>
        <w:tc>
          <w:tcPr>
            <w:tcW w:w="4280" w:type="dxa"/>
            <w:vAlign w:val="bottom"/>
          </w:tcPr>
          <w:p>
            <w:pPr>
              <w:spacing w:after="0"/>
              <w:rPr>
                <w:sz w:val="15"/>
                <w:szCs w:val="15"/>
                <w:color w:val="auto"/>
              </w:rPr>
            </w:pPr>
          </w:p>
        </w:tc>
        <w:tc>
          <w:tcPr>
            <w:tcW w:w="1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280" w:type="dxa"/>
            <w:vAlign w:val="bottom"/>
          </w:tcPr>
          <w:p>
            <w:pPr>
              <w:spacing w:after="0"/>
              <w:rPr>
                <w:sz w:val="20"/>
                <w:szCs w:val="20"/>
                <w:color w:val="auto"/>
              </w:rPr>
            </w:pPr>
            <w:r>
              <w:rPr>
                <w:rFonts w:ascii="Courier New" w:cs="Courier New" w:eastAsia="Courier New" w:hAnsi="Courier New"/>
                <w:sz w:val="15"/>
                <w:szCs w:val="15"/>
                <w:color w:val="auto"/>
              </w:rPr>
              <w:t>Adjusted EBITDA</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$ 175.8</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$ 185.4</w:t>
            </w:r>
          </w:p>
        </w:tc>
        <w:tc>
          <w:tcPr>
            <w:tcW w:w="1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$ 270.2</w:t>
            </w:r>
          </w:p>
        </w:tc>
        <w:tc>
          <w:tcPr>
            <w:tcW w:w="180" w:type="dxa"/>
            <w:vAlign w:val="bottom"/>
          </w:tcPr>
          <w:p>
            <w:pPr>
              <w:spacing w:after="0"/>
              <w:rPr>
                <w:sz w:val="24"/>
                <w:szCs w:val="24"/>
                <w:color w:val="auto"/>
              </w:rPr>
            </w:pP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$ 278.2</w:t>
            </w:r>
          </w:p>
        </w:tc>
      </w:tr>
      <w:tr>
        <w:trPr>
          <w:trHeight w:val="173"/>
        </w:trPr>
        <w:tc>
          <w:tcPr>
            <w:tcW w:w="4280" w:type="dxa"/>
            <w:vAlign w:val="bottom"/>
          </w:tcPr>
          <w:p>
            <w:pPr>
              <w:spacing w:after="0"/>
              <w:rPr>
                <w:sz w:val="15"/>
                <w:szCs w:val="15"/>
                <w:color w:val="auto"/>
              </w:rPr>
            </w:pPr>
          </w:p>
        </w:tc>
        <w:tc>
          <w:tcPr>
            <w:tcW w:w="1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42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$ 2.81</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$ 3.02</w:t>
            </w:r>
          </w:p>
        </w:tc>
        <w:tc>
          <w:tcPr>
            <w:tcW w:w="1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$ 3.33</w:t>
            </w:r>
          </w:p>
        </w:tc>
        <w:tc>
          <w:tcPr>
            <w:tcW w:w="180" w:type="dxa"/>
            <w:vAlign w:val="bottom"/>
          </w:tcPr>
          <w:p>
            <w:pPr>
              <w:spacing w:after="0"/>
              <w:rPr>
                <w:sz w:val="24"/>
                <w:szCs w:val="24"/>
                <w:color w:val="auto"/>
              </w:rPr>
            </w:pP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$ 3.01</w:t>
            </w:r>
          </w:p>
        </w:tc>
      </w:tr>
      <w:tr>
        <w:trPr>
          <w:trHeight w:val="173"/>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Restructuring and other charges, net of tax</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0.04</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0.04</w:t>
            </w:r>
          </w:p>
        </w:tc>
        <w:tc>
          <w:tcPr>
            <w:tcW w:w="1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0.22</w:t>
            </w:r>
          </w:p>
        </w:tc>
        <w:tc>
          <w:tcPr>
            <w:tcW w:w="180" w:type="dxa"/>
            <w:vAlign w:val="bottom"/>
          </w:tcPr>
          <w:p>
            <w:pPr>
              <w:spacing w:after="0"/>
              <w:rPr>
                <w:sz w:val="15"/>
                <w:szCs w:val="15"/>
                <w:color w:val="auto"/>
              </w:rPr>
            </w:pP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0.09</w:t>
            </w:r>
          </w:p>
        </w:tc>
      </w:tr>
      <w:tr>
        <w:trPr>
          <w:trHeight w:val="173"/>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Peat bog income</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(0.11)</w:t>
            </w:r>
          </w:p>
        </w:tc>
        <w:tc>
          <w:tcPr>
            <w:tcW w:w="1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(0.11)</w:t>
            </w:r>
          </w:p>
        </w:tc>
      </w:tr>
      <w:tr>
        <w:trPr>
          <w:trHeight w:val="173"/>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Environmental charge</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0.06</w:t>
            </w:r>
          </w:p>
        </w:tc>
        <w:tc>
          <w:tcPr>
            <w:tcW w:w="1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0.06</w:t>
            </w:r>
          </w:p>
        </w:tc>
      </w:tr>
      <w:tr>
        <w:trPr>
          <w:trHeight w:val="173"/>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Impairment write-off, net of tax</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0.59</w:t>
            </w:r>
          </w:p>
        </w:tc>
      </w:tr>
      <w:tr>
        <w:trPr>
          <w:trHeight w:val="347"/>
        </w:trPr>
        <w:tc>
          <w:tcPr>
            <w:tcW w:w="4280" w:type="dxa"/>
            <w:vAlign w:val="bottom"/>
          </w:tcPr>
          <w:p>
            <w:pPr>
              <w:spacing w:after="0"/>
              <w:rPr>
                <w:sz w:val="24"/>
                <w:szCs w:val="24"/>
                <w:color w:val="auto"/>
              </w:rPr>
            </w:pPr>
          </w:p>
        </w:tc>
        <w:tc>
          <w:tcPr>
            <w:tcW w:w="1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280" w:type="dxa"/>
            <w:vAlign w:val="bottom"/>
          </w:tcPr>
          <w:p>
            <w:pPr>
              <w:spacing w:after="0"/>
              <w:rPr>
                <w:sz w:val="20"/>
                <w:szCs w:val="20"/>
                <w:color w:val="auto"/>
              </w:rPr>
            </w:pPr>
            <w:r>
              <w:rPr>
                <w:rFonts w:ascii="Courier New" w:cs="Courier New" w:eastAsia="Courier New" w:hAnsi="Courier New"/>
                <w:sz w:val="15"/>
                <w:szCs w:val="15"/>
                <w:color w:val="auto"/>
              </w:rPr>
              <w:t>Adjusted diluted earnings per share</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$ 2.85</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$ 3.01</w:t>
            </w:r>
          </w:p>
        </w:tc>
        <w:tc>
          <w:tcPr>
            <w:tcW w:w="1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$ 3.55</w:t>
            </w:r>
          </w:p>
        </w:tc>
        <w:tc>
          <w:tcPr>
            <w:tcW w:w="180" w:type="dxa"/>
            <w:vAlign w:val="bottom"/>
          </w:tcPr>
          <w:p>
            <w:pPr>
              <w:spacing w:after="0"/>
              <w:rPr>
                <w:sz w:val="15"/>
                <w:szCs w:val="15"/>
                <w:color w:val="auto"/>
              </w:rPr>
            </w:pP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$ 3.64</w:t>
            </w:r>
          </w:p>
        </w:tc>
      </w:tr>
      <w:tr>
        <w:trPr>
          <w:trHeight w:val="173"/>
        </w:trPr>
        <w:tc>
          <w:tcPr>
            <w:tcW w:w="4280" w:type="dxa"/>
            <w:vAlign w:val="bottom"/>
          </w:tcPr>
          <w:p>
            <w:pPr>
              <w:spacing w:after="0"/>
              <w:rPr>
                <w:sz w:val="15"/>
                <w:szCs w:val="15"/>
                <w:color w:val="auto"/>
              </w:rPr>
            </w:pPr>
          </w:p>
        </w:tc>
        <w:tc>
          <w:tcPr>
            <w:tcW w:w="1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Page 9</w:t>
      </w:r>
    </w:p>
    <w:p>
      <w:pPr>
        <w:sectPr>
          <w:pgSz w:w="11900" w:h="16838" w:orient="portrait"/>
          <w:cols w:equalWidth="0" w:num="1">
            <w:col w:w="11520"/>
          </w:cols>
          <w:pgMar w:left="240" w:top="464" w:right="139" w:bottom="1440" w:gutter="0" w:footer="0" w:header="0"/>
        </w:sectPr>
      </w:pPr>
    </w:p>
    <w:bookmarkStart w:id="14" w:name="page15"/>
    <w:bookmarkEnd w:id="14"/>
    <w:p>
      <w:pPr>
        <w:jc w:val="center"/>
        <w:ind w:right="3012"/>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Footnotes to Preceding Financial Statements</w:t>
      </w:r>
    </w:p>
    <w:p>
      <w:pPr>
        <w:spacing w:after="0" w:line="3" w:lineRule="exact"/>
        <w:rPr>
          <w:sz w:val="20"/>
          <w:szCs w:val="20"/>
          <w:color w:val="auto"/>
        </w:rPr>
      </w:pPr>
    </w:p>
    <w:p>
      <w:pPr>
        <w:ind w:left="1988"/>
        <w:spacing w:after="0"/>
        <w:rPr>
          <w:sz w:val="20"/>
          <w:szCs w:val="20"/>
          <w:color w:val="auto"/>
        </w:rPr>
      </w:pPr>
      <w:r>
        <w:rPr>
          <w:rFonts w:ascii="Courier New" w:cs="Courier New" w:eastAsia="Courier New" w:hAnsi="Courier New"/>
          <w:sz w:val="15"/>
          <w:szCs w:val="15"/>
          <w:color w:val="auto"/>
        </w:rPr>
        <w:t>(in millions, except per share data)</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RESULTS OF OPERATIONS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51" w:lineRule="exact"/>
        <w:rPr>
          <w:sz w:val="20"/>
          <w:szCs w:val="20"/>
          <w:color w:val="auto"/>
        </w:rPr>
      </w:pPr>
    </w:p>
    <w:p>
      <w:pPr>
        <w:ind w:left="448" w:right="3019" w:hanging="448"/>
        <w:spacing w:after="0" w:line="244" w:lineRule="auto"/>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earnings per common share is calculated by dividing income applicable to common shareholders by average common shares outstanding during the period.</w:t>
      </w:r>
    </w:p>
    <w:p>
      <w:pPr>
        <w:spacing w:after="0" w:line="175" w:lineRule="exact"/>
        <w:rPr>
          <w:rFonts w:ascii="Courier New" w:cs="Courier New" w:eastAsia="Courier New" w:hAnsi="Courier New"/>
          <w:sz w:val="15"/>
          <w:szCs w:val="15"/>
          <w:color w:val="auto"/>
        </w:rPr>
      </w:pPr>
    </w:p>
    <w:p>
      <w:pPr>
        <w:ind w:left="448" w:right="3199" w:hanging="448"/>
        <w:spacing w:after="0" w:line="244" w:lineRule="auto"/>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Diluted earnings per common share is calculated by dividing net income by the average common shares and dilutive potential common shares (common stock warrants and options) outstanding during the period.</w:t>
      </w:r>
    </w:p>
    <w:p>
      <w:pPr>
        <w:spacing w:after="0" w:line="175" w:lineRule="exact"/>
        <w:rPr>
          <w:rFonts w:ascii="Courier New" w:cs="Courier New" w:eastAsia="Courier New" w:hAnsi="Courier New"/>
          <w:sz w:val="15"/>
          <w:szCs w:val="15"/>
          <w:color w:val="auto"/>
        </w:rPr>
      </w:pPr>
    </w:p>
    <w:p>
      <w:pPr>
        <w:ind w:left="448" w:right="3019" w:hanging="448"/>
        <w:spacing w:after="0" w:line="244" w:lineRule="auto"/>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defined as income from operations, plus depreciation and amortization. EBITDA is not intended to represent cash flow from operations as defined by generally accepted accounting principles and should not be used as an alternative to net income as an indicator of operating performance or to cash flow as a measure of liquidity.</w:t>
      </w:r>
    </w:p>
    <w:p>
      <w:pPr>
        <w:spacing w:after="0" w:line="176"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Page 10</w:t>
      </w:r>
    </w:p>
    <w:sectPr>
      <w:pgSz w:w="11900" w:h="16838" w:orient="portrait"/>
      <w:cols w:equalWidth="0" w:num="1">
        <w:col w:w="10227"/>
      </w:cols>
      <w:pgMar w:left="232" w:top="4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2019-12-20T06:15:51Z</dcterms:created>
  <dcterms:modified xsi:type="dcterms:W3CDTF">2019-12-20T06:15:51Z</dcterms:modified>
</cp:coreProperties>
</file>