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filed with the Securities and Exchange Commission on May 9, 2005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033-60056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122555</wp:posOffset>
            </wp:positionV>
            <wp:extent cx="3353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135255</wp:posOffset>
            </wp:positionV>
            <wp:extent cx="4364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305435</wp:posOffset>
            </wp:positionV>
            <wp:extent cx="4793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Ohio</w:t>
            </w:r>
          </w:p>
        </w:tc>
        <w:tc>
          <w:tcPr>
            <w:tcW w:w="6840" w:type="dxa"/>
            <w:vAlign w:val="bottom"/>
            <w:gridSpan w:val="4"/>
          </w:tcPr>
          <w:p>
            <w:pPr>
              <w:jc w:val="right"/>
              <w:ind w:right="2280"/>
              <w:spacing w:after="0"/>
              <w:rPr>
                <w:sz w:val="20"/>
                <w:szCs w:val="20"/>
                <w:color w:val="auto"/>
              </w:rPr>
            </w:pPr>
            <w:r>
              <w:rPr>
                <w:rFonts w:ascii="Arial" w:cs="Arial" w:eastAsia="Arial" w:hAnsi="Arial"/>
                <w:sz w:val="18"/>
                <w:szCs w:val="18"/>
                <w:color w:val="auto"/>
              </w:rPr>
              <w:t>31-1414921</w:t>
            </w:r>
          </w:p>
        </w:tc>
      </w:tr>
      <w:tr>
        <w:trPr>
          <w:trHeight w:val="202"/>
        </w:trPr>
        <w:tc>
          <w:tcPr>
            <w:tcW w:w="4580" w:type="dxa"/>
            <w:vAlign w:val="bottom"/>
            <w:tcBorders>
              <w:top w:val="single" w:sz="8" w:color="auto"/>
            </w:tcBorders>
            <w:gridSpan w:val="3"/>
          </w:tcPr>
          <w:p>
            <w:pPr>
              <w:jc w:val="center"/>
              <w:ind w:left="770"/>
              <w:spacing w:after="0" w:line="201" w:lineRule="exact"/>
              <w:rPr>
                <w:sz w:val="20"/>
                <w:szCs w:val="20"/>
                <w:color w:val="auto"/>
              </w:rPr>
            </w:pPr>
            <w:r>
              <w:rPr>
                <w:rFonts w:ascii="Arial" w:cs="Arial" w:eastAsia="Arial" w:hAnsi="Arial"/>
                <w:sz w:val="18"/>
                <w:szCs w:val="18"/>
                <w:color w:val="auto"/>
                <w:w w:val="92"/>
              </w:rPr>
              <w:t>(State or other jurisdiction of</w:t>
            </w:r>
          </w:p>
        </w:tc>
        <w:tc>
          <w:tcPr>
            <w:tcW w:w="84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80" w:type="dxa"/>
            <w:vAlign w:val="bottom"/>
            <w:gridSpan w:val="3"/>
          </w:tcPr>
          <w:p>
            <w:pPr>
              <w:jc w:val="center"/>
              <w:ind w:left="770"/>
              <w:spacing w:after="0"/>
              <w:rPr>
                <w:sz w:val="20"/>
                <w:szCs w:val="20"/>
                <w:color w:val="auto"/>
              </w:rPr>
            </w:pPr>
            <w:r>
              <w:rPr>
                <w:rFonts w:ascii="Arial" w:cs="Arial" w:eastAsia="Arial" w:hAnsi="Arial"/>
                <w:sz w:val="18"/>
                <w:szCs w:val="18"/>
                <w:color w:val="auto"/>
                <w:w w:val="92"/>
              </w:rPr>
              <w:t>incorporation or organization)</w:t>
            </w: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5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2"/>
              </w:rPr>
              <w:t>14111 Scottslawn Road, Marysville, Ohio</w:t>
            </w:r>
          </w:p>
        </w:tc>
        <w:tc>
          <w:tcPr>
            <w:tcW w:w="6840" w:type="dxa"/>
            <w:vAlign w:val="bottom"/>
            <w:tcBorders>
              <w:bottom w:val="single" w:sz="8" w:color="auto"/>
            </w:tcBorders>
            <w:gridSpan w:val="4"/>
          </w:tcPr>
          <w:p>
            <w:pPr>
              <w:jc w:val="right"/>
              <w:ind w:right="2480"/>
              <w:spacing w:after="0"/>
              <w:rPr>
                <w:sz w:val="20"/>
                <w:szCs w:val="20"/>
                <w:color w:val="auto"/>
              </w:rPr>
            </w:pPr>
            <w:r>
              <w:rPr>
                <w:rFonts w:ascii="Arial" w:cs="Arial" w:eastAsia="Arial" w:hAnsi="Arial"/>
                <w:sz w:val="18"/>
                <w:szCs w:val="18"/>
                <w:color w:val="auto"/>
              </w:rPr>
              <w:t>43041</w:t>
            </w:r>
          </w:p>
        </w:tc>
      </w:tr>
      <w:tr>
        <w:trPr>
          <w:trHeight w:val="224"/>
        </w:trPr>
        <w:tc>
          <w:tcPr>
            <w:tcW w:w="458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(Zip Code)</w:t>
            </w:r>
          </w:p>
        </w:tc>
      </w:tr>
      <w:tr>
        <w:trPr>
          <w:trHeight w:val="404"/>
        </w:trPr>
        <w:tc>
          <w:tcPr>
            <w:tcW w:w="3080" w:type="dxa"/>
            <w:vAlign w:val="bottom"/>
          </w:tcPr>
          <w:p>
            <w:pPr>
              <w:spacing w:after="0"/>
              <w:rPr>
                <w:sz w:val="24"/>
                <w:szCs w:val="24"/>
                <w:color w:val="auto"/>
              </w:rPr>
            </w:pPr>
          </w:p>
        </w:tc>
        <w:tc>
          <w:tcPr>
            <w:tcW w:w="8340" w:type="dxa"/>
            <w:vAlign w:val="bottom"/>
            <w:gridSpan w:val="6"/>
          </w:tcPr>
          <w:p>
            <w:pPr>
              <w:jc w:val="center"/>
              <w:ind w:right="3080"/>
              <w:spacing w:after="0"/>
              <w:rPr>
                <w:sz w:val="20"/>
                <w:szCs w:val="20"/>
                <w:color w:val="auto"/>
              </w:rPr>
            </w:pPr>
            <w:r>
              <w:rPr>
                <w:rFonts w:ascii="Arial" w:cs="Arial" w:eastAsia="Arial" w:hAnsi="Arial"/>
                <w:sz w:val="18"/>
                <w:szCs w:val="18"/>
                <w:color w:val="auto"/>
                <w:w w:val="91"/>
              </w:rPr>
              <w:t>The Scotts Miracle-Gro Company 1992 Long Term Incentive Plan</w:t>
            </w:r>
          </w:p>
        </w:tc>
      </w:tr>
      <w:tr>
        <w:trPr>
          <w:trHeight w:val="176"/>
        </w:trPr>
        <w:tc>
          <w:tcPr>
            <w:tcW w:w="30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3"/>
          </w:tcPr>
          <w:p>
            <w:pPr>
              <w:spacing w:after="0"/>
              <w:rPr>
                <w:sz w:val="15"/>
                <w:szCs w:val="15"/>
                <w:color w:val="auto"/>
              </w:rPr>
            </w:pPr>
          </w:p>
        </w:tc>
        <w:tc>
          <w:tcPr>
            <w:tcW w:w="3060" w:type="dxa"/>
            <w:vAlign w:val="bottom"/>
          </w:tcPr>
          <w:p>
            <w:pPr>
              <w:spacing w:after="0"/>
              <w:rPr>
                <w:sz w:val="15"/>
                <w:szCs w:val="15"/>
                <w:color w:val="auto"/>
              </w:rPr>
            </w:pPr>
          </w:p>
        </w:tc>
      </w:tr>
      <w:tr>
        <w:trPr>
          <w:trHeight w:val="304"/>
        </w:trPr>
        <w:tc>
          <w:tcPr>
            <w:tcW w:w="3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40" w:type="dxa"/>
            <w:vAlign w:val="bottom"/>
            <w:gridSpan w:val="4"/>
          </w:tcPr>
          <w:p>
            <w:pPr>
              <w:jc w:val="center"/>
              <w:ind w:right="4580"/>
              <w:spacing w:after="0"/>
              <w:rPr>
                <w:sz w:val="20"/>
                <w:szCs w:val="20"/>
                <w:color w:val="auto"/>
              </w:rPr>
            </w:pPr>
            <w:r>
              <w:rPr>
                <w:rFonts w:ascii="Arial" w:cs="Arial" w:eastAsia="Arial" w:hAnsi="Arial"/>
                <w:sz w:val="18"/>
                <w:szCs w:val="18"/>
                <w:color w:val="auto"/>
                <w:w w:val="94"/>
              </w:rPr>
              <w:t>(Full title of the plan)</w:t>
            </w:r>
          </w:p>
        </w:tc>
      </w:tr>
      <w:tr>
        <w:trPr>
          <w:trHeight w:val="418"/>
        </w:trPr>
        <w:tc>
          <w:tcPr>
            <w:tcW w:w="3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0" w:type="dxa"/>
            <w:vAlign w:val="bottom"/>
            <w:gridSpan w:val="3"/>
          </w:tcPr>
          <w:p>
            <w:pPr>
              <w:ind w:left="300"/>
              <w:spacing w:after="0"/>
              <w:rPr>
                <w:sz w:val="20"/>
                <w:szCs w:val="20"/>
                <w:color w:val="auto"/>
              </w:rPr>
            </w:pPr>
            <w:r>
              <w:rPr>
                <w:rFonts w:ascii="Arial" w:cs="Arial" w:eastAsia="Arial" w:hAnsi="Arial"/>
                <w:sz w:val="18"/>
                <w:szCs w:val="18"/>
                <w:color w:val="auto"/>
              </w:rPr>
              <w:t>Copy to:</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David M. Aronowitz, Esq.</w:t>
            </w:r>
          </w:p>
        </w:tc>
        <w:tc>
          <w:tcPr>
            <w:tcW w:w="840" w:type="dxa"/>
            <w:vAlign w:val="bottom"/>
          </w:tcPr>
          <w:p>
            <w:pPr>
              <w:spacing w:after="0"/>
              <w:rPr>
                <w:sz w:val="18"/>
                <w:szCs w:val="18"/>
                <w:color w:val="auto"/>
              </w:rPr>
            </w:pPr>
          </w:p>
        </w:tc>
        <w:tc>
          <w:tcPr>
            <w:tcW w:w="6000" w:type="dxa"/>
            <w:vAlign w:val="bottom"/>
            <w:gridSpan w:val="3"/>
          </w:tcPr>
          <w:p>
            <w:pPr>
              <w:ind w:left="300"/>
              <w:spacing w:after="0"/>
              <w:rPr>
                <w:sz w:val="20"/>
                <w:szCs w:val="20"/>
                <w:color w:val="auto"/>
              </w:rPr>
            </w:pPr>
            <w:r>
              <w:rPr>
                <w:rFonts w:ascii="Arial" w:cs="Arial" w:eastAsia="Arial" w:hAnsi="Arial"/>
                <w:sz w:val="18"/>
                <w:szCs w:val="18"/>
                <w:color w:val="auto"/>
              </w:rPr>
              <w:t>Elizabeth Turrell Farrar, Esq.</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The Scotts Miracle-Gro Company</w:t>
            </w:r>
          </w:p>
        </w:tc>
        <w:tc>
          <w:tcPr>
            <w:tcW w:w="840" w:type="dxa"/>
            <w:vAlign w:val="bottom"/>
          </w:tcPr>
          <w:p>
            <w:pPr>
              <w:spacing w:after="0"/>
              <w:rPr>
                <w:sz w:val="18"/>
                <w:szCs w:val="18"/>
                <w:color w:val="auto"/>
              </w:rPr>
            </w:pPr>
          </w:p>
        </w:tc>
        <w:tc>
          <w:tcPr>
            <w:tcW w:w="6000" w:type="dxa"/>
            <w:vAlign w:val="bottom"/>
            <w:gridSpan w:val="3"/>
          </w:tcPr>
          <w:p>
            <w:pPr>
              <w:ind w:left="300"/>
              <w:spacing w:after="0"/>
              <w:rPr>
                <w:sz w:val="20"/>
                <w:szCs w:val="20"/>
                <w:color w:val="auto"/>
              </w:rPr>
            </w:pPr>
            <w:r>
              <w:rPr>
                <w:rFonts w:ascii="Arial" w:cs="Arial" w:eastAsia="Arial" w:hAnsi="Arial"/>
                <w:sz w:val="18"/>
                <w:szCs w:val="18"/>
                <w:color w:val="auto"/>
              </w:rPr>
              <w:t>Vorys, Sater, Seymour and Pease LLP</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14111 Scottslawn Road</w:t>
            </w:r>
          </w:p>
        </w:tc>
        <w:tc>
          <w:tcPr>
            <w:tcW w:w="840" w:type="dxa"/>
            <w:vAlign w:val="bottom"/>
          </w:tcPr>
          <w:p>
            <w:pPr>
              <w:spacing w:after="0"/>
              <w:rPr>
                <w:sz w:val="18"/>
                <w:szCs w:val="18"/>
                <w:color w:val="auto"/>
              </w:rPr>
            </w:pPr>
          </w:p>
        </w:tc>
        <w:tc>
          <w:tcPr>
            <w:tcW w:w="6000" w:type="dxa"/>
            <w:vAlign w:val="bottom"/>
            <w:gridSpan w:val="3"/>
          </w:tcPr>
          <w:p>
            <w:pPr>
              <w:ind w:left="300"/>
              <w:spacing w:after="0"/>
              <w:rPr>
                <w:sz w:val="20"/>
                <w:szCs w:val="20"/>
                <w:color w:val="auto"/>
              </w:rPr>
            </w:pPr>
            <w:r>
              <w:rPr>
                <w:rFonts w:ascii="Arial" w:cs="Arial" w:eastAsia="Arial" w:hAnsi="Arial"/>
                <w:sz w:val="18"/>
                <w:szCs w:val="18"/>
                <w:color w:val="auto"/>
              </w:rPr>
              <w:t>52 East Gay Street</w:t>
            </w: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Marysville, Ohio 43041</w:t>
            </w:r>
          </w:p>
        </w:tc>
        <w:tc>
          <w:tcPr>
            <w:tcW w:w="840" w:type="dxa"/>
            <w:vAlign w:val="bottom"/>
          </w:tcPr>
          <w:p>
            <w:pPr>
              <w:spacing w:after="0"/>
              <w:rPr>
                <w:sz w:val="20"/>
                <w:szCs w:val="20"/>
                <w:color w:val="auto"/>
              </w:rPr>
            </w:pPr>
          </w:p>
        </w:tc>
        <w:tc>
          <w:tcPr>
            <w:tcW w:w="6000" w:type="dxa"/>
            <w:vAlign w:val="bottom"/>
            <w:gridSpan w:val="3"/>
          </w:tcPr>
          <w:p>
            <w:pPr>
              <w:ind w:left="300"/>
              <w:spacing w:after="0"/>
              <w:rPr>
                <w:sz w:val="20"/>
                <w:szCs w:val="20"/>
                <w:color w:val="auto"/>
              </w:rPr>
            </w:pPr>
            <w:r>
              <w:rPr>
                <w:rFonts w:ascii="Arial" w:cs="Arial" w:eastAsia="Arial" w:hAnsi="Arial"/>
                <w:sz w:val="18"/>
                <w:szCs w:val="18"/>
                <w:color w:val="auto"/>
              </w:rPr>
              <w:t>P.O. Box 1008</w:t>
            </w:r>
          </w:p>
        </w:tc>
      </w:tr>
      <w:tr>
        <w:trPr>
          <w:trHeight w:val="81"/>
        </w:trPr>
        <w:tc>
          <w:tcPr>
            <w:tcW w:w="3880" w:type="dxa"/>
            <w:vAlign w:val="bottom"/>
            <w:tcBorders>
              <w:bottom w:val="single" w:sz="8" w:color="auto"/>
            </w:tcBorders>
            <w:gridSpan w:val="2"/>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0" w:type="dxa"/>
            <w:vAlign w:val="bottom"/>
            <w:gridSpan w:val="3"/>
          </w:tcPr>
          <w:p>
            <w:pPr>
              <w:spacing w:after="0"/>
              <w:rPr>
                <w:sz w:val="7"/>
                <w:szCs w:val="7"/>
                <w:color w:val="auto"/>
              </w:rPr>
            </w:pPr>
          </w:p>
        </w:tc>
      </w:tr>
      <w:tr>
        <w:trPr>
          <w:trHeight w:val="304"/>
        </w:trPr>
        <w:tc>
          <w:tcPr>
            <w:tcW w:w="4580" w:type="dxa"/>
            <w:vAlign w:val="bottom"/>
            <w:gridSpan w:val="3"/>
          </w:tcPr>
          <w:p>
            <w:pPr>
              <w:spacing w:after="0"/>
              <w:rPr>
                <w:sz w:val="20"/>
                <w:szCs w:val="20"/>
                <w:color w:val="auto"/>
              </w:rPr>
            </w:pPr>
            <w:r>
              <w:rPr>
                <w:rFonts w:ascii="Arial" w:cs="Arial" w:eastAsia="Arial" w:hAnsi="Arial"/>
                <w:sz w:val="18"/>
                <w:szCs w:val="18"/>
                <w:color w:val="auto"/>
              </w:rPr>
              <w:t>(Name and address of agent for service)</w:t>
            </w:r>
          </w:p>
        </w:tc>
        <w:tc>
          <w:tcPr>
            <w:tcW w:w="840" w:type="dxa"/>
            <w:vAlign w:val="bottom"/>
          </w:tcPr>
          <w:p>
            <w:pPr>
              <w:spacing w:after="0"/>
              <w:rPr>
                <w:sz w:val="24"/>
                <w:szCs w:val="24"/>
                <w:color w:val="auto"/>
              </w:rPr>
            </w:pPr>
          </w:p>
        </w:tc>
        <w:tc>
          <w:tcPr>
            <w:tcW w:w="6000" w:type="dxa"/>
            <w:vAlign w:val="bottom"/>
            <w:gridSpan w:val="3"/>
          </w:tcPr>
          <w:p>
            <w:pPr>
              <w:ind w:left="300"/>
              <w:spacing w:after="0"/>
              <w:rPr>
                <w:sz w:val="20"/>
                <w:szCs w:val="20"/>
                <w:color w:val="auto"/>
              </w:rPr>
            </w:pPr>
            <w:r>
              <w:rPr>
                <w:rFonts w:ascii="Arial" w:cs="Arial" w:eastAsia="Arial" w:hAnsi="Arial"/>
                <w:sz w:val="18"/>
                <w:szCs w:val="18"/>
                <w:color w:val="auto"/>
              </w:rPr>
              <w:t>Columbus, Ohio 43216-1008</w:t>
            </w:r>
          </w:p>
        </w:tc>
      </w:tr>
      <w:tr>
        <w:trPr>
          <w:trHeight w:val="392"/>
        </w:trPr>
        <w:tc>
          <w:tcPr>
            <w:tcW w:w="3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gridSpan w:val="3"/>
          </w:tcPr>
          <w:p>
            <w:pPr>
              <w:jc w:val="center"/>
              <w:ind w:right="1410"/>
              <w:spacing w:after="0"/>
              <w:rPr>
                <w:sz w:val="20"/>
                <w:szCs w:val="20"/>
                <w:color w:val="auto"/>
              </w:rPr>
            </w:pPr>
            <w:r>
              <w:rPr>
                <w:rFonts w:ascii="Arial" w:cs="Arial" w:eastAsia="Arial" w:hAnsi="Arial"/>
                <w:sz w:val="18"/>
                <w:szCs w:val="18"/>
                <w:color w:val="auto"/>
                <w:w w:val="90"/>
              </w:rPr>
              <w:t>(937) 644-0011</w:t>
            </w: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111760</wp:posOffset>
            </wp:positionV>
            <wp:extent cx="3353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EXPLANATORY NOTE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ADOPTION OF PREDECESSOR ISSUER’S REGISTRATION STATEMENT</w:t>
      </w:r>
    </w:p>
    <w:p>
      <w:pPr>
        <w:spacing w:after="0" w:line="184"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This Post-Effective Amendment No. 2 to Registration Statement on Form S-8 (this “Post-Effective Amendment No. 2”), is being filed by The Scotts Miracle-Gro Company, an Ohio corporation (“Scotts Miracle-Gro” or the “Registrant”), as the public company successor to The Scotts Company, an Ohio corporation (“Scotts”).</w:t>
      </w:r>
    </w:p>
    <w:p>
      <w:pPr>
        <w:spacing w:after="0" w:line="141" w:lineRule="exact"/>
        <w:rPr>
          <w:sz w:val="20"/>
          <w:szCs w:val="20"/>
          <w:color w:val="auto"/>
        </w:rPr>
      </w:pPr>
    </w:p>
    <w:p>
      <w:pPr>
        <w:ind w:right="400" w:firstLine="225"/>
        <w:spacing w:after="0" w:line="259" w:lineRule="auto"/>
        <w:rPr>
          <w:sz w:val="20"/>
          <w:szCs w:val="20"/>
          <w:color w:val="auto"/>
        </w:rPr>
      </w:pPr>
      <w:r>
        <w:rPr>
          <w:rFonts w:ascii="Arial" w:cs="Arial" w:eastAsia="Arial" w:hAnsi="Arial"/>
          <w:sz w:val="18"/>
          <w:szCs w:val="18"/>
          <w:color w:val="auto"/>
        </w:rPr>
        <w:t>On March 18, 2005 (the “Effective Time”), Scotts consummated the restructuring of Scotts’ corporate structure into a holding company structure by merging Scotts into a newly-created, wholly-owned, second-tier Ohio limited liability company subsidiary, The Scotts Company LLC (“Scotts LLC”), pursuant to an Agreement and Plan of Merger, dated as of December 13, 2004, by and among Scotts, Scotts LLC and Scotts Miracle-Gro. This merger is referred to in this Post-Effective Amendment No. 2 as the “Restructuring Merger.”</w:t>
      </w:r>
    </w:p>
    <w:p>
      <w:pPr>
        <w:spacing w:after="0" w:line="146"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Upon consummation of the Restructuring Merger, each of Scotts’ common shares, without par value (the “Scotts Common Shares”), issued and outstanding immediately prior to the Effective Time was automatically converted into one fully paid and nonassessable common share, without par value, of Scotts Miracle-Gro (the “Scotts Miracle-Gro Common Shares”). Also, the entire class of Scotts Miracle-Gro Common Shares became registered under Section 12(b) of the Securities Exchange Act of 1934, as amended (the “Exchange Act”), in accordance with Rule 12g-3 under the Exchange Act. As a result of the Restructuring Merger, Scotts Miracle-Gro is the new parent holding company and the public company successor to Scotts. Scotts LLC is the successor to Scotts and is a direct, wholly-owned subsidiary of Scotts Miracle-Gro.</w:t>
      </w:r>
    </w:p>
    <w:p>
      <w:pPr>
        <w:spacing w:after="0" w:line="166"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As of the Effective Time, Scotts Miracle-Gro assumed The Scotts Company 1992 Long Term Incentive Plan (the “1992 Plan”) as well as all obligations of Scotts under the 1992 Plan, including the outstanding options granted pursuant to the 1992 Plan. As part of the Restructuring Merger, each option to purchase Scotts Common Shares granted under the 1992 Plan which was outstanding immediately prior to the Effective Time was converted into and became an option to purchase the same number of Scotts Miracle-Gro Common Shares as the number of Scotts Common Shares which were subject to such option immediately prior to the Effective Time, at the same exercise price per share and upon the same terms and subject to the same conditions as were in effect at the Effective Time.</w:t>
      </w:r>
    </w:p>
    <w:p>
      <w:pPr>
        <w:spacing w:after="0" w:line="153"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All provisions of the 1992 Plan remain the same following the Restructuring Merger, except that the 1992 Plan has been amended to replace references to “The Scotts Company” with references to “The Scotts Miracle-Gro Company” and to change the name of the 1992 Plan from “The Scotts Company 1992 Long Term Incentive Plan” to “The Scotts Miracle-Gro Company 1992 Long Term Incentive Plan.” From and after the Effective Time, all awards under the 1992 Plan will be made with respect to Scotts Miracle-Gro Common Shares.</w:t>
      </w:r>
    </w:p>
    <w:p>
      <w:pPr>
        <w:spacing w:after="0" w:line="146"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Restructuring Merger was approved by the shareholders of Scotts at the Annual Meeting of Shareholders held on January 27, 2005. Prior to the Restructuring Merger, Scotts Miracle-Gro had engaged in no activities other than those incident to the restructuring and had no assets or liabilities other than nominal assets and liabilities.</w:t>
      </w:r>
    </w:p>
    <w:p>
      <w:pPr>
        <w:spacing w:after="0" w:line="154" w:lineRule="exact"/>
        <w:rPr>
          <w:sz w:val="20"/>
          <w:szCs w:val="20"/>
          <w:color w:val="auto"/>
        </w:rPr>
      </w:pPr>
    </w:p>
    <w:p>
      <w:pPr>
        <w:jc w:val="both"/>
        <w:ind w:right="100" w:firstLine="225"/>
        <w:spacing w:after="0" w:line="286" w:lineRule="auto"/>
        <w:rPr>
          <w:sz w:val="20"/>
          <w:szCs w:val="20"/>
          <w:color w:val="auto"/>
        </w:rPr>
      </w:pPr>
      <w:r>
        <w:rPr>
          <w:rFonts w:ascii="Arial" w:cs="Arial" w:eastAsia="Arial" w:hAnsi="Arial"/>
          <w:sz w:val="17"/>
          <w:szCs w:val="17"/>
          <w:color w:val="auto"/>
        </w:rPr>
        <w:t>Pursuant to Rule 414(d) under the Securities Act of 1933, as amended (the “Securities Act”), Scotts Miracle-Gro, as the successor issuer to Scotts, hereby adopts Scotts’ Registration Statement on Form S-8 (Registration No. 033-60056), which Registration Statement is applicable to the securities issuable under the 1992 Plan, as the Registration Statement of Scotts Miracle-Gro for all purposes of the Securities Act and the Exchange Act.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EX-5.1</w:t>
      </w:r>
    </w:p>
    <w:p>
      <w:pPr>
        <w:spacing w:after="0" w:line="230" w:lineRule="auto"/>
        <w:rPr>
          <w:sz w:val="20"/>
          <w:szCs w:val="20"/>
          <w:color w:val="auto"/>
        </w:rPr>
      </w:pPr>
      <w:r>
        <w:rPr>
          <w:rFonts w:ascii="Arial" w:cs="Arial" w:eastAsia="Arial" w:hAnsi="Arial"/>
          <w:sz w:val="22"/>
          <w:szCs w:val="22"/>
          <w:u w:val="single" w:color="auto"/>
          <w:color w:val="0000EE"/>
        </w:rPr>
        <w:t>EX-10.1</w:t>
      </w:r>
    </w:p>
    <w:p>
      <w:pPr>
        <w:spacing w:after="0" w:line="231" w:lineRule="auto"/>
        <w:rPr>
          <w:sz w:val="20"/>
          <w:szCs w:val="20"/>
          <w:color w:val="auto"/>
        </w:rPr>
      </w:pPr>
      <w:r>
        <w:rPr>
          <w:rFonts w:ascii="Arial" w:cs="Arial" w:eastAsia="Arial" w:hAnsi="Arial"/>
          <w:sz w:val="22"/>
          <w:szCs w:val="22"/>
          <w:u w:val="single" w:color="auto"/>
          <w:color w:val="0000EE"/>
        </w:rPr>
        <w:t>EX-23.1</w:t>
      </w:r>
    </w:p>
    <w:p>
      <w:pPr>
        <w:spacing w:after="0"/>
        <w:rPr>
          <w:sz w:val="20"/>
          <w:szCs w:val="20"/>
          <w:color w:val="auto"/>
        </w:rPr>
      </w:pPr>
      <w:r>
        <w:rPr>
          <w:rFonts w:ascii="Arial" w:cs="Arial" w:eastAsia="Arial" w:hAnsi="Arial"/>
          <w:sz w:val="22"/>
          <w:szCs w:val="22"/>
          <w:u w:val="single" w:color="auto"/>
          <w:color w:val="0000EE"/>
        </w:rPr>
        <w:t>EX-24.1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w:t>
      </w:r>
    </w:p>
    <w:p>
      <w:pPr>
        <w:spacing w:after="0" w:line="198" w:lineRule="exact"/>
        <w:rPr>
          <w:sz w:val="20"/>
          <w:szCs w:val="20"/>
          <w:color w:val="auto"/>
        </w:rPr>
      </w:pPr>
    </w:p>
    <w:p>
      <w:pPr>
        <w:ind w:right="3000" w:firstLine="3086"/>
        <w:spacing w:after="0" w:line="454" w:lineRule="auto"/>
        <w:rPr>
          <w:sz w:val="20"/>
          <w:szCs w:val="20"/>
          <w:color w:val="auto"/>
        </w:rPr>
      </w:pPr>
      <w:r>
        <w:rPr>
          <w:rFonts w:ascii="Arial" w:cs="Arial" w:eastAsia="Arial" w:hAnsi="Arial"/>
          <w:sz w:val="18"/>
          <w:szCs w:val="18"/>
          <w:color w:val="auto"/>
        </w:rPr>
        <w:t xml:space="preserve">INFORMATION REQUIRED IN THE REGISTRATION STATEMENT </w:t>
      </w: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6"/>
          <w:szCs w:val="16"/>
          <w:color w:val="auto"/>
        </w:rPr>
        <w:t>Scotts Miracle-Gro hereby incorporates into this Post-Effective Amendment No. 2 to Registration Statement on Form S-8 (the “Registration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Scotts Miracle-Gro and Scotts with the Securities and Exchange Commission (the “Commission”):</w:t>
      </w:r>
    </w:p>
    <w:p>
      <w:pPr>
        <w:spacing w:after="0" w:line="211" w:lineRule="exact"/>
        <w:rPr>
          <w:sz w:val="20"/>
          <w:szCs w:val="20"/>
          <w:color w:val="auto"/>
        </w:rPr>
      </w:pPr>
    </w:p>
    <w:p>
      <w:pPr>
        <w:ind w:left="1020" w:hanging="445"/>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Annual Report on Form 10-K of Scotts for the fiscal year ended September 30, 2004.</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Quarterly Report on Form 10-Q of Scotts for the quarterly period ended January 1, 2005.</w:t>
      </w:r>
    </w:p>
    <w:p>
      <w:pPr>
        <w:spacing w:after="0" w:line="225" w:lineRule="exact"/>
        <w:rPr>
          <w:rFonts w:ascii="Arial" w:cs="Arial" w:eastAsia="Arial" w:hAnsi="Arial"/>
          <w:sz w:val="18"/>
          <w:szCs w:val="18"/>
          <w:color w:val="auto"/>
        </w:rPr>
      </w:pPr>
    </w:p>
    <w:p>
      <w:pPr>
        <w:ind w:left="1020" w:right="140" w:hanging="445"/>
        <w:spacing w:after="0" w:line="308" w:lineRule="auto"/>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Current Reports on Form 8-K filed by Scotts with the Commission on November 19, 2004, December 8, 2004 (as subsequently amended by the Current Report on Form 8-K/A filed with the Commission on December 17, 2004) and February 2, 2005.</w:t>
      </w:r>
    </w:p>
    <w:p>
      <w:pPr>
        <w:spacing w:after="0" w:line="146" w:lineRule="exact"/>
        <w:rPr>
          <w:rFonts w:ascii="Arial" w:cs="Arial" w:eastAsia="Arial" w:hAnsi="Arial"/>
          <w:sz w:val="17"/>
          <w:szCs w:val="17"/>
          <w:color w:val="auto"/>
        </w:rPr>
      </w:pPr>
    </w:p>
    <w:p>
      <w:pPr>
        <w:ind w:left="1020" w:hanging="445"/>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Report on Form 8-K filed by Scotts Miracle-Gro with the Commission on March 24, 2005.</w:t>
      </w:r>
    </w:p>
    <w:p>
      <w:pPr>
        <w:spacing w:after="0" w:line="225" w:lineRule="exact"/>
        <w:rPr>
          <w:rFonts w:ascii="Arial" w:cs="Arial" w:eastAsia="Arial" w:hAnsi="Arial"/>
          <w:sz w:val="18"/>
          <w:szCs w:val="18"/>
          <w:color w:val="auto"/>
        </w:rPr>
      </w:pPr>
    </w:p>
    <w:p>
      <w:pPr>
        <w:ind w:left="1020" w:right="460" w:hanging="445"/>
        <w:spacing w:after="0" w:line="277"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Scotts Miracle-Gro Common Shares contained in Scotts Miracle-Gro’s Current Report on Form 8-K filed with the Commission on March 24, 2005.</w:t>
      </w:r>
    </w:p>
    <w:p>
      <w:pPr>
        <w:spacing w:after="0" w:line="170" w:lineRule="exact"/>
        <w:rPr>
          <w:sz w:val="20"/>
          <w:szCs w:val="20"/>
          <w:color w:val="auto"/>
        </w:rPr>
      </w:pPr>
    </w:p>
    <w:p>
      <w:pPr>
        <w:jc w:val="both"/>
        <w:ind w:firstLine="215"/>
        <w:spacing w:after="0" w:line="257" w:lineRule="auto"/>
        <w:rPr>
          <w:sz w:val="20"/>
          <w:szCs w:val="20"/>
          <w:color w:val="auto"/>
        </w:rPr>
      </w:pPr>
      <w:r>
        <w:rPr>
          <w:rFonts w:ascii="Arial" w:cs="Arial" w:eastAsia="Arial" w:hAnsi="Arial"/>
          <w:sz w:val="18"/>
          <w:szCs w:val="18"/>
          <w:color w:val="auto"/>
        </w:rPr>
        <w:t>Any definitive proxy statement or information statement filed by Scotts Miracle-Gro pursuant to Section 14 of the Exchange Act and all documents which may be filed by Scotts Miracle-Gro with the Commission pursuant to Section 13, 14 or 15(d) of the Exchange Act subsequent to the date hereof and prior to the completion of the offering contemplated by the 1992 Plan, shall also be deemed to be incorporated herein by reference and to be made a part hereof from the date of filing of such documents. Information furnished by Scotts Miracle-Gro under any Current Report on Form 8-K is not incorporated by reference in this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98"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Section 11.5 of the 1992 Plan provides for indemnification of the Registrant’s Board of Directors (the “Board”) and the Compensation and Organization Committee (the “Committee”) which administers the 1992 Plan as follows:</w:t>
      </w:r>
    </w:p>
    <w:p>
      <w:pPr>
        <w:spacing w:after="0" w:line="130" w:lineRule="exact"/>
        <w:rPr>
          <w:sz w:val="20"/>
          <w:szCs w:val="20"/>
          <w:color w:val="auto"/>
        </w:rPr>
      </w:pPr>
    </w:p>
    <w:p>
      <w:pPr>
        <w:ind w:left="360" w:firstLine="225"/>
        <w:spacing w:after="0" w:line="271" w:lineRule="auto"/>
        <w:rPr>
          <w:sz w:val="20"/>
          <w:szCs w:val="20"/>
          <w:color w:val="auto"/>
        </w:rPr>
      </w:pPr>
      <w:r>
        <w:rPr>
          <w:rFonts w:ascii="Arial" w:cs="Arial" w:eastAsia="Arial" w:hAnsi="Arial"/>
          <w:sz w:val="17"/>
          <w:szCs w:val="17"/>
          <w:color w:val="auto"/>
        </w:rPr>
        <w:t>11.5.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regulations, by contract, as a matter of law, or otherwise.</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210" w:lineRule="exact"/>
        <w:rPr>
          <w:sz w:val="20"/>
          <w:szCs w:val="20"/>
          <w:color w:val="auto"/>
        </w:rPr>
      </w:pPr>
    </w:p>
    <w:p>
      <w:pPr>
        <w:ind w:left="360" w:right="20" w:firstLine="225"/>
        <w:spacing w:after="0" w:line="268" w:lineRule="auto"/>
        <w:rPr>
          <w:sz w:val="20"/>
          <w:szCs w:val="20"/>
          <w:color w:val="auto"/>
        </w:rPr>
      </w:pPr>
      <w:r>
        <w:rPr>
          <w:rFonts w:ascii="Arial" w:cs="Arial" w:eastAsia="Arial" w:hAnsi="Arial"/>
          <w:sz w:val="17"/>
          <w:szCs w:val="17"/>
          <w:u w:val="single" w:color="auto"/>
          <w:color w:val="auto"/>
        </w:rPr>
        <w:t>Section 5.01. Mandatory Indemnification</w:t>
      </w:r>
      <w:r>
        <w:rPr>
          <w:rFonts w:ascii="Arial" w:cs="Arial" w:eastAsia="Arial" w:hAnsi="Arial"/>
          <w:sz w:val="17"/>
          <w:szCs w:val="17"/>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60" w:firstLine="215"/>
        <w:spacing w:after="0" w:line="270" w:lineRule="auto"/>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54" w:lineRule="exact"/>
        <w:rPr>
          <w:rFonts w:ascii="Arial" w:cs="Arial" w:eastAsia="Arial" w:hAnsi="Arial"/>
          <w:sz w:val="17"/>
          <w:szCs w:val="17"/>
          <w:color w:val="auto"/>
        </w:rPr>
      </w:pPr>
    </w:p>
    <w:p>
      <w:pPr>
        <w:ind w:left="860" w:hanging="285"/>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corporation shall promptly make any such unpaid indemnification as is determined by a court to be proper as contemplated by this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5.02.</w:t>
      </w:r>
    </w:p>
    <w:p>
      <w:pPr>
        <w:spacing w:after="0" w:line="170" w:lineRule="exact"/>
        <w:rPr>
          <w:sz w:val="20"/>
          <w:szCs w:val="20"/>
          <w:color w:val="auto"/>
        </w:rPr>
      </w:pPr>
    </w:p>
    <w:p>
      <w:pPr>
        <w:ind w:left="360" w:right="80" w:firstLine="225"/>
        <w:spacing w:after="0" w:line="291"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w:t>
      </w:r>
    </w:p>
    <w:p>
      <w:pPr>
        <w:ind w:left="360" w:right="60"/>
        <w:spacing w:after="0" w:line="323" w:lineRule="auto"/>
        <w:rPr>
          <w:sz w:val="20"/>
          <w:szCs w:val="20"/>
          <w:color w:val="auto"/>
        </w:rPr>
      </w:pPr>
      <w:r>
        <w:rPr>
          <w:rFonts w:ascii="Arial" w:cs="Arial" w:eastAsia="Arial" w:hAnsi="Arial"/>
          <w:sz w:val="16"/>
          <w:szCs w:val="16"/>
          <w:color w:val="auto"/>
        </w:rPr>
        <w:t>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98" w:lineRule="exact"/>
        <w:rPr>
          <w:sz w:val="20"/>
          <w:szCs w:val="20"/>
          <w:color w:val="auto"/>
        </w:rPr>
      </w:pPr>
    </w:p>
    <w:p>
      <w:pPr>
        <w:ind w:left="360" w:firstLine="225"/>
        <w:spacing w:after="0" w:line="283" w:lineRule="auto"/>
        <w:rPr>
          <w:sz w:val="20"/>
          <w:szCs w:val="20"/>
          <w:color w:val="auto"/>
        </w:rPr>
      </w:pPr>
      <w:r>
        <w:rPr>
          <w:rFonts w:ascii="Arial" w:cs="Arial" w:eastAsia="Arial" w:hAnsi="Arial"/>
          <w:sz w:val="16"/>
          <w:szCs w:val="16"/>
          <w:u w:val="single" w:color="auto"/>
          <w:color w:val="auto"/>
        </w:rPr>
        <w:t>Section 5.04. Determination Required</w:t>
      </w:r>
      <w:r>
        <w:rPr>
          <w:rFonts w:ascii="Arial" w:cs="Arial" w:eastAsia="Arial" w:hAnsi="Arial"/>
          <w:sz w:val="16"/>
          <w:szCs w:val="16"/>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w:t>
      </w:r>
    </w:p>
    <w:p>
      <w:pPr>
        <w:spacing w:after="0" w:line="4" w:lineRule="exact"/>
        <w:rPr>
          <w:sz w:val="20"/>
          <w:szCs w:val="20"/>
          <w:color w:val="auto"/>
        </w:rPr>
      </w:pPr>
    </w:p>
    <w:p>
      <w:pPr>
        <w:ind w:left="360" w:right="60" w:hanging="10"/>
        <w:spacing w:after="0" w:line="261" w:lineRule="auto"/>
        <w:tabs>
          <w:tab w:leader="none" w:pos="645" w:val="left"/>
        </w:tabs>
        <w:numPr>
          <w:ilvl w:val="0"/>
          <w:numId w:val="3"/>
        </w:numPr>
        <w:rPr>
          <w:rFonts w:ascii="Arial" w:cs="Arial" w:eastAsia="Arial" w:hAnsi="Arial"/>
          <w:sz w:val="18"/>
          <w:szCs w:val="18"/>
          <w:color w:val="auto"/>
        </w:rPr>
      </w:pPr>
      <w:r>
        <w:rPr>
          <w:rFonts w:ascii="Arial" w:cs="Arial" w:eastAsia="Arial" w:hAnsi="Arial"/>
          <w:sz w:val="18"/>
          <w:szCs w:val="18"/>
          <w:color w:val="auto"/>
        </w:rPr>
        <w:t>or by shareholders under division (C) of this Section 5.04 shall be evidence in rebuttal of the presumption recited in Section 5.01. Any determination made by the disinterested directors under division (A) or by independent legal counsel under division (B) of this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160"/>
        <w:spacing w:after="0" w:line="259" w:lineRule="auto"/>
        <w:rPr>
          <w:sz w:val="20"/>
          <w:szCs w:val="20"/>
          <w:color w:val="auto"/>
        </w:rPr>
      </w:pPr>
      <w:r>
        <w:rPr>
          <w:rFonts w:ascii="Arial" w:cs="Arial" w:eastAsia="Arial" w:hAnsi="Arial"/>
          <w:sz w:val="18"/>
          <w:szCs w:val="18"/>
          <w:color w:val="auto"/>
        </w:rPr>
        <w:t>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60"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48" w:lineRule="exact"/>
        <w:rPr>
          <w:sz w:val="20"/>
          <w:szCs w:val="20"/>
          <w:color w:val="auto"/>
        </w:rPr>
      </w:pPr>
    </w:p>
    <w:p>
      <w:pPr>
        <w:ind w:left="360" w:right="480" w:firstLine="215"/>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129" w:lineRule="exact"/>
        <w:rPr>
          <w:rFonts w:ascii="Arial" w:cs="Arial" w:eastAsia="Arial" w:hAnsi="Arial"/>
          <w:sz w:val="18"/>
          <w:szCs w:val="18"/>
          <w:color w:val="auto"/>
        </w:rPr>
      </w:pPr>
    </w:p>
    <w:p>
      <w:pPr>
        <w:ind w:left="360" w:right="100" w:firstLine="215"/>
        <w:spacing w:after="0" w:line="257" w:lineRule="auto"/>
        <w:tabs>
          <w:tab w:leader="none" w:pos="87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61" w:lineRule="exact"/>
        <w:rPr>
          <w:sz w:val="20"/>
          <w:szCs w:val="20"/>
          <w:color w:val="auto"/>
        </w:rPr>
      </w:pPr>
    </w:p>
    <w:p>
      <w:pPr>
        <w:ind w:left="360" w:right="20" w:firstLine="225"/>
        <w:spacing w:after="0" w:line="257"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48" w:lineRule="exact"/>
        <w:rPr>
          <w:sz w:val="20"/>
          <w:szCs w:val="20"/>
          <w:color w:val="auto"/>
        </w:rPr>
      </w:pPr>
    </w:p>
    <w:p>
      <w:pPr>
        <w:ind w:left="360" w:right="60" w:firstLine="225"/>
        <w:spacing w:after="0" w:line="255" w:lineRule="auto"/>
        <w:rPr>
          <w:sz w:val="20"/>
          <w:szCs w:val="20"/>
          <w:color w:val="auto"/>
        </w:rPr>
      </w:pPr>
      <w:r>
        <w:rPr>
          <w:rFonts w:ascii="Arial" w:cs="Arial" w:eastAsia="Arial" w:hAnsi="Arial"/>
          <w:sz w:val="18"/>
          <w:szCs w:val="18"/>
          <w:u w:val="single" w:color="auto"/>
          <w:color w:val="auto"/>
        </w:rPr>
        <w:t>Section 5.07. Insurance</w:t>
      </w:r>
      <w:r>
        <w:rPr>
          <w:rFonts w:ascii="Arial" w:cs="Arial" w:eastAsia="Arial" w:hAnsi="Arial"/>
          <w:sz w:val="18"/>
          <w:szCs w:val="18"/>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120" w:firstLine="215"/>
        <w:spacing w:after="0" w:line="297"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31" w:lineRule="exact"/>
        <w:rPr>
          <w:rFonts w:ascii="Arial" w:cs="Arial" w:eastAsia="Arial" w:hAnsi="Arial"/>
          <w:sz w:val="16"/>
          <w:szCs w:val="16"/>
          <w:color w:val="auto"/>
        </w:rPr>
      </w:pPr>
    </w:p>
    <w:p>
      <w:pPr>
        <w:ind w:left="360" w:firstLine="215"/>
        <w:spacing w:after="0" w:line="273" w:lineRule="auto"/>
        <w:tabs>
          <w:tab w:leader="none" w:pos="87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38" w:lineRule="exact"/>
        <w:rPr>
          <w:sz w:val="20"/>
          <w:szCs w:val="20"/>
          <w:color w:val="auto"/>
        </w:rPr>
      </w:pPr>
    </w:p>
    <w:p>
      <w:pPr>
        <w:ind w:left="360" w:right="24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98" w:lineRule="exact"/>
        <w:rPr>
          <w:sz w:val="20"/>
          <w:szCs w:val="20"/>
          <w:color w:val="auto"/>
        </w:rPr>
      </w:pPr>
    </w:p>
    <w:p>
      <w:pPr>
        <w:ind w:left="360" w:right="80" w:firstLine="225"/>
        <w:spacing w:after="0" w:line="287" w:lineRule="auto"/>
        <w:rPr>
          <w:sz w:val="20"/>
          <w:szCs w:val="20"/>
          <w:color w:val="auto"/>
        </w:rPr>
      </w:pPr>
      <w:r>
        <w:rPr>
          <w:rFonts w:ascii="Arial" w:cs="Arial" w:eastAsia="Arial" w:hAnsi="Arial"/>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firstLine="215"/>
        <w:spacing w:after="0" w:line="272"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51" w:lineRule="exact"/>
        <w:rPr>
          <w:sz w:val="20"/>
          <w:szCs w:val="20"/>
          <w:color w:val="auto"/>
        </w:rPr>
      </w:pPr>
    </w:p>
    <w:p>
      <w:pPr>
        <w:ind w:left="360" w:right="360" w:firstLine="215"/>
        <w:spacing w:after="0" w:line="279" w:lineRule="auto"/>
        <w:tabs>
          <w:tab w:leader="none" w:pos="83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30" w:lineRule="exact"/>
        <w:rPr>
          <w:rFonts w:ascii="Arial" w:cs="Arial" w:eastAsia="Arial" w:hAnsi="Arial"/>
          <w:sz w:val="17"/>
          <w:szCs w:val="17"/>
          <w:color w:val="auto"/>
        </w:rPr>
      </w:pPr>
    </w:p>
    <w:p>
      <w:pPr>
        <w:ind w:left="840" w:hanging="265"/>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85" w:lineRule="exact"/>
        <w:rPr>
          <w:sz w:val="20"/>
          <w:szCs w:val="20"/>
          <w:color w:val="auto"/>
        </w:rPr>
      </w:pPr>
    </w:p>
    <w:p>
      <w:pPr>
        <w:ind w:left="360" w:right="300" w:firstLine="215"/>
        <w:spacing w:after="0" w:line="312"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19" w:lineRule="exact"/>
        <w:rPr>
          <w:rFonts w:ascii="Arial" w:cs="Arial" w:eastAsia="Arial" w:hAnsi="Arial"/>
          <w:sz w:val="16"/>
          <w:szCs w:val="16"/>
          <w:color w:val="auto"/>
        </w:rPr>
      </w:pPr>
    </w:p>
    <w:p>
      <w:pPr>
        <w:ind w:left="360" w:right="140" w:firstLine="215"/>
        <w:spacing w:after="0" w:line="259"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46" w:lineRule="exact"/>
        <w:rPr>
          <w:sz w:val="20"/>
          <w:szCs w:val="20"/>
          <w:color w:val="auto"/>
        </w:rPr>
      </w:pPr>
    </w:p>
    <w:p>
      <w:pPr>
        <w:ind w:left="360" w:right="140" w:firstLine="215"/>
        <w:spacing w:after="0" w:line="277" w:lineRule="auto"/>
        <w:tabs>
          <w:tab w:leader="none" w:pos="83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29" w:lineRule="exact"/>
        <w:rPr>
          <w:rFonts w:ascii="Arial" w:cs="Arial" w:eastAsia="Arial" w:hAnsi="Arial"/>
          <w:sz w:val="18"/>
          <w:szCs w:val="18"/>
          <w:color w:val="auto"/>
        </w:rPr>
      </w:pPr>
    </w:p>
    <w:p>
      <w:pPr>
        <w:jc w:val="both"/>
        <w:ind w:left="360" w:right="60" w:firstLine="215"/>
        <w:spacing w:after="0" w:line="286"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38" w:lineRule="exact"/>
        <w:rPr>
          <w:rFonts w:ascii="Arial" w:cs="Arial" w:eastAsia="Arial" w:hAnsi="Arial"/>
          <w:sz w:val="17"/>
          <w:szCs w:val="17"/>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(d) By the court of common pleas or the court in which the action, suit, or proceeding referred to in division (E)(1) or (2) of this section was brought.</w:t>
      </w:r>
    </w:p>
    <w:p>
      <w:pPr>
        <w:spacing w:after="0" w:line="221" w:lineRule="exact"/>
        <w:rPr>
          <w:sz w:val="20"/>
          <w:szCs w:val="20"/>
          <w:color w:val="auto"/>
        </w:rPr>
      </w:pPr>
    </w:p>
    <w:p>
      <w:pPr>
        <w:ind w:left="360" w:right="20" w:firstLine="440"/>
        <w:spacing w:after="0" w:line="291" w:lineRule="auto"/>
        <w:rPr>
          <w:sz w:val="20"/>
          <w:szCs w:val="20"/>
          <w:color w:val="auto"/>
        </w:rPr>
      </w:pPr>
      <w:r>
        <w:rPr>
          <w:rFonts w:ascii="Arial" w:cs="Arial" w:eastAsia="Arial" w:hAnsi="Arial"/>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w:t>
      </w:r>
    </w:p>
    <w:p>
      <w:pPr>
        <w:ind w:left="360" w:right="320" w:hanging="10"/>
        <w:spacing w:after="0" w:line="261" w:lineRule="auto"/>
        <w:tabs>
          <w:tab w:leader="none" w:pos="6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43" w:lineRule="exact"/>
        <w:rPr>
          <w:sz w:val="20"/>
          <w:szCs w:val="20"/>
          <w:color w:val="auto"/>
        </w:rPr>
      </w:pPr>
    </w:p>
    <w:p>
      <w:pPr>
        <w:jc w:val="both"/>
        <w:ind w:left="360" w:right="100" w:firstLine="225"/>
        <w:spacing w:after="0" w:line="273" w:lineRule="auto"/>
        <w:rPr>
          <w:sz w:val="20"/>
          <w:szCs w:val="20"/>
          <w:color w:val="auto"/>
        </w:rPr>
      </w:pPr>
      <w:r>
        <w:rPr>
          <w:rFonts w:ascii="Arial" w:cs="Arial" w:eastAsia="Arial" w:hAnsi="Arial"/>
          <w:sz w:val="17"/>
          <w:szCs w:val="17"/>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138" w:lineRule="exact"/>
        <w:rPr>
          <w:sz w:val="20"/>
          <w:szCs w:val="20"/>
          <w:color w:val="auto"/>
        </w:rPr>
      </w:pPr>
    </w:p>
    <w:p>
      <w:pPr>
        <w:ind w:left="360" w:right="60" w:firstLine="215"/>
        <w:spacing w:after="0" w:line="264"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54" w:lineRule="exact"/>
        <w:rPr>
          <w:rFonts w:ascii="Arial" w:cs="Arial" w:eastAsia="Arial" w:hAnsi="Arial"/>
          <w:sz w:val="18"/>
          <w:szCs w:val="18"/>
          <w:color w:val="auto"/>
        </w:rPr>
      </w:pPr>
    </w:p>
    <w:p>
      <w:pPr>
        <w:ind w:left="840" w:hanging="265"/>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85" w:lineRule="exact"/>
        <w:rPr>
          <w:sz w:val="20"/>
          <w:szCs w:val="20"/>
          <w:color w:val="auto"/>
        </w:rPr>
      </w:pPr>
    </w:p>
    <w:p>
      <w:pPr>
        <w:ind w:left="360" w:right="100" w:firstLine="215"/>
        <w:spacing w:after="0" w:line="25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48" w:lineRule="exact"/>
        <w:rPr>
          <w:sz w:val="20"/>
          <w:szCs w:val="20"/>
          <w:color w:val="auto"/>
        </w:rPr>
      </w:pPr>
    </w:p>
    <w:p>
      <w:pPr>
        <w:ind w:left="360" w:firstLine="215"/>
        <w:spacing w:after="0" w:line="302"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27" w:lineRule="exact"/>
        <w:rPr>
          <w:rFonts w:ascii="Arial" w:cs="Arial" w:eastAsia="Arial" w:hAnsi="Arial"/>
          <w:sz w:val="16"/>
          <w:szCs w:val="16"/>
          <w:color w:val="auto"/>
        </w:rPr>
      </w:pPr>
    </w:p>
    <w:p>
      <w:pPr>
        <w:jc w:val="both"/>
        <w:ind w:left="360" w:firstLine="215"/>
        <w:spacing w:after="0" w:line="264"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160"/>
        <w:spacing w:after="0" w:line="279" w:lineRule="auto"/>
        <w:rPr>
          <w:sz w:val="20"/>
          <w:szCs w:val="20"/>
          <w:color w:val="auto"/>
        </w:rPr>
      </w:pPr>
      <w:r>
        <w:rPr>
          <w:rFonts w:ascii="Arial" w:cs="Arial" w:eastAsia="Arial" w:hAnsi="Arial"/>
          <w:sz w:val="17"/>
          <w:szCs w:val="17"/>
          <w:color w:val="auto"/>
        </w:rPr>
        <w:t>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44" w:lineRule="exact"/>
        <w:rPr>
          <w:sz w:val="20"/>
          <w:szCs w:val="20"/>
          <w:color w:val="auto"/>
        </w:rPr>
      </w:pPr>
    </w:p>
    <w:p>
      <w:pPr>
        <w:ind w:left="360" w:right="60" w:firstLine="215"/>
        <w:spacing w:after="0" w:line="31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106" w:lineRule="exact"/>
        <w:rPr>
          <w:rFonts w:ascii="Arial" w:cs="Arial" w:eastAsia="Arial" w:hAnsi="Arial"/>
          <w:sz w:val="16"/>
          <w:szCs w:val="16"/>
          <w:color w:val="auto"/>
        </w:rPr>
      </w:pPr>
    </w:p>
    <w:p>
      <w:pPr>
        <w:ind w:left="360" w:firstLine="215"/>
        <w:spacing w:after="0" w:line="297"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18"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Registrant has purchased insurance coverage under a policy which insures directors and officers against certain liabilities which might be incurred by them in such capacity.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Index to Exhibits attached hereto and beginning at page 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225"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580" w:right="40" w:hanging="438"/>
        <w:spacing w:after="0" w:line="312" w:lineRule="auto"/>
        <w:tabs>
          <w:tab w:leader="none" w:pos="158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80" w:right="60"/>
        <w:spacing w:after="0" w:line="259" w:lineRule="auto"/>
        <w:rPr>
          <w:sz w:val="20"/>
          <w:szCs w:val="20"/>
          <w:color w:val="auto"/>
        </w:rPr>
      </w:pPr>
      <w:r>
        <w:rPr>
          <w:rFonts w:ascii="Arial" w:cs="Arial" w:eastAsia="Arial" w:hAnsi="Arial"/>
          <w:sz w:val="18"/>
          <w:szCs w:val="18"/>
          <w:color w:val="auto"/>
        </w:rPr>
        <w:t>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sz w:val="20"/>
          <w:szCs w:val="20"/>
          <w:color w:val="auto"/>
        </w:rPr>
      </w:pPr>
    </w:p>
    <w:p>
      <w:pPr>
        <w:ind w:left="1580" w:hanging="438"/>
        <w:spacing w:after="0" w:line="277" w:lineRule="auto"/>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020" w:right="200"/>
        <w:spacing w:after="0" w:line="286" w:lineRule="auto"/>
        <w:rPr>
          <w:sz w:val="20"/>
          <w:szCs w:val="20"/>
          <w:color w:val="auto"/>
        </w:rPr>
      </w:pPr>
      <w:r>
        <w:rPr>
          <w:rFonts w:ascii="Arial" w:cs="Arial" w:eastAsia="Arial" w:hAnsi="Arial"/>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ind w:left="1020" w:right="60" w:hanging="445"/>
        <w:spacing w:after="0" w:line="264"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1020" w:right="720" w:hanging="445"/>
        <w:spacing w:after="0" w:line="27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60" w:right="260" w:hanging="252"/>
        <w:spacing w:after="0" w:line="259"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ind w:left="260" w:right="40" w:hanging="252"/>
        <w:spacing w:after="0" w:line="271"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 signatures on following page.]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2 to Registration Statement to be signed on its behalf by the undersigned, thereunto duly authorized, in the City of Marysville, State of Ohio, on the 9th day of May, 2005.</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Hagedorn, President,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Officer and Chairman of the Board</w:t>
      </w:r>
    </w:p>
    <w:p>
      <w:pPr>
        <w:spacing w:after="0" w:line="386"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Registration Statement has been signed by the following persons in the capacities indicated on May 9, 2005.</w:t>
      </w:r>
    </w:p>
    <w:p>
      <w:pPr>
        <w:spacing w:after="0" w:line="342" w:lineRule="exact"/>
        <w:rPr>
          <w:sz w:val="20"/>
          <w:szCs w:val="20"/>
          <w:color w:val="auto"/>
        </w:rPr>
      </w:pPr>
    </w:p>
    <w:p>
      <w:pPr>
        <w:spacing w:after="0"/>
        <w:tabs>
          <w:tab w:leader="none" w:pos="87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 *Mark R. Baker</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0"/>
                <w:szCs w:val="20"/>
                <w:color w:val="auto"/>
              </w:rPr>
            </w:pPr>
            <w:r>
              <w:rPr>
                <w:rFonts w:ascii="Arial" w:cs="Arial" w:eastAsia="Arial" w:hAnsi="Arial"/>
                <w:sz w:val="18"/>
                <w:szCs w:val="18"/>
                <w:color w:val="auto"/>
              </w:rPr>
              <w:t>Mark R. Baker</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 *Lynn J. Beasley</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0"/>
                <w:szCs w:val="20"/>
                <w:color w:val="auto"/>
              </w:rPr>
            </w:pPr>
            <w:r>
              <w:rPr>
                <w:rFonts w:ascii="Arial" w:cs="Arial" w:eastAsia="Arial" w:hAnsi="Arial"/>
                <w:sz w:val="18"/>
                <w:szCs w:val="18"/>
                <w:color w:val="auto"/>
              </w:rPr>
              <w:t>Lynn J. Beasley</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 *Gordon F. Brunner</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0"/>
                <w:szCs w:val="20"/>
                <w:color w:val="auto"/>
              </w:rPr>
            </w:pPr>
            <w:r>
              <w:rPr>
                <w:rFonts w:ascii="Arial" w:cs="Arial" w:eastAsia="Arial" w:hAnsi="Arial"/>
                <w:sz w:val="18"/>
                <w:szCs w:val="18"/>
                <w:color w:val="auto"/>
              </w:rPr>
              <w:t>Gordon F. Brunner</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 *Arnold W. Donald</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0"/>
                <w:szCs w:val="20"/>
                <w:color w:val="auto"/>
              </w:rPr>
            </w:pPr>
            <w:r>
              <w:rPr>
                <w:rFonts w:ascii="Arial" w:cs="Arial" w:eastAsia="Arial" w:hAnsi="Arial"/>
                <w:sz w:val="18"/>
                <w:szCs w:val="18"/>
                <w:color w:val="auto"/>
              </w:rPr>
              <w:t>Arnold W. Donald</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 *Joseph P. Flannery</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0"/>
                <w:szCs w:val="20"/>
                <w:color w:val="auto"/>
              </w:rPr>
            </w:pPr>
            <w:r>
              <w:rPr>
                <w:rFonts w:ascii="Arial" w:cs="Arial" w:eastAsia="Arial" w:hAnsi="Arial"/>
                <w:sz w:val="18"/>
                <w:szCs w:val="18"/>
                <w:color w:val="auto"/>
              </w:rPr>
              <w:t>Joseph P. Flannery</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/s/ James Hagedorn</w:t>
            </w:r>
          </w:p>
        </w:tc>
        <w:tc>
          <w:tcPr>
            <w:tcW w:w="6260" w:type="dxa"/>
            <w:vAlign w:val="bottom"/>
          </w:tcPr>
          <w:p>
            <w:pPr>
              <w:ind w:left="1120"/>
              <w:spacing w:after="0"/>
              <w:rPr>
                <w:sz w:val="20"/>
                <w:szCs w:val="20"/>
                <w:color w:val="auto"/>
              </w:rPr>
            </w:pPr>
            <w:r>
              <w:rPr>
                <w:rFonts w:ascii="Arial" w:cs="Arial" w:eastAsia="Arial" w:hAnsi="Arial"/>
                <w:sz w:val="18"/>
                <w:szCs w:val="18"/>
                <w:color w:val="auto"/>
              </w:rPr>
              <w:t>President, Chief Executive Officer and Chairman of the Board</w:t>
            </w:r>
          </w:p>
        </w:tc>
        <w:tc>
          <w:tcPr>
            <w:tcW w:w="0" w:type="dxa"/>
            <w:vAlign w:val="bottom"/>
          </w:tcPr>
          <w:p>
            <w:pPr>
              <w:spacing w:after="0"/>
              <w:rPr>
                <w:sz w:val="1"/>
                <w:szCs w:val="1"/>
                <w:color w:val="auto"/>
              </w:rPr>
            </w:pPr>
          </w:p>
        </w:tc>
      </w:tr>
      <w:tr>
        <w:trPr>
          <w:trHeight w:val="109"/>
        </w:trPr>
        <w:tc>
          <w:tcPr>
            <w:tcW w:w="5160" w:type="dxa"/>
            <w:vAlign w:val="bottom"/>
            <w:tcBorders>
              <w:bottom w:val="single" w:sz="8" w:color="auto"/>
            </w:tcBorders>
          </w:tcPr>
          <w:p>
            <w:pPr>
              <w:spacing w:after="0"/>
              <w:rPr>
                <w:sz w:val="9"/>
                <w:szCs w:val="9"/>
                <w:color w:val="auto"/>
              </w:rPr>
            </w:pPr>
          </w:p>
        </w:tc>
        <w:tc>
          <w:tcPr>
            <w:tcW w:w="6260" w:type="dxa"/>
            <w:vAlign w:val="bottom"/>
            <w:vMerge w:val="restart"/>
          </w:tcPr>
          <w:p>
            <w:pPr>
              <w:ind w:left="1120"/>
              <w:spacing w:after="0"/>
              <w:rPr>
                <w:sz w:val="20"/>
                <w:szCs w:val="20"/>
                <w:color w:val="auto"/>
              </w:rPr>
            </w:pPr>
            <w:r>
              <w:rPr>
                <w:rFonts w:ascii="Arial" w:cs="Arial" w:eastAsia="Arial" w:hAnsi="Arial"/>
                <w:sz w:val="18"/>
                <w:szCs w:val="18"/>
                <w:color w:val="auto"/>
              </w:rPr>
              <w:t>(Principal Executive Officer) and Director</w:t>
            </w:r>
          </w:p>
        </w:tc>
        <w:tc>
          <w:tcPr>
            <w:tcW w:w="0" w:type="dxa"/>
            <w:vAlign w:val="bottom"/>
          </w:tcPr>
          <w:p>
            <w:pPr>
              <w:spacing w:after="0"/>
              <w:rPr>
                <w:sz w:val="1"/>
                <w:szCs w:val="1"/>
                <w:color w:val="auto"/>
              </w:rPr>
            </w:pPr>
          </w:p>
        </w:tc>
      </w:tr>
      <w:tr>
        <w:trPr>
          <w:trHeight w:val="102"/>
        </w:trPr>
        <w:tc>
          <w:tcPr>
            <w:tcW w:w="5160" w:type="dxa"/>
            <w:vAlign w:val="bottom"/>
            <w:vMerge w:val="restart"/>
          </w:tcPr>
          <w:p>
            <w:pPr>
              <w:spacing w:after="0"/>
              <w:rPr>
                <w:sz w:val="20"/>
                <w:szCs w:val="20"/>
                <w:color w:val="auto"/>
              </w:rPr>
            </w:pPr>
            <w:r>
              <w:rPr>
                <w:rFonts w:ascii="Arial" w:cs="Arial" w:eastAsia="Arial" w:hAnsi="Arial"/>
                <w:sz w:val="18"/>
                <w:szCs w:val="18"/>
                <w:color w:val="auto"/>
              </w:rPr>
              <w:t>James Hagedorn</w:t>
            </w:r>
          </w:p>
        </w:tc>
        <w:tc>
          <w:tcPr>
            <w:tcW w:w="6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6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 *Katherine Hagedorn Littlefield</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/s/ Christopher L. Nagel</w:t>
            </w:r>
          </w:p>
        </w:tc>
        <w:tc>
          <w:tcPr>
            <w:tcW w:w="6260" w:type="dxa"/>
            <w:vAlign w:val="bottom"/>
          </w:tcPr>
          <w:p>
            <w:pPr>
              <w:ind w:left="1120"/>
              <w:spacing w:after="0"/>
              <w:rPr>
                <w:sz w:val="20"/>
                <w:szCs w:val="20"/>
                <w:color w:val="auto"/>
              </w:rPr>
            </w:pPr>
            <w:r>
              <w:rPr>
                <w:rFonts w:ascii="Arial" w:cs="Arial" w:eastAsia="Arial" w:hAnsi="Arial"/>
                <w:sz w:val="18"/>
                <w:szCs w:val="18"/>
                <w:color w:val="auto"/>
              </w:rPr>
              <w:t>Executive Vice President and Chief Financial Officer (Principal</w:t>
            </w:r>
          </w:p>
        </w:tc>
        <w:tc>
          <w:tcPr>
            <w:tcW w:w="0" w:type="dxa"/>
            <w:vAlign w:val="bottom"/>
          </w:tcPr>
          <w:p>
            <w:pPr>
              <w:spacing w:after="0"/>
              <w:rPr>
                <w:sz w:val="1"/>
                <w:szCs w:val="1"/>
                <w:color w:val="auto"/>
              </w:rPr>
            </w:pPr>
          </w:p>
        </w:tc>
      </w:tr>
      <w:tr>
        <w:trPr>
          <w:trHeight w:val="109"/>
        </w:trPr>
        <w:tc>
          <w:tcPr>
            <w:tcW w:w="5160" w:type="dxa"/>
            <w:vAlign w:val="bottom"/>
            <w:tcBorders>
              <w:bottom w:val="single" w:sz="8" w:color="auto"/>
            </w:tcBorders>
          </w:tcPr>
          <w:p>
            <w:pPr>
              <w:spacing w:after="0"/>
              <w:rPr>
                <w:sz w:val="9"/>
                <w:szCs w:val="9"/>
                <w:color w:val="auto"/>
              </w:rPr>
            </w:pPr>
          </w:p>
        </w:tc>
        <w:tc>
          <w:tcPr>
            <w:tcW w:w="6260" w:type="dxa"/>
            <w:vAlign w:val="bottom"/>
            <w:vMerge w:val="restart"/>
          </w:tcPr>
          <w:p>
            <w:pPr>
              <w:ind w:left="1120"/>
              <w:spacing w:after="0"/>
              <w:rPr>
                <w:sz w:val="20"/>
                <w:szCs w:val="20"/>
                <w:color w:val="auto"/>
              </w:rPr>
            </w:pPr>
            <w:r>
              <w:rPr>
                <w:rFonts w:ascii="Arial" w:cs="Arial" w:eastAsia="Arial" w:hAnsi="Arial"/>
                <w:sz w:val="18"/>
                <w:szCs w:val="18"/>
                <w:color w:val="auto"/>
              </w:rPr>
              <w:t>Financial Officer and Principal Accounting Officer)</w:t>
            </w:r>
          </w:p>
        </w:tc>
        <w:tc>
          <w:tcPr>
            <w:tcW w:w="0" w:type="dxa"/>
            <w:vAlign w:val="bottom"/>
          </w:tcPr>
          <w:p>
            <w:pPr>
              <w:spacing w:after="0"/>
              <w:rPr>
                <w:sz w:val="1"/>
                <w:szCs w:val="1"/>
                <w:color w:val="auto"/>
              </w:rPr>
            </w:pPr>
          </w:p>
        </w:tc>
      </w:tr>
      <w:tr>
        <w:trPr>
          <w:trHeight w:val="102"/>
        </w:trPr>
        <w:tc>
          <w:tcPr>
            <w:tcW w:w="5160" w:type="dxa"/>
            <w:vAlign w:val="bottom"/>
            <w:vMerge w:val="restart"/>
          </w:tcPr>
          <w:p>
            <w:pPr>
              <w:spacing w:after="0"/>
              <w:rPr>
                <w:sz w:val="20"/>
                <w:szCs w:val="20"/>
                <w:color w:val="auto"/>
              </w:rPr>
            </w:pPr>
            <w:r>
              <w:rPr>
                <w:rFonts w:ascii="Arial" w:cs="Arial" w:eastAsia="Arial" w:hAnsi="Arial"/>
                <w:sz w:val="18"/>
                <w:szCs w:val="18"/>
                <w:color w:val="auto"/>
              </w:rPr>
              <w:t>Christopher L. Nagel</w:t>
            </w:r>
          </w:p>
        </w:tc>
        <w:tc>
          <w:tcPr>
            <w:tcW w:w="6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6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4"/>
                <w:szCs w:val="24"/>
                <w:color w:val="auto"/>
              </w:rPr>
            </w:pPr>
          </w:p>
        </w:tc>
        <w:tc>
          <w:tcPr>
            <w:tcW w:w="6260" w:type="dxa"/>
            <w:vAlign w:val="bottom"/>
          </w:tcPr>
          <w:p>
            <w:pPr>
              <w:ind w:left="4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51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tabs>
          <w:tab w:leader="none" w:pos="626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 *Patrick J. Norton</w:t>
            </w:r>
          </w:p>
        </w:tc>
        <w:tc>
          <w:tcPr>
            <w:tcW w:w="1720" w:type="dxa"/>
            <w:vAlign w:val="bottom"/>
          </w:tcPr>
          <w:p>
            <w:pPr>
              <w:ind w:left="1120"/>
              <w:spacing w:after="0"/>
              <w:rPr>
                <w:sz w:val="20"/>
                <w:szCs w:val="20"/>
                <w:color w:val="auto"/>
              </w:rPr>
            </w:pPr>
            <w:r>
              <w:rPr>
                <w:rFonts w:ascii="Arial" w:cs="Arial" w:eastAsia="Arial" w:hAnsi="Arial"/>
                <w:sz w:val="18"/>
                <w:szCs w:val="18"/>
                <w:color w:val="auto"/>
                <w:w w:val="91"/>
              </w:rPr>
              <w:t>Director</w:t>
            </w:r>
          </w:p>
        </w:tc>
      </w:tr>
      <w:tr>
        <w:trPr>
          <w:trHeight w:val="95"/>
        </w:trPr>
        <w:tc>
          <w:tcPr>
            <w:tcW w:w="516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r>
      <w:tr>
        <w:trPr>
          <w:trHeight w:val="291"/>
        </w:trPr>
        <w:tc>
          <w:tcPr>
            <w:tcW w:w="5160" w:type="dxa"/>
            <w:vAlign w:val="bottom"/>
          </w:tcPr>
          <w:p>
            <w:pPr>
              <w:spacing w:after="0"/>
              <w:rPr>
                <w:sz w:val="20"/>
                <w:szCs w:val="20"/>
                <w:color w:val="auto"/>
              </w:rPr>
            </w:pPr>
            <w:r>
              <w:rPr>
                <w:rFonts w:ascii="Arial" w:cs="Arial" w:eastAsia="Arial" w:hAnsi="Arial"/>
                <w:sz w:val="18"/>
                <w:szCs w:val="18"/>
                <w:color w:val="auto"/>
              </w:rPr>
              <w:t>Patrick J. Norton</w:t>
            </w:r>
          </w:p>
        </w:tc>
        <w:tc>
          <w:tcPr>
            <w:tcW w:w="172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 *Stephanie M. Shern</w:t>
            </w:r>
          </w:p>
        </w:tc>
        <w:tc>
          <w:tcPr>
            <w:tcW w:w="1720" w:type="dxa"/>
            <w:vAlign w:val="bottom"/>
          </w:tcPr>
          <w:p>
            <w:pPr>
              <w:ind w:left="1120"/>
              <w:spacing w:after="0"/>
              <w:rPr>
                <w:sz w:val="20"/>
                <w:szCs w:val="20"/>
                <w:color w:val="auto"/>
              </w:rPr>
            </w:pPr>
            <w:r>
              <w:rPr>
                <w:rFonts w:ascii="Arial" w:cs="Arial" w:eastAsia="Arial" w:hAnsi="Arial"/>
                <w:sz w:val="18"/>
                <w:szCs w:val="18"/>
                <w:color w:val="auto"/>
                <w:w w:val="91"/>
              </w:rPr>
              <w:t>Director</w:t>
            </w:r>
          </w:p>
        </w:tc>
      </w:tr>
      <w:tr>
        <w:trPr>
          <w:trHeight w:val="95"/>
        </w:trPr>
        <w:tc>
          <w:tcPr>
            <w:tcW w:w="516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r>
      <w:tr>
        <w:trPr>
          <w:trHeight w:val="291"/>
        </w:trPr>
        <w:tc>
          <w:tcPr>
            <w:tcW w:w="5160" w:type="dxa"/>
            <w:vAlign w:val="bottom"/>
          </w:tcPr>
          <w:p>
            <w:pPr>
              <w:spacing w:after="0"/>
              <w:rPr>
                <w:sz w:val="20"/>
                <w:szCs w:val="20"/>
                <w:color w:val="auto"/>
              </w:rPr>
            </w:pPr>
            <w:r>
              <w:rPr>
                <w:rFonts w:ascii="Arial" w:cs="Arial" w:eastAsia="Arial" w:hAnsi="Arial"/>
                <w:sz w:val="18"/>
                <w:szCs w:val="18"/>
                <w:color w:val="auto"/>
              </w:rPr>
              <w:t>Stephanie M. Shern</w:t>
            </w:r>
          </w:p>
        </w:tc>
        <w:tc>
          <w:tcPr>
            <w:tcW w:w="172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 *John M. Sullivan</w:t>
            </w:r>
          </w:p>
        </w:tc>
        <w:tc>
          <w:tcPr>
            <w:tcW w:w="1720" w:type="dxa"/>
            <w:vAlign w:val="bottom"/>
          </w:tcPr>
          <w:p>
            <w:pPr>
              <w:ind w:left="1120"/>
              <w:spacing w:after="0"/>
              <w:rPr>
                <w:sz w:val="20"/>
                <w:szCs w:val="20"/>
                <w:color w:val="auto"/>
              </w:rPr>
            </w:pPr>
            <w:r>
              <w:rPr>
                <w:rFonts w:ascii="Arial" w:cs="Arial" w:eastAsia="Arial" w:hAnsi="Arial"/>
                <w:sz w:val="18"/>
                <w:szCs w:val="18"/>
                <w:color w:val="auto"/>
                <w:w w:val="91"/>
              </w:rPr>
              <w:t>Director</w:t>
            </w:r>
          </w:p>
        </w:tc>
      </w:tr>
      <w:tr>
        <w:trPr>
          <w:trHeight w:val="95"/>
        </w:trPr>
        <w:tc>
          <w:tcPr>
            <w:tcW w:w="516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r>
      <w:tr>
        <w:trPr>
          <w:trHeight w:val="291"/>
        </w:trPr>
        <w:tc>
          <w:tcPr>
            <w:tcW w:w="5160" w:type="dxa"/>
            <w:vAlign w:val="bottom"/>
          </w:tcPr>
          <w:p>
            <w:pPr>
              <w:spacing w:after="0"/>
              <w:rPr>
                <w:sz w:val="20"/>
                <w:szCs w:val="20"/>
                <w:color w:val="auto"/>
              </w:rPr>
            </w:pPr>
            <w:r>
              <w:rPr>
                <w:rFonts w:ascii="Arial" w:cs="Arial" w:eastAsia="Arial" w:hAnsi="Arial"/>
                <w:sz w:val="18"/>
                <w:szCs w:val="18"/>
                <w:color w:val="auto"/>
              </w:rPr>
              <w:t>John M. Sullivan</w:t>
            </w: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460" w:hanging="452"/>
        <w:spacing w:after="0" w:line="34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By James Hagedorn pursuant to Powers of Attorney executed by the directors and executive officers identified above, which Powers of Attorney have been filed with the Securities and Exchange Commission as exhibits to this Post-Effective Amendment No. 2 to Registration Statement on Form S-8.</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481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James Hagedorn, Attorney-in-Fact</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INDEX TO EXHIBITS</w:t>
            </w:r>
          </w:p>
        </w:tc>
      </w:tr>
      <w:tr>
        <w:trPr>
          <w:trHeight w:val="561"/>
        </w:trPr>
        <w:tc>
          <w:tcPr>
            <w:tcW w:w="13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24"/>
                <w:szCs w:val="24"/>
                <w:color w:val="auto"/>
              </w:rPr>
            </w:pPr>
          </w:p>
        </w:tc>
        <w:tc>
          <w:tcPr>
            <w:tcW w:w="3240" w:type="dxa"/>
            <w:vAlign w:val="bottom"/>
          </w:tcPr>
          <w:p>
            <w:pPr>
              <w:ind w:left="2180"/>
              <w:spacing w:after="0"/>
              <w:rPr>
                <w:sz w:val="20"/>
                <w:szCs w:val="20"/>
                <w:color w:val="auto"/>
              </w:rPr>
            </w:pPr>
            <w:r>
              <w:rPr>
                <w:rFonts w:ascii="Arial" w:cs="Arial" w:eastAsia="Arial" w:hAnsi="Arial"/>
                <w:sz w:val="14"/>
                <w:szCs w:val="14"/>
                <w:color w:val="auto"/>
              </w:rPr>
              <w:t>Description</w:t>
            </w:r>
          </w:p>
        </w:tc>
        <w:tc>
          <w:tcPr>
            <w:tcW w:w="1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16"/>
                <w:szCs w:val="16"/>
                <w:color w:val="auto"/>
              </w:rPr>
            </w:pPr>
          </w:p>
        </w:tc>
        <w:tc>
          <w:tcPr>
            <w:tcW w:w="50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4"/>
              </w:rPr>
              <w:t>Initial Articles of Incorporation of The Scotts Miracle-Gro Company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9"/>
              </w:rPr>
              <w:t>as filed with the Ohio Secretary of State on November 22, 2004</w:t>
            </w:r>
          </w:p>
        </w:tc>
      </w:tr>
      <w:tr>
        <w:trPr>
          <w:trHeight w:val="1066"/>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5"/>
              </w:rPr>
              <w:t>Incorporation of The Scotts Miracle-Gro Company as filed with the</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Ohio Secretary of State on March 18, 2005</w:t>
            </w: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2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Code of Regulations of The Scotts Miracle-Gro Company</w:t>
            </w:r>
          </w:p>
        </w:tc>
      </w:tr>
      <w:tr>
        <w:trPr>
          <w:trHeight w:val="648"/>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2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2"/>
              </w:rPr>
              <w:t>Opinion of Vorys, Sater, Seymour and Pease LLP regarding legality</w:t>
            </w:r>
          </w:p>
        </w:tc>
      </w:tr>
      <w:tr>
        <w:trPr>
          <w:trHeight w:val="418"/>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1"/>
              </w:rPr>
              <w:t>Amendment to The Scotts Company 1992 Long Term Incentive Plan</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(2005 Amendment)</w:t>
            </w:r>
          </w:p>
        </w:tc>
      </w:tr>
      <w:tr>
        <w:trPr>
          <w:trHeight w:val="418"/>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5"/>
              </w:rPr>
              <w:t>Consent of PricewaterhouseCoopers LLP, independent registered</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public accounting firm</w:t>
            </w: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1"/>
              </w:rPr>
              <w:t>23.2</w:t>
            </w:r>
          </w:p>
        </w:tc>
        <w:tc>
          <w:tcPr>
            <w:tcW w:w="2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Consent of Vorys, Sater, Seymour and Pease LLP</w:t>
            </w:r>
          </w:p>
        </w:tc>
      </w:tr>
      <w:tr>
        <w:trPr>
          <w:trHeight w:val="418"/>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1"/>
              </w:rPr>
              <w:t>24.1</w:t>
            </w:r>
          </w:p>
        </w:tc>
        <w:tc>
          <w:tcPr>
            <w:tcW w:w="2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Powers of Attorney of Executive Officers and Directors of The</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Scotts Miracle-Gro Company</w:t>
            </w:r>
          </w:p>
        </w:tc>
      </w:tr>
      <w:tr>
        <w:trPr>
          <w:trHeight w:val="39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80" w:type="dxa"/>
            <w:vAlign w:val="bottom"/>
            <w:gridSpan w:val="3"/>
          </w:tcPr>
          <w:p>
            <w:pPr>
              <w:jc w:val="right"/>
              <w:ind w:right="61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Incorporated herein by reference to Exhibit 3.1 to the Current Report on Form 8-K of The Scotts Miracle-Gro Company dated and filed with the Securities and Exchange Commission on March 24, 2005 (File No. 1-13292) (the “March 24, 2005 Form 8-K”)</w:t>
      </w:r>
    </w:p>
    <w:p>
      <w:pPr>
        <w:spacing w:after="0" w:line="19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Incorporated herein by reference to Exhibit 3.2 to the March 24, 2005 Form 8-K (File No. 1-13292)</w:t>
      </w:r>
    </w:p>
    <w:p>
      <w:pPr>
        <w:spacing w:after="0" w:line="36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Incorporated herein by reference to Exhibit 3.3 to the March 24, 2005 Form 8-K (File No. 1-13292)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as part of 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640" w:space="220"/>
            <w:col w:w="4460"/>
          </w:cols>
          <w:pgMar w:left="240" w:top="419"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(614) 464-6400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9,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1992 Long Term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have acted as counsel to The Scotts Miracle-Gro Company, an Ohio corporation (the “Company”), in connection with the preparation of Post-Effective Amendment No. 2 (“Post-Effective Amendment No.2”) to Registration Statement on Form S-8 (Registration No. 033-60056) (the “Registration Statement”), which Post-Effective Amendment No. 2 was filed by the Company with the Securities and Exchange Commission on the date hereof pursuant to Rule 414 promulgated under the provisions of the Securities Act of 1933, as amended (the “Act”), with respect to the Company’s adoption of The Scotts Miracle-Gro Company 1992 Long Term Incentive Plan (formerly known as The Scotts Company 1992 Long Term Incentive Plan), as amended (the “Plan”), in the Company’s capacity as the successor issuer to The Scotts Company, an Ohio corporation (“Scotts”).</w:t>
      </w:r>
    </w:p>
    <w:p>
      <w:pPr>
        <w:spacing w:after="0" w:line="151"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connection with rendering this opinion, we have examined an original or copy of, and have relied upon the accuracy of, without independent verification or investigation: (a) Post-Effective Amendment No. 2; (b) the Registration Statement; (c) the Agreement and Plan of Merger, dated as of December 13, 2004, by and among Scotts, The Scotts Company LLC (“Scotts LLC”) and the Company; (d) the Plan; (e) the Company’s Articles of Incorporation, as amended (the “Articles”); (f) the Company’s Code of Regulations (the “Regulations”); (g) certain corporate records of each of the Company and Scotts, including resolutions adopted by the directors and by the shareholders of each of the Company and Scotts; and (h) certain limited liability records of Scotts LLC, including resolutions adopted by the manager of Scotts LLC. We have also relied upon such representations of the Company, Scotts and Scotts LLC and officers of the Company, Scotts and Scotts LLC and examined such authorities of law as we have deemed relevant as a basis for this opinion.</w:t>
      </w:r>
    </w:p>
    <w:p>
      <w:pPr>
        <w:spacing w:after="0" w:line="12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our examination of the aforesaid documents, we have assumed, without independent investigation, the genuineness of all signatures, the legal capacity of all individuals who have executed any of the aforesaid documents, the authenticity of all documents submitted to us as originals, the conformity with originals of all documents submitted to us as copies (and the authenticity of the originals of such copies), and the accuracy and completeness of all public records reviewed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have relied solely upon the examinations and inquiries recited herein, and, except for the examinations and inquiries recited herein, we have not undertaken any independent investigation to determine the existence or absence of any facts, and no inference as to our knowledge concerning such facts should be drawn.</w:t>
      </w:r>
    </w:p>
    <w:p>
      <w:pPr>
        <w:spacing w:after="0" w:line="141" w:lineRule="exact"/>
        <w:rPr>
          <w:sz w:val="20"/>
          <w:szCs w:val="20"/>
          <w:color w:val="auto"/>
        </w:rPr>
      </w:pPr>
    </w:p>
    <w:p>
      <w:pPr>
        <w:ind w:right="100" w:firstLine="215"/>
        <w:spacing w:after="0" w:line="342" w:lineRule="auto"/>
        <w:rPr>
          <w:sz w:val="20"/>
          <w:szCs w:val="20"/>
          <w:color w:val="auto"/>
        </w:rPr>
      </w:pPr>
      <w:r>
        <w:rPr>
          <w:rFonts w:ascii="Arial" w:cs="Arial" w:eastAsia="Arial" w:hAnsi="Arial"/>
          <w:sz w:val="16"/>
          <w:szCs w:val="16"/>
          <w:color w:val="auto"/>
        </w:rPr>
        <w:t>As used herein, the phrase “validly issued” means that particular action has been authorized by all necessary corporate action of the Company and that the Company has the corporate authority to take such action under Chapter 1701 of the Ohio Revised Code and the Company’s Articles and Regulations.</w:t>
      </w:r>
    </w:p>
    <w:p>
      <w:pPr>
        <w:spacing w:after="0" w:line="8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Based upon and subject to the foregoing and the further qualifications and limitations set forth below, as of the date hereof, we are of the opinion that the common shares, without par value, of the Company (the “Common Shares”) available for issuance under the Plan, when issued, delivered and paid for in accordance with the terms and conditions of the Plan and the applicable award agreements with participants in the Plan, will be validly issued, fully paid and non-assessable, assuming compliance with applicable securities laws.</w:t>
      </w:r>
    </w:p>
    <w:p>
      <w:pPr>
        <w:spacing w:after="0" w:line="160" w:lineRule="exact"/>
        <w:rPr>
          <w:sz w:val="20"/>
          <w:szCs w:val="20"/>
          <w:color w:val="auto"/>
        </w:rPr>
      </w:pPr>
    </w:p>
    <w:p>
      <w:pPr>
        <w:jc w:val="both"/>
        <w:ind w:right="300" w:firstLine="222"/>
        <w:spacing w:after="0" w:line="342" w:lineRule="auto"/>
        <w:rPr>
          <w:sz w:val="20"/>
          <w:szCs w:val="20"/>
          <w:color w:val="auto"/>
        </w:rPr>
      </w:pPr>
      <w:r>
        <w:rPr>
          <w:rFonts w:ascii="Arial" w:cs="Arial" w:eastAsia="Arial" w:hAnsi="Arial"/>
          <w:sz w:val="16"/>
          <w:szCs w:val="16"/>
          <w:color w:val="auto"/>
        </w:rPr>
        <w:t>We are members of the Bar of the State of Ohio and do not purport to be experts in the laws of any jurisdiction other than the laws of the State of Ohio, including the applicable provisions of the Ohio Constitution and the reported judicial decisions interpreting those laws, and the United States of America.</w:t>
      </w:r>
    </w:p>
    <w:p>
      <w:pPr>
        <w:spacing w:after="0" w:line="8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opinion is based upon the laws and legal interpretations in effect, and the facts and circumstances existing, on the date hereof, and we assume no obligation to revise or supplement this opinion should any such law or legal interpretation be changed by legislative action, judicial interpretation or otherwise or should there be any change in such facts or circumstances.</w:t>
      </w:r>
    </w:p>
    <w:p>
      <w:pPr>
        <w:spacing w:after="0" w:line="14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This opinion is furnished by us solely for the benefit of the Company in connection with the offering of Common Shares pursuant to the Plan and the filing of Post-Effective Amendment No. 2 and any further amendments to the Registration Statement. This opinion may not be relied upon by any other person or assigned, quoted or otherwise used without our specific written consent.</w:t>
      </w:r>
    </w:p>
    <w:p>
      <w:pPr>
        <w:spacing w:after="0" w:line="15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Notwithstanding the foregoing, we consent to the filing of this opinion as an exhibit to Post-Effective Amendment No. 2 and to the reference to us therein. By giving such consent, we do not thereby admit that we come within the category of persons whose consent is required under Section 7 of the Act or the rules and regulations promulgated under the Act.</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VORYS, SATER, SEYMOUR AND PEASE LLP</w:t>
      </w:r>
    </w:p>
    <w:p>
      <w:pPr>
        <w:sectPr>
          <w:pgSz w:w="11900" w:h="16838" w:orient="portrait"/>
          <w:cols w:equalWidth="0" w:num="1">
            <w:col w:w="11420"/>
          </w:cols>
          <w:pgMar w:left="240" w:top="935"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1992 LONG TERM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AMENDMENT</w:t>
      </w:r>
    </w:p>
    <w:p>
      <w:pPr>
        <w:spacing w:after="0" w:line="185" w:lineRule="exact"/>
        <w:rPr>
          <w:sz w:val="20"/>
          <w:szCs w:val="20"/>
          <w:color w:val="auto"/>
        </w:rPr>
      </w:pPr>
    </w:p>
    <w:p>
      <w:pPr>
        <w:ind w:right="32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shareholders of The Scotts Company (“Scotts”) previously approved the adoption of The Scotts Company 1992 Long 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“Plan”); and</w:t>
      </w:r>
    </w:p>
    <w:p>
      <w:pPr>
        <w:spacing w:after="0" w:line="121"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(“Scotts LLC”), pursuant to the Agreement and Plan of Merger, dated as of December 13, 2004 (the “Merger Agreement”), by and among Scotts, Scotts LLC and The Scotts Miracle-Gro Company (the “Company”); and</w:t>
      </w:r>
    </w:p>
    <w:p>
      <w:pPr>
        <w:spacing w:after="0" w:line="153"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Merger Agreement, the Company assumed, as of the Effective Time, the Plan and all obligations and liabilities of Scotts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and</w:t>
      </w:r>
    </w:p>
    <w:p>
      <w:pPr>
        <w:spacing w:after="0" w:line="121" w:lineRule="exact"/>
        <w:rPr>
          <w:sz w:val="20"/>
          <w:szCs w:val="20"/>
          <w:color w:val="auto"/>
        </w:rPr>
      </w:pPr>
    </w:p>
    <w:p>
      <w:pPr>
        <w:ind w:left="240" w:right="1340"/>
        <w:spacing w:after="0" w:line="4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10 of the Plan provides that the Company’s Board of Directors (the “Board”) may amend the Plan at any time; and</w:t>
      </w:r>
      <w:r>
        <w:rPr>
          <w:rFonts w:ascii="Arial" w:cs="Arial" w:eastAsia="Arial" w:hAnsi="Arial"/>
          <w:sz w:val="18"/>
          <w:szCs w:val="18"/>
          <w:b w:val="1"/>
          <w:bCs w:val="1"/>
          <w:color w:val="auto"/>
        </w:rPr>
        <w:t xml:space="preserve"> WHEREAS, </w:t>
      </w:r>
      <w:r>
        <w:rPr>
          <w:rFonts w:ascii="Arial" w:cs="Arial" w:eastAsia="Arial" w:hAnsi="Arial"/>
          <w:sz w:val="18"/>
          <w:szCs w:val="18"/>
          <w:color w:val="auto"/>
        </w:rPr>
        <w:t>the Board has resolved to amend the Plan to reflect the Company’s assumption of the Plan;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amended effective as of the Effective Time as follows:</w:t>
      </w:r>
    </w:p>
    <w:p>
      <w:pPr>
        <w:spacing w:after="0" w:line="189" w:lineRule="exact"/>
        <w:rPr>
          <w:sz w:val="20"/>
          <w:szCs w:val="20"/>
          <w:color w:val="auto"/>
        </w:rPr>
      </w:pPr>
    </w:p>
    <w:p>
      <w:pPr>
        <w:ind w:left="400" w:hanging="167"/>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Miracle-Gro Company 1992 Long Term Incentive Plan.”</w:t>
      </w:r>
    </w:p>
    <w:p>
      <w:pPr>
        <w:spacing w:after="0" w:line="184" w:lineRule="exact"/>
        <w:rPr>
          <w:rFonts w:ascii="Arial" w:cs="Arial" w:eastAsia="Arial" w:hAnsi="Arial"/>
          <w:sz w:val="18"/>
          <w:szCs w:val="18"/>
          <w:color w:val="auto"/>
        </w:rPr>
      </w:pPr>
    </w:p>
    <w:p>
      <w:pPr>
        <w:ind w:right="420" w:firstLine="233"/>
        <w:spacing w:after="0" w:line="277"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2.1(i) of the Plan is amended and restated to read, in its entirety, as follows: “Company” means The Scotts Miracle-Gro Company, an Ohio corporation, and any successor thereto.</w:t>
      </w:r>
    </w:p>
    <w:p>
      <w:pPr>
        <w:spacing w:after="0" w:line="143" w:lineRule="exact"/>
        <w:rPr>
          <w:rFonts w:ascii="Arial" w:cs="Arial" w:eastAsia="Arial" w:hAnsi="Arial"/>
          <w:sz w:val="18"/>
          <w:szCs w:val="18"/>
          <w:color w:val="auto"/>
        </w:rPr>
      </w:pPr>
    </w:p>
    <w:p>
      <w:pPr>
        <w:ind w:right="180" w:firstLine="233"/>
        <w:spacing w:after="0" w:line="277"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2.1(s) of the Plan is amended and restated to read, in its entirety, as follows: “Plan” means The Scotts Miracle-Gro Company 1992 Long Term Incentive Plan, as in effect from time to time.</w:t>
      </w:r>
    </w:p>
    <w:p>
      <w:pPr>
        <w:spacing w:after="0" w:line="126"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Amendment to be executed as of the 6th day of May, 2005, to be effective as of March 18,</w:t>
      </w:r>
      <w:r>
        <w:rPr>
          <w:rFonts w:ascii="Arial" w:cs="Arial" w:eastAsia="Arial" w:hAnsi="Arial"/>
          <w:sz w:val="18"/>
          <w:szCs w:val="18"/>
          <w:b w:val="1"/>
          <w:bCs w:val="1"/>
          <w:color w:val="auto"/>
        </w:rPr>
        <w:t xml:space="preserve"> </w:t>
      </w:r>
      <w:r>
        <w:rPr>
          <w:rFonts w:ascii="Arial" w:cs="Arial" w:eastAsia="Arial" w:hAnsi="Arial"/>
          <w:sz w:val="18"/>
          <w:szCs w:val="18"/>
          <w:color w:val="auto"/>
        </w:rPr>
        <w:t>2005.</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SCOTTS MIRACLE-GRO COMPANY</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420"/>
          </w:cols>
          <w:pgMar w:left="240" w:top="93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November 22, 2004 relating to the financial statements, which appears in The Scotts Company’s Annual Report on Form 10-K for the fiscal year ended September 30, 2004. We also consent to the incorporation by reference of our report dated November 22, 2004 related to the financial statement schedule, which appears in such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2005</w:t>
      </w:r>
    </w:p>
    <w:p>
      <w:pPr>
        <w:sectPr>
          <w:pgSz w:w="11900" w:h="16838" w:orient="portrait"/>
          <w:cols w:equalWidth="0" w:num="1">
            <w:col w:w="11420"/>
          </w:cols>
          <w:pgMar w:left="240" w:top="931" w:right="2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u w:val="single" w:color="auto"/>
          <w:color w:val="auto"/>
        </w:rPr>
        <w:t>EXHIBIT 24.1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her true and lawful attorneys-in-fact and agents with full power of substitution and resubstitution, for her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Lynn J. Beasley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Gordon F. Brunner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Arnold W. Donald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officer and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Post-Effective Amendment No. 2 to Registration Statement on Form S-8</w:t>
      </w:r>
      <w:r>
        <w:rPr>
          <w:rFonts w:ascii="Arial" w:cs="Arial" w:eastAsia="Arial" w:hAnsi="Arial"/>
          <w:sz w:val="16"/>
          <w:szCs w:val="16"/>
          <w:color w:val="auto"/>
        </w:rPr>
        <w:t xml:space="preserve"> for the registration of certain of its common shares for offering and sale pursuant 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37"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her true and lawful attorneys-in-fact and agents with full power of substitution and resubstitution, for her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officer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and </w:t>
      </w:r>
      <w:r>
        <w:rPr>
          <w:rFonts w:ascii="Arial" w:cs="Arial" w:eastAsia="Arial" w:hAnsi="Arial"/>
          <w:sz w:val="16"/>
          <w:szCs w:val="16"/>
          <w:b w:val="1"/>
          <w:bCs w:val="1"/>
          <w:color w:val="auto"/>
        </w:rPr>
        <w:t>David M. Aronowitz</w:t>
      </w:r>
      <w:r>
        <w:rPr>
          <w:rFonts w:ascii="Arial" w:cs="Arial" w:eastAsia="Arial" w:hAnsi="Arial"/>
          <w:sz w:val="16"/>
          <w:szCs w:val="16"/>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6th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 Nagel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J. Norton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her true and lawful attorneys-in-fact and agents with full power of substitution and resubstitution, for her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2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1992 Long Term Incentive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w:t>
      </w:r>
      <w:r>
        <w:rPr>
          <w:rFonts w:ascii="Arial" w:cs="Arial" w:eastAsia="Arial" w:hAnsi="Arial"/>
          <w:sz w:val="16"/>
          <w:szCs w:val="16"/>
          <w:b w:val="1"/>
          <w:bCs w:val="1"/>
          <w:color w:val="auto"/>
        </w:rPr>
        <w:t xml:space="preserve"> </w:t>
      </w:r>
      <w:r>
        <w:rPr>
          <w:rFonts w:ascii="Arial" w:cs="Arial" w:eastAsia="Arial" w:hAnsi="Arial"/>
          <w:sz w:val="16"/>
          <w:szCs w:val="16"/>
          <w:color w:val="auto"/>
        </w:rPr>
        <w:t>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M. Sullivan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400"/>
      </w:cols>
      <w:pgMar w:left="240" w:top="1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upperLetter"/>
      <w:start w:val="1"/>
    </w:lvl>
  </w:abstractNum>
  <w:abstractNum w:abstractNumId="2">
    <w:nsid w:val="1190CDE7"/>
    <w:multiLevelType w:val="hybridMultilevel"/>
    <w:lvl w:ilvl="0">
      <w:lvlJc w:val="left"/>
      <w:lvlText w:val="(%1)"/>
      <w:numFmt w:val="upperLetter"/>
      <w:start w:val="2"/>
    </w:lvl>
  </w:abstractNum>
  <w:abstractNum w:abstractNumId="3">
    <w:nsid w:val="66EF438D"/>
    <w:multiLevelType w:val="hybridMultilevel"/>
    <w:lvl w:ilvl="0">
      <w:lvlJc w:val="left"/>
      <w:lvlText w:val="(%1)"/>
      <w:numFmt w:val="upperLetter"/>
      <w:start w:val="1"/>
    </w:lvl>
  </w:abstractNum>
  <w:abstractNum w:abstractNumId="4">
    <w:nsid w:val="140E0F76"/>
    <w:multiLevelType w:val="hybridMultilevel"/>
    <w:lvl w:ilvl="0">
      <w:lvlJc w:val="left"/>
      <w:lvlText w:val="(%1)"/>
      <w:numFmt w:val="upperLetter"/>
      <w:start w:val="1"/>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lowerRoman"/>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decimal"/>
      <w:start w:val="6"/>
    </w:lvl>
  </w:abstractNum>
  <w:abstractNum w:abstractNumId="13">
    <w:nsid w:val="25E45D32"/>
    <w:multiLevelType w:val="hybridMultilevel"/>
    <w:lvl w:ilvl="0">
      <w:lvlJc w:val="left"/>
      <w:lvlText w:val="(%1)"/>
      <w:numFmt w:val="decimal"/>
      <w:start w:val="8"/>
    </w:lvl>
  </w:abstractNum>
  <w:abstractNum w:abstractNumId="14">
    <w:nsid w:val="519B500D"/>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5">
    <w:nsid w:val="431BD7B7"/>
    <w:multiLevelType w:val="hybridMultilevel"/>
    <w:lvl w:ilvl="0">
      <w:lvlJc w:val="left"/>
      <w:lvlText w:val="(%1)"/>
      <w:numFmt w:val="lowerRoman"/>
      <w:start w:val="3"/>
    </w:lvl>
  </w:abstractNum>
  <w:abstractNum w:abstractNumId="16">
    <w:nsid w:val="3F2DBA31"/>
    <w:multiLevelType w:val="hybridMultilevel"/>
    <w:lvl w:ilvl="0">
      <w:lvlJc w:val="left"/>
      <w:lvlText w:val="%1"/>
      <w:numFmt w:val="upperLetter"/>
      <w:start w:val="1"/>
    </w:lvl>
    <w:lvl w:ilvl="1">
      <w:lvlJc w:val="left"/>
      <w:lvlText w:val="(%2)"/>
      <w:numFmt w:val="decimal"/>
      <w:start w:val="2"/>
    </w:lvl>
  </w:abstractNum>
  <w:abstractNum w:abstractNumId="17">
    <w:nsid w:val="7C83E458"/>
    <w:multiLevelType w:val="hybridMultilevel"/>
    <w:lvl w:ilvl="0">
      <w:lvlJc w:val="left"/>
      <w:lvlText w:val="%1."/>
      <w:numFmt w:val="upperLetter"/>
      <w:start w:val="2"/>
    </w:lvl>
    <w:lvl w:ilvl="1">
      <w:lvlJc w:val="left"/>
      <w:lvlText w:val="%2"/>
      <w:numFmt w:val="decimal"/>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2019-12-20T06:35:51Z</dcterms:created>
  <dcterms:modified xsi:type="dcterms:W3CDTF">2019-12-20T06:35:51Z</dcterms:modified>
</cp:coreProperties>
</file>