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 xml:space="preserve">UNITED STATES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 C. 20549</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11-K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(Mark One)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450"/>
        <w:jc w:val="both"/>
        <w:rPr/>
      </w:pPr>
      <w:r>
        <w:rPr>
          <w:color w:val="000000"/>
        </w:rPr>
        <w:t xml:space="preserve">☒ </w:t>
      </w:r>
      <w:r>
        <w:rPr>
          <w:rFonts w:ascii="Times New Roman;sans-serif" w:hAnsi="Times New Roman;sans-serif"/>
          <w:b/>
          <w:color w:val="000000"/>
          <w:sz w:val="24"/>
        </w:rPr>
        <w:t>ANNUAL REPORT PURSUANT TO SECTION 15(d) OF THE SECURITIES EXCHANGE ACT OF 1934</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color w:val="000000"/>
          <w:sz w:val="20"/>
        </w:rPr>
        <w:t xml:space="preserve">FOR THE FISCAL YEAR ENDED DECEMBER 31, 2022 </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before="0" w:after="0"/>
        <w:ind w:left="0" w:right="0" w:hanging="225"/>
        <w:jc w:val="both"/>
        <w:rPr/>
      </w:pPr>
      <w:r>
        <w:rPr/>
      </w:r>
    </w:p>
    <w:p>
      <w:pPr>
        <w:pStyle w:val="TextBody"/>
        <w:bidi w:val="0"/>
        <w:spacing w:lineRule="auto" w:line="288" w:before="0" w:after="0"/>
        <w:ind w:left="0" w:right="0" w:hanging="450"/>
        <w:jc w:val="both"/>
        <w:rPr/>
      </w:pPr>
      <w:r>
        <w:rPr>
          <w:color w:val="000000"/>
        </w:rPr>
        <w:t>☐    </w:t>
      </w:r>
      <w:r>
        <w:rPr>
          <w:rFonts w:ascii="Times New Roman;sans-serif" w:hAnsi="Times New Roman;sans-serif"/>
          <w:b/>
          <w:color w:val="000000"/>
          <w:sz w:val="24"/>
        </w:rPr>
        <w:t>TRANSITION REPORT PURSUANT TO SECTION 15(d) OF THE SECURITIES</w:t>
      </w:r>
      <w:r>
        <w:rPr>
          <w:color w:val="000000"/>
        </w:rPr>
        <w:t xml:space="preserve"> </w:t>
      </w:r>
      <w:r>
        <w:rPr>
          <w:rFonts w:ascii="Times New Roman;sans-serif" w:hAnsi="Times New Roman;sans-serif"/>
          <w:b/>
          <w:color w:val="000000"/>
          <w:sz w:val="24"/>
        </w:rPr>
        <w:t>EXCHANGE ACT OF 1934</w:t>
      </w:r>
    </w:p>
    <w:p>
      <w:pPr>
        <w:pStyle w:val="TextBody"/>
        <w:bidi w:val="0"/>
        <w:spacing w:before="0" w:after="0"/>
        <w:ind w:left="0" w:right="0" w:hanging="450"/>
        <w:jc w:val="both"/>
        <w:rPr/>
      </w:pPr>
      <w:r>
        <w:rPr/>
      </w:r>
    </w:p>
    <w:p>
      <w:pPr>
        <w:pStyle w:val="TextBody"/>
        <w:bidi w:val="0"/>
        <w:spacing w:lineRule="auto" w:line="288" w:before="0" w:after="0"/>
        <w:jc w:val="both"/>
        <w:rPr/>
      </w:pPr>
      <w:r>
        <w:rPr>
          <w:color w:val="000000"/>
        </w:rPr>
        <w:t>    </w:t>
      </w:r>
      <w:r>
        <w:rPr>
          <w:rFonts w:ascii="Times New Roman;sans-serif" w:hAnsi="Times New Roman;sans-serif"/>
          <w:b/>
          <w:color w:val="000000"/>
          <w:sz w:val="20"/>
        </w:rPr>
        <w:t>FOR THE TRANSITION PERIOD FROM ________________ TO _________________</w:t>
      </w:r>
      <w:r>
        <w:rPr>
          <w:color w:val="000000"/>
          <w:u w:val="single"/>
        </w:rPr>
        <w:t xml:space="preserve"> </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NUMBERS 033-47073; 333-154364</w:t>
      </w:r>
    </w:p>
    <w:p>
      <w:pPr>
        <w:pStyle w:val="TextBody"/>
        <w:bidi w:val="0"/>
        <w:spacing w:before="0" w:after="0"/>
        <w:jc w:val="center"/>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A.Full title of the plan and the address of the plan, if different from that of the issuer named below:</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Scotts Company LLC Retirement Savings Plan</w:t>
      </w:r>
    </w:p>
    <w:p>
      <w:pPr>
        <w:pStyle w:val="TextBody"/>
        <w:bidi w:val="0"/>
        <w:spacing w:before="0" w:after="0"/>
        <w:jc w:val="center"/>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B.Name of issuer of the securities held pursuant to the plan and the address of its principal executive office: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Scotts Miracle-Gro Company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14111 Scottslawn Road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Marysville, Ohio 43041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REQUIRED INFORMATION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The following financial statements and supplemental schedule for The Scotts Company LLC Retirement Savings Plan are being filed herewith:</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Audited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Statements of Net Assets Available for Benefits as of December 31, 2022 and 2021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Statements of Changes in Net Assets Available for Benefits for the Years Ended December 31, 2022 and 2021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Notes to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Supplemental Schedule: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Schedule of Assets Held for Investment Purposes at End of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Note: Other supplemental schedules required by Section 252.103-10 of the Department of Labor’s Rules and Regulations for Reporting and Disclosure under ERISA have been omitted because they are not applicable.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exhibit is being filed herewith:</w:t>
      </w:r>
    </w:p>
    <w:tbl>
      <w:tblPr>
        <w:tblW w:w="7360" w:type="dxa"/>
        <w:jc w:val="center"/>
        <w:tblInd w:w="0" w:type="dxa"/>
        <w:tblLayout w:type="fixed"/>
        <w:tblCellMar>
          <w:top w:w="28" w:type="dxa"/>
          <w:left w:w="28" w:type="dxa"/>
          <w:bottom w:w="28" w:type="dxa"/>
          <w:right w:w="28" w:type="dxa"/>
        </w:tblCellMar>
      </w:tblPr>
      <w:tblGrid>
        <w:gridCol w:w="445"/>
        <w:gridCol w:w="391"/>
        <w:gridCol w:w="393"/>
        <w:gridCol w:w="109"/>
        <w:gridCol w:w="109"/>
        <w:gridCol w:w="109"/>
        <w:gridCol w:w="1696"/>
        <w:gridCol w:w="1696"/>
        <w:gridCol w:w="2412"/>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Description</w:t>
            </w:r>
          </w:p>
        </w:tc>
      </w:tr>
      <w:tr>
        <w:trPr/>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231-12312022.htm">
              <w:r>
                <w:rPr>
                  <w:rStyle w:val="InternetLink"/>
                  <w:rFonts w:ascii="Times New Roman;sans-serif" w:hAnsi="Times New Roman;sans-serif"/>
                  <w:b w:val="false"/>
                  <w:color w:val="0000FF"/>
                  <w:sz w:val="22"/>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Consent of Independent Registered Public Accounting Firm </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i/>
          <w:color w:val="000000"/>
          <w:sz w:val="22"/>
        </w:rPr>
        <w:t>The Plan.</w:t>
      </w:r>
      <w:r>
        <w:rPr>
          <w:color w:val="000000"/>
        </w:rPr>
        <w:t xml:space="preserve"> </w:t>
      </w:r>
      <w:r>
        <w:rPr>
          <w:rFonts w:ascii="Times New Roman;sans-serif" w:hAnsi="Times New Roman;sans-serif"/>
          <w:b w:val="false"/>
          <w:color w:val="000000"/>
          <w:sz w:val="22"/>
        </w:rPr>
        <w:t>Pursuant to the requirements of the Securities Exchange Act of 1934, the trustees (or other persons who administer the employee benefit plan) have duly caused this annual report to be signed on its behalf by the undersigned hereunto duly authorized.</w:t>
      </w:r>
    </w:p>
    <w:tbl>
      <w:tblPr>
        <w:tblW w:w="7467" w:type="dxa"/>
        <w:jc w:val="center"/>
        <w:tblInd w:w="0" w:type="dxa"/>
        <w:tblLayout w:type="fixed"/>
        <w:tblCellMar>
          <w:top w:w="28" w:type="dxa"/>
          <w:left w:w="28" w:type="dxa"/>
          <w:bottom w:w="28" w:type="dxa"/>
          <w:right w:w="28" w:type="dxa"/>
        </w:tblCellMar>
      </w:tblPr>
      <w:tblGrid>
        <w:gridCol w:w="629"/>
        <w:gridCol w:w="554"/>
        <w:gridCol w:w="557"/>
        <w:gridCol w:w="109"/>
        <w:gridCol w:w="109"/>
        <w:gridCol w:w="109"/>
        <w:gridCol w:w="1582"/>
        <w:gridCol w:w="1582"/>
        <w:gridCol w:w="223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COMPANY LLC RETIREMENT SAVINGS PLAN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June 27,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E. GARTH</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Printed Name: Matthew E. Garth</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 and Executive Vice President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Scotts Company LLC</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SCOTTS COMPANY LLC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Retirement Savings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Index to the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December 31, 2022 and 2021</w:t>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333"/>
        <w:gridCol w:w="2871"/>
        <w:gridCol w:w="2880"/>
        <w:gridCol w:w="327"/>
        <w:gridCol w:w="327"/>
        <w:gridCol w:w="467"/>
      </w:tblGrid>
      <w:tr>
        <w:trPr/>
        <w:tc>
          <w:tcPr>
            <w:tcW w:w="3333"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Page Number</w:t>
            </w:r>
          </w:p>
        </w:tc>
      </w:tr>
      <w:tr>
        <w:trPr/>
        <w:tc>
          <w:tcPr>
            <w:tcW w:w="9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c0a6516144261b20d83874742b6b6_7">
              <w:r>
                <w:rPr>
                  <w:rStyle w:val="InternetLink"/>
                  <w:rFonts w:ascii="Times New Roman;sans-serif" w:hAnsi="Times New Roman;sans-serif"/>
                  <w:b w:val="false"/>
                  <w:color w:val="0000FF"/>
                  <w:sz w:val="22"/>
                  <w:u w:val="single"/>
                </w:rPr>
                <w:t>Report of Independent Registered Public Accounting Firm</w:t>
              </w:r>
            </w:hyperlink>
          </w:p>
        </w:tc>
        <w:tc>
          <w:tcPr>
            <w:tcW w:w="11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0c0a6516144261b20d83874742b6b6_7">
              <w:r>
                <w:rPr>
                  <w:rStyle w:val="InternetLink"/>
                  <w:rFonts w:ascii="Times New Roman;sans-serif" w:hAnsi="Times New Roman;sans-serif"/>
                  <w:b w:val="false"/>
                  <w:color w:val="0000FF"/>
                  <w:sz w:val="22"/>
                  <w:u w:val="single"/>
                </w:rPr>
                <w:t>1</w:t>
              </w:r>
            </w:hyperlink>
          </w:p>
        </w:tc>
      </w:tr>
      <w:tr>
        <w:trPr/>
        <w:tc>
          <w:tcPr>
            <w:tcW w:w="9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Financial Statements:</w:t>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c0a6516144261b20d83874742b6b6_10">
              <w:r>
                <w:rPr>
                  <w:rStyle w:val="InternetLink"/>
                  <w:rFonts w:ascii="Times New Roman;sans-serif" w:hAnsi="Times New Roman;sans-serif"/>
                  <w:b w:val="false"/>
                  <w:color w:val="0000FF"/>
                  <w:sz w:val="22"/>
                  <w:u w:val="single"/>
                </w:rPr>
                <w:t>Statements of Net Assets Available for Benefits</w:t>
              </w:r>
            </w:hyperlink>
          </w:p>
        </w:tc>
        <w:tc>
          <w:tcPr>
            <w:tcW w:w="11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0c0a6516144261b20d83874742b6b6_10">
              <w:r>
                <w:rPr>
                  <w:rStyle w:val="InternetLink"/>
                  <w:rFonts w:ascii="Times New Roman;sans-serif" w:hAnsi="Times New Roman;sans-serif"/>
                  <w:b w:val="false"/>
                  <w:color w:val="0000FF"/>
                  <w:sz w:val="22"/>
                  <w:u w:val="single"/>
                </w:rPr>
                <w:t>2</w:t>
              </w:r>
            </w:hyperlink>
          </w:p>
        </w:tc>
      </w:tr>
      <w:tr>
        <w:trPr/>
        <w:tc>
          <w:tcPr>
            <w:tcW w:w="9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0c0a6516144261b20d83874742b6b6_13">
              <w:r>
                <w:rPr>
                  <w:rStyle w:val="InternetLink"/>
                  <w:rFonts w:ascii="Times New Roman;sans-serif" w:hAnsi="Times New Roman;sans-serif"/>
                  <w:b w:val="false"/>
                  <w:color w:val="0000FF"/>
                  <w:sz w:val="22"/>
                  <w:u w:val="single"/>
                </w:rPr>
                <w:t>Statements of Changes in Net Assets Available for Benefits</w:t>
              </w:r>
            </w:hyperlink>
          </w:p>
        </w:tc>
        <w:tc>
          <w:tcPr>
            <w:tcW w:w="11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0c0a6516144261b20d83874742b6b6_13">
              <w:r>
                <w:rPr>
                  <w:rStyle w:val="InternetLink"/>
                  <w:rFonts w:ascii="Times New Roman;sans-serif" w:hAnsi="Times New Roman;sans-serif"/>
                  <w:b w:val="false"/>
                  <w:color w:val="0000FF"/>
                  <w:sz w:val="22"/>
                  <w:u w:val="single"/>
                </w:rPr>
                <w:t>3</w:t>
              </w:r>
            </w:hyperlink>
          </w:p>
        </w:tc>
      </w:tr>
      <w:tr>
        <w:trPr/>
        <w:tc>
          <w:tcPr>
            <w:tcW w:w="9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0c0a6516144261b20d83874742b6b6_16">
              <w:r>
                <w:rPr>
                  <w:rStyle w:val="InternetLink"/>
                  <w:rFonts w:ascii="Times New Roman;sans-serif" w:hAnsi="Times New Roman;sans-serif"/>
                  <w:b w:val="false"/>
                  <w:color w:val="0000FF"/>
                  <w:sz w:val="22"/>
                  <w:u w:val="single"/>
                </w:rPr>
                <w:t>Notes to Financial Statements</w:t>
              </w:r>
            </w:hyperlink>
          </w:p>
        </w:tc>
        <w:tc>
          <w:tcPr>
            <w:tcW w:w="11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0c0a6516144261b20d83874742b6b6_16">
              <w:r>
                <w:rPr>
                  <w:rStyle w:val="InternetLink"/>
                  <w:rFonts w:ascii="Times New Roman;sans-serif" w:hAnsi="Times New Roman;sans-serif"/>
                  <w:b w:val="false"/>
                  <w:color w:val="0000FF"/>
                  <w:sz w:val="22"/>
                  <w:u w:val="single"/>
                </w:rPr>
                <w:t>4</w:t>
              </w:r>
            </w:hyperlink>
          </w:p>
        </w:tc>
      </w:tr>
      <w:tr>
        <w:trPr/>
        <w:tc>
          <w:tcPr>
            <w:tcW w:w="9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Supplemental Schedule:</w:t>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9084"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c0a6516144261b20d83874742b6b6_43">
              <w:r>
                <w:rPr>
                  <w:rStyle w:val="InternetLink"/>
                  <w:rFonts w:ascii="Times New Roman;sans-serif" w:hAnsi="Times New Roman;sans-serif"/>
                  <w:b w:val="false"/>
                  <w:color w:val="0000FF"/>
                  <w:sz w:val="22"/>
                  <w:u w:val="single"/>
                </w:rPr>
                <w:t>Schedule of Assets Held for Investment Purposes at End of Year</w:t>
              </w:r>
            </w:hyperlink>
          </w:p>
        </w:tc>
        <w:tc>
          <w:tcPr>
            <w:tcW w:w="11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0c0a6516144261b20d83874742b6b6_43">
              <w:r>
                <w:rPr>
                  <w:rStyle w:val="InternetLink"/>
                  <w:rFonts w:ascii="Times New Roman;sans-serif" w:hAnsi="Times New Roman;sans-serif"/>
                  <w:b w:val="false"/>
                  <w:color w:val="0000FF"/>
                  <w:sz w:val="22"/>
                  <w:u w:val="single"/>
                </w:rPr>
                <w:t>10</w:t>
              </w:r>
            </w:hyperlink>
          </w:p>
        </w:tc>
      </w:tr>
      <w:tr>
        <w:trPr/>
        <w:tc>
          <w:tcPr>
            <w:tcW w:w="9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NOTE: Other supplemental schedules required by Section 252.103-10 of the Department of Labor’s Rules and Regulations for Reporting and Disclosure under ERISA have been omitted because they are not applicable.</w:t>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0c0a6516144261b20d83874742b6b6_46">
              <w:r>
                <w:rPr>
                  <w:rStyle w:val="InternetLink"/>
                  <w:rFonts w:ascii="Times New Roman;sans-serif" w:hAnsi="Times New Roman;sans-serif"/>
                  <w:b w:val="false"/>
                  <w:color w:val="0000FF"/>
                  <w:sz w:val="22"/>
                  <w:u w:val="single"/>
                </w:rPr>
                <w:t>Index to Exhibits</w:t>
              </w:r>
            </w:hyperlink>
          </w:p>
        </w:tc>
        <w:tc>
          <w:tcPr>
            <w:tcW w:w="112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0c0a6516144261b20d83874742b6b6_46">
              <w:r>
                <w:rPr>
                  <w:rStyle w:val="InternetLink"/>
                  <w:rFonts w:ascii="Times New Roman;sans-serif" w:hAnsi="Times New Roman;sans-serif"/>
                  <w:b w:val="false"/>
                  <w:color w:val="0000FF"/>
                  <w:sz w:val="22"/>
                  <w:u w:val="single"/>
                </w:rPr>
                <w:t>11</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REPORT OF INDEPENDENT REGISTERED PUBLIC ACCOUNTING FIRM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Plan Administrator and Plan Participants of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Scotts Company LLC Retirement Savings Plan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Marysville, Ohio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0" w:after="0"/>
        <w:jc w:val="both"/>
        <w:rPr/>
      </w:pPr>
      <w:r>
        <w:rPr>
          <w:rFonts w:ascii="Times New Roman;sans-serif" w:hAnsi="Times New Roman;sans-serif"/>
          <w:b w:val="false"/>
          <w:color w:val="000000"/>
          <w:sz w:val="20"/>
        </w:rPr>
        <w:t>We have audited the accompanying statements of net assets available for benefits of The Scotts Company LLC Retirement Savings Plan (the “Plan”) as of December 31, 2022 and 2021 and the related statements of changes in net assets available for benefits for the years then ended, and the related notes and schedule</w:t>
      </w:r>
      <w:r>
        <w:rPr>
          <w:color w:val="000000"/>
        </w:rPr>
        <w:t xml:space="preserve"> </w:t>
      </w:r>
      <w:r>
        <w:rPr>
          <w:rFonts w:ascii="Times New Roman;sans-serif" w:hAnsi="Times New Roman;sans-serif"/>
          <w:b w:val="false"/>
          <w:color w:val="000000"/>
          <w:sz w:val="20"/>
        </w:rPr>
        <w:t>(collectively referred to as the “financial statements”). In our opinion, the financial statements present fairly, in all material respects, the net assets available for benefits of the Plan as of December 31, 2022 and 2021, and the changes in net assets available for benefits for the years then ended,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purposes of expressing an opinion on the effectiveness of the Plan’s internal control over financial reporting. Accordingly, we express no such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Supplemental Information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supplemental Schedule of Assets Held for Investment Purposes at End of Year as of December 31, 2022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Department of Labor’s (DOL) Rules and Regulations for Reporting and Disclosure under the Employee Retirement Income Security Act of 1974. In our opinion, the supplemental information is fairly stated, in all material respects, in relation to the financial statements as a whole.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MEADEN &amp; MOORE, LTD.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served as the Plan’s auditor since 2004.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Cleveland, Ohio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June 27,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SCOTTS COMPANY LLC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Retirement Savings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Statements of Net Assets Available for Benefits</w:t>
      </w:r>
    </w:p>
    <w:p>
      <w:pPr>
        <w:pStyle w:val="TextBody"/>
        <w:bidi w:val="0"/>
        <w:spacing w:before="0" w:after="0"/>
        <w:jc w:val="left"/>
        <w:rPr/>
      </w:pPr>
      <w:r>
        <w:rPr/>
      </w:r>
    </w:p>
    <w:tbl>
      <w:tblPr>
        <w:tblW w:w="7749" w:type="dxa"/>
        <w:jc w:val="center"/>
        <w:tblInd w:w="0" w:type="dxa"/>
        <w:tblLayout w:type="fixed"/>
        <w:tblCellMar>
          <w:top w:w="28" w:type="dxa"/>
          <w:left w:w="28" w:type="dxa"/>
          <w:bottom w:w="28" w:type="dxa"/>
          <w:right w:w="28" w:type="dxa"/>
        </w:tblCellMar>
      </w:tblPr>
      <w:tblGrid>
        <w:gridCol w:w="1439"/>
        <w:gridCol w:w="1267"/>
        <w:gridCol w:w="1269"/>
        <w:gridCol w:w="226"/>
        <w:gridCol w:w="1366"/>
        <w:gridCol w:w="109"/>
        <w:gridCol w:w="109"/>
        <w:gridCol w:w="109"/>
        <w:gridCol w:w="109"/>
        <w:gridCol w:w="226"/>
        <w:gridCol w:w="1366"/>
        <w:gridCol w:w="154"/>
      </w:tblGrid>
      <w:tr>
        <w:trPr/>
        <w:tc>
          <w:tcPr>
            <w:tcW w:w="143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December 31,</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2021</w:t>
            </w:r>
          </w:p>
        </w:tc>
      </w:tr>
      <w:tr>
        <w:trPr/>
        <w:tc>
          <w:tcPr>
            <w:tcW w:w="77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Assets</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Receivables:</w:t>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Notes receivable from participants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11,116,636 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9,934,750 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Employer contributions receivable</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547,524 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3,196,352 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receivables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Total receivables</w:t>
            </w:r>
          </w:p>
        </w:tc>
        <w:tc>
          <w:tcPr>
            <w:tcW w:w="1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11,664,160 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13,145,881 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Investments held by trustee, at fair value</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525,634,282 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728,854,181 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assets</w:t>
            </w:r>
          </w:p>
        </w:tc>
        <w:tc>
          <w:tcPr>
            <w:tcW w:w="1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537,298,442 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742,000,062 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Liabilities</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Total liabilities</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Net assets available for benefits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537,298,442 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742,000,062 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See Notes to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SCOTTS COMPANY LLC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Retirement Savings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Statements of Changes in Net Assets Available for Benefits</w:t>
      </w:r>
    </w:p>
    <w:tbl>
      <w:tblPr>
        <w:tblW w:w="9414" w:type="dxa"/>
        <w:jc w:val="left"/>
        <w:tblInd w:w="0" w:type="dxa"/>
        <w:tblLayout w:type="fixed"/>
        <w:tblCellMar>
          <w:top w:w="28" w:type="dxa"/>
          <w:left w:w="28" w:type="dxa"/>
          <w:bottom w:w="28" w:type="dxa"/>
          <w:right w:w="28" w:type="dxa"/>
        </w:tblCellMar>
      </w:tblPr>
      <w:tblGrid>
        <w:gridCol w:w="2044"/>
        <w:gridCol w:w="1796"/>
        <w:gridCol w:w="1800"/>
        <w:gridCol w:w="226"/>
        <w:gridCol w:w="1366"/>
        <w:gridCol w:w="109"/>
        <w:gridCol w:w="109"/>
        <w:gridCol w:w="109"/>
        <w:gridCol w:w="109"/>
        <w:gridCol w:w="226"/>
        <w:gridCol w:w="1366"/>
        <w:gridCol w:w="154"/>
      </w:tblGrid>
      <w:tr>
        <w:trPr/>
        <w:tc>
          <w:tcPr>
            <w:tcW w:w="2044"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2"/>
              </w:rPr>
              <w:t>Year Ended December 31,</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2021</w:t>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Additions to (deductions from) net assets attributed to:</w:t>
            </w:r>
          </w:p>
        </w:tc>
        <w:tc>
          <w:tcPr>
            <w:tcW w:w="17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Contributions:</w:t>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Employer</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25,869,171 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31,837,756 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Participant</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28,544,726 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31,715,475 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Rollovers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4,361,937 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10,237,179 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contributions</w:t>
            </w:r>
          </w:p>
        </w:tc>
        <w:tc>
          <w:tcPr>
            <w:tcW w:w="1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58,775,834 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73,790,410 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on notes receivable from participants</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495,380 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490,511 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Investment income (loss):</w:t>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and dividend income</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5,923,447 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15,359,324 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appreciation (depreciation) in fair value of investments</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(170,527,730)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61,087,242 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investment income (loss)</w:t>
            </w:r>
          </w:p>
        </w:tc>
        <w:tc>
          <w:tcPr>
            <w:tcW w:w="1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(164,604,283)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76,446,566 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Benefits paid to participants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(99,079,679)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(58,147,338)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Administrative expenses</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(288,872)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(295,954)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Transfers in</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2,211,883 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increase (decrease) in net assets</w:t>
            </w:r>
          </w:p>
        </w:tc>
        <w:tc>
          <w:tcPr>
            <w:tcW w:w="1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(204,701,620)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94,496,078 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Net assets available for benefits:</w:t>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of year</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742,000,062 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647,503,984 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End of year</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537,298,442 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742,000,062 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See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SCOTTS COMPANY LLC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Retirement Savings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NOTE 1. DESCRIPTION OF PLAN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Scotts Company LLC Retirement Savings Plan (the “Plan”) is a defined contribution plan covering substantially all employees of The Scotts Company LLC (the “Company”) and certain of its affiliates who meet the eligibility requirements. The Plan is subject to the provisions of the Employee Retirement Income Security Act of 1974, as amended (“ERISA”).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description of the Plan provides only general information. Participants should refer to the Plan document for a complete description of the Plan’s provisions, such as eligibility, vesting, allocation and funding.</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Administration</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Benefits Administrative Committee is responsible for the general operation and administration of the Plan. Fidelity Management Trust Company serves as the Plan trustee, record keeper, and custodian.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Eligibility</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Domestic employees are immediately eligible to participate in the Plan upon date of hire. Certain temporary employees are not eligible to participate in the Plan.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Contributions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Plan provides for a participant to make pre-tax contributions of up to 75% of eligible earnings, not to exceed the annual Internal Revenue Service (“IRS”) maximum contribution amount. The maximum contribution for the years ended December 31, 2022 and 2021 was $20,500 and $19,500, respectively. The Plan also provides that participants who will reach age 50 or older by the end of the calendar year and who are making contributions to the Plan may also make catch-up contributions, up to $6,500 for Plan years 2022 and 2021. Participants also have the option to designate all or any portion of their contributions as after-tax Roth contributions.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Eligible employees are automatically enrolled in the Plan at a pre-tax contribution rate of 3% of compensation for those who do not opt out of such participation. The contribution rate is automatically escalated by an additional 1% of compensation up to a maximum of 6% of compensation. Employees also receive the applicable Company matching contribution. The Company provides matching contributions of 200% of employees’ initial 3% contribution and 50% of their remaining contribution up to 6%. At of the end of each Plan year, the Company provides, if necessary, an additional true-up matching contribution to employees, based on their total elective contributions and eligible compensation for the Plan year. The Company may make additional discretionary profit sharing matching contributions to eligible employees on their initial 4% contribution. The Company may also make additional discretionary employer special contributions to the Plan on behalf of eligible employees.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Rollover contributions from other plans are also accepted provided certain specified conditions are met. Participants may direct their contributions and their Company matching contributions into any or all of the investment options under the Plan. Contributions are subject to limitations on annual additions and other limitations imposed by the Internal Revenue Code, as defined in the Plan document.</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Transfers</w:t>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On February 26, 2021, an affiliate of the Company acquired the remaining outstanding shares of AeroGrow International, Inc. Effective April 1, 2021, most AeroGrow employees transferred to employment with The Scotts Company LLC and these employees became immediately eligible to participate in the Plan. During Plan year 2021, assets of $2,211,883 were transferred into the Plan in connection with this acquisition.</w:t>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SCOTTS COMPANY LLC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Retirement Savings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Financial Statements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Participant Accounts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Each participant’s account is credited with the participant’s elective contributions, any rollover contributions made by the participant, allocations of the Company’s base, matching and discretionary contributions and Plan earnings. A participant is entitled to the benefit provided from the participant’s vested account balance.</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Vesting</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All participants are immediately vested in their contributions to the Plan plus actual earnings thereon. Company matching contributions and discretionary employer special contributions vest immediately, however, base retirement contributions made by the Company prior to January 1, 2011 vested after three years of service or immediately upon death, attainment of age 65 or permanent and total disability.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Forfeitures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non-vested portions of participant account balances are forfeitable and used to reduce Company contributions to the Plan and to pay reasonable Plan fees. Forfeitures used to reduce Company contributions were $169,883 and $0 for the years ended December 31, 2022 and 2021, respectively. Forfeitures used to offset plan expenses were $0 and $16,041 for the years ended December 31, 2022 and 2021, respectively. The total unused balance remaining in the forfeiture account was $6,958 and $12,178 at December 31, 2022 and 2021, respectively.</w:t>
      </w:r>
    </w:p>
    <w:p>
      <w:pPr>
        <w:pStyle w:val="TextBody"/>
        <w:bidi w:val="0"/>
        <w:spacing w:lineRule="auto" w:line="288" w:before="0" w:after="0"/>
        <w:jc w:val="both"/>
        <w:rPr>
          <w:color w:val="000000"/>
        </w:rPr>
      </w:pPr>
      <w:r>
        <w:rPr>
          <w:color w:val="000000"/>
        </w:rPr>
        <w:t>    </w:t>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Notes Receivable from Participants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Participant loans are permitted under certain circumstances and are subject to limitations. Participants may borrow from their account up to a maximum equal to the lesser of $50,000 or 50% of their account balance. Participant loans are repaid over a period not to exceed 5 years, or 10 years if the loan is for the purchase of a principal residence. The loans are secured by the balance in the participant’s account and bear interest at rates managed by Fidelity Management Trust Company. Principal and interest are paid through payroll deductions. Loans are recorded at unpaid principal plus accrued but unpaid interest.</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Payment of Benefits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Participants are eligible to receive benefit payments upon termination, retirement, death or disability equal to the vested balance of the participant’s account as of the business day the trustee processes the distribution. Normal retirement age is 65; however, the Plan also provides for in-service withdrawals for active employees under certain circumstances. Hardship withdrawals are permitted in accordance with IRS guidelines.</w:t>
      </w:r>
    </w:p>
    <w:p>
      <w:pPr>
        <w:pStyle w:val="TextBody"/>
        <w:bidi w:val="0"/>
        <w:spacing w:before="0" w:after="0"/>
        <w:jc w:val="both"/>
        <w:rPr/>
      </w:pPr>
      <w:r>
        <w:rPr/>
      </w: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Administrative Expenses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Administrative expenses are paid by the Company or from the assets of the Plan. General expenses paid from the Plan’s assets are allocated among participant accounts to the extent not paid from forfeitures, except for a plan administrative fee of $10 per quarter, fees for loans, withdrawals, and Qualified Domestic Relations Orders which are paid from the account of the participant incurring the expense.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NOTE 2. SUMMARY OF SIGNIFICANT ACCOUNTING POLICIES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2"/>
        </w:rPr>
      </w:pPr>
      <w:r>
        <w:rPr>
          <w:rFonts w:ascii="Times New Roman;sans-serif" w:hAnsi="Times New Roman;sans-serif"/>
          <w:b/>
          <w:color w:val="000000"/>
          <w:sz w:val="22"/>
        </w:rPr>
        <w:t>Basis of Presentation</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financial statements of the Plan have been prepared on the accrual basis of accounting in accordance with accounting principles generally accepted in the United States of America (“GAAP”).</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SCOTTS COMPANY LLC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Retirement Savings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Financial Statements</w:t>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Investments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Plan’s investments are recorded at fair value. Purchases and sales of securities are recorded on a trade-date basis using fair market value. Dividends are recorded on the ex-dividend date. Interest is recorded as earned.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Plan holds a stable value investment contract, Fidelity Managed Income Portfolio II (the “Portfolio”), with Fidelity Management Trust Company (“Fidelity”). The Portfolio is an open-end commingled pool dedicated exclusively to the management of assets of defined contribution plans. The Portfolio invests in underlying assets (typically fixed-income securities or bond funds, although investments may also include derivative instruments such as futures contracts and swap agreements) and enters into “wrapper” contracts issued by a third party. The account is credited with earnings on the underlying investments and charged for participant withdrawals and administrative expenses. The wrap issuer agrees to pay the Portfolio an amount sufficient to cover unit holder redemptions and certain other payments (such as portfolio expenses), provided all the terms of the wrapper have been met. Wrappers are normally purchased from issuers rated in the top three long-term rating categories (A- or the equivalent and above). The purpose of the wrappers is to preserve the investors’ principal investment while earning interest income, providing more stability in value than a traditional investment. Net asset value (“NAV”) is determined by the Portfolio each business day. Issues and redemptions of units are recorded, upon receipt of unit holder’s instructions in good order, based on the next determined NAV per unit normally each day. In unusual market conditions, in accordance with the Portfolio’s Declaration of Trust, Fidelity may in its sole discretion, impose restrictions on issues and redemptions of units.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Use of Estimates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preparation of financial statements in conformity with GAAP requires the Plan to make estimates and assumptions that affect the reported amounts of net assets available for benefits at the date of the financial statements, changes in net assets available for benefits during the reporting period and, when applicable, disclosures of contingent assets and liabilities at the date of the financial statements. Actual results could differ from those estimates.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Payments of Benefits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Benefits are recorded when paid.</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Risks and Uncertainties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Plan provides various investment options, which are subject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 account balances and the amounts reported in the Statements of Net Assets Available for Benefits.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2"/>
        </w:rPr>
      </w:pPr>
      <w:r>
        <w:rPr>
          <w:rFonts w:ascii="Times New Roman;sans-serif" w:hAnsi="Times New Roman;sans-serif"/>
          <w:b/>
          <w:color w:val="000000"/>
          <w:sz w:val="22"/>
        </w:rPr>
        <w:t>Subsequent Events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year ended December 31, 2022, the Plan has evaluated subsequent events for potential recognition and disclosure through the date the financial statements were available for issuance.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SCOTTS COMPANY LLC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Retirement Savings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Financial Statements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NOTE 3. FAIR VALUE MEASUREMENTS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 </w:t>
      </w:r>
    </w:p>
    <w:p>
      <w:pPr>
        <w:pStyle w:val="TextBody"/>
        <w:bidi w:val="0"/>
        <w:spacing w:before="0" w:after="0"/>
        <w:jc w:val="both"/>
        <w:rPr/>
      </w:pPr>
      <w:r>
        <w:rPr/>
      </w:r>
    </w:p>
    <w:p>
      <w:pPr>
        <w:pStyle w:val="TextBody"/>
        <w:bidi w:val="0"/>
        <w:spacing w:lineRule="auto" w:line="288" w:before="90" w:after="283"/>
        <w:jc w:val="both"/>
        <w:rPr/>
      </w:pPr>
      <w:r>
        <w:rPr>
          <w:rFonts w:ascii="Times New Roman;sans-serif" w:hAnsi="Times New Roman;sans-serif"/>
          <w:b w:val="false"/>
          <w:i/>
          <w:color w:val="000000"/>
          <w:sz w:val="22"/>
        </w:rPr>
        <w:t xml:space="preserve">Level 1 - </w:t>
      </w:r>
      <w:r>
        <w:rPr>
          <w:rFonts w:ascii="Times New Roman;sans-serif" w:hAnsi="Times New Roman;sans-serif"/>
          <w:b w:val="false"/>
          <w:color w:val="000000"/>
          <w:sz w:val="22"/>
        </w:rPr>
        <w:t xml:space="preserve">Quoted prices in active markets for identical assets or liabilities. </w:t>
      </w:r>
    </w:p>
    <w:p>
      <w:pPr>
        <w:pStyle w:val="TextBody"/>
        <w:bidi w:val="0"/>
        <w:spacing w:lineRule="auto" w:line="288" w:before="90" w:after="283"/>
        <w:jc w:val="both"/>
        <w:rPr/>
      </w:pPr>
      <w:r>
        <w:rPr>
          <w:rFonts w:ascii="Times New Roman;sans-serif" w:hAnsi="Times New Roman;sans-serif"/>
          <w:b w:val="false"/>
          <w:i/>
          <w:color w:val="000000"/>
          <w:sz w:val="22"/>
        </w:rPr>
        <w:t xml:space="preserve">Level 2 - </w:t>
      </w:r>
      <w:r>
        <w:rPr>
          <w:rFonts w:ascii="Times New Roman;sans-serif" w:hAnsi="Times New Roman;sans-serif"/>
          <w:b w:val="false"/>
          <w:color w:val="000000"/>
          <w:sz w:val="22"/>
        </w:rPr>
        <w:t xml:space="preserve">Observable inputs other than quoted prices included in Level 1, such as quoted prices for similar assets and liabilities in active markets; quoted prices for similar assets and liabilities in markets that are not active; or other inputs that are observable or can be corroborated by observable market data. </w:t>
      </w:r>
    </w:p>
    <w:p>
      <w:pPr>
        <w:pStyle w:val="TextBody"/>
        <w:bidi w:val="0"/>
        <w:spacing w:lineRule="auto" w:line="288" w:before="90" w:after="283"/>
        <w:jc w:val="both"/>
        <w:rPr/>
      </w:pPr>
      <w:r>
        <w:rPr>
          <w:rFonts w:ascii="Times New Roman;sans-serif" w:hAnsi="Times New Roman;sans-serif"/>
          <w:b w:val="false"/>
          <w:i/>
          <w:color w:val="000000"/>
          <w:sz w:val="22"/>
        </w:rPr>
        <w:t xml:space="preserve">Level 3 - </w:t>
      </w:r>
      <w:r>
        <w:rPr>
          <w:rFonts w:ascii="Times New Roman;sans-serif" w:hAnsi="Times New Roman;sans-serif"/>
          <w:b w:val="false"/>
          <w:color w:val="000000"/>
          <w:sz w:val="22"/>
        </w:rPr>
        <w:t>Unobservable inputs that are supported by little or no market activity and that are significant to the fair value of the assets or liabilities. This includes pricing models, discounted cash flow methodologies and similar techniques that use significant unobservable inputs.</w:t>
      </w:r>
    </w:p>
    <w:p>
      <w:pPr>
        <w:pStyle w:val="TextBody"/>
        <w:bidi w:val="0"/>
        <w:spacing w:before="0" w:after="0"/>
        <w:jc w:val="both"/>
        <w:rPr/>
      </w:pPr>
      <w:r>
        <w:rPr/>
      </w:r>
    </w:p>
    <w:p>
      <w:pPr>
        <w:pStyle w:val="TextBody"/>
        <w:bidi w:val="0"/>
        <w:spacing w:lineRule="auto" w:line="288" w:before="9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describes the valuation methodologies used for assets measured at fair value. There have been no changes in the methodologies used at December 31, 2022 and 2021.</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Mutual funds and common shares: Valued at the closing price reported on the active market on which the securities are traded.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Self-directed brokerage account: Includes investments in common stocks, preferred stocks, mutual funds, cash and cash equivalents, bonds, and warrants which are valued at quoted market prices at year end.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Stable value investment contracts: Valued at fair value by discounting the related cash flows based on current yields of similar instruments with comparable durations considering the credit worthiness of the issuer (see Note 2).</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Money market funds: Valued at amortized cost which approximates fair value. The amortized cost of an instrument is determined by valuing it at its original cost and thereafter amortizing any discount or premium from its face value at a constant rate until maturity.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Collective investment trusts: The fair value is based on NAV as reported by the trust, which is reported at fair value. Participant transactions (purchases and sales) may occur daily. Issues and redemptions of units are recorded, upon receipt of unit holder’s instructions in good order, based on the next determined NAV per unit normally each day. In unusual market conditions, in accordance with the trust, the trustee may in its sole discretion, impose restrictions on issues and redemptions of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SCOTTS COMPANY LLC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Retirement Savings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Financial Statements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Plan’s investments measured at fair value at December 31, 2022:</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59"/>
        <w:gridCol w:w="1088"/>
        <w:gridCol w:w="1057"/>
        <w:gridCol w:w="226"/>
        <w:gridCol w:w="1366"/>
        <w:gridCol w:w="109"/>
        <w:gridCol w:w="109"/>
        <w:gridCol w:w="109"/>
        <w:gridCol w:w="109"/>
        <w:gridCol w:w="226"/>
        <w:gridCol w:w="1246"/>
        <w:gridCol w:w="109"/>
        <w:gridCol w:w="109"/>
        <w:gridCol w:w="109"/>
        <w:gridCol w:w="109"/>
        <w:gridCol w:w="241"/>
        <w:gridCol w:w="433"/>
        <w:gridCol w:w="116"/>
        <w:gridCol w:w="109"/>
        <w:gridCol w:w="109"/>
        <w:gridCol w:w="109"/>
        <w:gridCol w:w="226"/>
        <w:gridCol w:w="1366"/>
        <w:gridCol w:w="156"/>
      </w:tblGrid>
      <w:tr>
        <w:trPr/>
        <w:tc>
          <w:tcPr>
            <w:tcW w:w="125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Total</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Mutual funds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131,712,011 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131,712,011 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Scotts Miracle-Gro Company common shares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17,346,182 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17,346,182 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Self-directed brokerage account</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21,354,738 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21,354,738 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Stable value investment contracts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26,323,531 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26,323,531 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Money market funds</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978,480 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978,480 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investments in the fair value hierarchy</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170,412,931 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27,302,011 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197,714,942 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Collective investment trusts, measured at NAV</w:t>
            </w:r>
          </w:p>
        </w:tc>
        <w:tc>
          <w:tcPr>
            <w:tcW w:w="17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327,919,340 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investments at fair value</w:t>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525,634,282 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Plan’s investments measured at fair value at December 31, 2021:</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59"/>
        <w:gridCol w:w="1088"/>
        <w:gridCol w:w="1057"/>
        <w:gridCol w:w="226"/>
        <w:gridCol w:w="1366"/>
        <w:gridCol w:w="109"/>
        <w:gridCol w:w="109"/>
        <w:gridCol w:w="109"/>
        <w:gridCol w:w="109"/>
        <w:gridCol w:w="226"/>
        <w:gridCol w:w="1246"/>
        <w:gridCol w:w="109"/>
        <w:gridCol w:w="109"/>
        <w:gridCol w:w="109"/>
        <w:gridCol w:w="109"/>
        <w:gridCol w:w="241"/>
        <w:gridCol w:w="433"/>
        <w:gridCol w:w="116"/>
        <w:gridCol w:w="109"/>
        <w:gridCol w:w="109"/>
        <w:gridCol w:w="109"/>
        <w:gridCol w:w="226"/>
        <w:gridCol w:w="1366"/>
        <w:gridCol w:w="156"/>
      </w:tblGrid>
      <w:tr>
        <w:trPr/>
        <w:tc>
          <w:tcPr>
            <w:tcW w:w="125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Total</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Mutual funds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296,018,185 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296,018,185 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Scotts Miracle-Gro Company common shares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52,449,073 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52,449,073 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Self-directed brokerage account</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32,713,174 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32,713,174 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Stable value investment contracts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30,765,237 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30,765,237 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Money market funds</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651,683 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651,683 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investments in the fair value hierarchy</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381,180,432 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31,416,920 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412,597,352 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Collective investment trusts, measured at NAV</w:t>
            </w:r>
          </w:p>
        </w:tc>
        <w:tc>
          <w:tcPr>
            <w:tcW w:w="17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316,256,829 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investments at fair value</w:t>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728,854,181 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NOTE 4. TAX STATUS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Plan obtained its latest determination letter on December 5, 2017, based on plan amendments through January 1, 2017, in which the Internal Revenue Service (“IRS”) stated that the Plan, as then designed, was in compliance with the applicable requirements of the Internal Revenue Code. The Plan administrator and the Company believe that the Plan is being operated in compliance with the applicable requirements of the Internal Revenue Code. Accordingly, no provision for federal income taxes has been made.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GAAP requires Plan management to evaluate tax positions taken by the Plan and recognize a tax liability if the Plan has taken uncertain tax positions that more-likely-than-not would not be sustained upon examination by applicable taxing authorities. The Plan administrator has analyzed tax positions taken by the Plan and has concluded that, as of December 31, 2022, there are no uncertain tax positions taken, or expected to be taken, that would require recognition of a liability or that would require disclosure in the financial statements. The Plan is subject to routine audits by taxing jurisdictions. Currently no audits for any tax periods are in progress.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SCOTTS COMPANY LLC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Retirement Savings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Financial Statements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NOTE 5. PLAN TERMINATION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Although it has not expressed any intent to do so, the Company has the right under the Plan to terminate the Plan or its contributions subject to the provisions of ERISA. In the event the Plan is terminated, all participants will become fully vested in their accounts.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NOTE 6. PARTY-IN-INTEREST TRANSACTIONS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Certain Plan investments are shares of mutual funds managed by Fidelity Management Trust Company, the Trustee as defined by the Plan, and therefore, these transactions qualify as party-in-interest. The fees for the investment management services are paid by the mutual funds.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also a party-in-interest to the Plan under the definition provided in Section 3(14) of ERISA. Therefore, the Company’s common share transactions qualify as party-in-interest.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the Plan has arrangements with various service providers and these arrangements qualify as party-in-interest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SCHEDULE OF ASSETS HELD FOR INVESTMENT PURPOSES AT END OF YEAR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Form 5500, Schedule H, Part IV, Line 4i</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Scotts Company LLC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Retirement Savings Plan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EIN 31-1414921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Plan Number 001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December 31, 2022 </w:t>
      </w:r>
    </w:p>
    <w:tbl>
      <w:tblPr>
        <w:tblW w:w="10205" w:type="dxa"/>
        <w:jc w:val="center"/>
        <w:tblInd w:w="0" w:type="dxa"/>
        <w:tblLayout w:type="fixed"/>
        <w:tblCellMar>
          <w:top w:w="28" w:type="dxa"/>
          <w:left w:w="28" w:type="dxa"/>
          <w:bottom w:w="28" w:type="dxa"/>
          <w:right w:w="28" w:type="dxa"/>
        </w:tblCellMar>
      </w:tblPr>
      <w:tblGrid>
        <w:gridCol w:w="127"/>
        <w:gridCol w:w="112"/>
        <w:gridCol w:w="112"/>
        <w:gridCol w:w="109"/>
        <w:gridCol w:w="109"/>
        <w:gridCol w:w="109"/>
        <w:gridCol w:w="1115"/>
        <w:gridCol w:w="713"/>
        <w:gridCol w:w="716"/>
        <w:gridCol w:w="109"/>
        <w:gridCol w:w="109"/>
        <w:gridCol w:w="109"/>
        <w:gridCol w:w="1486"/>
        <w:gridCol w:w="1254"/>
        <w:gridCol w:w="1259"/>
        <w:gridCol w:w="109"/>
        <w:gridCol w:w="109"/>
        <w:gridCol w:w="109"/>
        <w:gridCol w:w="148"/>
        <w:gridCol w:w="148"/>
        <w:gridCol w:w="148"/>
        <w:gridCol w:w="109"/>
        <w:gridCol w:w="109"/>
        <w:gridCol w:w="109"/>
        <w:gridCol w:w="211"/>
        <w:gridCol w:w="1186"/>
        <w:gridCol w:w="162"/>
      </w:tblGrid>
      <w:tr>
        <w:trPr/>
        <w:tc>
          <w:tcPr>
            <w:tcW w:w="1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8"/>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 Identity of Issue, Borrower, Lessor, or Similar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 Description of Investment Including Maturity Date, Rate of Interest, Collateral, Par or Maturity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8"/>
              </w:rPr>
              <w:t>(e) Current Value</w:t>
            </w:r>
          </w:p>
        </w:tc>
      </w:tr>
      <w:tr>
        <w:trPr/>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Dodge and Cox Stock Fund Class 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Registered Investment Company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23,041,167 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EuroPacific Growth Fund Class R6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Registered Investment Company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11,252,522 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Fidelity 500 Index Fund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Registered Investment Company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40,302,157 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Fidelity Brokerage Link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Self-Directed Brokerage Option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21,354,738 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Fidelity Contrafund Commingled Pool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31,690,034 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Fidelity Managed Income Portfolio II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26,323,531 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Fidelity Puritan Fund 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Registered Investment Company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16,170,902 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Fidelity Total International Index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Registered Investment Company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2,403,706 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JPMorgan US Government Money Market Fund - Institutional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Money Market Fund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978,480 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PIMCO Total Return Fund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Registered Investment Company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9,286,162 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 Rowe Price Large-Cap Growth Trust 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33,228,022 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The Scotts Company Common Shares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Employer Securities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17,346,182 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Extended Market Index Fund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Registered Investment Company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24,206,772 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Short Term Inflation Protected Securities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Registered Investment Company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1,327,248 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2020 Trust II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12,950,968 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2025 Trust II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21,922,016 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2030 Trust II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38,468,326 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2035 Trust II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30,803,008 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2040 Trust II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38,348,747 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2045 Trust II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38,785,356 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2050 Trust II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36,017,898 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2055 Trust II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25,526,958 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2060 Trust II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10,140,472 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2065 Trust II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3,075,646 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2070 Trust II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Target Retirement Income Trust II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Common Collective Trust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6,942,341 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Vanguard Total Bond Market Index Fund Institutional Shares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Registered Investment Company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3,721,375 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525,634,282 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 loans (interest rates ranging from 4.25% to 7.25% with varying maturity dates through September 6,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11,116,636 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536,750,918 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 Party-in-interest to the Plan</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 Information not represented because investments are participant directed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THE SCOTTS COMPANY LLC RETIREMENT SAVINGS PLAN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ANNUAL REPORT ON FORM 11-K</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FOR FISCAL YEAR ENDED DECEMBER 31, 2022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INDEX TO EXHIBITS</w:t>
      </w:r>
    </w:p>
    <w:p>
      <w:pPr>
        <w:pStyle w:val="TextBody"/>
        <w:bidi w:val="0"/>
        <w:spacing w:before="0" w:after="0"/>
        <w:jc w:val="center"/>
        <w:rPr/>
      </w:pPr>
      <w:r>
        <w:rPr/>
      </w:r>
    </w:p>
    <w:p>
      <w:pPr>
        <w:pStyle w:val="TextBody"/>
        <w:bidi w:val="0"/>
        <w:spacing w:before="0" w:after="0"/>
        <w:jc w:val="left"/>
        <w:rPr/>
      </w:pPr>
      <w:r>
        <w:rPr/>
      </w:r>
    </w:p>
    <w:tbl>
      <w:tblPr>
        <w:tblW w:w="7632" w:type="dxa"/>
        <w:jc w:val="center"/>
        <w:tblInd w:w="0" w:type="dxa"/>
        <w:tblLayout w:type="fixed"/>
        <w:tblCellMar>
          <w:top w:w="28" w:type="dxa"/>
          <w:left w:w="28" w:type="dxa"/>
          <w:bottom w:w="28" w:type="dxa"/>
          <w:right w:w="28" w:type="dxa"/>
        </w:tblCellMar>
      </w:tblPr>
      <w:tblGrid>
        <w:gridCol w:w="565"/>
        <w:gridCol w:w="497"/>
        <w:gridCol w:w="498"/>
        <w:gridCol w:w="109"/>
        <w:gridCol w:w="109"/>
        <w:gridCol w:w="109"/>
        <w:gridCol w:w="1681"/>
        <w:gridCol w:w="1681"/>
        <w:gridCol w:w="2383"/>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DESCRIPTION</w:t>
            </w:r>
          </w:p>
        </w:tc>
      </w:tr>
      <w:tr>
        <w:trPr/>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231-12312022.htm">
              <w:r>
                <w:rPr>
                  <w:rStyle w:val="InternetLink"/>
                  <w:rFonts w:ascii="Times New Roman;sans-serif" w:hAnsi="Times New Roman;sans-serif"/>
                  <w:b w:val="false"/>
                  <w:color w:val="0000FF"/>
                  <w:sz w:val="22"/>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Consent of Independent Registered Public Accounting Firm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23.1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consent to the incorporation by reference in the Registration Statements (Forms S-8 No. 033-47073 and No. 333-154364) pertaining to The Scotts Miracle-Gro Company of our report dated June 27, 2023, with respect to the financial statements of The Scotts Company LLC Retirement Savings Plan included in this Annual Report (Form 11-K) for the year ended December 31, 2022.</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MEADEN &amp; MOORE, LTD.</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Cleveland, Ohio</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June 27, 2023 </w:t>
      </w:r>
    </w:p>
    <w:p>
      <w:pPr>
        <w:pStyle w:val="TextBody"/>
        <w:bidi w:val="0"/>
        <w:spacing w:before="0" w:after="260"/>
        <w:jc w:val="left"/>
        <w:rPr/>
      </w:pPr>
      <w:r>
        <w:rPr/>
      </w:r>
    </w:p>
    <w:p>
      <w:pPr>
        <w:pStyle w:val="TextBody"/>
        <w:bidi w:val="0"/>
        <w:spacing w:before="0" w:after="260"/>
        <w:jc w:val="left"/>
        <w:rPr/>
      </w:pPr>
      <w:r>
        <w:rPr/>
      </w:r>
    </w:p>
    <w:p>
      <w:pPr>
        <w:pStyle w:val="TextBody"/>
        <w:bidi w:val="0"/>
        <w:spacing w:before="0" w:after="2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4233</Words>
  <Characters>24248</Characters>
  <CharactersWithSpaces>28286</CharactersWithSpaces>
  <Paragraphs>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