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269"/>
        <w:spacing w:after="0"/>
        <w:rPr>
          <w:sz w:val="20"/>
          <w:szCs w:val="20"/>
          <w:color w:val="auto"/>
        </w:rPr>
      </w:pPr>
      <w:r>
        <w:rPr>
          <w:rFonts w:ascii="Courier New" w:cs="Courier New" w:eastAsia="Courier New" w:hAnsi="Courier New"/>
          <w:sz w:val="18"/>
          <w:szCs w:val="18"/>
          <w:color w:val="auto"/>
        </w:rPr>
        <w:t>SECURITIES AND EXCHANGE COMMISSION</w:t>
      </w:r>
    </w:p>
    <w:p>
      <w:pPr>
        <w:ind w:left="200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529"/>
        <w:spacing w:after="0"/>
        <w:rPr>
          <w:sz w:val="20"/>
          <w:szCs w:val="20"/>
          <w:color w:val="auto"/>
        </w:rPr>
      </w:pPr>
      <w:r>
        <w:rPr>
          <w:rFonts w:ascii="Courier New" w:cs="Courier New" w:eastAsia="Courier New" w:hAnsi="Courier New"/>
          <w:sz w:val="18"/>
          <w:szCs w:val="18"/>
          <w:color w:val="auto"/>
        </w:rPr>
        <w:t>SCHEDULE 13D</w:t>
      </w:r>
    </w:p>
    <w:p>
      <w:pPr>
        <w:ind w:left="220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jc w:val="center"/>
        <w:ind w:right="335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right"/>
        <w:ind w:right="5359"/>
        <w:spacing w:after="0"/>
        <w:rPr>
          <w:sz w:val="20"/>
          <w:szCs w:val="20"/>
          <w:color w:val="auto"/>
        </w:rPr>
      </w:pPr>
      <w:r>
        <w:rPr>
          <w:rFonts w:ascii="Courier New" w:cs="Courier New" w:eastAsia="Courier New" w:hAnsi="Courier New"/>
          <w:sz w:val="18"/>
          <w:szCs w:val="18"/>
          <w:color w:val="auto"/>
        </w:rPr>
        <w:t>The Scotts Company</w:t>
      </w:r>
    </w:p>
    <w:p>
      <w:pPr>
        <w:jc w:val="right"/>
        <w:ind w:right="535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right"/>
        <w:ind w:right="4619"/>
        <w:spacing w:after="0"/>
        <w:rPr>
          <w:sz w:val="20"/>
          <w:szCs w:val="20"/>
          <w:color w:val="auto"/>
        </w:rPr>
      </w:pPr>
      <w:r>
        <w:rPr>
          <w:rFonts w:ascii="Courier New" w:cs="Courier New" w:eastAsia="Courier New" w:hAnsi="Courier New"/>
          <w:sz w:val="18"/>
          <w:szCs w:val="18"/>
          <w:color w:val="auto"/>
        </w:rPr>
        <w:t>Common Stock, without par value</w:t>
      </w:r>
    </w:p>
    <w:p>
      <w:pPr>
        <w:jc w:val="right"/>
        <w:ind w:right="46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2529"/>
        <w:spacing w:after="0"/>
        <w:rPr>
          <w:sz w:val="20"/>
          <w:szCs w:val="20"/>
          <w:color w:val="auto"/>
        </w:rPr>
      </w:pPr>
      <w:r>
        <w:rPr>
          <w:rFonts w:ascii="Courier New" w:cs="Courier New" w:eastAsia="Courier New" w:hAnsi="Courier New"/>
          <w:sz w:val="18"/>
          <w:szCs w:val="18"/>
          <w:color w:val="auto"/>
        </w:rPr>
        <w:t>810 186 106</w:t>
      </w:r>
    </w:p>
    <w:p>
      <w:pPr>
        <w:ind w:left="242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2429"/>
        <w:spacing w:after="0"/>
        <w:rPr>
          <w:sz w:val="20"/>
          <w:szCs w:val="20"/>
          <w:color w:val="auto"/>
        </w:rPr>
      </w:pPr>
      <w:r>
        <w:rPr>
          <w:rFonts w:ascii="Courier New" w:cs="Courier New" w:eastAsia="Courier New" w:hAnsi="Courier New"/>
          <w:sz w:val="18"/>
          <w:szCs w:val="18"/>
          <w:color w:val="auto"/>
        </w:rPr>
        <w:t>James Hagedorn</w:t>
      </w:r>
    </w:p>
    <w:p>
      <w:pPr>
        <w:ind w:left="1589"/>
        <w:spacing w:after="0" w:line="238" w:lineRule="auto"/>
        <w:rPr>
          <w:sz w:val="20"/>
          <w:szCs w:val="20"/>
          <w:color w:val="auto"/>
        </w:rPr>
      </w:pPr>
      <w:r>
        <w:rPr>
          <w:rFonts w:ascii="Courier New" w:cs="Courier New" w:eastAsia="Courier New" w:hAnsi="Courier New"/>
          <w:sz w:val="18"/>
          <w:szCs w:val="18"/>
          <w:color w:val="auto"/>
        </w:rPr>
        <w:t>800 Port Washington Boulevard</w:t>
      </w:r>
    </w:p>
    <w:p>
      <w:pPr>
        <w:ind w:left="1689"/>
        <w:spacing w:after="0"/>
        <w:tabs>
          <w:tab w:leader="none" w:pos="3869" w:val="left"/>
        </w:tabs>
        <w:rPr>
          <w:sz w:val="20"/>
          <w:szCs w:val="20"/>
          <w:color w:val="auto"/>
        </w:rPr>
      </w:pPr>
      <w:r>
        <w:rPr>
          <w:rFonts w:ascii="Courier New" w:cs="Courier New" w:eastAsia="Courier New" w:hAnsi="Courier New"/>
          <w:sz w:val="18"/>
          <w:szCs w:val="18"/>
          <w:color w:val="auto"/>
        </w:rPr>
        <w:t>Port Washington, NY</w:t>
        <w:tab/>
        <w:t>11050</w:t>
      </w:r>
    </w:p>
    <w:p>
      <w:pPr>
        <w:spacing w:after="0" w:line="3" w:lineRule="exact"/>
        <w:rPr>
          <w:sz w:val="24"/>
          <w:szCs w:val="24"/>
          <w:color w:val="auto"/>
        </w:rPr>
      </w:pPr>
    </w:p>
    <w:p>
      <w:pPr>
        <w:jc w:val="right"/>
        <w:ind w:left="2309" w:right="5479" w:firstLine="114"/>
        <w:spacing w:after="0" w:line="536" w:lineRule="auto"/>
        <w:tabs>
          <w:tab w:leader="none" w:pos="3047"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883-6550 With a copy to:</w:t>
      </w:r>
    </w:p>
    <w:p>
      <w:pPr>
        <w:ind w:left="2529" w:hanging="317"/>
        <w:spacing w:after="0"/>
        <w:tabs>
          <w:tab w:leader="none" w:pos="252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Michael Schell</w:t>
      </w:r>
    </w:p>
    <w:p>
      <w:pPr>
        <w:jc w:val="center"/>
        <w:ind w:right="2610"/>
        <w:spacing w:after="0" w:line="238" w:lineRule="auto"/>
        <w:rPr>
          <w:sz w:val="20"/>
          <w:szCs w:val="20"/>
          <w:color w:val="auto"/>
        </w:rPr>
      </w:pPr>
      <w:r>
        <w:rPr>
          <w:rFonts w:ascii="Courier New" w:cs="Courier New" w:eastAsia="Courier New" w:hAnsi="Courier New"/>
          <w:sz w:val="18"/>
          <w:szCs w:val="18"/>
          <w:color w:val="auto"/>
        </w:rPr>
        <w:t>Skadden, Arps, Slate, Meagher &amp; Flom</w:t>
      </w:r>
    </w:p>
    <w:p>
      <w:pPr>
        <w:jc w:val="center"/>
        <w:ind w:right="3030"/>
        <w:spacing w:after="0"/>
        <w:rPr>
          <w:sz w:val="20"/>
          <w:szCs w:val="20"/>
          <w:color w:val="auto"/>
        </w:rPr>
      </w:pPr>
      <w:r>
        <w:rPr>
          <w:rFonts w:ascii="Courier New" w:cs="Courier New" w:eastAsia="Courier New" w:hAnsi="Courier New"/>
          <w:sz w:val="18"/>
          <w:szCs w:val="18"/>
          <w:color w:val="auto"/>
        </w:rPr>
        <w:t>919 Third Avenue</w:t>
      </w:r>
    </w:p>
    <w:p>
      <w:pPr>
        <w:jc w:val="center"/>
        <w:ind w:right="3030"/>
        <w:spacing w:after="0" w:line="237" w:lineRule="auto"/>
        <w:rPr>
          <w:sz w:val="20"/>
          <w:szCs w:val="20"/>
          <w:color w:val="auto"/>
        </w:rPr>
      </w:pPr>
      <w:r>
        <w:rPr>
          <w:rFonts w:ascii="Courier New" w:cs="Courier New" w:eastAsia="Courier New" w:hAnsi="Courier New"/>
          <w:sz w:val="18"/>
          <w:szCs w:val="18"/>
          <w:color w:val="auto"/>
        </w:rPr>
        <w:t>New York, NY 10022</w:t>
      </w:r>
    </w:p>
    <w:p>
      <w:pPr>
        <w:spacing w:after="0" w:line="202" w:lineRule="exact"/>
        <w:rPr>
          <w:sz w:val="24"/>
          <w:szCs w:val="24"/>
          <w:color w:val="auto"/>
        </w:rPr>
      </w:pPr>
    </w:p>
    <w:p>
      <w:pPr>
        <w:jc w:val="center"/>
        <w:ind w:right="3150"/>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3150"/>
        <w:spacing w:after="0" w:line="238"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3150"/>
        <w:spacing w:after="0"/>
        <w:rPr>
          <w:sz w:val="20"/>
          <w:szCs w:val="20"/>
          <w:color w:val="auto"/>
        </w:rPr>
      </w:pPr>
      <w:r>
        <w:rPr>
          <w:rFonts w:ascii="Courier New" w:cs="Courier New" w:eastAsia="Courier New" w:hAnsi="Courier New"/>
          <w:sz w:val="18"/>
          <w:szCs w:val="18"/>
          <w:color w:val="auto"/>
        </w:rPr>
        <w:t>June 16, 1995</w:t>
      </w:r>
    </w:p>
    <w:p>
      <w:pPr>
        <w:jc w:val="center"/>
        <w:ind w:right="315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left="9" w:right="3039"/>
        <w:spacing w:after="0" w:line="275"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82" w:lineRule="exact"/>
        <w:rPr>
          <w:sz w:val="24"/>
          <w:szCs w:val="24"/>
          <w:color w:val="auto"/>
        </w:rPr>
      </w:pPr>
    </w:p>
    <w:p>
      <w:pPr>
        <w:ind w:left="9" w:right="3479"/>
        <w:spacing w:after="0" w:line="235" w:lineRule="auto"/>
        <w:rPr>
          <w:sz w:val="20"/>
          <w:szCs w:val="20"/>
          <w:color w:val="auto"/>
        </w:rPr>
      </w:pPr>
      <w:r>
        <w:rPr>
          <w:rFonts w:ascii="Courier New" w:cs="Courier New" w:eastAsia="Courier New" w:hAnsi="Courier New"/>
          <w:sz w:val="18"/>
          <w:szCs w:val="18"/>
          <w:color w:val="auto"/>
        </w:rPr>
        <w:t>Check the following box if a fee is being paid with this statement [X].</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9"/>
        <w:spacing w:after="0"/>
        <w:rPr>
          <w:sz w:val="20"/>
          <w:szCs w:val="20"/>
          <w:color w:val="auto"/>
        </w:rPr>
      </w:pPr>
      <w:r>
        <w:rPr>
          <w:rFonts w:ascii="Courier New" w:cs="Courier New" w:eastAsia="Courier New" w:hAnsi="Courier New"/>
          <w:sz w:val="18"/>
          <w:szCs w:val="18"/>
          <w:color w:val="auto"/>
        </w:rPr>
        <w:t>CUSIP No. 810 186 106</w:t>
      </w:r>
    </w:p>
    <w:p>
      <w:pPr>
        <w:spacing w:after="0" w:line="200" w:lineRule="exact"/>
        <w:rPr>
          <w:sz w:val="24"/>
          <w:szCs w:val="24"/>
          <w:color w:val="auto"/>
        </w:rPr>
      </w:pPr>
    </w:p>
    <w:p>
      <w:pPr>
        <w:spacing w:after="0" w:line="204" w:lineRule="exact"/>
        <w:rPr>
          <w:sz w:val="24"/>
          <w:szCs w:val="24"/>
          <w:color w:val="auto"/>
        </w:rPr>
      </w:pPr>
    </w:p>
    <w:p>
      <w:pPr>
        <w:ind w:left="309" w:hanging="309"/>
        <w:spacing w:after="0"/>
        <w:tabs>
          <w:tab w:leader="none" w:pos="3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30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202" w:lineRule="exact"/>
        <w:rPr>
          <w:sz w:val="24"/>
          <w:szCs w:val="24"/>
          <w:color w:val="auto"/>
        </w:rPr>
      </w:pPr>
    </w:p>
    <w:p>
      <w:pPr>
        <w:ind w:left="529"/>
        <w:spacing w:after="0"/>
        <w:rPr>
          <w:sz w:val="20"/>
          <w:szCs w:val="20"/>
          <w:color w:val="auto"/>
        </w:rPr>
      </w:pPr>
      <w:r>
        <w:rPr>
          <w:rFonts w:ascii="Courier New" w:cs="Courier New" w:eastAsia="Courier New" w:hAnsi="Courier New"/>
          <w:sz w:val="18"/>
          <w:szCs w:val="18"/>
          <w:color w:val="auto"/>
        </w:rPr>
        <w:t>Hagedorn Partnership, L.P.</w:t>
      </w:r>
    </w:p>
    <w:p>
      <w:pPr>
        <w:ind w:left="529"/>
        <w:spacing w:after="0" w:line="238" w:lineRule="auto"/>
        <w:rPr>
          <w:sz w:val="20"/>
          <w:szCs w:val="20"/>
          <w:color w:val="auto"/>
        </w:rPr>
      </w:pPr>
      <w:r>
        <w:rPr>
          <w:rFonts w:ascii="Courier New" w:cs="Courier New" w:eastAsia="Courier New" w:hAnsi="Courier New"/>
          <w:sz w:val="18"/>
          <w:szCs w:val="18"/>
          <w:color w:val="auto"/>
        </w:rPr>
        <w:t>EIN 11-3265232</w:t>
      </w:r>
    </w:p>
    <w:p>
      <w:pPr>
        <w:spacing w:after="0" w:line="207" w:lineRule="exact"/>
        <w:rPr>
          <w:sz w:val="24"/>
          <w:szCs w:val="24"/>
          <w:color w:val="auto"/>
        </w:rPr>
      </w:pPr>
    </w:p>
    <w:p>
      <w:pPr>
        <w:ind w:left="309" w:right="3479" w:hanging="309"/>
        <w:spacing w:after="0" w:line="235" w:lineRule="auto"/>
        <w:tabs>
          <w:tab w:leader="none" w:pos="3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3" w:lineRule="exact"/>
        <w:rPr>
          <w:sz w:val="24"/>
          <w:szCs w:val="24"/>
          <w:color w:val="auto"/>
        </w:rPr>
      </w:pPr>
    </w:p>
    <w:p>
      <w:pPr>
        <w:ind w:left="209"/>
        <w:spacing w:after="0"/>
        <w:rPr>
          <w:sz w:val="20"/>
          <w:szCs w:val="20"/>
          <w:color w:val="auto"/>
        </w:rPr>
      </w:pPr>
      <w:r>
        <w:rPr>
          <w:rFonts w:ascii="Courier New" w:cs="Courier New" w:eastAsia="Courier New" w:hAnsi="Courier New"/>
          <w:sz w:val="18"/>
          <w:szCs w:val="18"/>
          <w:color w:val="auto"/>
        </w:rPr>
        <w:t>(a)</w:t>
      </w:r>
    </w:p>
    <w:p>
      <w:pPr>
        <w:ind w:left="209"/>
        <w:spacing w:after="0" w:line="238" w:lineRule="auto"/>
        <w:rPr>
          <w:sz w:val="20"/>
          <w:szCs w:val="20"/>
          <w:color w:val="auto"/>
        </w:rPr>
      </w:pPr>
      <w:r>
        <w:rPr>
          <w:rFonts w:ascii="Courier New" w:cs="Courier New" w:eastAsia="Courier New" w:hAnsi="Courier New"/>
          <w:sz w:val="18"/>
          <w:szCs w:val="18"/>
          <w:color w:val="auto"/>
        </w:rPr>
        <w:t>(b)</w:t>
      </w:r>
    </w:p>
    <w:p>
      <w:pPr>
        <w:spacing w:after="0" w:line="202" w:lineRule="exact"/>
        <w:rPr>
          <w:sz w:val="24"/>
          <w:szCs w:val="24"/>
          <w:color w:val="auto"/>
        </w:rPr>
      </w:pPr>
    </w:p>
    <w:p>
      <w:pPr>
        <w:ind w:left="309" w:hanging="309"/>
        <w:spacing w:after="0"/>
        <w:tabs>
          <w:tab w:leader="none" w:pos="3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09" w:hanging="309"/>
        <w:spacing w:after="0"/>
        <w:tabs>
          <w:tab w:leader="none" w:pos="3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(See Instructions): 00</w:t>
      </w:r>
    </w:p>
    <w:p>
      <w:pPr>
        <w:spacing w:after="0" w:line="206" w:lineRule="exact"/>
        <w:rPr>
          <w:rFonts w:ascii="Courier New" w:cs="Courier New" w:eastAsia="Courier New" w:hAnsi="Courier New"/>
          <w:sz w:val="18"/>
          <w:szCs w:val="18"/>
          <w:color w:val="auto"/>
        </w:rPr>
      </w:pPr>
    </w:p>
    <w:p>
      <w:pPr>
        <w:ind w:left="309" w:right="3579" w:hanging="309"/>
        <w:spacing w:after="0" w:line="235" w:lineRule="auto"/>
        <w:tabs>
          <w:tab w:leader="none" w:pos="3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 Items 2(d) or 2(e)</w:t>
      </w:r>
    </w:p>
    <w:p>
      <w:pPr>
        <w:spacing w:after="0" w:line="202" w:lineRule="exact"/>
        <w:rPr>
          <w:rFonts w:ascii="Courier New" w:cs="Courier New" w:eastAsia="Courier New" w:hAnsi="Courier New"/>
          <w:sz w:val="18"/>
          <w:szCs w:val="18"/>
          <w:color w:val="auto"/>
        </w:rPr>
      </w:pPr>
    </w:p>
    <w:p>
      <w:pPr>
        <w:ind w:left="309" w:hanging="309"/>
        <w:spacing w:after="0"/>
        <w:tabs>
          <w:tab w:leader="none" w:pos="3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7" w:lineRule="exact"/>
        <w:rPr>
          <w:sz w:val="24"/>
          <w:szCs w:val="24"/>
          <w:color w:val="auto"/>
        </w:rPr>
      </w:pPr>
    </w:p>
    <w:p>
      <w:pPr>
        <w:ind w:left="9" w:right="3779"/>
        <w:spacing w:after="0" w:line="235" w:lineRule="auto"/>
        <w:rPr>
          <w:sz w:val="20"/>
          <w:szCs w:val="20"/>
          <w:color w:val="auto"/>
        </w:rPr>
      </w:pPr>
      <w:r>
        <w:rPr>
          <w:rFonts w:ascii="Courier New" w:cs="Courier New" w:eastAsia="Courier New" w:hAnsi="Courier New"/>
          <w:sz w:val="18"/>
          <w:szCs w:val="18"/>
          <w:color w:val="auto"/>
        </w:rPr>
        <w:t>Number of Shares Beneficially Owned by Each Reporting Person:</w:t>
      </w:r>
    </w:p>
    <w:p>
      <w:pPr>
        <w:spacing w:after="0" w:line="203" w:lineRule="exact"/>
        <w:rPr>
          <w:sz w:val="24"/>
          <w:szCs w:val="24"/>
          <w:color w:val="auto"/>
        </w:rPr>
      </w:pPr>
    </w:p>
    <w:p>
      <w:pPr>
        <w:ind w:left="529" w:hanging="529"/>
        <w:spacing w:after="0"/>
        <w:tabs>
          <w:tab w:leader="none" w:pos="52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13,262,631</w:t>
      </w:r>
    </w:p>
    <w:p>
      <w:pPr>
        <w:ind w:left="529" w:hanging="529"/>
        <w:spacing w:after="0" w:line="238" w:lineRule="auto"/>
        <w:tabs>
          <w:tab w:leader="none" w:pos="52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529" w:hanging="529"/>
        <w:spacing w:after="0" w:line="238" w:lineRule="auto"/>
        <w:tabs>
          <w:tab w:leader="none" w:pos="52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12,967,989</w:t>
      </w:r>
    </w:p>
    <w:p>
      <w:pPr>
        <w:ind w:left="529" w:hanging="529"/>
        <w:spacing w:after="0" w:line="238" w:lineRule="auto"/>
        <w:tabs>
          <w:tab w:leader="none" w:pos="52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7" w:lineRule="exact"/>
        <w:rPr>
          <w:sz w:val="24"/>
          <w:szCs w:val="24"/>
          <w:color w:val="auto"/>
        </w:rPr>
      </w:pPr>
    </w:p>
    <w:p>
      <w:pPr>
        <w:ind w:left="429" w:right="3359" w:hanging="429"/>
        <w:spacing w:after="0" w:line="235" w:lineRule="auto"/>
        <w:tabs>
          <w:tab w:leader="none" w:pos="4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13,262,631</w:t>
      </w:r>
    </w:p>
    <w:p>
      <w:pPr>
        <w:spacing w:after="0" w:line="202" w:lineRule="exact"/>
        <w:rPr>
          <w:rFonts w:ascii="Courier New" w:cs="Courier New" w:eastAsia="Courier New" w:hAnsi="Courier New"/>
          <w:sz w:val="18"/>
          <w:szCs w:val="18"/>
          <w:color w:val="auto"/>
        </w:rPr>
      </w:pPr>
    </w:p>
    <w:p>
      <w:pPr>
        <w:ind w:left="429" w:hanging="429"/>
        <w:spacing w:after="0"/>
        <w:tabs>
          <w:tab w:leader="none" w:pos="4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w:t>
      </w:r>
    </w:p>
    <w:p>
      <w:pPr>
        <w:sectPr>
          <w:pgSz w:w="11900" w:h="16855" w:orient="portrait"/>
          <w:cols w:equalWidth="0" w:num="1">
            <w:col w:w="9368"/>
          </w:cols>
          <w:pgMar w:left="1091" w:top="244" w:right="1440" w:bottom="0" w:gutter="0" w:footer="0" w:header="0"/>
        </w:sectPr>
      </w:pPr>
    </w:p>
    <w:bookmarkStart w:id="1" w:name="page2"/>
    <w:bookmarkEnd w:id="1"/>
    <w:p>
      <w:pPr>
        <w:ind w:left="429"/>
        <w:spacing w:after="0"/>
        <w:rPr>
          <w:sz w:val="20"/>
          <w:szCs w:val="20"/>
          <w:color w:val="auto"/>
        </w:rPr>
      </w:pPr>
      <w:r>
        <w:rPr>
          <w:rFonts w:ascii="Courier New" w:cs="Courier New" w:eastAsia="Courier New" w:hAnsi="Courier New"/>
          <w:sz w:val="18"/>
          <w:szCs w:val="18"/>
          <w:color w:val="auto"/>
        </w:rPr>
        <w:t>Certain Shares (See Instructions)</w:t>
      </w:r>
    </w:p>
    <w:p>
      <w:pPr>
        <w:spacing w:after="0" w:line="207" w:lineRule="exact"/>
        <w:rPr>
          <w:sz w:val="20"/>
          <w:szCs w:val="20"/>
          <w:color w:val="auto"/>
        </w:rPr>
      </w:pPr>
    </w:p>
    <w:p>
      <w:pPr>
        <w:ind w:left="429" w:hanging="429"/>
        <w:spacing w:after="0"/>
        <w:tabs>
          <w:tab w:leader="none" w:pos="42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(11): 41.5%</w:t>
      </w:r>
    </w:p>
    <w:p>
      <w:pPr>
        <w:spacing w:after="0" w:line="218" w:lineRule="exact"/>
        <w:rPr>
          <w:rFonts w:ascii="Courier New" w:cs="Courier New" w:eastAsia="Courier New" w:hAnsi="Courier New"/>
          <w:sz w:val="16"/>
          <w:szCs w:val="16"/>
          <w:color w:val="auto"/>
        </w:rPr>
      </w:pPr>
    </w:p>
    <w:p>
      <w:pPr>
        <w:ind w:left="429" w:hanging="429"/>
        <w:spacing w:after="0"/>
        <w:tabs>
          <w:tab w:leader="none" w:pos="42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PN</w:t>
      </w:r>
    </w:p>
    <w:p>
      <w:pPr>
        <w:spacing w:after="0" w:line="200" w:lineRule="exact"/>
        <w:rPr>
          <w:sz w:val="20"/>
          <w:szCs w:val="20"/>
          <w:color w:val="auto"/>
        </w:rPr>
      </w:pPr>
    </w:p>
    <w:p>
      <w:pPr>
        <w:spacing w:after="0" w:line="209" w:lineRule="exact"/>
        <w:rPr>
          <w:sz w:val="20"/>
          <w:szCs w:val="20"/>
          <w:color w:val="auto"/>
        </w:rPr>
      </w:pPr>
    </w:p>
    <w:p>
      <w:pPr>
        <w:ind w:left="9" w:right="3159" w:firstLine="527"/>
        <w:spacing w:after="0" w:line="237" w:lineRule="auto"/>
        <w:rPr>
          <w:sz w:val="20"/>
          <w:szCs w:val="20"/>
          <w:color w:val="auto"/>
        </w:rPr>
      </w:pPr>
      <w:r>
        <w:rPr>
          <w:rFonts w:ascii="Courier New" w:cs="Courier New" w:eastAsia="Courier New" w:hAnsi="Courier New"/>
          <w:sz w:val="18"/>
          <w:szCs w:val="18"/>
          <w:color w:val="auto"/>
        </w:rPr>
        <w:t>Hagedorn Partnership, L.P. (the "Partnership") hereby amends and supplements its Statement on Schedule 13D (the "Schedule 13D") filed with respect to the common stock, without par value (the "Shares"), of The Scotts Company, an Ohio corporation ("Scotts"). Defined terms have the meanings set forth in the Schedule 13D.</w:t>
      </w:r>
    </w:p>
    <w:p>
      <w:pPr>
        <w:spacing w:after="0" w:line="204" w:lineRule="exact"/>
        <w:rPr>
          <w:sz w:val="20"/>
          <w:szCs w:val="20"/>
          <w:color w:val="auto"/>
        </w:rPr>
      </w:pPr>
    </w:p>
    <w:p>
      <w:pPr>
        <w:ind w:left="9"/>
        <w:spacing w:after="0"/>
        <w:tabs>
          <w:tab w:leader="none" w:pos="929"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left="9" w:right="3039" w:firstLine="527"/>
        <w:spacing w:after="0" w:line="275" w:lineRule="auto"/>
        <w:rPr>
          <w:sz w:val="20"/>
          <w:szCs w:val="20"/>
          <w:color w:val="auto"/>
        </w:rPr>
      </w:pPr>
      <w:r>
        <w:rPr>
          <w:rFonts w:ascii="Courier New" w:cs="Courier New" w:eastAsia="Courier New" w:hAnsi="Courier New"/>
          <w:sz w:val="16"/>
          <w:szCs w:val="16"/>
          <w:color w:val="auto"/>
        </w:rPr>
        <w:t>On June 16, 1995, the Charity contributed 17,186 shares of Preferred Stock and Warrants to purchase 2,933,358 Shares to the capital of the Partnership in exchange for limited partnership interest units in the Partnership.</w:t>
      </w:r>
    </w:p>
    <w:p>
      <w:pPr>
        <w:spacing w:after="0" w:line="177" w:lineRule="exact"/>
        <w:rPr>
          <w:sz w:val="20"/>
          <w:szCs w:val="20"/>
          <w:color w:val="auto"/>
        </w:rPr>
      </w:pPr>
    </w:p>
    <w:p>
      <w:pPr>
        <w:ind w:left="9"/>
        <w:spacing w:after="0"/>
        <w:tabs>
          <w:tab w:leader="none" w:pos="929"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 w:right="3039" w:firstLine="517"/>
        <w:spacing w:after="0" w:line="238" w:lineRule="auto"/>
        <w:tabs>
          <w:tab w:leader="none" w:pos="9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owns (beneficially and of record) 190,658 shares of Preferred Stock, which are convertible into 10,034,631 Shares, and Warrants to purchase 2,933,358 Shares, and has the right to vote, and a right of first refusal with respect to, the Scotts securities held by Mr. Kenlon and his children. In the aggregate, the securities listed in the foregoing sentence represent 41.5% of the Shares outstanding (all percentages herein are based on the 18,677,064 Shares which Scotts reported to be outstanding as of May 8, 1995). The 10,034,631 Shares into which the Partnership's 190,658 Preferred Shares are convertible, together with the Warrants to purchase 2,933,358 Shares, represent, in the aggregate, 41.0% of the Shares outstanding.</w:t>
      </w:r>
    </w:p>
    <w:p>
      <w:pPr>
        <w:spacing w:after="0" w:line="207" w:lineRule="exact"/>
        <w:rPr>
          <w:rFonts w:ascii="Courier New" w:cs="Courier New" w:eastAsia="Courier New" w:hAnsi="Courier New"/>
          <w:sz w:val="18"/>
          <w:szCs w:val="18"/>
          <w:color w:val="auto"/>
        </w:rPr>
      </w:pPr>
    </w:p>
    <w:p>
      <w:pPr>
        <w:ind w:left="9" w:right="3159" w:firstLine="517"/>
        <w:spacing w:after="0" w:line="272" w:lineRule="auto"/>
        <w:tabs>
          <w:tab w:leader="none" w:pos="95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Partnership has the sole power to vote all of the Scotts securities held by it and by Mr. Kenlon and his children. The Partnership has the sole power to dispose of the Scotts securities held by it, and has a right of first refusal on the Scotts securities held by Mr. Kenlon and his children. See Item 6 of the Schedule 13D.</w:t>
      </w:r>
    </w:p>
    <w:p>
      <w:pPr>
        <w:spacing w:after="0" w:line="382" w:lineRule="exact"/>
        <w:rPr>
          <w:sz w:val="20"/>
          <w:szCs w:val="20"/>
          <w:color w:val="auto"/>
        </w:rPr>
      </w:pPr>
    </w:p>
    <w:p>
      <w:pPr>
        <w:ind w:left="252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 w:right="3039" w:firstLine="21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3169"/>
        <w:spacing w:after="0"/>
        <w:rPr>
          <w:sz w:val="20"/>
          <w:szCs w:val="20"/>
          <w:color w:val="auto"/>
        </w:rPr>
      </w:pPr>
      <w:r>
        <w:rPr>
          <w:rFonts w:ascii="Courier New" w:cs="Courier New" w:eastAsia="Courier New" w:hAnsi="Courier New"/>
          <w:sz w:val="18"/>
          <w:szCs w:val="18"/>
          <w:color w:val="auto"/>
        </w:rPr>
        <w:t>HAGEDORN PARTNERSHIP, L.P.</w:t>
      </w:r>
    </w:p>
    <w:p>
      <w:pPr>
        <w:spacing w:after="0" w:line="201" w:lineRule="exact"/>
        <w:rPr>
          <w:sz w:val="20"/>
          <w:szCs w:val="20"/>
          <w:color w:val="auto"/>
        </w:rPr>
      </w:pPr>
    </w:p>
    <w:p>
      <w:pPr>
        <w:ind w:left="3169"/>
        <w:spacing w:after="0"/>
        <w:rPr>
          <w:sz w:val="20"/>
          <w:szCs w:val="20"/>
          <w:color w:val="auto"/>
        </w:rPr>
      </w:pPr>
      <w:r>
        <w:rPr>
          <w:rFonts w:ascii="Courier New" w:cs="Courier New" w:eastAsia="Courier New" w:hAnsi="Courier New"/>
          <w:sz w:val="18"/>
          <w:szCs w:val="18"/>
          <w:color w:val="auto"/>
        </w:rPr>
        <w:t>By: /s/ James Hagedorn</w:t>
      </w:r>
    </w:p>
    <w:p>
      <w:pPr>
        <w:ind w:left="3589"/>
        <w:spacing w:after="0" w:line="238" w:lineRule="auto"/>
        <w:rPr>
          <w:sz w:val="20"/>
          <w:szCs w:val="20"/>
          <w:color w:val="auto"/>
        </w:rPr>
      </w:pPr>
      <w:r>
        <w:rPr>
          <w:rFonts w:ascii="Courier New" w:cs="Courier New" w:eastAsia="Courier New" w:hAnsi="Courier New"/>
          <w:sz w:val="18"/>
          <w:szCs w:val="18"/>
          <w:color w:val="auto"/>
        </w:rPr>
        <w:t>James Hagedorn</w:t>
      </w:r>
    </w:p>
    <w:p>
      <w:pPr>
        <w:ind w:left="3589"/>
        <w:spacing w:after="0"/>
        <w:rPr>
          <w:sz w:val="20"/>
          <w:szCs w:val="20"/>
          <w:color w:val="auto"/>
        </w:rPr>
      </w:pPr>
      <w:r>
        <w:rPr>
          <w:rFonts w:ascii="Courier New" w:cs="Courier New" w:eastAsia="Courier New" w:hAnsi="Courier New"/>
          <w:sz w:val="18"/>
          <w:szCs w:val="18"/>
          <w:color w:val="auto"/>
        </w:rPr>
        <w:t>A General Partner</w:t>
      </w:r>
    </w:p>
    <w:p>
      <w:pPr>
        <w:spacing w:after="0" w:line="200" w:lineRule="exact"/>
        <w:rPr>
          <w:sz w:val="20"/>
          <w:szCs w:val="20"/>
          <w:color w:val="auto"/>
        </w:rPr>
      </w:pPr>
    </w:p>
    <w:p>
      <w:pPr>
        <w:ind w:left="3169"/>
        <w:spacing w:after="0"/>
        <w:tabs>
          <w:tab w:leader="none" w:pos="3869" w:val="left"/>
        </w:tabs>
        <w:rPr>
          <w:sz w:val="20"/>
          <w:szCs w:val="20"/>
          <w:color w:val="auto"/>
        </w:rPr>
      </w:pPr>
      <w:r>
        <w:rPr>
          <w:rFonts w:ascii="Courier New" w:cs="Courier New" w:eastAsia="Courier New" w:hAnsi="Courier New"/>
          <w:sz w:val="18"/>
          <w:szCs w:val="18"/>
          <w:color w:val="auto"/>
        </w:rPr>
        <w:t>Date:</w:t>
        <w:tab/>
        <w:t>June 19, 1995</w:t>
      </w:r>
    </w:p>
    <w:sectPr>
      <w:pgSz w:w="11900" w:h="16838" w:orient="portrait"/>
      <w:cols w:equalWidth="0" w:num="1">
        <w:col w:w="9368"/>
      </w:cols>
      <w:pgMar w:left="1091"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1"/>
    </w:lvl>
    <w:lvl w:ilvl="1">
      <w:lvlJc w:val="left"/>
      <w:lvlText w:val="(%2)"/>
      <w:numFmt w:val="decimal"/>
      <w:start w:val="516"/>
    </w:lvl>
  </w:abstractNum>
  <w:abstractNum w:abstractNumId="1">
    <w:nsid w:val="3D1B58BA"/>
    <w:multiLevelType w:val="hybridMultilevel"/>
    <w:lvl w:ilvl="0">
      <w:lvlJc w:val="left"/>
      <w:lvlText w:val="%1."/>
      <w:numFmt w:val="upperLetter"/>
      <w:start w:val="10"/>
    </w:lvl>
    <w:lvl w:ilvl="1">
      <w:lvlJc w:val="left"/>
      <w:lvlText w:val="%2"/>
      <w:numFmt w:val="decimal"/>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1)"/>
      <w:numFmt w:val="decimal"/>
      <w:start w:val="7"/>
    </w:lvl>
  </w:abstractNum>
  <w:abstractNum w:abstractNumId="6">
    <w:nsid w:val="7545E146"/>
    <w:multiLevelType w:val="hybridMultilevel"/>
    <w:lvl w:ilvl="0">
      <w:lvlJc w:val="left"/>
      <w:lvlText w:val="%1)"/>
      <w:numFmt w:val="decimal"/>
      <w:start w:val="11"/>
    </w:lvl>
  </w:abstractNum>
  <w:abstractNum w:abstractNumId="7">
    <w:nsid w:val="515F007C"/>
    <w:multiLevelType w:val="hybridMultilevel"/>
    <w:lvl w:ilvl="0">
      <w:lvlJc w:val="left"/>
      <w:lvlText w:val="%1)"/>
      <w:numFmt w:val="decimal"/>
      <w:start w:val="13"/>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2019-12-20T06:56:10Z</dcterms:created>
  <dcterms:modified xsi:type="dcterms:W3CDTF">2019-12-20T06:56:10Z</dcterms:modified>
</cp:coreProperties>
</file>