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00"/>
        <w:spacing w:after="0"/>
        <w:rPr>
          <w:sz w:val="20"/>
          <w:szCs w:val="20"/>
          <w:color w:val="auto"/>
        </w:rPr>
      </w:pPr>
      <w:r>
        <w:rPr>
          <w:rFonts w:ascii="Arial" w:cs="Arial" w:eastAsia="Arial" w:hAnsi="Arial"/>
          <w:sz w:val="18"/>
          <w:szCs w:val="18"/>
          <w:color w:val="auto"/>
        </w:rPr>
        <w:t>OMB APPROVAL</w:t>
      </w:r>
    </w:p>
    <w:p>
      <w:pPr>
        <w:spacing w:after="0" w:line="16" w:lineRule="exact"/>
        <w:rPr>
          <w:sz w:val="20"/>
          <w:szCs w:val="20"/>
          <w:color w:val="auto"/>
        </w:rPr>
      </w:pPr>
    </w:p>
    <w:tbl>
      <w:tblPr>
        <w:tblLayout w:type="fixed"/>
        <w:tblInd w:w="9140" w:type="dxa"/>
        <w:tblCellMar>
          <w:top w:w="0" w:type="dxa"/>
          <w:left w:w="0" w:type="dxa"/>
          <w:bottom w:w="0" w:type="dxa"/>
          <w:right w:w="0" w:type="dxa"/>
        </w:tblCellMar>
      </w:tblPr>
      <w:tr>
        <w:trPr>
          <w:trHeight w:val="207"/>
        </w:trPr>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OMB Number:</w:t>
            </w: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85"/>
              </w:rPr>
              <w:t>3235-0058</w:t>
            </w:r>
          </w:p>
        </w:tc>
      </w:tr>
      <w:tr>
        <w:trPr>
          <w:trHeight w:val="212"/>
        </w:trPr>
        <w:tc>
          <w:tcPr>
            <w:tcW w:w="78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gridSpan w:val="2"/>
          </w:tcPr>
          <w:p>
            <w:pPr>
              <w:jc w:val="right"/>
              <w:ind w:right="72"/>
              <w:spacing w:after="0"/>
              <w:rPr>
                <w:sz w:val="20"/>
                <w:szCs w:val="20"/>
                <w:color w:val="auto"/>
              </w:rPr>
            </w:pPr>
            <w:r>
              <w:rPr>
                <w:rFonts w:ascii="Arial" w:cs="Arial" w:eastAsia="Arial" w:hAnsi="Arial"/>
                <w:sz w:val="18"/>
                <w:szCs w:val="18"/>
                <w:color w:val="auto"/>
              </w:rPr>
              <w:t>March 31, 2006</w:t>
            </w:r>
          </w:p>
        </w:tc>
      </w:tr>
      <w:tr>
        <w:trPr>
          <w:trHeight w:val="212"/>
        </w:trPr>
        <w:tc>
          <w:tcPr>
            <w:tcW w:w="2280" w:type="dxa"/>
            <w:vAlign w:val="bottom"/>
            <w:gridSpan w:val="3"/>
          </w:tcPr>
          <w:p>
            <w:pPr>
              <w:spacing w:after="0"/>
              <w:rPr>
                <w:sz w:val="20"/>
                <w:szCs w:val="20"/>
                <w:color w:val="auto"/>
              </w:rPr>
            </w:pPr>
            <w:r>
              <w:rPr>
                <w:rFonts w:ascii="Arial" w:cs="Arial" w:eastAsia="Arial" w:hAnsi="Arial"/>
                <w:sz w:val="18"/>
                <w:szCs w:val="18"/>
                <w:color w:val="auto"/>
              </w:rPr>
              <w:t>Estimated average burden</w:t>
            </w: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color w:val="auto"/>
                <w:w w:val="85"/>
              </w:rPr>
              <w:t>hours per response</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635</wp:posOffset>
            </wp:positionV>
            <wp:extent cx="1448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jc w:val="center"/>
        <w:ind w:left="9140"/>
        <w:spacing w:after="0"/>
        <w:rPr>
          <w:sz w:val="20"/>
          <w:szCs w:val="20"/>
          <w:color w:val="auto"/>
        </w:rPr>
      </w:pPr>
      <w:r>
        <w:rPr>
          <w:rFonts w:ascii="Arial" w:cs="Arial" w:eastAsia="Arial" w:hAnsi="Arial"/>
          <w:sz w:val="18"/>
          <w:szCs w:val="18"/>
          <w:color w:val="auto"/>
        </w:rPr>
        <w:t>SEC FILE NUMBER</w:t>
      </w:r>
    </w:p>
    <w:p>
      <w:pPr>
        <w:spacing w:after="0" w:line="16" w:lineRule="exact"/>
        <w:rPr>
          <w:sz w:val="20"/>
          <w:szCs w:val="20"/>
          <w:color w:val="auto"/>
        </w:rPr>
      </w:pPr>
    </w:p>
    <w:p>
      <w:pPr>
        <w:jc w:val="center"/>
        <w:ind w:left="9140"/>
        <w:spacing w:after="0"/>
        <w:rPr>
          <w:sz w:val="20"/>
          <w:szCs w:val="20"/>
          <w:color w:val="auto"/>
        </w:rPr>
      </w:pPr>
      <w:r>
        <w:rPr>
          <w:rFonts w:ascii="Arial" w:cs="Arial" w:eastAsia="Arial" w:hAnsi="Arial"/>
          <w:sz w:val="18"/>
          <w:szCs w:val="18"/>
          <w:color w:val="auto"/>
        </w:rPr>
        <w:t>001-13292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3810</wp:posOffset>
            </wp:positionV>
            <wp:extent cx="14484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jc w:val="center"/>
        <w:ind w:left="9140"/>
        <w:spacing w:after="0"/>
        <w:rPr>
          <w:sz w:val="20"/>
          <w:szCs w:val="20"/>
          <w:color w:val="auto"/>
        </w:rPr>
      </w:pPr>
      <w:r>
        <w:rPr>
          <w:rFonts w:ascii="Arial" w:cs="Arial" w:eastAsia="Arial" w:hAnsi="Arial"/>
          <w:sz w:val="18"/>
          <w:szCs w:val="18"/>
          <w:color w:val="auto"/>
        </w:rPr>
        <w:t>CUSIP NUMBER</w:t>
      </w:r>
    </w:p>
    <w:p>
      <w:pPr>
        <w:spacing w:after="0" w:line="16" w:lineRule="exact"/>
        <w:rPr>
          <w:sz w:val="20"/>
          <w:szCs w:val="20"/>
          <w:color w:val="auto"/>
        </w:rPr>
      </w:pPr>
    </w:p>
    <w:p>
      <w:pPr>
        <w:jc w:val="center"/>
        <w:ind w:left="9140"/>
        <w:spacing w:after="0"/>
        <w:rPr>
          <w:sz w:val="20"/>
          <w:szCs w:val="20"/>
          <w:color w:val="auto"/>
        </w:rPr>
      </w:pPr>
      <w:r>
        <w:rPr>
          <w:rFonts w:ascii="Arial" w:cs="Arial" w:eastAsia="Arial" w:hAnsi="Arial"/>
          <w:sz w:val="18"/>
          <w:szCs w:val="18"/>
          <w:color w:val="auto"/>
        </w:rPr>
        <w:t>810186 10 6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3810</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12b-25</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 OF LATE FILING</w:t>
      </w:r>
    </w:p>
    <w:p>
      <w:pPr>
        <w:sectPr>
          <w:pgSz w:w="11900" w:h="16838" w:orient="portrait"/>
          <w:cols w:equalWidth="0" w:num="1">
            <w:col w:w="11420"/>
          </w:cols>
          <w:pgMar w:left="240" w:top="843" w:right="23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(Check One):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Form 10-K</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 </w:t>
      </w:r>
      <w:r>
        <w:rPr>
          <w:rFonts w:ascii="Arial" w:cs="Arial" w:eastAsia="Arial" w:hAnsi="Arial"/>
          <w:sz w:val="15"/>
          <w:szCs w:val="15"/>
          <w:b w:val="1"/>
          <w:bCs w:val="1"/>
          <w:color w:val="auto"/>
        </w:rPr>
        <w:t>Form N-SAR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Form 20-F</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xml:space="preserve">o </w:t>
      </w:r>
      <w:r>
        <w:rPr>
          <w:rFonts w:ascii="Arial" w:cs="Arial" w:eastAsia="Arial" w:hAnsi="Arial"/>
          <w:sz w:val="15"/>
          <w:szCs w:val="15"/>
          <w:b w:val="1"/>
          <w:bCs w:val="1"/>
          <w:color w:val="auto"/>
        </w:rPr>
        <w:t>Form N-CSR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 Form 11-K</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 Form 10-Q</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 Form 10-D</w:t>
      </w:r>
    </w:p>
    <w:p>
      <w:pPr>
        <w:spacing w:after="0" w:line="364" w:lineRule="exact"/>
        <w:rPr>
          <w:sz w:val="20"/>
          <w:szCs w:val="20"/>
          <w:color w:val="auto"/>
        </w:rPr>
      </w:pPr>
    </w:p>
    <w:p>
      <w:pPr>
        <w:sectPr>
          <w:pgSz w:w="11900" w:h="16838" w:orient="portrait"/>
          <w:cols w:equalWidth="0" w:num="6">
            <w:col w:w="2260" w:space="720"/>
            <w:col w:w="1140" w:space="200"/>
            <w:col w:w="1240" w:space="20"/>
            <w:col w:w="960" w:space="300"/>
            <w:col w:w="980" w:space="320"/>
            <w:col w:w="3280"/>
          </w:cols>
          <w:pgMar w:left="240" w:top="843" w:right="239" w:bottom="0" w:gutter="0" w:footer="0" w:header="0"/>
          <w:type w:val="continuous"/>
        </w:sectPr>
      </w:pPr>
    </w:p>
    <w:p>
      <w:pPr>
        <w:ind w:left="58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September 30, 2005</w:t>
      </w:r>
    </w:p>
    <w:p>
      <w:pPr>
        <w:spacing w:after="0" w:line="111" w:lineRule="exact"/>
        <w:rPr>
          <w:sz w:val="20"/>
          <w:szCs w:val="20"/>
          <w:color w:val="auto"/>
        </w:rPr>
      </w:pPr>
    </w:p>
    <w:p>
      <w:pPr>
        <w:ind w:left="680" w:hanging="10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10-K</w:t>
      </w:r>
    </w:p>
    <w:p>
      <w:pPr>
        <w:spacing w:after="0" w:line="16" w:lineRule="exact"/>
        <w:rPr>
          <w:rFonts w:ascii="Arial" w:cs="Arial" w:eastAsia="Arial" w:hAnsi="Arial"/>
          <w:sz w:val="18"/>
          <w:szCs w:val="18"/>
          <w:color w:val="auto"/>
        </w:rPr>
      </w:pPr>
    </w:p>
    <w:p>
      <w:pPr>
        <w:ind w:left="680" w:hanging="10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20-F</w:t>
      </w:r>
    </w:p>
    <w:p>
      <w:pPr>
        <w:spacing w:after="0" w:line="5" w:lineRule="exact"/>
        <w:rPr>
          <w:rFonts w:ascii="Arial" w:cs="Arial" w:eastAsia="Arial" w:hAnsi="Arial"/>
          <w:sz w:val="18"/>
          <w:szCs w:val="18"/>
          <w:color w:val="auto"/>
        </w:rPr>
      </w:pPr>
    </w:p>
    <w:p>
      <w:pPr>
        <w:ind w:left="680" w:hanging="10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11-K</w:t>
      </w:r>
    </w:p>
    <w:p>
      <w:pPr>
        <w:spacing w:after="0" w:line="5" w:lineRule="exact"/>
        <w:rPr>
          <w:rFonts w:ascii="Arial" w:cs="Arial" w:eastAsia="Arial" w:hAnsi="Arial"/>
          <w:sz w:val="18"/>
          <w:szCs w:val="18"/>
          <w:color w:val="auto"/>
        </w:rPr>
      </w:pPr>
    </w:p>
    <w:p>
      <w:pPr>
        <w:ind w:left="680" w:hanging="10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10-Q</w:t>
      </w:r>
    </w:p>
    <w:p>
      <w:pPr>
        <w:spacing w:after="0" w:line="5" w:lineRule="exact"/>
        <w:rPr>
          <w:rFonts w:ascii="Arial" w:cs="Arial" w:eastAsia="Arial" w:hAnsi="Arial"/>
          <w:sz w:val="18"/>
          <w:szCs w:val="18"/>
          <w:color w:val="auto"/>
        </w:rPr>
      </w:pPr>
    </w:p>
    <w:p>
      <w:pPr>
        <w:ind w:left="680" w:hanging="10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N-SAR</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313295" cy="340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295" cy="3409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-13335</wp:posOffset>
            </wp:positionV>
            <wp:extent cx="1149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35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Executive Office (</w:t>
      </w:r>
      <w:r>
        <w:rPr>
          <w:rFonts w:ascii="Arial" w:cs="Arial" w:eastAsia="Arial" w:hAnsi="Arial"/>
          <w:sz w:val="18"/>
          <w:szCs w:val="18"/>
          <w:i w:val="1"/>
          <w:iCs w:val="1"/>
          <w:color w:val="auto"/>
        </w:rPr>
        <w:t>Street and Number)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2" w:lineRule="exact"/>
        <w:rPr>
          <w:sz w:val="20"/>
          <w:szCs w:val="20"/>
          <w:color w:val="auto"/>
        </w:rPr>
      </w:pPr>
    </w:p>
    <w:p>
      <w:pPr>
        <w:ind w:left="1720" w:hanging="666"/>
        <w:spacing w:after="0"/>
        <w:tabs>
          <w:tab w:leader="none" w:pos="17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228" w:lineRule="exact"/>
        <w:rPr>
          <w:rFonts w:ascii="Arial" w:cs="Arial" w:eastAsia="Arial" w:hAnsi="Arial"/>
          <w:sz w:val="17"/>
          <w:szCs w:val="17"/>
          <w:color w:val="auto"/>
        </w:rPr>
      </w:pPr>
    </w:p>
    <w:p>
      <w:pPr>
        <w:ind w:left="1720" w:right="60" w:hanging="1714"/>
        <w:spacing w:after="0" w:line="252" w:lineRule="auto"/>
        <w:tabs>
          <w:tab w:leader="none" w:pos="10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(b)The subject annual report, semi-annual report or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91" w:lineRule="exact"/>
        <w:rPr>
          <w:rFonts w:ascii="MS PGothic" w:cs="MS PGothic" w:eastAsia="MS PGothic" w:hAnsi="MS PGothic"/>
          <w:sz w:val="18"/>
          <w:szCs w:val="18"/>
          <w:color w:val="auto"/>
        </w:rPr>
      </w:pPr>
    </w:p>
    <w:p>
      <w:pPr>
        <w:ind w:left="1720" w:hanging="666"/>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-1066165</wp:posOffset>
            </wp:positionV>
            <wp:extent cx="8255" cy="1077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0775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1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As previously reported in (i) the Current Report on Form 8-K filed by The Scotts Company, the public company predecessor to the registrant The Scotts Miracle-Gro Company (together with its subsidiaries, the “Company”), with the Securities and Exchange Commission (the “SEC”) on December 8, 2004 and (ii) the amended Current Report on Form 8-K/A filed by The Scotts Company with the SEC on December 17, 2004, the Audit Committee of the Board of Directors of The Scotts Company dismissed PricewaterhouseCoopers LLP (“PWC”) as the Company’s independent registered public accounting firm on December 2, 2004 and approved the engagement of Deloitte &amp; Touche LLP (“Deloitte”) as the Company’s independent</w:t>
      </w:r>
    </w:p>
    <w:p>
      <w:pPr>
        <w:sectPr>
          <w:pgSz w:w="11900" w:h="16838" w:orient="portrait"/>
          <w:cols w:equalWidth="0" w:num="1">
            <w:col w:w="11420"/>
          </w:cols>
          <w:pgMar w:left="240" w:top="843" w:right="239" w:bottom="0" w:gutter="0" w:footer="0" w:header="0"/>
          <w:type w:val="continuous"/>
        </w:sectPr>
      </w:pPr>
    </w:p>
    <w:bookmarkStart w:id="2" w:name="page3"/>
    <w:bookmarkEnd w:id="2"/>
    <w:p>
      <w:pPr>
        <w:spacing w:after="0" w:line="26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360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right="100"/>
        <w:spacing w:after="0" w:line="265" w:lineRule="auto"/>
        <w:rPr>
          <w:sz w:val="20"/>
          <w:szCs w:val="20"/>
          <w:color w:val="auto"/>
        </w:rPr>
      </w:pPr>
      <w:r>
        <w:rPr>
          <w:rFonts w:ascii="Arial" w:cs="Arial" w:eastAsia="Arial" w:hAnsi="Arial"/>
          <w:sz w:val="17"/>
          <w:szCs w:val="17"/>
          <w:u w:val="single" w:color="auto"/>
          <w:color w:val="auto"/>
        </w:rPr>
        <w:t>registered public accounting firm. Deloitte accepted the engagement as the Company’s independent registered public accounting firm effective as of December 17, 2004. The necessity of obtaining a consent from PWC, and the corresponding review of the filing by PWC, resulted in a delay in the submission of the Company’s consolidated financial statements for the fiscal years ended September 30, 2005, 2004 and 2003 to be included in the Annual Report on Form 10-K of The Scotts Miracle-Gro Company for the fiscal year ended September 30, 2005 (the “2005 Form 10-K”). As a result of the foregoing, The Scotts Miracle-Gro Company was unable to file the 2005 Form 10-K until 5:31 p.m., Eastern Time, on December 14, 2005, the 75</w:t>
      </w:r>
      <w:r>
        <w:rPr>
          <w:rFonts w:ascii="Arial" w:cs="Arial" w:eastAsia="Arial" w:hAnsi="Arial"/>
          <w:sz w:val="14"/>
          <w:szCs w:val="14"/>
          <w:u w:val="single" w:color="auto"/>
          <w:color w:val="auto"/>
        </w:rPr>
        <w:t>th</w:t>
      </w:r>
      <w:r>
        <w:rPr>
          <w:rFonts w:ascii="Arial" w:cs="Arial" w:eastAsia="Arial" w:hAnsi="Arial"/>
          <w:sz w:val="17"/>
          <w:szCs w:val="17"/>
          <w:color w:val="auto"/>
        </w:rPr>
        <w:t xml:space="preserve"> day after the end of the fiscal year </w:t>
      </w:r>
      <w:r>
        <w:rPr>
          <w:rFonts w:ascii="Arial" w:cs="Arial" w:eastAsia="Arial" w:hAnsi="Arial"/>
          <w:sz w:val="17"/>
          <w:szCs w:val="17"/>
          <w:u w:val="single" w:color="auto"/>
          <w:color w:val="auto"/>
        </w:rPr>
        <w:t>covered by the 2005 Form 10-K. Accordingly, The Scotts Miracle-Gro Company filed the 2005 Form 10-K with the SEC one minute after the last time (5:30 p.m., Eastern Time) which would have resulted in the 2005 Form 10-K’s being deemed filed on December 14, 2005 but within the fifteen-day extension period provided under Rule 12b-25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5627370</wp:posOffset>
            </wp:positionH>
            <wp:positionV relativeFrom="paragraph">
              <wp:posOffset>-439420</wp:posOffset>
            </wp:positionV>
            <wp:extent cx="1557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(Attach Extra Sheets if Needed)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3220" w:type="dxa"/>
            <w:vAlign w:val="bottom"/>
          </w:tcPr>
          <w:p>
            <w:pPr>
              <w:jc w:val="center"/>
              <w:spacing w:after="0"/>
              <w:rPr>
                <w:sz w:val="20"/>
                <w:szCs w:val="20"/>
                <w:color w:val="auto"/>
              </w:rPr>
            </w:pPr>
            <w:r>
              <w:rPr>
                <w:rFonts w:ascii="Arial" w:cs="Arial" w:eastAsia="Arial" w:hAnsi="Arial"/>
                <w:sz w:val="18"/>
                <w:szCs w:val="18"/>
                <w:color w:val="auto"/>
                <w:w w:val="90"/>
              </w:rPr>
              <w:t>Christopher L. Nagel</w:t>
            </w:r>
          </w:p>
        </w:tc>
        <w:tc>
          <w:tcPr>
            <w:tcW w:w="3760" w:type="dxa"/>
            <w:vAlign w:val="bottom"/>
            <w:gridSpan w:val="2"/>
          </w:tcPr>
          <w:p>
            <w:pPr>
              <w:jc w:val="right"/>
              <w:ind w:right="1332"/>
              <w:spacing w:after="0"/>
              <w:rPr>
                <w:sz w:val="20"/>
                <w:szCs w:val="20"/>
                <w:color w:val="auto"/>
              </w:rPr>
            </w:pPr>
            <w:r>
              <w:rPr>
                <w:rFonts w:ascii="Arial" w:cs="Arial" w:eastAsia="Arial" w:hAnsi="Arial"/>
                <w:sz w:val="18"/>
                <w:szCs w:val="18"/>
                <w:color w:val="auto"/>
              </w:rPr>
              <w:t>(937)</w:t>
            </w:r>
          </w:p>
        </w:tc>
        <w:tc>
          <w:tcPr>
            <w:tcW w:w="3740" w:type="dxa"/>
            <w:vAlign w:val="bottom"/>
            <w:gridSpan w:val="2"/>
          </w:tcPr>
          <w:p>
            <w:pPr>
              <w:jc w:val="right"/>
              <w:ind w:right="1192"/>
              <w:spacing w:after="0"/>
              <w:rPr>
                <w:sz w:val="20"/>
                <w:szCs w:val="20"/>
                <w:color w:val="auto"/>
              </w:rPr>
            </w:pPr>
            <w:r>
              <w:rPr>
                <w:rFonts w:ascii="Arial" w:cs="Arial" w:eastAsia="Arial" w:hAnsi="Arial"/>
                <w:sz w:val="18"/>
                <w:szCs w:val="18"/>
                <w:color w:val="auto"/>
              </w:rPr>
              <w:t>644-0011</w:t>
            </w:r>
          </w:p>
        </w:tc>
      </w:tr>
      <w:tr>
        <w:trPr>
          <w:trHeight w:val="218"/>
        </w:trPr>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540" w:type="dxa"/>
            <w:vAlign w:val="bottom"/>
          </w:tcPr>
          <w:p>
            <w:pPr>
              <w:spacing w:after="0"/>
              <w:rPr>
                <w:sz w:val="18"/>
                <w:szCs w:val="18"/>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520" w:type="dxa"/>
            <w:vAlign w:val="bottom"/>
          </w:tcPr>
          <w:p>
            <w:pPr>
              <w:spacing w:after="0"/>
              <w:rPr>
                <w:sz w:val="18"/>
                <w:szCs w:val="18"/>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(Telephone Number)</w:t>
            </w:r>
          </w:p>
        </w:tc>
      </w:tr>
    </w:tbl>
    <w:p>
      <w:pPr>
        <w:spacing w:after="0" w:line="95" w:lineRule="exact"/>
        <w:rPr>
          <w:sz w:val="20"/>
          <w:szCs w:val="20"/>
          <w:color w:val="auto"/>
        </w:rPr>
      </w:pPr>
    </w:p>
    <w:p>
      <w:pPr>
        <w:ind w:left="320" w:right="140" w:hanging="314"/>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54" w:lineRule="exact"/>
        <w:rPr>
          <w:sz w:val="20"/>
          <w:szCs w:val="20"/>
          <w:color w:val="auto"/>
        </w:rPr>
      </w:pPr>
    </w:p>
    <w:p>
      <w:pPr>
        <w:jc w:val="right"/>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5"/>
          <w:szCs w:val="15"/>
          <w:color w:val="auto"/>
        </w:rPr>
        <w:t>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218440</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20" w:right="320" w:hanging="314"/>
        <w:spacing w:after="0" w:line="265"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45" w:lineRule="exact"/>
        <w:rPr>
          <w:sz w:val="20"/>
          <w:szCs w:val="20"/>
          <w:color w:val="auto"/>
        </w:rPr>
      </w:pPr>
    </w:p>
    <w:p>
      <w:pPr>
        <w:ind w:left="10300"/>
        <w:spacing w:after="0" w:line="207" w:lineRule="exact"/>
        <w:tabs>
          <w:tab w:leader="none" w:pos="10980" w:val="left"/>
        </w:tabs>
        <w:rPr>
          <w:sz w:val="20"/>
          <w:szCs w:val="20"/>
          <w:color w:val="auto"/>
        </w:rPr>
      </w:pPr>
      <w:r>
        <w:rPr>
          <w:rFonts w:ascii="Arial" w:cs="Arial" w:eastAsia="Arial" w:hAnsi="Arial"/>
          <w:sz w:val="18"/>
          <w:szCs w:val="18"/>
          <w:color w:val="auto"/>
        </w:rPr>
        <w:t>o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No</w:t>
      </w:r>
    </w:p>
    <w:p>
      <w:pPr>
        <w:spacing w:after="0" w:line="146" w:lineRule="exact"/>
        <w:rPr>
          <w:sz w:val="20"/>
          <w:szCs w:val="20"/>
          <w:color w:val="auto"/>
        </w:rPr>
      </w:pPr>
    </w:p>
    <w:p>
      <w:pPr>
        <w:ind w:left="220" w:right="240"/>
        <w:spacing w:after="0" w:line="265"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163830</wp:posOffset>
            </wp:positionV>
            <wp:extent cx="6878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8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The Scotts Miracle-Gro Company</w:t>
            </w:r>
          </w:p>
        </w:tc>
        <w:tc>
          <w:tcPr>
            <w:tcW w:w="2840" w:type="dxa"/>
            <w:vAlign w:val="bottom"/>
          </w:tcPr>
          <w:p>
            <w:pPr>
              <w:spacing w:after="0"/>
              <w:rPr>
                <w:sz w:val="18"/>
                <w:szCs w:val="18"/>
                <w:color w:val="auto"/>
              </w:rPr>
            </w:pPr>
          </w:p>
        </w:tc>
      </w:tr>
      <w:tr>
        <w:trPr>
          <w:trHeight w:val="231"/>
        </w:trPr>
        <w:tc>
          <w:tcPr>
            <w:tcW w:w="2980" w:type="dxa"/>
            <w:vAlign w:val="bottom"/>
          </w:tcPr>
          <w:p>
            <w:pPr>
              <w:spacing w:after="0"/>
              <w:rPr>
                <w:sz w:val="20"/>
                <w:szCs w:val="20"/>
                <w:color w:val="auto"/>
              </w:rPr>
            </w:pPr>
          </w:p>
        </w:tc>
        <w:tc>
          <w:tcPr>
            <w:tcW w:w="6780" w:type="dxa"/>
            <w:vAlign w:val="bottom"/>
            <w:gridSpan w:val="4"/>
          </w:tcPr>
          <w:p>
            <w:pPr>
              <w:jc w:val="center"/>
              <w:ind w:right="1300"/>
              <w:spacing w:after="0"/>
              <w:rPr>
                <w:sz w:val="20"/>
                <w:szCs w:val="20"/>
                <w:color w:val="auto"/>
              </w:rPr>
            </w:pPr>
            <w:r>
              <w:rPr>
                <w:rFonts w:ascii="Arial" w:cs="Arial" w:eastAsia="Arial" w:hAnsi="Arial"/>
                <w:sz w:val="18"/>
                <w:szCs w:val="18"/>
                <w:color w:val="auto"/>
                <w:w w:val="89"/>
              </w:rPr>
              <w:t>(Name of Registrant as Specified in Charter)</w:t>
            </w:r>
          </w:p>
        </w:tc>
      </w:tr>
      <w:tr>
        <w:trPr>
          <w:trHeight w:val="318"/>
        </w:trPr>
        <w:tc>
          <w:tcPr>
            <w:tcW w:w="9760" w:type="dxa"/>
            <w:vAlign w:val="bottom"/>
            <w:gridSpan w:val="5"/>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637"/>
        </w:trPr>
        <w:tc>
          <w:tcPr>
            <w:tcW w:w="2980" w:type="dxa"/>
            <w:vAlign w:val="bottom"/>
          </w:tcPr>
          <w:p>
            <w:pPr>
              <w:spacing w:after="0"/>
              <w:rPr>
                <w:sz w:val="20"/>
                <w:szCs w:val="20"/>
                <w:color w:val="auto"/>
              </w:rPr>
            </w:pPr>
            <w:r>
              <w:rPr>
                <w:rFonts w:ascii="Arial" w:cs="Arial" w:eastAsia="Arial" w:hAnsi="Arial"/>
                <w:sz w:val="18"/>
                <w:szCs w:val="18"/>
                <w:color w:val="auto"/>
              </w:rPr>
              <w:t>Date: December 15, 2005</w:t>
            </w:r>
          </w:p>
        </w:tc>
        <w:tc>
          <w:tcPr>
            <w:tcW w:w="1520" w:type="dxa"/>
            <w:vAlign w:val="bottom"/>
          </w:tcPr>
          <w:p>
            <w:pPr>
              <w:spacing w:after="0"/>
              <w:rPr>
                <w:sz w:val="24"/>
                <w:szCs w:val="24"/>
                <w:color w:val="auto"/>
              </w:rPr>
            </w:pPr>
          </w:p>
        </w:tc>
        <w:tc>
          <w:tcPr>
            <w:tcW w:w="5260" w:type="dxa"/>
            <w:vAlign w:val="bottom"/>
            <w:gridSpan w:val="3"/>
          </w:tcPr>
          <w:p>
            <w:pPr>
              <w:ind w:left="800"/>
              <w:spacing w:after="0"/>
              <w:rPr>
                <w:sz w:val="20"/>
                <w:szCs w:val="20"/>
                <w:color w:val="auto"/>
              </w:rPr>
            </w:pPr>
            <w:r>
              <w:rPr>
                <w:rFonts w:ascii="Arial" w:cs="Arial" w:eastAsia="Arial" w:hAnsi="Arial"/>
                <w:sz w:val="18"/>
                <w:szCs w:val="18"/>
                <w:color w:val="auto"/>
              </w:rPr>
              <w:t>By: /s/ Christopher L. Nagel</w:t>
            </w:r>
          </w:p>
        </w:tc>
      </w:tr>
      <w:tr>
        <w:trPr>
          <w:trHeight w:val="194"/>
        </w:trPr>
        <w:tc>
          <w:tcPr>
            <w:tcW w:w="2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0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Christopher L. Nagel</w:t>
            </w:r>
          </w:p>
        </w:tc>
      </w:tr>
      <w:tr>
        <w:trPr>
          <w:trHeight w:val="223"/>
        </w:trPr>
        <w:tc>
          <w:tcPr>
            <w:tcW w:w="2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8"/>
              </w:rPr>
              <w:t>Executive Vice President and Chief Financial Officer</w:t>
            </w:r>
          </w:p>
        </w:tc>
      </w:tr>
      <w:tr>
        <w:trPr>
          <w:trHeight w:val="385"/>
        </w:trPr>
        <w:tc>
          <w:tcPr>
            <w:tcW w:w="2980" w:type="dxa"/>
            <w:vAlign w:val="bottom"/>
          </w:tcPr>
          <w:p>
            <w:pPr>
              <w:spacing w:after="0"/>
              <w:rPr>
                <w:sz w:val="24"/>
                <w:szCs w:val="24"/>
                <w:color w:val="auto"/>
              </w:rPr>
            </w:pPr>
          </w:p>
        </w:tc>
        <w:tc>
          <w:tcPr>
            <w:tcW w:w="3940" w:type="dxa"/>
            <w:vAlign w:val="bottom"/>
            <w:gridSpan w:val="3"/>
          </w:tcPr>
          <w:p>
            <w:pPr>
              <w:jc w:val="center"/>
              <w:ind w:left="1452"/>
              <w:spacing w:after="0"/>
              <w:rPr>
                <w:sz w:val="20"/>
                <w:szCs w:val="20"/>
                <w:color w:val="auto"/>
              </w:rPr>
            </w:pPr>
            <w:r>
              <w:rPr>
                <w:rFonts w:ascii="Arial" w:cs="Arial" w:eastAsia="Arial" w:hAnsi="Arial"/>
                <w:sz w:val="18"/>
                <w:szCs w:val="18"/>
                <w:color w:val="auto"/>
                <w:w w:val="90"/>
              </w:rPr>
              <w:t>-2-</w:t>
            </w:r>
          </w:p>
        </w:tc>
        <w:tc>
          <w:tcPr>
            <w:tcW w:w="28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2019-12-20T06:37:30Z</dcterms:created>
  <dcterms:modified xsi:type="dcterms:W3CDTF">2019-12-20T06:37:30Z</dcterms:modified>
</cp:coreProperties>
</file>