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Hagedorn Partnership,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PORT WASHINGTON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 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906"/>
        <w:gridCol w:w="423"/>
        <w:gridCol w:w="983"/>
        <w:gridCol w:w="1342"/>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66.3987</w:t>
            </w:r>
            <w:r>
              <w:rPr>
                <w:rFonts w:ascii="Times;serif" w:hAnsi="Times;serif"/>
                <w:color w:val="008000"/>
                <w:position w:val="7"/>
                <w:sz w:val="16"/>
                <w:sz w:val="20"/>
                <w:shd w:fill="FFFFFF" w:val="clear"/>
              </w:rPr>
              <w:t>(1)</w:t>
            </w:r>
            <w:r>
              <w:rPr/>
              <w:t xml:space="preserve"> </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13,167,641</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executed in multiple trades at prices ranging from $65.98 to $66.64. The price above reflects the weighted average sales price. Detailed information regarding the number of shares sold at each separate price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the Hagedorn Partnership, L.P. (the "Hagedorn Partnership"). James Hagedorn, Katherine Hagedorn Littlefield, Peter Hagedorn, Robert Hagedorn, and Susan Hagedorn are the general partners of the Hagedorn Partnership. Each of the general partners disclaim beneficial ownership of the reported securities, except to the extent of their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 McMahon, Attorney-in-Fact for Hagedorn Partnership,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5527"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3691</Characters>
  <CharactersWithSpaces>4299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