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quarterly period ended December 29, 2012</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229"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2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2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234"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8180" w:space="180"/>
            <w:col w:w="260" w:space="100"/>
            <w:col w:w="160" w:space="180"/>
            <w:col w:w="2360"/>
          </w:cols>
          <w:pgMar w:left="240" w:top="2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2160" w:type="dxa"/>
        <w:tblCellMar>
          <w:top w:w="0" w:type="dxa"/>
          <w:left w:w="0" w:type="dxa"/>
          <w:bottom w:w="0" w:type="dxa"/>
          <w:right w:w="0" w:type="dxa"/>
        </w:tblCellMar>
      </w:tblPr>
      <w:tr>
        <w:trPr>
          <w:trHeight w:val="230"/>
        </w:trPr>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Class</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Outstanding at Feburary 4, 2013</w:t>
            </w:r>
          </w:p>
        </w:tc>
      </w:tr>
      <w:tr>
        <w:trPr>
          <w:trHeight w:val="27"/>
        </w:trPr>
        <w:tc>
          <w:tcPr>
            <w:tcW w:w="47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37"/>
        </w:trPr>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Common Shares, $0.01 stated value, no par value</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61,620,780 common shares</w:t>
            </w:r>
          </w:p>
        </w:tc>
      </w:tr>
    </w:tbl>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1"/>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920" w:type="dxa"/>
            <w:vAlign w:val="bottom"/>
            <w:tcBorders>
              <w:top w:val="single" w:sz="8" w:color="0000FF"/>
            </w:tcBorders>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Condensed Consolidated Statements of Operations — Three months ended December 29, 2012 and December 31, 2011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34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Comprehensive Loss — Three months ended December 29, 2012 and December 31, 2011</w:t>
              </w:r>
            </w:hyperlink>
          </w:p>
        </w:tc>
        <w:tc>
          <w:tcPr>
            <w:tcW w:w="10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Condensed Consolidated Statements of Cash Flows — Three months ended December 29, 2012 and December 31, 2011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60" w:type="dxa"/>
            <w:vAlign w:val="bottom"/>
            <w:tcBorders>
              <w:top w:val="single" w:sz="8" w:color="0000FF"/>
            </w:tcBorders>
            <w:gridSpan w:val="15"/>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Condensed Consolidated Balance Sheets — December 29, 2012, December 31, 2011 and September 30, 2012</w:t>
              </w:r>
            </w:hyperlink>
          </w:p>
        </w:tc>
        <w:tc>
          <w:tcPr>
            <w:tcW w:w="78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00" w:type="dxa"/>
            <w:vAlign w:val="bottom"/>
            <w:tcBorders>
              <w:top w:val="single" w:sz="8" w:color="0000FF"/>
            </w:tcBorders>
            <w:gridSpan w:val="1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5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944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944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944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8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PART II. OTHER INFORMATION:</w:t>
              </w:r>
            </w:hyperlink>
          </w:p>
        </w:tc>
        <w:tc>
          <w:tcPr>
            <w:tcW w:w="76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1.</w:t>
              </w:r>
            </w:hyperlink>
          </w:p>
        </w:tc>
        <w:tc>
          <w:tcPr>
            <w:tcW w:w="944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Item 1A.</w:t>
              </w:r>
            </w:hyperlink>
          </w:p>
        </w:tc>
        <w:tc>
          <w:tcPr>
            <w:tcW w:w="280" w:type="dxa"/>
            <w:vAlign w:val="bottom"/>
            <w:gridSpan w:val="2"/>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280" w:type="dxa"/>
            <w:vAlign w:val="bottom"/>
            <w:gridSpan w:val="2"/>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5.</w:t>
              </w:r>
            </w:hyperlink>
          </w:p>
        </w:tc>
        <w:tc>
          <w:tcPr>
            <w:tcW w:w="944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6.</w:t>
              </w:r>
            </w:hyperlink>
          </w:p>
        </w:tc>
        <w:tc>
          <w:tcPr>
            <w:tcW w:w="944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Signatures</w:t>
              </w:r>
            </w:hyperlink>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1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Index to Exhibits</w:t>
              </w:r>
            </w:hyperlink>
          </w:p>
        </w:tc>
        <w:tc>
          <w:tcPr>
            <w:tcW w:w="91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gridSpan w:val="2"/>
          </w:tcPr>
          <w:p>
            <w:pPr>
              <w:spacing w:after="0"/>
              <w:rPr>
                <w:sz w:val="24"/>
                <w:szCs w:val="24"/>
                <w:color w:val="auto"/>
              </w:rPr>
            </w:pPr>
          </w:p>
        </w:tc>
        <w:tc>
          <w:tcPr>
            <w:tcW w:w="6140" w:type="dxa"/>
            <w:vAlign w:val="bottom"/>
            <w:gridSpan w:val="10"/>
          </w:tcPr>
          <w:p>
            <w:pPr>
              <w:jc w:val="right"/>
              <w:ind w:right="166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income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(loss)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62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Diluted loss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 plus dilutive potential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Dividends declared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loss on derivatives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comprehensive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9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 on sale of long-lived assets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141.8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reserves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130.9</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w w:val="99"/>
              </w:rPr>
              <w:t>Accounts receivable, less allowances of $8.7, $12.4 and $10.5, respectively</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330.9</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654.8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414.9</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$556.4, $520.1 and</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$542.6,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309.4</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30.5</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0"/>
        </w:trPr>
        <w:tc>
          <w:tcPr>
            <w:tcW w:w="8120" w:type="dxa"/>
            <w:vAlign w:val="bottom"/>
            <w:tcBorders>
              <w:bottom w:val="single" w:sz="8" w:color="CCEEFF"/>
            </w:tcBorders>
            <w:gridSpan w:val="4"/>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152.3</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433.6</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257.8</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w w:val="89"/>
              </w:rPr>
              <w:t>Common shares and capital in excess of $.01 stated value per share, 61.5, 60.8 and</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61.3 shares issued and outstanding, respectively</w:t>
            </w:r>
          </w:p>
        </w:tc>
        <w:tc>
          <w:tcPr>
            <w:tcW w:w="20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410.3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408.6</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630.2</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Treasury shares, at cost: 6.7, 7.4 and 6.8 shares, respectively</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(349.6)</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601.9</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unaudited condensed consolidated financial statements for the three months ended December 29, 2012 and December 31, 2011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2012, which includes a complete set of footnote disclosures, including the Company’s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were effective for the Company’s financial statements for the fiscal year beginning October 1, 2012. The adoption of the amended guidance did not have a significant impact on the Company's financial statements and related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Balance Sheet Offsetting</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2011, the FASB issued an amendment to accounting guidance on the presentation of offsetting of derivatives, and financial assets and liabilities. The amended guidance requires quantitative disclosures regarding the gross amounts and their location within the statement of financial position. The provisions are effective for the Company's financial statements for the fiscal year beginning October 1, 2013. The adoption of the amended guidance will not have a significant impact on the Company's financial statements and related disclosures.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fourth quarter of fiscal year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professional seed business within discontinued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29, 2012</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 (benefit) from discontinued operations</w:t>
            </w:r>
          </w:p>
        </w:tc>
        <w:tc>
          <w:tcPr>
            <w:tcW w:w="1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4"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During the three months ended December 29, 2012,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completed the acquisition of two franchisee businesses that individually and in the aggregate were not significant. The aggregate purchase price of these acquisitions was $7.2 million. The condensed consolidated financial statements include the results of operations from these business combinations from the date of each acquisition.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Activity described herein is classified within the "Impairment, restructuring and other" line in the Condensed Consolidated Statement of Operations.</w:t>
      </w:r>
    </w:p>
    <w:p>
      <w:pPr>
        <w:spacing w:after="0" w:line="16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three months ended December 29, 2012, the Company recognized income of $4.7 million related to the reimbursement by a vendor of a portion of the costs incurred for the development and commercialization of products including the active ingredient MAT 28 for the Global Consumer segment. During the second quarter of fiscal 2012, the Company recorded an impairment charge of $5.3 million to fully impair assets associated with the active ingredient MAT 28. In addition, for the three months ended December 29, 2012, the Company also recognized a $4.3 million asset impairment charge as a result of issues with the commercialization of an insect repellent technology for the Global Consumer segment.</w:t>
      </w:r>
    </w:p>
    <w:p>
      <w:pPr>
        <w:spacing w:after="0" w:line="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December 31, 2011, in continuation of the 2011 restructuring plan, the Company incurred an additional $2.2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2012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2012</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7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956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December 29, 2012</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r>
      <w:tr>
        <w:trPr>
          <w:trHeight w:val="27"/>
        </w:trPr>
        <w:tc>
          <w:tcPr>
            <w:tcW w:w="95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9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 portion of the amounts reserved as of December 29, 2012 will be paid out over the course of fiscal 2013. Included in the restructuring reserves is $4.2 million that is classified as long-term. Payments against the long-term reserves will start once the employees covered by the 2011 restructuring plan retire.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5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48.3</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654.8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414.9</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Adjustments to reflect inventories at net realizeable values were $16.9 million at December 29, 2012, $12.2 million at December 31, 2011 and $21.0 million at September 30,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6"/>
          <w:szCs w:val="16"/>
          <w:color w:val="auto"/>
        </w:rPr>
        <w:t>The Company is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annual contribution payment is defined in the Marketing Agreement as $20 million.</w:t>
      </w:r>
    </w:p>
    <w:p>
      <w:pPr>
        <w:spacing w:after="0" w:line="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six years as of December 29, 2012.</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12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4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00" w:type="dxa"/>
            <w:vAlign w:val="bottom"/>
            <w:gridSpan w:val="4"/>
          </w:tcPr>
          <w:p>
            <w:pPr>
              <w:jc w:val="right"/>
              <w:ind w:right="12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3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2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Arial" w:cs="Arial" w:eastAsia="Arial" w:hAnsi="Arial"/>
                <w:sz w:val="18"/>
                <w:szCs w:val="18"/>
                <w:color w:val="auto"/>
              </w:rPr>
              <w:t>Net commission loss</w:t>
            </w:r>
          </w:p>
        </w:tc>
        <w:tc>
          <w:tcPr>
            <w:tcW w:w="29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2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494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29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960" w:type="dxa"/>
            <w:vAlign w:val="bottom"/>
            <w:vMerge w:val="restart"/>
          </w:tcPr>
          <w:p>
            <w:pPr>
              <w:jc w:val="right"/>
              <w:ind w:right="205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0" w:right="239" w:bottom="1440" w:gutter="0" w:footer="0" w:header="0"/>
        </w:sectPr>
      </w:pPr>
    </w:p>
    <w:bookmarkStart w:id="9" w:name="page10"/>
    <w:bookmarkEnd w:id="9"/>
    <w:p>
      <w:pPr>
        <w:jc w:val="both"/>
        <w:ind w:firstLine="432"/>
        <w:spacing w:after="0" w:line="286"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2013, with an automatic renewal period of two years, subject to non-renewal only upon the occurrence of certain performance defaults. Thereafter, the Marketing Agreement provides that the parties may agree to renew the EU term for an additional three years.</w:t>
      </w:r>
    </w:p>
    <w:p>
      <w:pPr>
        <w:spacing w:after="0" w:line="8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13"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5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MARP Agreement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r>
      <w:tr>
        <w:trPr>
          <w:trHeight w:val="237"/>
        </w:trPr>
        <w:tc>
          <w:tcPr>
            <w:tcW w:w="5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1,034.2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782.6</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1,026.1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781.1</w:t>
            </w:r>
          </w:p>
        </w:tc>
      </w:tr>
      <w:tr>
        <w:trPr>
          <w:trHeight w:val="27"/>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29, 2012, there was $1.1 billion of availability under the Company’s senior secured credit facility, including availability under letters of credit. Under the credit facility, the Company has the ability to issue letter of credit commitments up to $75 million. At December 29, 2012, the Company had letters of credit in the aggregate face amount of $24.2 million outstanding.</w:t>
      </w:r>
    </w:p>
    <w:p>
      <w:pPr>
        <w:spacing w:after="0" w:line="10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was in compliance with the terms of all debt covenants at December 29, 2012. The credit facility contains, among other obligations, an affirmative covenant regarding the Company’s leverage ratio, calculated as average total indebtedness, as described in the Company’s credit facility, relative to the Company’s earnings before interest, taxes, depreciation and amortization ("EBITDA"), as adjusted pursuant to the terms of the credit facility (“Adjusted EBITDA”). Under the terms of the credit facility, the maximum leverage ratio was 3.50 as of December 29, 2012. The Company’s leverage ratio was 2.80 at December 29, 2012. The Company’s credit facility also includes an affirmative covenant regarding its interest coverage ratio. Interest coverage ratio is calculated as Adjusted EBITDA divided by interest expense, as described in the credit facility, and excludes costs related to refinancings. Under the terms of the credit facility, the minimum interest coverage ratio was 3.50 for the twelve months ended December 29, 2012. The Company’s interest coverage ratio was 5.25 for the twelve months ended December 29, 2012.</w:t>
      </w:r>
    </w:p>
    <w:p>
      <w:pPr>
        <w:spacing w:after="0" w:line="9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("2012 MARP Agreement") as short-term debt and continues to carry the receivables on its Consolidated Balance Sheet, primarily as a result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03"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the Company’s right to repurchase receivables sold. Refer to "NOTE 11. DEBT" in the Company's Form 10-K for the year ended September 30, 2012 for more information regarding the 2012 MARP Agreement. There were no short-term borrowings under the MARP Agreements as of December 29, 2012 and $5.4 million as of December 31, 2011.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7.25% Senior Notes due 2018 (the “7.25% Senior Notes”) can be determined based on the trading of the 7.25% Senior Notes in the open market. The difference between the carrying value and the fair value of the 7.25% Senior Notes represents the premium or discount on that date. Based on the trading value on or around December 29, 2012, December 31, 2011 and September 30, 2012, the fair value of the 7.25% Senior Notes was approximately $214.3 million, $212.0 million and $212.0 million, respectively. The fair value measurement for the 7.25%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December 29, 2012, December 31, 2011 and September 30, 2012, the fair value of the 6.625% Senior Notes was approximately $220.5 million, $203.3 million and $217.5 million, respectively. The fair value measurement for the 6.625% Senior Notes was classified in Level 1 of the fair value hierarchy.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December 29, 2012 and December 31, 2011, the Company had outstanding interest rate swap agreements with major financial institutions that effectively converted a portion of the Company’s variable-rate debt to a fixed rate. The swap agreements had a total U.S. dollar equivalent notional amount of $1,100 million and $900 million at December 29, 2012 and December 31, 2011, respectively.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4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80" w:type="dxa"/>
            <w:vAlign w:val="bottom"/>
          </w:tcPr>
          <w:p>
            <w:pPr>
              <w:spacing w:after="0"/>
              <w:rPr>
                <w:sz w:val="14"/>
                <w:szCs w:val="1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Effective</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r>
      <w:tr>
        <w:trPr>
          <w:trHeight w:val="192"/>
        </w:trPr>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Date (a)</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50"/>
        </w:trPr>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2/14/2016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r>
      <w:tr>
        <w:trPr>
          <w:trHeight w:val="243"/>
        </w:trPr>
        <w:tc>
          <w:tcPr>
            <w:tcW w:w="216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280" w:type="dxa"/>
            <w:vAlign w:val="bottom"/>
          </w:tcPr>
          <w:p>
            <w:pPr>
              <w:ind w:left="40"/>
              <w:spacing w:after="0"/>
              <w:rPr>
                <w:sz w:val="20"/>
                <w:szCs w:val="20"/>
                <w:color w:val="auto"/>
              </w:rPr>
            </w:pPr>
            <w:r>
              <w:rPr>
                <w:rFonts w:ascii="Arial" w:cs="Arial" w:eastAsia="Arial" w:hAnsi="Arial"/>
                <w:sz w:val="13"/>
                <w:szCs w:val="13"/>
                <w:color w:val="auto"/>
              </w:rPr>
              <w:t>(b)</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2/7/2012</w:t>
            </w:r>
          </w:p>
        </w:tc>
        <w:tc>
          <w:tcPr>
            <w:tcW w:w="1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5/7/2016</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2.42%</w:t>
            </w:r>
          </w:p>
        </w:tc>
      </w:tr>
      <w:tr>
        <w:trPr>
          <w:trHeight w:val="27"/>
        </w:trPr>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150</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11/16/2009</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5/16/2016</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3.26%</w:t>
            </w:r>
          </w:p>
        </w:tc>
      </w:tr>
      <w:tr>
        <w:trPr>
          <w:trHeight w:val="243"/>
        </w:trPr>
        <w:tc>
          <w:tcPr>
            <w:tcW w:w="21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80" w:type="dxa"/>
            <w:vAlign w:val="bottom"/>
          </w:tcPr>
          <w:p>
            <w:pPr>
              <w:ind w:left="40"/>
              <w:spacing w:after="0"/>
              <w:rPr>
                <w:sz w:val="20"/>
                <w:szCs w:val="20"/>
                <w:color w:val="auto"/>
              </w:rPr>
            </w:pPr>
            <w:r>
              <w:rPr>
                <w:rFonts w:ascii="Arial" w:cs="Arial" w:eastAsia="Arial" w:hAnsi="Arial"/>
                <w:sz w:val="13"/>
                <w:szCs w:val="13"/>
                <w:color w:val="auto"/>
              </w:rPr>
              <w:t>(c)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2/16/2010</w:t>
            </w:r>
          </w:p>
        </w:tc>
        <w:tc>
          <w:tcPr>
            <w:tcW w:w="1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3.05%</w:t>
            </w:r>
          </w:p>
        </w:tc>
      </w:tr>
      <w:tr>
        <w:trPr>
          <w:trHeight w:val="27"/>
        </w:trPr>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2/21/2012</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5/23/2016</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r>
      <w:tr>
        <w:trPr>
          <w:trHeight w:val="243"/>
        </w:trPr>
        <w:tc>
          <w:tcPr>
            <w:tcW w:w="216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280" w:type="dxa"/>
            <w:vAlign w:val="bottom"/>
          </w:tcPr>
          <w:p>
            <w:pPr>
              <w:ind w:left="40"/>
              <w:spacing w:after="0"/>
              <w:rPr>
                <w:sz w:val="20"/>
                <w:szCs w:val="20"/>
                <w:color w:val="auto"/>
              </w:rPr>
            </w:pPr>
            <w:r>
              <w:rPr>
                <w:rFonts w:ascii="Arial" w:cs="Arial" w:eastAsia="Arial" w:hAnsi="Arial"/>
                <w:sz w:val="13"/>
                <w:szCs w:val="13"/>
                <w:color w:val="auto"/>
              </w:rPr>
              <w:t>(b)</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12/20/2011</w:t>
            </w:r>
          </w:p>
        </w:tc>
        <w:tc>
          <w:tcPr>
            <w:tcW w:w="1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6/20/2016</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2.61%</w:t>
            </w:r>
          </w:p>
        </w:tc>
      </w:tr>
      <w:tr>
        <w:trPr>
          <w:trHeight w:val="27"/>
        </w:trPr>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12/6/2012</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9/6/2017</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r>
      <w:tr>
        <w:trPr>
          <w:trHeight w:val="243"/>
        </w:trPr>
        <w:tc>
          <w:tcPr>
            <w:tcW w:w="216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280" w:type="dxa"/>
            <w:vAlign w:val="bottom"/>
          </w:tcPr>
          <w:p>
            <w:pPr>
              <w:ind w:left="40"/>
              <w:spacing w:after="0"/>
              <w:rPr>
                <w:sz w:val="20"/>
                <w:szCs w:val="20"/>
                <w:color w:val="auto"/>
              </w:rPr>
            </w:pPr>
            <w:r>
              <w:rPr>
                <w:rFonts w:ascii="Arial" w:cs="Arial" w:eastAsia="Arial" w:hAnsi="Arial"/>
                <w:sz w:val="13"/>
                <w:szCs w:val="13"/>
                <w:color w:val="auto"/>
              </w:rPr>
              <w:t>(c)</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2/7/2017</w:t>
            </w:r>
          </w:p>
        </w:tc>
        <w:tc>
          <w:tcPr>
            <w:tcW w:w="1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2.12%</w:t>
            </w:r>
          </w:p>
        </w:tc>
      </w:tr>
      <w:tr>
        <w:trPr>
          <w:trHeight w:val="27"/>
        </w:trPr>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2.45%</w:t>
            </w:r>
          </w:p>
        </w:tc>
      </w:tr>
      <w:tr>
        <w:trPr>
          <w:trHeight w:val="243"/>
        </w:trPr>
        <w:tc>
          <w:tcPr>
            <w:tcW w:w="21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280" w:type="dxa"/>
            <w:vAlign w:val="bottom"/>
          </w:tcPr>
          <w:p>
            <w:pPr>
              <w:ind w:left="40"/>
              <w:spacing w:after="0"/>
              <w:rPr>
                <w:sz w:val="20"/>
                <w:szCs w:val="20"/>
                <w:color w:val="auto"/>
              </w:rPr>
            </w:pPr>
            <w:r>
              <w:rPr>
                <w:rFonts w:ascii="Arial" w:cs="Arial" w:eastAsia="Arial" w:hAnsi="Arial"/>
                <w:sz w:val="13"/>
                <w:szCs w:val="13"/>
                <w:color w:val="auto"/>
              </w:rPr>
              <w:t>(c)</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12/20/2016</w:t>
            </w:r>
          </w:p>
        </w:tc>
        <w:tc>
          <w:tcPr>
            <w:tcW w:w="1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6/20/2019</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2.11%</w:t>
            </w:r>
          </w:p>
        </w:tc>
      </w:tr>
      <w:tr>
        <w:trPr>
          <w:trHeight w:val="27"/>
        </w:trPr>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12/20/2016</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6/20/2019</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2.14%</w:t>
            </w:r>
          </w:p>
        </w:tc>
      </w:tr>
      <w:tr>
        <w:trPr>
          <w:trHeight w:val="27"/>
        </w:trPr>
        <w:tc>
          <w:tcPr>
            <w:tcW w:w="2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03" w:right="239" w:bottom="1440" w:gutter="0" w:footer="0" w:header="0"/>
        </w:sectPr>
      </w:pPr>
    </w:p>
    <w:bookmarkStart w:id="11" w:name="page12"/>
    <w:bookmarkEnd w:id="11"/>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1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29, 2012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DECEMBER 31, 2011</w:t>
            </w:r>
          </w:p>
        </w:tc>
        <w:tc>
          <w:tcPr>
            <w:tcW w:w="1200" w:type="dxa"/>
            <w:vAlign w:val="bottom"/>
            <w:tcBorders>
              <w:bottom w:val="single" w:sz="8" w:color="auto"/>
            </w:tcBorders>
          </w:tcPr>
          <w:p>
            <w:pPr>
              <w:spacing w:after="0"/>
              <w:rPr>
                <w:sz w:val="22"/>
                <w:szCs w:val="22"/>
                <w:color w:val="auto"/>
              </w:rPr>
            </w:pPr>
          </w:p>
        </w:tc>
      </w:tr>
      <w:tr>
        <w:trPr>
          <w:trHeight w:val="152"/>
        </w:trPr>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ind w:right="70"/>
              <w:spacing w:after="0" w:line="153" w:lineRule="exact"/>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1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Medical</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9"/>
              </w:rPr>
              <w:t>Pension</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Pension</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1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Net amortization</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0.1</w:t>
            </w:r>
          </w:p>
        </w:tc>
      </w:tr>
      <w:tr>
        <w:trPr>
          <w:trHeight w:val="27"/>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0.6</w:t>
            </w:r>
          </w:p>
        </w:tc>
      </w:tr>
      <w:tr>
        <w:trPr>
          <w:trHeight w:val="27"/>
        </w:trPr>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72"/>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NOTE 9. SHAREHOLDERS' EQUITY</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5"/>
              </w:rPr>
              <w:t>Share-Based Awards</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7120" w:type="dxa"/>
            <w:vAlign w:val="bottom"/>
            <w:gridSpan w:val="11"/>
          </w:tcPr>
          <w:p>
            <w:pPr>
              <w:ind w:left="440"/>
              <w:spacing w:after="0"/>
              <w:rPr>
                <w:sz w:val="20"/>
                <w:szCs w:val="20"/>
                <w:color w:val="auto"/>
              </w:rPr>
            </w:pPr>
            <w:r>
              <w:rPr>
                <w:rFonts w:ascii="Arial" w:cs="Arial" w:eastAsia="Arial" w:hAnsi="Arial"/>
                <w:sz w:val="18"/>
                <w:szCs w:val="18"/>
                <w:color w:val="auto"/>
                <w:w w:val="90"/>
              </w:rPr>
              <w:t>The following is a summary of the share-based awards granted during the periods indicated: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Borders>
              <w:bottom w:val="single" w:sz="8" w:color="auto"/>
            </w:tcBorders>
          </w:tcPr>
          <w:p>
            <w:pPr>
              <w:spacing w:after="0"/>
              <w:rPr>
                <w:sz w:val="24"/>
                <w:szCs w:val="24"/>
                <w:color w:val="auto"/>
              </w:rPr>
            </w:pPr>
          </w:p>
        </w:tc>
      </w:tr>
      <w:tr>
        <w:trPr>
          <w:trHeight w:val="152"/>
        </w:trPr>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4"/>
          </w:tcPr>
          <w:p>
            <w:pPr>
              <w:jc w:val="center"/>
              <w:ind w:left="139"/>
              <w:spacing w:after="0" w:line="153" w:lineRule="exact"/>
              <w:rPr>
                <w:sz w:val="20"/>
                <w:szCs w:val="20"/>
                <w:color w:val="auto"/>
              </w:rPr>
            </w:pPr>
            <w:r>
              <w:rPr>
                <w:rFonts w:ascii="Arial" w:cs="Arial" w:eastAsia="Arial" w:hAnsi="Arial"/>
                <w:sz w:val="14"/>
                <w:szCs w:val="14"/>
                <w:b w:val="1"/>
                <w:bCs w:val="1"/>
                <w:color w:val="auto"/>
              </w:rPr>
              <w:t>DECEMBER 29,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4"/>
          </w:tcPr>
          <w:p>
            <w:pPr>
              <w:jc w:val="center"/>
              <w:ind w:right="415"/>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15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b w:val="1"/>
                <w:bCs w:val="1"/>
                <w:color w:val="auto"/>
                <w:w w:val="96"/>
              </w:rPr>
              <w:t>2012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5"/>
              <w:spacing w:after="0"/>
              <w:rPr>
                <w:sz w:val="20"/>
                <w:szCs w:val="20"/>
                <w:color w:val="auto"/>
              </w:rPr>
            </w:pPr>
            <w:r>
              <w:rPr>
                <w:rFonts w:ascii="Arial" w:cs="Arial" w:eastAsia="Arial" w:hAnsi="Arial"/>
                <w:sz w:val="14"/>
                <w:szCs w:val="14"/>
                <w:b w:val="1"/>
                <w:bCs w:val="1"/>
                <w:color w:val="auto"/>
                <w:w w:val="89"/>
              </w:rPr>
              <w:t>2011</w:t>
            </w:r>
          </w:p>
        </w:tc>
      </w:tr>
      <w:tr>
        <w:trPr>
          <w:trHeight w:val="270"/>
        </w:trPr>
        <w:tc>
          <w:tcPr>
            <w:tcW w:w="436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w w:val="94"/>
              </w:rPr>
              <w:t>Restricted stock units (including deferred stock units)</w:t>
            </w: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88"/>
              </w:rPr>
              <w:t>8,693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1,134</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share-based awards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w w:val="88"/>
              </w:rPr>
              <w:t>8,693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1,134</w:t>
            </w:r>
          </w:p>
        </w:tc>
      </w:tr>
      <w:tr>
        <w:trPr>
          <w:trHeight w:val="27"/>
        </w:trPr>
        <w:tc>
          <w:tcPr>
            <w:tcW w:w="156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21"/>
        </w:trPr>
        <w:tc>
          <w:tcPr>
            <w:tcW w:w="3620" w:type="dxa"/>
            <w:vAlign w:val="bottom"/>
            <w:gridSpan w:val="3"/>
          </w:tcPr>
          <w:p>
            <w:pPr>
              <w:ind w:left="40"/>
              <w:spacing w:after="0"/>
              <w:rPr>
                <w:sz w:val="20"/>
                <w:szCs w:val="20"/>
                <w:color w:val="auto"/>
              </w:rPr>
            </w:pPr>
            <w:r>
              <w:rPr>
                <w:rFonts w:ascii="Arial" w:cs="Arial" w:eastAsia="Arial" w:hAnsi="Arial"/>
                <w:sz w:val="18"/>
                <w:szCs w:val="18"/>
                <w:color w:val="auto"/>
                <w:w w:val="95"/>
              </w:rPr>
              <w:t>Aggregate fair value at grant dates (in millions)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1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0.1</w:t>
            </w:r>
          </w:p>
        </w:tc>
      </w:tr>
      <w:tr>
        <w:trPr>
          <w:trHeight w:val="459"/>
        </w:trPr>
        <w:tc>
          <w:tcPr>
            <w:tcW w:w="7120" w:type="dxa"/>
            <w:vAlign w:val="bottom"/>
            <w:gridSpan w:val="11"/>
          </w:tcPr>
          <w:p>
            <w:pPr>
              <w:ind w:left="420"/>
              <w:spacing w:after="0"/>
              <w:rPr>
                <w:sz w:val="20"/>
                <w:szCs w:val="20"/>
                <w:color w:val="auto"/>
              </w:rPr>
            </w:pPr>
            <w:r>
              <w:rPr>
                <w:rFonts w:ascii="Arial" w:cs="Arial" w:eastAsia="Arial" w:hAnsi="Arial"/>
                <w:sz w:val="18"/>
                <w:szCs w:val="18"/>
                <w:color w:val="auto"/>
                <w:w w:val="98"/>
              </w:rPr>
              <w:t>Total share-based compensation recognized was as follows for the periods indicated: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Borders>
              <w:bottom w:val="single" w:sz="8" w:color="auto"/>
            </w:tcBorders>
          </w:tcPr>
          <w:p>
            <w:pPr>
              <w:spacing w:after="0"/>
              <w:rPr>
                <w:sz w:val="24"/>
                <w:szCs w:val="24"/>
                <w:color w:val="auto"/>
              </w:rPr>
            </w:pPr>
          </w:p>
        </w:tc>
      </w:tr>
      <w:tr>
        <w:trPr>
          <w:trHeight w:val="152"/>
        </w:trPr>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4"/>
          </w:tcPr>
          <w:p>
            <w:pPr>
              <w:jc w:val="center"/>
              <w:ind w:left="139"/>
              <w:spacing w:after="0" w:line="153" w:lineRule="exact"/>
              <w:rPr>
                <w:sz w:val="20"/>
                <w:szCs w:val="20"/>
                <w:color w:val="auto"/>
              </w:rPr>
            </w:pPr>
            <w:r>
              <w:rPr>
                <w:rFonts w:ascii="Arial" w:cs="Arial" w:eastAsia="Arial" w:hAnsi="Arial"/>
                <w:sz w:val="14"/>
                <w:szCs w:val="14"/>
                <w:b w:val="1"/>
                <w:bCs w:val="1"/>
                <w:color w:val="auto"/>
              </w:rPr>
              <w:t>DECEMBER 29,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4"/>
          </w:tcPr>
          <w:p>
            <w:pPr>
              <w:jc w:val="center"/>
              <w:ind w:right="415"/>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1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b w:val="1"/>
                <w:bCs w:val="1"/>
                <w:color w:val="auto"/>
                <w:w w:val="96"/>
              </w:rPr>
              <w:t>2012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5"/>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1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r>
      <w:tr>
        <w:trPr>
          <w:trHeight w:val="27"/>
        </w:trPr>
        <w:tc>
          <w:tcPr>
            <w:tcW w:w="15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Subsequent to December 29, 2012, Scotts Miracle-Gro awarded performance share units, restricted stock units and deferred stock units covering 0.3 million Common Shares to employees and members of the Board of Directors with an estimated fair value of $14.7 million on the date of the grant.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effective tax rate related to continuing operations for the three months ended December 29, 2012, was 35.0%, compared to 36.0% for the three months ended December 31, 2011.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8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effective tax rate estimated for interim financial reporting purposes will approximate the effective tax rate determined at fiscal year end.</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2009. The Company is currently under examination by certain foreign and U.S. state and local tax authorities. Regarding the foreign jurisdictions, audits are currently underway in multiple countries covering fiscal years 2008 through 2011. A Belgium audit closed during the first quarter having an immaterial impact on the financial statements. In regard to the U.S. state and local audits, the tax periods under examination are limited to fiscal years 1997 through 2011. In addition to the aforementioned audits, certain other tax deficiency notices and refund claims for previous years remain unresolved.</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effect on the Company’s financial condition, results of operations or cash flows. The Company's identified contingencies include the matters set out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December 29, 2012, $5.1 million was accrued in the “Other liabilities” line in the Condensed Consolidated Balance Sheet for compliance-related environmental actions, the majority of which is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seek on behalf of themselves and various purported class members monetary damages, restitution, injunctive relief, declaratory relief, attorney's fees, interest and costs. The Company intends to vigorously defend the consolidated action. Given the early stages of the action, the Company cannot make a determination as to whether it could have a material effect on the Company's financial condition, results of operations or cash flows and has not recorded any accruals with respect thereto.</w:t>
      </w:r>
    </w:p>
    <w:p>
      <w:pPr>
        <w:spacing w:after="0" w:line="4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03" w:right="239" w:bottom="1440" w:gutter="0" w:footer="0" w:header="0"/>
        </w:sectPr>
      </w:pPr>
    </w:p>
    <w:bookmarkStart w:id="13" w:name="page14"/>
    <w:bookmarkEnd w:id="13"/>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periodically uses foreign currency swap contracts to manage the exchange rate risk associated with intercompany loans with foreign subsidiaries that are denominated in local currencies. At December 29, 2012, the notional amount of outstanding foreign currency swap contracts was $306.7 million, with a fair value of $0.3 million. At December 31, 2011, the notional amount of outstanding foreign currency swap contracts was $306.3 million, with a fair value of $3.5 million. The fair value of foreign currency swap contracts is determined based on changes in spot rates. The contracts will mature over the next fiscal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December 29, 2012 and December 31, 2011, the Company had outstanding interest rate swap agreements with major financial institutions that effectively converted a portion of the Company’s variable-rate debt to a fixed rate. The swap agreements had a total U.S. dollar equivalent notional amount of $1,100 million and $900 million at December 29, 2012 and December 31, 2011, respectively. Included in the AOCI balance at December 29, 2012 was a loss of $5.1 million related to interest rate swap agreements that is expected to be reclassified to earnings during the next 12 months, consistent with the timing of the underlying hedged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December 29, 2012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December 29, 2012 was a loss of $0.1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December 29, 2012 was a gain of $0.1 million related to fuel derivatives that is expected to be reclassified to earnings during the next 12 months, consistent with the timing of the underlying hedged transactions.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03"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DECEMBER 29,</w:t>
            </w:r>
          </w:p>
        </w:tc>
        <w:tc>
          <w:tcPr>
            <w:tcW w:w="2200" w:type="dxa"/>
            <w:vAlign w:val="bottom"/>
          </w:tcPr>
          <w:p>
            <w:pPr>
              <w:jc w:val="right"/>
              <w:ind w:right="5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6860" w:type="dxa"/>
            <w:vAlign w:val="bottom"/>
            <w:gridSpan w:val="3"/>
            <w:vMerge w:val="continue"/>
          </w:tcPr>
          <w:p>
            <w:pPr>
              <w:spacing w:after="0"/>
              <w:rPr>
                <w:sz w:val="13"/>
                <w:szCs w:val="13"/>
                <w:color w:val="auto"/>
              </w:rPr>
            </w:pPr>
          </w:p>
        </w:tc>
        <w:tc>
          <w:tcPr>
            <w:tcW w:w="2220" w:type="dxa"/>
            <w:vAlign w:val="bottom"/>
          </w:tcPr>
          <w:p>
            <w:pPr>
              <w:jc w:val="right"/>
              <w:ind w:right="876"/>
              <w:spacing w:after="0" w:line="158"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3"/>
                <w:szCs w:val="13"/>
                <w:color w:val="auto"/>
              </w:rPr>
            </w:pPr>
          </w:p>
        </w:tc>
        <w:tc>
          <w:tcPr>
            <w:tcW w:w="2200" w:type="dxa"/>
            <w:vAlign w:val="bottom"/>
          </w:tcPr>
          <w:p>
            <w:pPr>
              <w:jc w:val="right"/>
              <w:ind w:right="876"/>
              <w:spacing w:after="0" w:line="158"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3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40,500 tons</w:t>
            </w:r>
          </w:p>
        </w:tc>
        <w:tc>
          <w:tcPr>
            <w:tcW w:w="2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40,500 tons</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5,796,000 gallons</w:t>
            </w:r>
          </w:p>
        </w:tc>
        <w:tc>
          <w:tcPr>
            <w:tcW w:w="2200" w:type="dxa"/>
            <w:vAlign w:val="bottom"/>
          </w:tcPr>
          <w:p>
            <w:pPr>
              <w:jc w:val="right"/>
              <w:spacing w:after="0"/>
              <w:rPr>
                <w:sz w:val="20"/>
                <w:szCs w:val="20"/>
                <w:color w:val="auto"/>
              </w:rPr>
            </w:pPr>
            <w:r>
              <w:rPr>
                <w:rFonts w:ascii="Arial" w:cs="Arial" w:eastAsia="Arial" w:hAnsi="Arial"/>
                <w:sz w:val="18"/>
                <w:szCs w:val="18"/>
                <w:color w:val="auto"/>
              </w:rPr>
              <w:t>5,250,000 gallons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350,000 gallons</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217,000 gallons</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4,746,000 gallons</w:t>
            </w:r>
          </w:p>
        </w:tc>
        <w:tc>
          <w:tcPr>
            <w:tcW w:w="2200" w:type="dxa"/>
            <w:vAlign w:val="bottom"/>
          </w:tcPr>
          <w:p>
            <w:pPr>
              <w:jc w:val="right"/>
              <w:spacing w:after="0"/>
              <w:rPr>
                <w:sz w:val="20"/>
                <w:szCs w:val="20"/>
                <w:color w:val="auto"/>
              </w:rPr>
            </w:pPr>
            <w:r>
              <w:rPr>
                <w:rFonts w:ascii="Arial" w:cs="Arial" w:eastAsia="Arial" w:hAnsi="Arial"/>
                <w:sz w:val="18"/>
                <w:szCs w:val="18"/>
                <w:color w:val="auto"/>
              </w:rPr>
              <w:t>2,268,000 gallons</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center"/>
              <w:ind w:right="856"/>
              <w:spacing w:after="0"/>
              <w:rPr>
                <w:sz w:val="20"/>
                <w:szCs w:val="20"/>
                <w:color w:val="auto"/>
              </w:rPr>
            </w:pPr>
            <w:r>
              <w:rPr>
                <w:rFonts w:ascii="Arial" w:cs="Arial" w:eastAsia="Arial" w:hAnsi="Arial"/>
                <w:sz w:val="14"/>
                <w:szCs w:val="14"/>
                <w:b w:val="1"/>
                <w:bCs w:val="1"/>
                <w:color w:val="auto"/>
              </w:rPr>
              <w:t>ASSETS / (LIABILITIES)</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5"/>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3"/>
                <w:szCs w:val="13"/>
                <w:color w:val="auto"/>
              </w:rPr>
            </w:pPr>
          </w:p>
        </w:tc>
        <w:tc>
          <w:tcPr>
            <w:tcW w:w="1480" w:type="dxa"/>
            <w:vAlign w:val="bottom"/>
            <w:gridSpan w:val="4"/>
          </w:tcPr>
          <w:p>
            <w:pPr>
              <w:jc w:val="right"/>
              <w:ind w:right="150"/>
              <w:spacing w:after="0" w:line="153"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480" w:type="dxa"/>
            <w:vAlign w:val="bottom"/>
            <w:gridSpan w:val="2"/>
          </w:tcPr>
          <w:p>
            <w:pPr>
              <w:jc w:val="right"/>
              <w:ind w:right="11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4"/>
                <w:szCs w:val="14"/>
                <w:b w:val="1"/>
                <w:bCs w:val="1"/>
                <w:color w:val="auto"/>
                <w:w w:val="96"/>
              </w:rPr>
              <w:t>2012</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80" w:type="dxa"/>
            <w:vAlign w:val="bottom"/>
            <w:tcBorders>
              <w:bottom w:val="single" w:sz="8" w:color="CCEEFF"/>
            </w:tcBorders>
            <w:gridSpan w:val="2"/>
            <w:shd w:val="clear" w:color="auto" w:fill="CCEEFF"/>
          </w:tcPr>
          <w:p>
            <w:pPr>
              <w:jc w:val="center"/>
              <w:ind w:right="64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40" w:type="dxa"/>
            <w:vAlign w:val="bottom"/>
            <w:tcBorders>
              <w:bottom w:val="single" w:sz="8" w:color="CCEEFF"/>
            </w:tcBorders>
            <w:gridSpan w:val="2"/>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(18.9)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80" w:type="dxa"/>
            <w:vAlign w:val="bottom"/>
            <w:gridSpan w:val="2"/>
            <w:vMerge w:val="restart"/>
            <w:shd w:val="clear" w:color="auto" w:fill="CCEEFF"/>
          </w:tcPr>
          <w:p>
            <w:pPr>
              <w:jc w:val="center"/>
              <w:ind w:right="645"/>
              <w:spacing w:after="0"/>
              <w:rPr>
                <w:sz w:val="20"/>
                <w:szCs w:val="20"/>
                <w:color w:val="auto"/>
              </w:rPr>
            </w:pPr>
            <w:r>
              <w:rPr>
                <w:rFonts w:ascii="Arial" w:cs="Arial" w:eastAsia="Arial" w:hAnsi="Arial"/>
                <w:sz w:val="18"/>
                <w:szCs w:val="18"/>
                <w:color w:val="auto"/>
                <w:w w:val="79"/>
              </w:rPr>
              <w:t>$</w:t>
            </w:r>
          </w:p>
        </w:tc>
        <w:tc>
          <w:tcPr>
            <w:tcW w:w="5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(29.4)</w:t>
            </w:r>
          </w:p>
        </w:tc>
        <w:tc>
          <w:tcPr>
            <w:tcW w:w="1040" w:type="dxa"/>
            <w:vAlign w:val="bottom"/>
            <w:gridSpan w:val="2"/>
            <w:vMerge w:val="restart"/>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500" w:type="dxa"/>
            <w:vAlign w:val="bottom"/>
            <w:gridSpan w:val="3"/>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80" w:type="dxa"/>
            <w:vAlign w:val="bottom"/>
            <w:tcBorders>
              <w:bottom w:val="single" w:sz="8" w:color="CCEEFF"/>
            </w:tcBorders>
            <w:gridSpan w:val="2"/>
            <w:shd w:val="clear" w:color="auto" w:fill="CCEEFF"/>
          </w:tcPr>
          <w:p>
            <w:pPr>
              <w:jc w:val="center"/>
              <w:ind w:right="64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40" w:type="dxa"/>
            <w:vAlign w:val="bottom"/>
            <w:tcBorders>
              <w:bottom w:val="single" w:sz="8" w:color="CCEEFF"/>
            </w:tcBorders>
            <w:gridSpan w:val="2"/>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vMerge w:val="restart"/>
            <w:shd w:val="clear" w:color="auto" w:fill="CCEEFF"/>
          </w:tcPr>
          <w:p>
            <w:pPr>
              <w:spacing w:after="0"/>
              <w:rPr>
                <w:sz w:val="18"/>
                <w:szCs w:val="18"/>
                <w:color w:val="auto"/>
              </w:rPr>
            </w:pPr>
          </w:p>
        </w:tc>
        <w:tc>
          <w:tcPr>
            <w:tcW w:w="980" w:type="dxa"/>
            <w:vAlign w:val="bottom"/>
            <w:vMerge w:val="restart"/>
            <w:shd w:val="clear" w:color="auto" w:fill="CCEEFF"/>
          </w:tcPr>
          <w:p>
            <w:pPr>
              <w:jc w:val="center"/>
              <w:ind w:right="745"/>
              <w:spacing w:after="0"/>
              <w:rPr>
                <w:sz w:val="20"/>
                <w:szCs w:val="20"/>
                <w:color w:val="auto"/>
              </w:rPr>
            </w:pPr>
            <w:r>
              <w:rPr>
                <w:rFonts w:ascii="Arial" w:cs="Arial" w:eastAsia="Arial" w:hAnsi="Arial"/>
                <w:sz w:val="18"/>
                <w:szCs w:val="18"/>
                <w:color w:val="auto"/>
                <w:w w:val="79"/>
              </w:rPr>
              <w:t>$</w:t>
            </w:r>
          </w:p>
        </w:tc>
        <w:tc>
          <w:tcPr>
            <w:tcW w:w="50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vMerge w:val="restart"/>
            <w:shd w:val="clear" w:color="auto" w:fill="CCEEFF"/>
          </w:tcPr>
          <w:p>
            <w:pPr>
              <w:spacing w:after="0"/>
              <w:rPr>
                <w:sz w:val="18"/>
                <w:szCs w:val="18"/>
                <w:color w:val="auto"/>
              </w:rPr>
            </w:pPr>
          </w:p>
        </w:tc>
        <w:tc>
          <w:tcPr>
            <w:tcW w:w="940" w:type="dxa"/>
            <w:vAlign w:val="bottom"/>
            <w:vMerge w:val="restart"/>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center"/>
              <w:ind w:right="74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(26.7)</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340" w:type="dxa"/>
            <w:vAlign w:val="bottom"/>
            <w:gridSpan w:val="11"/>
          </w:tcPr>
          <w:p>
            <w:pPr>
              <w:ind w:left="440"/>
              <w:spacing w:after="0"/>
              <w:rPr>
                <w:sz w:val="20"/>
                <w:szCs w:val="20"/>
                <w:color w:val="auto"/>
              </w:rPr>
            </w:pPr>
            <w:r>
              <w:rPr>
                <w:rFonts w:ascii="Arial" w:cs="Arial" w:eastAsia="Arial" w:hAnsi="Arial"/>
                <w:sz w:val="18"/>
                <w:szCs w:val="18"/>
                <w:color w:val="auto"/>
                <w:w w:val="92"/>
              </w:rPr>
              <w:t>The effect of derivative instruments on AOCI and the Condensed Consolidated Statements of Operations was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center"/>
              <w:ind w:right="276"/>
              <w:spacing w:after="0"/>
              <w:rPr>
                <w:sz w:val="20"/>
                <w:szCs w:val="20"/>
                <w:color w:val="auto"/>
              </w:rPr>
            </w:pPr>
            <w:r>
              <w:rPr>
                <w:rFonts w:ascii="Arial" w:cs="Arial" w:eastAsia="Arial" w:hAnsi="Arial"/>
                <w:sz w:val="14"/>
                <w:szCs w:val="14"/>
                <w:b w:val="1"/>
                <w:bCs w:val="1"/>
                <w:color w:val="auto"/>
              </w:rPr>
              <w:t>AMOUNT OF GAIN / (LOSS)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right="276"/>
              <w:spacing w:after="0"/>
              <w:rPr>
                <w:sz w:val="20"/>
                <w:szCs w:val="20"/>
                <w:color w:val="auto"/>
              </w:rPr>
            </w:pPr>
            <w:r>
              <w:rPr>
                <w:rFonts w:ascii="Arial" w:cs="Arial" w:eastAsia="Arial" w:hAnsi="Arial"/>
                <w:sz w:val="14"/>
                <w:szCs w:val="14"/>
                <w:b w:val="1"/>
                <w:bCs w:val="1"/>
                <w:color w:val="auto"/>
              </w:rPr>
              <w:t>RECOGNIZED IN AOCI</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6"/>
          </w:tcPr>
          <w:p>
            <w:pPr>
              <w:jc w:val="center"/>
              <w:ind w:right="27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67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center"/>
              <w:ind w:right="205"/>
              <w:spacing w:after="0" w:line="153" w:lineRule="exact"/>
              <w:rPr>
                <w:sz w:val="20"/>
                <w:szCs w:val="20"/>
                <w:color w:val="auto"/>
              </w:rPr>
            </w:pPr>
            <w:r>
              <w:rPr>
                <w:rFonts w:ascii="Arial" w:cs="Arial" w:eastAsia="Arial" w:hAnsi="Arial"/>
                <w:sz w:val="14"/>
                <w:szCs w:val="14"/>
                <w:b w:val="1"/>
                <w:bCs w:val="1"/>
                <w:color w:val="auto"/>
              </w:rPr>
              <w:t>DECEMBER 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3"/>
          </w:tcPr>
          <w:p>
            <w:pPr>
              <w:jc w:val="center"/>
              <w:ind w:right="290"/>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gridSpan w:val="4"/>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705"/>
              <w:spacing w:after="0"/>
              <w:rPr>
                <w:sz w:val="20"/>
                <w:szCs w:val="20"/>
                <w:color w:val="auto"/>
              </w:rPr>
            </w:pPr>
            <w:r>
              <w:rPr>
                <w:rFonts w:ascii="Arial" w:cs="Arial" w:eastAsia="Arial" w:hAnsi="Arial"/>
                <w:sz w:val="14"/>
                <w:szCs w:val="14"/>
                <w:b w:val="1"/>
                <w:bCs w:val="1"/>
                <w:color w:val="auto"/>
                <w:w w:val="96"/>
              </w:rPr>
              <w:t>2012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left="121"/>
              <w:spacing w:after="0"/>
              <w:rPr>
                <w:sz w:val="20"/>
                <w:szCs w:val="20"/>
                <w:color w:val="auto"/>
              </w:rPr>
            </w:pPr>
            <w:r>
              <w:rPr>
                <w:rFonts w:ascii="Arial" w:cs="Arial" w:eastAsia="Arial" w:hAnsi="Arial"/>
                <w:sz w:val="14"/>
                <w:szCs w:val="14"/>
                <w:b w:val="1"/>
                <w:bCs w:val="1"/>
                <w:color w:val="auto"/>
                <w:w w:val="89"/>
              </w:rPr>
              <w:t>2011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4"/>
          </w:tcPr>
          <w:p>
            <w:pPr>
              <w:jc w:val="center"/>
              <w:ind w:left="605"/>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4"/>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76"/>
              <w:spacing w:after="0"/>
              <w:rPr>
                <w:sz w:val="20"/>
                <w:szCs w:val="20"/>
                <w:color w:val="auto"/>
              </w:rPr>
            </w:pPr>
            <w:r>
              <w:rPr>
                <w:rFonts w:ascii="Arial" w:cs="Arial" w:eastAsia="Arial" w:hAnsi="Arial"/>
                <w:sz w:val="14"/>
                <w:szCs w:val="14"/>
                <w:b w:val="1"/>
                <w:bCs w:val="1"/>
                <w:color w:val="auto"/>
              </w:rPr>
              <w:t>AMOUNT OF GAIN / (LOSS)</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center"/>
              <w:ind w:right="27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120" w:type="dxa"/>
            <w:vAlign w:val="bottom"/>
          </w:tcPr>
          <w:p>
            <w:pPr>
              <w:spacing w:after="0"/>
              <w:rPr>
                <w:sz w:val="13"/>
                <w:szCs w:val="13"/>
                <w:color w:val="auto"/>
              </w:rPr>
            </w:pPr>
          </w:p>
        </w:tc>
        <w:tc>
          <w:tcPr>
            <w:tcW w:w="4060" w:type="dxa"/>
            <w:vAlign w:val="bottom"/>
            <w:gridSpan w:val="6"/>
          </w:tcPr>
          <w:p>
            <w:pPr>
              <w:ind w:left="40"/>
              <w:spacing w:after="0" w:line="153" w:lineRule="exact"/>
              <w:rPr>
                <w:sz w:val="20"/>
                <w:szCs w:val="20"/>
                <w:color w:val="auto"/>
              </w:rPr>
            </w:pPr>
            <w:r>
              <w:rPr>
                <w:rFonts w:ascii="Arial" w:cs="Arial" w:eastAsia="Arial" w:hAnsi="Arial"/>
                <w:sz w:val="14"/>
                <w:szCs w:val="14"/>
                <w:b w:val="1"/>
                <w:bCs w:val="1"/>
                <w:color w:val="auto"/>
              </w:rPr>
              <w:t>RECLASSIFIED FROM AOCI INTO STATEMENT OF</w:t>
            </w:r>
          </w:p>
        </w:tc>
        <w:tc>
          <w:tcPr>
            <w:tcW w:w="1620" w:type="dxa"/>
            <w:vAlign w:val="bottom"/>
            <w:gridSpan w:val="3"/>
          </w:tcPr>
          <w:p>
            <w:pPr>
              <w:jc w:val="center"/>
              <w:ind w:right="185"/>
              <w:spacing w:after="0" w:line="153" w:lineRule="exact"/>
              <w:rPr>
                <w:sz w:val="20"/>
                <w:szCs w:val="20"/>
                <w:color w:val="auto"/>
              </w:rPr>
            </w:pPr>
            <w:r>
              <w:rPr>
                <w:rFonts w:ascii="Arial" w:cs="Arial" w:eastAsia="Arial" w:hAnsi="Arial"/>
                <w:sz w:val="14"/>
                <w:szCs w:val="14"/>
                <w:b w:val="1"/>
                <w:bCs w:val="1"/>
                <w:color w:val="auto"/>
              </w:rPr>
              <w:t>DECEMBER 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3"/>
          </w:tcPr>
          <w:p>
            <w:pPr>
              <w:jc w:val="center"/>
              <w:ind w:right="290"/>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120" w:type="dxa"/>
            <w:vAlign w:val="bottom"/>
          </w:tcPr>
          <w:p>
            <w:pPr>
              <w:spacing w:after="0"/>
              <w:rPr>
                <w:sz w:val="16"/>
                <w:szCs w:val="16"/>
                <w:color w:val="auto"/>
              </w:rPr>
            </w:pPr>
          </w:p>
        </w:tc>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OPERATIONS</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685"/>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left="121"/>
              <w:spacing w:after="0"/>
              <w:rPr>
                <w:sz w:val="20"/>
                <w:szCs w:val="20"/>
                <w:color w:val="auto"/>
              </w:rPr>
            </w:pPr>
            <w:r>
              <w:rPr>
                <w:rFonts w:ascii="Arial" w:cs="Arial" w:eastAsia="Arial" w:hAnsi="Arial"/>
                <w:sz w:val="14"/>
                <w:szCs w:val="14"/>
                <w:b w:val="1"/>
                <w:bCs w:val="1"/>
                <w:color w:val="auto"/>
                <w:w w:val="89"/>
              </w:rPr>
              <w:t>2011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4"/>
          </w:tcPr>
          <w:p>
            <w:pPr>
              <w:jc w:val="center"/>
              <w:ind w:left="625"/>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68"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center"/>
              <w:ind w:right="157"/>
              <w:spacing w:after="0"/>
              <w:rPr>
                <w:sz w:val="20"/>
                <w:szCs w:val="20"/>
                <w:color w:val="auto"/>
              </w:rPr>
            </w:pPr>
            <w:r>
              <w:rPr>
                <w:rFonts w:ascii="Arial" w:cs="Arial" w:eastAsia="Arial" w:hAnsi="Arial"/>
                <w:sz w:val="14"/>
                <w:szCs w:val="14"/>
                <w:b w:val="1"/>
                <w:bCs w:val="1"/>
                <w:color w:val="auto"/>
              </w:rPr>
              <w:t>AMOUNT OF GAIN / (LOSS)</w:t>
            </w:r>
          </w:p>
        </w:tc>
      </w:tr>
      <w:tr>
        <w:trPr>
          <w:trHeight w:val="19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4"/>
          </w:tcPr>
          <w:p>
            <w:pPr>
              <w:jc w:val="center"/>
              <w:ind w:right="177"/>
              <w:spacing w:after="0"/>
              <w:rPr>
                <w:sz w:val="20"/>
                <w:szCs w:val="20"/>
                <w:color w:val="auto"/>
              </w:rPr>
            </w:pPr>
            <w:r>
              <w:rPr>
                <w:rFonts w:ascii="Arial" w:cs="Arial" w:eastAsia="Arial" w:hAnsi="Arial"/>
                <w:sz w:val="14"/>
                <w:szCs w:val="14"/>
                <w:b w:val="1"/>
                <w:bCs w:val="1"/>
                <w:color w:val="auto"/>
              </w:rPr>
              <w:t>THREE MONTHS ENDED</w:t>
            </w:r>
          </w:p>
        </w:tc>
      </w:tr>
      <w:tr>
        <w:trPr>
          <w:trHeight w:val="153"/>
        </w:trPr>
        <w:tc>
          <w:tcPr>
            <w:tcW w:w="36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3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RECOGNIZED IN</w:t>
            </w:r>
          </w:p>
        </w:tc>
        <w:tc>
          <w:tcPr>
            <w:tcW w:w="280" w:type="dxa"/>
            <w:vAlign w:val="bottom"/>
          </w:tcPr>
          <w:p>
            <w:pPr>
              <w:spacing w:after="0"/>
              <w:rPr>
                <w:sz w:val="13"/>
                <w:szCs w:val="13"/>
                <w:color w:val="auto"/>
              </w:rPr>
            </w:pPr>
          </w:p>
        </w:tc>
        <w:tc>
          <w:tcPr>
            <w:tcW w:w="17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29,</w:t>
            </w:r>
          </w:p>
        </w:tc>
        <w:tc>
          <w:tcPr>
            <w:tcW w:w="380" w:type="dxa"/>
            <w:vAlign w:val="bottom"/>
          </w:tcPr>
          <w:p>
            <w:pPr>
              <w:spacing w:after="0"/>
              <w:rPr>
                <w:sz w:val="13"/>
                <w:szCs w:val="13"/>
                <w:color w:val="auto"/>
              </w:rPr>
            </w:pPr>
          </w:p>
        </w:tc>
        <w:tc>
          <w:tcPr>
            <w:tcW w:w="156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STATEMENT OF OPERATIONS</w:t>
            </w:r>
          </w:p>
        </w:tc>
        <w:tc>
          <w:tcPr>
            <w:tcW w:w="280" w:type="dxa"/>
            <w:vAlign w:val="bottom"/>
          </w:tcPr>
          <w:p>
            <w:pPr>
              <w:spacing w:after="0"/>
              <w:rPr>
                <w:sz w:val="16"/>
                <w:szCs w:val="16"/>
                <w:color w:val="auto"/>
              </w:rPr>
            </w:pPr>
          </w:p>
        </w:tc>
        <w:tc>
          <w:tcPr>
            <w:tcW w:w="1660" w:type="dxa"/>
            <w:vAlign w:val="bottom"/>
          </w:tcPr>
          <w:p>
            <w:pPr>
              <w:jc w:val="right"/>
              <w:ind w:right="74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ind w:right="737"/>
              <w:spacing w:after="0"/>
              <w:rPr>
                <w:sz w:val="20"/>
                <w:szCs w:val="20"/>
                <w:color w:val="auto"/>
              </w:rPr>
            </w:pPr>
            <w:r>
              <w:rPr>
                <w:rFonts w:ascii="Arial" w:cs="Arial" w:eastAsia="Arial" w:hAnsi="Arial"/>
                <w:sz w:val="14"/>
                <w:szCs w:val="14"/>
                <w:b w:val="1"/>
                <w:bCs w:val="1"/>
                <w:color w:val="auto"/>
              </w:rPr>
              <w:t>2011</w:t>
            </w: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gridSpan w:val="3"/>
          </w:tcPr>
          <w:p>
            <w:pPr>
              <w:jc w:val="center"/>
              <w:ind w:left="1241"/>
              <w:spacing w:after="0"/>
              <w:rPr>
                <w:sz w:val="20"/>
                <w:szCs w:val="20"/>
                <w:color w:val="auto"/>
              </w:rPr>
            </w:pPr>
            <w:r>
              <w:rPr>
                <w:rFonts w:ascii="Arial" w:cs="Arial" w:eastAsia="Arial" w:hAnsi="Arial"/>
                <w:sz w:val="14"/>
                <w:szCs w:val="14"/>
                <w:b w:val="1"/>
                <w:bCs w:val="1"/>
                <w:color w:val="auto"/>
                <w:w w:val="94"/>
              </w:rPr>
              <w:t>(In millions)</w:t>
            </w:r>
          </w:p>
        </w:tc>
        <w:tc>
          <w:tcPr>
            <w:tcW w:w="1560" w:type="dxa"/>
            <w:vAlign w:val="bottom"/>
            <w:tcBorders>
              <w:top w:val="single" w:sz="8" w:color="auto"/>
            </w:tcBorders>
          </w:tcPr>
          <w:p>
            <w:pPr>
              <w:spacing w:after="0"/>
              <w:rPr>
                <w:sz w:val="22"/>
                <w:szCs w:val="22"/>
                <w:color w:val="auto"/>
              </w:rPr>
            </w:pPr>
          </w:p>
        </w:tc>
      </w:tr>
      <w:tr>
        <w:trPr>
          <w:trHeight w:val="256"/>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w:t>
            </w:r>
          </w:p>
        </w:tc>
      </w:tr>
      <w:tr>
        <w:trPr>
          <w:trHeight w:val="243"/>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0.4</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6" w:name="page17"/>
    <w:bookmarkEnd w:id="16"/>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29,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Quoted Prices in Active</w:t>
            </w:r>
          </w:p>
        </w:tc>
        <w:tc>
          <w:tcPr>
            <w:tcW w:w="180" w:type="dxa"/>
            <w:vAlign w:val="bottom"/>
          </w:tcPr>
          <w:p>
            <w:pPr>
              <w:spacing w:after="0"/>
              <w:rPr>
                <w:sz w:val="14"/>
                <w:szCs w:val="14"/>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8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ind w:left="9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31, 2011: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Quoted Prices in Active</w:t>
            </w:r>
          </w:p>
        </w:tc>
        <w:tc>
          <w:tcPr>
            <w:tcW w:w="180" w:type="dxa"/>
            <w:vAlign w:val="bottom"/>
          </w:tcPr>
          <w:p>
            <w:pPr>
              <w:spacing w:after="0"/>
              <w:rPr>
                <w:sz w:val="14"/>
                <w:szCs w:val="14"/>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8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3"/>
          </w:tcPr>
          <w:p>
            <w:pPr>
              <w:ind w:left="9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17" w:name="page18"/>
    <w:bookmarkEnd w:id="17"/>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Quoted Prices in Active</w:t>
            </w: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Markets for Identical Assets</w:t>
            </w: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300" w:type="dxa"/>
            <w:vAlign w:val="bottom"/>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December 29, 2012 and describes the valuation methodologies used for non-financial assets and liabilities measured at fair value, as well as the general classification within the valuation hierarchy: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80" w:type="dxa"/>
            <w:vAlign w:val="bottom"/>
            <w:gridSpan w:val="2"/>
          </w:tcPr>
          <w:p>
            <w:pPr>
              <w:jc w:val="center"/>
              <w:ind w:right="204"/>
              <w:spacing w:after="0"/>
              <w:rPr>
                <w:sz w:val="20"/>
                <w:szCs w:val="20"/>
                <w:color w:val="auto"/>
              </w:rPr>
            </w:pPr>
            <w:r>
              <w:rPr>
                <w:rFonts w:ascii="Arial" w:cs="Arial" w:eastAsia="Arial" w:hAnsi="Arial"/>
                <w:sz w:val="14"/>
                <w:szCs w:val="14"/>
                <w:b w:val="1"/>
                <w:bCs w:val="1"/>
                <w:color w:val="auto"/>
                <w:w w:val="94"/>
              </w:rPr>
              <w:t>Quoted Prices in Active</w:t>
            </w:r>
          </w:p>
        </w:tc>
        <w:tc>
          <w:tcPr>
            <w:tcW w:w="1900" w:type="dxa"/>
            <w:vAlign w:val="bottom"/>
            <w:vMerge w:val="restart"/>
          </w:tcPr>
          <w:p>
            <w:pPr>
              <w:jc w:val="center"/>
              <w:ind w:right="544"/>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vMerge w:val="restart"/>
          </w:tcPr>
          <w:p>
            <w:pPr>
              <w:jc w:val="center"/>
              <w:ind w:right="744"/>
              <w:spacing w:after="0"/>
              <w:rPr>
                <w:sz w:val="20"/>
                <w:szCs w:val="20"/>
                <w:color w:val="auto"/>
              </w:rPr>
            </w:pPr>
            <w:r>
              <w:rPr>
                <w:rFonts w:ascii="Arial" w:cs="Arial" w:eastAsia="Arial" w:hAnsi="Arial"/>
                <w:sz w:val="14"/>
                <w:szCs w:val="14"/>
                <w:b w:val="1"/>
                <w:bCs w:val="1"/>
                <w:color w:val="auto"/>
                <w:w w:val="90"/>
              </w:rPr>
              <w:t>Unobservable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ind w:right="324"/>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90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240" w:type="dxa"/>
            <w:vAlign w:val="bottom"/>
            <w:vMerge w:val="restart"/>
          </w:tcPr>
          <w:p>
            <w:pPr>
              <w:jc w:val="center"/>
              <w:ind w:right="2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82"/>
              </w:rPr>
              <w:t>Assets</w:t>
            </w:r>
          </w:p>
        </w:tc>
        <w:tc>
          <w:tcPr>
            <w:tcW w:w="1900" w:type="dxa"/>
            <w:vAlign w:val="bottom"/>
          </w:tcPr>
          <w:p>
            <w:pPr>
              <w:jc w:val="center"/>
              <w:ind w:right="544"/>
              <w:spacing w:after="0" w:line="149" w:lineRule="exact"/>
              <w:rPr>
                <w:sz w:val="20"/>
                <w:szCs w:val="20"/>
                <w:color w:val="auto"/>
              </w:rPr>
            </w:pPr>
            <w:r>
              <w:rPr>
                <w:rFonts w:ascii="Arial" w:cs="Arial" w:eastAsia="Arial" w:hAnsi="Arial"/>
                <w:sz w:val="14"/>
                <w:szCs w:val="14"/>
                <w:b w:val="1"/>
                <w:bCs w:val="1"/>
                <w:color w:val="auto"/>
                <w:w w:val="94"/>
              </w:rPr>
              <w:t>Observable Inputs</w:t>
            </w:r>
          </w:p>
        </w:tc>
        <w:tc>
          <w:tcPr>
            <w:tcW w:w="1700" w:type="dxa"/>
            <w:vAlign w:val="bottom"/>
          </w:tcPr>
          <w:p>
            <w:pPr>
              <w:jc w:val="center"/>
              <w:ind w:right="744"/>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w w:val="94"/>
              </w:rPr>
              <w:t>(Level 1)</w:t>
            </w:r>
          </w:p>
        </w:tc>
        <w:tc>
          <w:tcPr>
            <w:tcW w:w="1900" w:type="dxa"/>
            <w:vAlign w:val="bottom"/>
            <w:tcBorders>
              <w:bottom w:val="single" w:sz="8" w:color="auto"/>
            </w:tcBorders>
          </w:tcPr>
          <w:p>
            <w:pPr>
              <w:jc w:val="center"/>
              <w:ind w:right="544"/>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tcBorders>
              <w:bottom w:val="single" w:sz="8" w:color="auto"/>
            </w:tcBorders>
          </w:tcPr>
          <w:p>
            <w:pPr>
              <w:jc w:val="center"/>
              <w:ind w:right="724"/>
              <w:spacing w:after="0"/>
              <w:rPr>
                <w:sz w:val="20"/>
                <w:szCs w:val="20"/>
                <w:color w:val="auto"/>
              </w:rPr>
            </w:pPr>
            <w:r>
              <w:rPr>
                <w:rFonts w:ascii="Arial" w:cs="Arial" w:eastAsia="Arial" w:hAnsi="Arial"/>
                <w:sz w:val="14"/>
                <w:szCs w:val="14"/>
                <w:b w:val="1"/>
                <w:bCs w:val="1"/>
                <w:color w:val="auto"/>
                <w:w w:val="94"/>
              </w:rPr>
              <w:t>(Level 3)</w:t>
            </w:r>
          </w:p>
        </w:tc>
        <w:tc>
          <w:tcPr>
            <w:tcW w:w="12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900" w:type="dxa"/>
            <w:vAlign w:val="bottom"/>
          </w:tcPr>
          <w:p>
            <w:pPr>
              <w:ind w:left="1120"/>
              <w:spacing w:after="0"/>
              <w:rPr>
                <w:sz w:val="20"/>
                <w:szCs w:val="20"/>
                <w:color w:val="auto"/>
              </w:rPr>
            </w:pPr>
            <w:r>
              <w:rPr>
                <w:rFonts w:ascii="Arial" w:cs="Arial" w:eastAsia="Arial" w:hAnsi="Arial"/>
                <w:sz w:val="14"/>
                <w:szCs w:val="14"/>
                <w:b w:val="1"/>
                <w:bCs w:val="1"/>
                <w:color w:val="auto"/>
                <w:w w:val="96"/>
              </w:rPr>
              <w:t>(In millions)</w:t>
            </w:r>
          </w:p>
        </w:tc>
        <w:tc>
          <w:tcPr>
            <w:tcW w:w="1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Global Consumer insect repellent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9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intangible asset was determined to be fully impaired based on the estimated future cash flows associated with the insect repellent technology in relation to its carrying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right="20" w:firstLine="432"/>
        <w:spacing w:after="0" w:line="216" w:lineRule="auto"/>
        <w:rPr>
          <w:sz w:val="20"/>
          <w:szCs w:val="20"/>
          <w:color w:val="auto"/>
        </w:rPr>
      </w:pPr>
      <w:r>
        <w:rPr>
          <w:rFonts w:ascii="Arial" w:cs="Arial" w:eastAsia="Arial" w:hAnsi="Arial"/>
          <w:sz w:val="18"/>
          <w:szCs w:val="18"/>
          <w:color w:val="auto"/>
        </w:rPr>
        <w:t>The Company divides its business into the following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10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right"/>
              <w:ind w:right="115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right"/>
              <w:ind w:right="620"/>
              <w:spacing w:after="0" w:line="153" w:lineRule="exact"/>
              <w:rPr>
                <w:sz w:val="20"/>
                <w:szCs w:val="20"/>
                <w:color w:val="auto"/>
              </w:rPr>
            </w:pPr>
            <w:r>
              <w:rPr>
                <w:rFonts w:ascii="Arial" w:cs="Arial" w:eastAsia="Arial" w:hAnsi="Arial"/>
                <w:sz w:val="14"/>
                <w:szCs w:val="14"/>
                <w:b w:val="1"/>
                <w:bCs w:val="1"/>
                <w:color w:val="auto"/>
              </w:rPr>
              <w:t>DECEMBER 29,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jc w:val="right"/>
              <w:ind w:right="433"/>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2011</w:t>
            </w:r>
          </w:p>
        </w:tc>
      </w:tr>
      <w:tr>
        <w:trPr>
          <w:trHeight w:val="250"/>
        </w:trPr>
        <w:tc>
          <w:tcPr>
            <w:tcW w:w="5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149.1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186.7</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199.6</w:t>
            </w:r>
          </w:p>
        </w:tc>
      </w:tr>
      <w:tr>
        <w:trPr>
          <w:trHeight w:val="67"/>
        </w:trPr>
        <w:tc>
          <w:tcPr>
            <w:tcW w:w="53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84"/>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35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2012</w:t>
            </w:r>
          </w:p>
        </w:tc>
      </w:tr>
      <w:tr>
        <w:trPr>
          <w:trHeight w:val="250"/>
        </w:trPr>
        <w:tc>
          <w:tcPr>
            <w:tcW w:w="5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1,751.2</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1,723.8</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1,676.4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181.5</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18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278.3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216.5</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2,128.1</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2,164.3</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2,074.4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1315"/>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8"/>
          <w:szCs w:val="18"/>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8"/>
          <w:szCs w:val="18"/>
          <w:i w:val="1"/>
          <w:iCs w:val="1"/>
          <w:color w:val="auto"/>
        </w:rPr>
        <w:t>Financial Statements of Guarantors and Issuers of Guaranteed Securities Registered or Being Registered</w:t>
      </w:r>
      <w:r>
        <w:rPr>
          <w:rFonts w:ascii="Arial" w:cs="Arial" w:eastAsia="Arial" w:hAnsi="Arial"/>
          <w:sz w:val="18"/>
          <w:szCs w:val="18"/>
          <w:color w:val="auto"/>
        </w:rPr>
        <w:t>. The following 100% directly or indirectly owned subsidiaries fully and unconditionally guarantee the Senior Notes on a joint and several basis: EG Systems, Inc., dba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Brands, Inc.; SMG Growing Media, Inc.; Swiss Farms Products, Inc.; and The Scotts Company LLC (collectively, the “Guarantors”).</w:t>
      </w:r>
    </w:p>
    <w:p>
      <w:pPr>
        <w:spacing w:after="0" w:line="12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following information presents Condensed Consolidating Statements of Operations for the three months ended December 29, 2012 and December 31, 2011, Condensed Consolidating Statements of Comprehensive Income for the three months ended December 29, 2012 and December 31, 2011, Condensed Consolidating Statements of Cash Flows for the three months ended December 29, 2012 and December 31, 2011, and Condensed Consolidating Balance Sheets as of December 29, 2012, December 31, 2011 and September 30, 2012.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4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loss on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December 29,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23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29,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1,290.5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1,868.7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loss on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5260" w:type="dxa"/>
            <w:vAlign w:val="bottom"/>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1,519.6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1,905.0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1,700.1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1,519.6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1,905.0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profitable growth. We are undertaking initiatives in fiscal 2013 to focus on improving profitability while balancing the need to continually build stronger capabilities for future growth. These initiatives include price optimization, product cost-out initiatives and SG&amp;A productivity.</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Effective in our fourth quarter of fiscal 2012, we classified our professional seed business as discontinued operations. Prior to being reported as discontinued operations, our professional seed business was included as part of Corporate &amp; Other.</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81"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13335</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2012</w:t>
            </w: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2010</w:t>
            </w:r>
          </w:p>
        </w:tc>
      </w:tr>
      <w:tr>
        <w:trPr>
          <w:trHeight w:val="250"/>
        </w:trPr>
        <w:tc>
          <w:tcPr>
            <w:tcW w:w="6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41.4%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86"/>
        </w:trPr>
        <w:tc>
          <w:tcPr>
            <w:tcW w:w="6920" w:type="dxa"/>
            <w:vAlign w:val="bottom"/>
          </w:tcPr>
          <w:p>
            <w:pPr>
              <w:ind w:left="5620"/>
              <w:spacing w:after="0"/>
              <w:rPr>
                <w:sz w:val="20"/>
                <w:szCs w:val="20"/>
                <w:color w:val="auto"/>
              </w:rPr>
            </w:pPr>
            <w:r>
              <w:rPr>
                <w:rFonts w:ascii="Arial" w:cs="Arial" w:eastAsia="Arial" w:hAnsi="Arial"/>
                <w:sz w:val="18"/>
                <w:szCs w:val="18"/>
                <w:color w:val="auto"/>
              </w:rPr>
              <w:t>30</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499" w:right="239" w:bottom="1440" w:gutter="0" w:footer="0" w:header="0"/>
        </w:sectPr>
      </w:pPr>
    </w:p>
    <w:bookmarkStart w:id="30" w:name="page31"/>
    <w:bookmarkEnd w:id="30"/>
    <w:p>
      <w:pPr>
        <w:jc w:val="both"/>
        <w:ind w:firstLine="432"/>
        <w:spacing w:after="0" w:line="297" w:lineRule="auto"/>
        <w:rPr>
          <w:sz w:val="20"/>
          <w:szCs w:val="20"/>
          <w:color w:val="auto"/>
        </w:rPr>
      </w:pPr>
      <w:r>
        <w:rPr>
          <w:rFonts w:ascii="Arial" w:cs="Arial" w:eastAsia="Arial" w:hAnsi="Arial"/>
          <w:sz w:val="16"/>
          <w:szCs w:val="16"/>
          <w:color w:val="auto"/>
        </w:rPr>
        <w:t>The Scotts Miracle-Gro Board of Directors has authorized the repurchase of up to $700 million of our Common Shares through September 30, 2014. Further, on August 9, 2012, we announced that the Scotts Miracle-Gro Board of Directors had increased our quarterly dividend from $0.30 to $0.325 per Common Share. The decision to increase the amount of cash we intend to return to our shareholders reflects our continued confidence in the business and our desire to maintain a consistent capital structure. From the inception of the share repurchase program in the fourth quarter of fiscal 2010 through the first quarter of fiscal 2013, we have repurchased approximately 7.8 million of our Common Shares in open market transactions for $401.2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our professional seed business as discontinued operations, for all periods presented, beginning in our fourth quarter of fiscal 2012. As a result, and unless specifically stated, all discussions regarding results for the three months ended December 29, 2012 and December 31, 2011,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4400" w:type="dxa"/>
            <w:vAlign w:val="bottom"/>
            <w:tcBorders>
              <w:bottom w:val="single" w:sz="8" w:color="auto"/>
            </w:tcBorders>
            <w:gridSpan w:val="3"/>
          </w:tcPr>
          <w:p>
            <w:pPr>
              <w:jc w:val="right"/>
              <w:ind w:right="123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020" w:type="dxa"/>
            <w:vAlign w:val="bottom"/>
          </w:tcPr>
          <w:p>
            <w:pPr>
              <w:spacing w:after="0"/>
              <w:rPr>
                <w:sz w:val="22"/>
                <w:szCs w:val="22"/>
                <w:color w:val="auto"/>
              </w:rPr>
            </w:pPr>
          </w:p>
        </w:tc>
        <w:tc>
          <w:tcPr>
            <w:tcW w:w="22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29, 2012</w:t>
            </w:r>
          </w:p>
        </w:tc>
        <w:tc>
          <w:tcPr>
            <w:tcW w:w="214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7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140" w:type="dxa"/>
            <w:vAlign w:val="bottom"/>
          </w:tcPr>
          <w:p>
            <w:pPr>
              <w:jc w:val="right"/>
              <w:ind w:right="152"/>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2140" w:type="dxa"/>
            <w:vAlign w:val="bottom"/>
          </w:tcPr>
          <w:p>
            <w:pPr>
              <w:jc w:val="right"/>
              <w:ind w:right="151"/>
              <w:spacing w:after="0"/>
              <w:rPr>
                <w:sz w:val="20"/>
                <w:szCs w:val="20"/>
                <w:color w:val="auto"/>
              </w:rPr>
            </w:pPr>
            <w:r>
              <w:rPr>
                <w:rFonts w:ascii="Arial" w:cs="Arial" w:eastAsia="Arial" w:hAnsi="Arial"/>
                <w:sz w:val="18"/>
                <w:szCs w:val="18"/>
                <w:color w:val="auto"/>
              </w:rPr>
              <w:t>87.2</w:t>
            </w:r>
          </w:p>
        </w:tc>
      </w:tr>
      <w:tr>
        <w:trPr>
          <w:trHeight w:val="27"/>
        </w:trPr>
        <w:tc>
          <w:tcPr>
            <w:tcW w:w="70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12.8</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61.4</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14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140" w:type="dxa"/>
            <w:vAlign w:val="bottom"/>
          </w:tcPr>
          <w:p>
            <w:pPr>
              <w:jc w:val="right"/>
              <w:ind w:right="151"/>
              <w:spacing w:after="0"/>
              <w:rPr>
                <w:sz w:val="20"/>
                <w:szCs w:val="20"/>
                <w:color w:val="auto"/>
              </w:rPr>
            </w:pPr>
            <w:r>
              <w:rPr>
                <w:rFonts w:ascii="Arial" w:cs="Arial" w:eastAsia="Arial" w:hAnsi="Arial"/>
                <w:sz w:val="18"/>
                <w:szCs w:val="18"/>
                <w:color w:val="auto"/>
              </w:rPr>
              <w:t>1.2</w:t>
            </w:r>
          </w:p>
        </w:tc>
      </w:tr>
      <w:tr>
        <w:trPr>
          <w:trHeight w:val="27"/>
        </w:trPr>
        <w:tc>
          <w:tcPr>
            <w:tcW w:w="7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14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140" w:type="dxa"/>
            <w:vAlign w:val="bottom"/>
          </w:tcPr>
          <w:p>
            <w:pPr>
              <w:jc w:val="right"/>
              <w:ind w:right="91"/>
              <w:spacing w:after="0"/>
              <w:rPr>
                <w:sz w:val="20"/>
                <w:szCs w:val="20"/>
                <w:color w:val="auto"/>
              </w:rPr>
            </w:pPr>
            <w:r>
              <w:rPr>
                <w:rFonts w:ascii="Arial" w:cs="Arial" w:eastAsia="Arial" w:hAnsi="Arial"/>
                <w:sz w:val="18"/>
                <w:szCs w:val="18"/>
                <w:color w:val="auto"/>
              </w:rPr>
              <w:t>(0.4)</w:t>
            </w:r>
          </w:p>
        </w:tc>
      </w:tr>
      <w:tr>
        <w:trPr>
          <w:trHeight w:val="27"/>
        </w:trPr>
        <w:tc>
          <w:tcPr>
            <w:tcW w:w="70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(49.6)</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14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140" w:type="dxa"/>
            <w:vAlign w:val="bottom"/>
          </w:tcPr>
          <w:p>
            <w:pPr>
              <w:jc w:val="right"/>
              <w:ind w:right="151"/>
              <w:spacing w:after="0"/>
              <w:rPr>
                <w:sz w:val="20"/>
                <w:szCs w:val="20"/>
                <w:color w:val="auto"/>
              </w:rPr>
            </w:pPr>
            <w:r>
              <w:rPr>
                <w:rFonts w:ascii="Arial" w:cs="Arial" w:eastAsia="Arial" w:hAnsi="Arial"/>
                <w:sz w:val="18"/>
                <w:szCs w:val="18"/>
                <w:color w:val="auto"/>
              </w:rPr>
              <w:t>7.7</w:t>
            </w:r>
          </w:p>
        </w:tc>
      </w:tr>
      <w:tr>
        <w:trPr>
          <w:trHeight w:val="27"/>
        </w:trPr>
        <w:tc>
          <w:tcPr>
            <w:tcW w:w="70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(57.3)</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Income tax benefit from continuing operations</w:t>
            </w:r>
          </w:p>
        </w:tc>
        <w:tc>
          <w:tcPr>
            <w:tcW w:w="2140" w:type="dxa"/>
            <w:vAlign w:val="bottom"/>
          </w:tcPr>
          <w:p>
            <w:pPr>
              <w:jc w:val="right"/>
              <w:ind w:right="9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140" w:type="dxa"/>
            <w:vAlign w:val="bottom"/>
          </w:tcPr>
          <w:p>
            <w:pPr>
              <w:jc w:val="right"/>
              <w:ind w:right="91"/>
              <w:spacing w:after="0"/>
              <w:rPr>
                <w:sz w:val="20"/>
                <w:szCs w:val="20"/>
                <w:color w:val="auto"/>
              </w:rPr>
            </w:pPr>
            <w:r>
              <w:rPr>
                <w:rFonts w:ascii="Arial" w:cs="Arial" w:eastAsia="Arial" w:hAnsi="Arial"/>
                <w:sz w:val="18"/>
                <w:szCs w:val="18"/>
                <w:color w:val="auto"/>
              </w:rPr>
              <w:t>(20.7)</w:t>
            </w:r>
          </w:p>
        </w:tc>
      </w:tr>
      <w:tr>
        <w:trPr>
          <w:trHeight w:val="27"/>
        </w:trPr>
        <w:tc>
          <w:tcPr>
            <w:tcW w:w="70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2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(36.6)</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14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140" w:type="dxa"/>
            <w:vAlign w:val="bottom"/>
          </w:tcPr>
          <w:p>
            <w:pPr>
              <w:jc w:val="right"/>
              <w:ind w:right="91"/>
              <w:spacing w:after="0"/>
              <w:rPr>
                <w:sz w:val="20"/>
                <w:szCs w:val="20"/>
                <w:color w:val="auto"/>
              </w:rPr>
            </w:pPr>
            <w:r>
              <w:rPr>
                <w:rFonts w:ascii="Arial" w:cs="Arial" w:eastAsia="Arial" w:hAnsi="Arial"/>
                <w:sz w:val="18"/>
                <w:szCs w:val="18"/>
                <w:color w:val="auto"/>
              </w:rPr>
              <w:t>(0.4)</w:t>
            </w:r>
          </w:p>
        </w:tc>
      </w:tr>
      <w:tr>
        <w:trPr>
          <w:trHeight w:val="27"/>
        </w:trPr>
        <w:tc>
          <w:tcPr>
            <w:tcW w:w="70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sales for the three months ended December 29, 2012, were $205.8 million, an increase of 3.1% from net sales of $199.6 million for the three months ended December 31, 2011. The change in net sales was attributable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3040" w:type="dxa"/>
            <w:vAlign w:val="bottom"/>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380" w:type="dxa"/>
            <w:vAlign w:val="bottom"/>
            <w:tcBorders>
              <w:bottom w:val="single" w:sz="8" w:color="CCEEFF"/>
            </w:tcBorders>
          </w:tcPr>
          <w:p>
            <w:pPr>
              <w:spacing w:after="0"/>
              <w:rPr>
                <w:sz w:val="24"/>
                <w:szCs w:val="24"/>
                <w:color w:val="auto"/>
              </w:rPr>
            </w:pPr>
          </w:p>
        </w:tc>
        <w:tc>
          <w:tcPr>
            <w:tcW w:w="304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DECEMBER 29, 2012</w:t>
            </w: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Pricing</w:t>
            </w:r>
          </w:p>
        </w:tc>
        <w:tc>
          <w:tcPr>
            <w:tcW w:w="304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3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0.3</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3040" w:type="dxa"/>
            <w:vAlign w:val="bottom"/>
          </w:tcPr>
          <w:p>
            <w:pPr>
              <w:jc w:val="right"/>
              <w:ind w:right="95"/>
              <w:spacing w:after="0"/>
              <w:rPr>
                <w:sz w:val="20"/>
                <w:szCs w:val="20"/>
                <w:color w:val="auto"/>
              </w:rPr>
            </w:pPr>
            <w:r>
              <w:rPr>
                <w:rFonts w:ascii="Arial" w:cs="Arial" w:eastAsia="Arial" w:hAnsi="Arial"/>
                <w:sz w:val="18"/>
                <w:szCs w:val="18"/>
                <w:color w:val="auto"/>
              </w:rPr>
              <w:t>0.1</w:t>
            </w:r>
          </w:p>
        </w:tc>
      </w:tr>
      <w:tr>
        <w:trPr>
          <w:trHeight w:val="27"/>
        </w:trPr>
        <w:tc>
          <w:tcPr>
            <w:tcW w:w="8380" w:type="dxa"/>
            <w:vAlign w:val="bottom"/>
            <w:tcBorders>
              <w:bottom w:val="single" w:sz="8" w:color="CCEEFF"/>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69"/>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increase</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December 29, 2012, was primarily driven by:</w:t>
      </w:r>
    </w:p>
    <w:p>
      <w:pPr>
        <w:spacing w:after="0" w:line="117" w:lineRule="exact"/>
        <w:rPr>
          <w:sz w:val="20"/>
          <w:szCs w:val="20"/>
          <w:color w:val="auto"/>
        </w:rPr>
      </w:pPr>
    </w:p>
    <w:p>
      <w:pPr>
        <w:ind w:left="660" w:hanging="328"/>
        <w:spacing w:after="0" w:line="21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volume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due to increased customer count and a weather driven delay of sales from the fourth quarter of fiscal 2012 to the first quarter of 2013;</w:t>
      </w:r>
    </w:p>
    <w:p>
      <w:pPr>
        <w:spacing w:after="0" w:line="9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volume in our Global Consumer segment, driven by an increase in U.S. sales of fertilizers and control products, partially offset by a decline in Europe and wild bird food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favorable impact of foreign exchange rates as a result of a slight weakening of the U.S. dollar relative to other currencies;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partially offset by a decrease in sales for the three months ended December 29, 2012, related to ICL supply agreements, which were entered into in connection with the sale of Global Pro in February 2011.</w:t>
      </w:r>
    </w:p>
    <w:p>
      <w:pPr>
        <w:sectPr>
          <w:pgSz w:w="11900" w:h="16838" w:orient="portrait"/>
          <w:cols w:equalWidth="0" w:num="1">
            <w:col w:w="11420"/>
          </w:cols>
          <w:pgMar w:left="240" w:top="50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03"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DECEMBER 29, 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0" w:type="dxa"/>
            <w:vAlign w:val="bottom"/>
            <w:gridSpan w:val="4"/>
          </w:tcPr>
          <w:p>
            <w:pPr>
              <w:jc w:val="right"/>
              <w:ind w:right="1088"/>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60" w:type="dxa"/>
            <w:vAlign w:val="bottom"/>
            <w:tcBorders>
              <w:bottom w:val="single" w:sz="8" w:color="CCEEFF"/>
            </w:tcBorders>
            <w:gridSpan w:val="3"/>
            <w:shd w:val="clear" w:color="auto" w:fill="CCEEFF"/>
          </w:tcPr>
          <w:p>
            <w:pPr>
              <w:jc w:val="right"/>
              <w:ind w:right="1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24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60" w:type="dxa"/>
            <w:vAlign w:val="bottom"/>
            <w:tcBorders>
              <w:bottom w:val="single" w:sz="8" w:color="CCEEFF"/>
            </w:tcBorders>
            <w:gridSpan w:val="3"/>
            <w:shd w:val="clear" w:color="auto" w:fill="CCEEFF"/>
          </w:tcPr>
          <w:p>
            <w:pPr>
              <w:jc w:val="right"/>
              <w:ind w:right="1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174.0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0" w:type="dxa"/>
            <w:vAlign w:val="bottom"/>
            <w:tcBorders>
              <w:bottom w:val="single" w:sz="8" w:color="auto"/>
            </w:tcBorders>
            <w:gridSpan w:val="4"/>
          </w:tcPr>
          <w:p>
            <w:pPr>
              <w:jc w:val="center"/>
              <w:ind w:left="48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98"/>
              </w:rPr>
              <w:t>DECEMBER 29, 2012</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months ended December 29, 2012, was primarily driven by:</w:t>
      </w:r>
    </w:p>
    <w:p>
      <w:pPr>
        <w:spacing w:after="0" w:line="13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costs resulting from the impact of higher sales volume;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impact of foreign exchange rates as a result of a slight weakening of the U.S. dollar relative to other currencies;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partially offset by lower reimbursements attributable to our marketing agreement with Monsanto.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a percentage of net sales, our gross profit rate was 15.1% and 12.8% for the three months ended December 29, 2012 and December 31, 2011, respectively. Factors contributing to the change in gross profit rate are outlined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8360" w:type="dxa"/>
            <w:vAlign w:val="bottom"/>
            <w:tcBorders>
              <w:bottom w:val="single" w:sz="8" w:color="CCEEFF"/>
            </w:tcBorders>
          </w:tcPr>
          <w:p>
            <w:pPr>
              <w:spacing w:after="0"/>
              <w:rPr>
                <w:sz w:val="21"/>
                <w:szCs w:val="21"/>
                <w:color w:val="auto"/>
              </w:rPr>
            </w:pPr>
          </w:p>
        </w:tc>
        <w:tc>
          <w:tcPr>
            <w:tcW w:w="30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DECEMBER 29, 2012</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3060" w:type="dxa"/>
            <w:vAlign w:val="bottom"/>
          </w:tcPr>
          <w:p>
            <w:pPr>
              <w:jc w:val="right"/>
              <w:ind w:right="74"/>
              <w:spacing w:after="0"/>
              <w:rPr>
                <w:sz w:val="20"/>
                <w:szCs w:val="20"/>
                <w:color w:val="auto"/>
              </w:rPr>
            </w:pPr>
            <w:r>
              <w:rPr>
                <w:rFonts w:ascii="Arial" w:cs="Arial" w:eastAsia="Arial" w:hAnsi="Arial"/>
                <w:sz w:val="18"/>
                <w:szCs w:val="18"/>
                <w:color w:val="auto"/>
              </w:rPr>
              <w:t>(0.5)</w:t>
            </w:r>
          </w:p>
        </w:tc>
      </w:tr>
      <w:tr>
        <w:trPr>
          <w:trHeight w:val="27"/>
        </w:trPr>
        <w:tc>
          <w:tcPr>
            <w:tcW w:w="83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3060" w:type="dxa"/>
            <w:vAlign w:val="bottom"/>
            <w:tcBorders>
              <w:bottom w:val="single" w:sz="8" w:color="CCEEFF"/>
            </w:tcBorders>
            <w:shd w:val="clear" w:color="auto" w:fill="CCEEFF"/>
          </w:tcPr>
          <w:p>
            <w:pPr>
              <w:spacing w:after="0"/>
              <w:rPr>
                <w:sz w:val="21"/>
                <w:szCs w:val="21"/>
                <w:color w:val="auto"/>
              </w:rPr>
            </w:pPr>
          </w:p>
        </w:tc>
      </w:tr>
      <w:tr>
        <w:trPr>
          <w:trHeight w:val="270"/>
        </w:trPr>
        <w:tc>
          <w:tcPr>
            <w:tcW w:w="836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3060" w:type="dxa"/>
            <w:vAlign w:val="bottom"/>
          </w:tcPr>
          <w:p>
            <w:pPr>
              <w:jc w:val="right"/>
              <w:ind w:right="134"/>
              <w:spacing w:after="0"/>
              <w:rPr>
                <w:sz w:val="20"/>
                <w:szCs w:val="20"/>
                <w:color w:val="auto"/>
              </w:rPr>
            </w:pPr>
            <w:r>
              <w:rPr>
                <w:rFonts w:ascii="Arial" w:cs="Arial" w:eastAsia="Arial" w:hAnsi="Arial"/>
                <w:sz w:val="18"/>
                <w:szCs w:val="18"/>
                <w:color w:val="auto"/>
              </w:rPr>
              <w:t>0.3</w:t>
            </w: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0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0.2</w:t>
            </w:r>
          </w:p>
        </w:tc>
      </w:tr>
      <w:tr>
        <w:trPr>
          <w:trHeight w:val="270"/>
        </w:trPr>
        <w:tc>
          <w:tcPr>
            <w:tcW w:w="8360" w:type="dxa"/>
            <w:vAlign w:val="bottom"/>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060" w:type="dxa"/>
            <w:vAlign w:val="bottom"/>
          </w:tcPr>
          <w:p>
            <w:pPr>
              <w:jc w:val="right"/>
              <w:ind w:right="134"/>
              <w:spacing w:after="0"/>
              <w:rPr>
                <w:sz w:val="20"/>
                <w:szCs w:val="20"/>
                <w:color w:val="auto"/>
              </w:rPr>
            </w:pPr>
            <w:r>
              <w:rPr>
                <w:rFonts w:ascii="Arial" w:cs="Arial" w:eastAsia="Arial" w:hAnsi="Arial"/>
                <w:sz w:val="18"/>
                <w:szCs w:val="18"/>
                <w:color w:val="auto"/>
              </w:rPr>
              <w:t>2.0</w:t>
            </w: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Global Consumer mix and volume</w:t>
            </w:r>
          </w:p>
        </w:tc>
        <w:tc>
          <w:tcPr>
            <w:tcW w:w="30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3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836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three months ended December 29, 2012, was primarily driven by:</w:t>
      </w:r>
    </w:p>
    <w:p>
      <w:pPr>
        <w:spacing w:after="0" w:line="131" w:lineRule="exact"/>
        <w:rPr>
          <w:sz w:val="20"/>
          <w:szCs w:val="20"/>
          <w:color w:val="auto"/>
        </w:rPr>
      </w:pPr>
    </w:p>
    <w:p>
      <w:pPr>
        <w:ind w:left="660" w:hanging="328"/>
        <w:spacing w:after="0" w:line="21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volume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due to increased customer count and a weather driven delay of sales from the fourth quarter of fiscal 2012 to the first quarter of 2013;</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improved sales mix in our Global Consumer segment, primarily the result of increased sales in the U.S. of fertilizer and control products;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activity attributable to our marketing agreement with Monsanto, which historically does not generate profit until the second quarter;</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sales in the first quarter associated with our supply agreements with ICL, which commenced with the sale of Global Pro in February of 2011 and do not generate gross profit.</w:t>
      </w:r>
    </w:p>
    <w:p>
      <w:pPr>
        <w:sectPr>
          <w:pgSz w:w="11900" w:h="16838" w:orient="portrait"/>
          <w:cols w:equalWidth="0" w:num="1">
            <w:col w:w="11420"/>
          </w:cols>
          <w:pgMar w:left="240" w:top="50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03"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29, 2012</w:t>
            </w: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DECEMBER 31, 2011</w:t>
            </w:r>
          </w:p>
        </w:tc>
      </w:tr>
      <w:tr>
        <w:trPr>
          <w:trHeight w:val="250"/>
        </w:trPr>
        <w:tc>
          <w:tcPr>
            <w:tcW w:w="7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w:t>
            </w:r>
          </w:p>
        </w:tc>
      </w:tr>
      <w:tr>
        <w:trPr>
          <w:trHeight w:val="237"/>
        </w:trPr>
        <w:tc>
          <w:tcPr>
            <w:tcW w:w="7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122.5</w:t>
            </w: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(“SG&amp;A”) expenses increased $2.0 million, or 1.6%, to $124.5 million for the first quarter of fiscal 2013 compared to the same period of fiscal 2012. The increase in other SG&amp;A of $3.2 million was driven by an increase in employee related costs, including severance, partially offset by certain cost productivity initiatives.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December 29, 2012, we recognized income of $4.7 million related to the reimbursement by a vendor of a portion of the costs incurred for the development and commercialization of products including the active ingredient MAT 28 for the Global Consumer segment. We also recognized a $4.3 million asset impairment charge as a result of issues with the commercialization of an insect repellent technology for the Global Consumer segment.</w:t>
      </w:r>
    </w:p>
    <w:p>
      <w:pPr>
        <w:spacing w:after="0" w:line="18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continuation of the restructuring plan we initiated in fiscal 2011, the Company incurred $2.4 million in restructuring costs in the first quarter of fiscal 2011. These costs consisted primarily of $1.3 million of termination benefits provided to employees who accepted voluntary retirement, $0.5 million of special termination benefits to be provided to certain employees upon future separation and $0.2 million related to curtailment charges for our U.S. defined benefit pension and U.S retiree medical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income was $1.1 million for the three months ended December 29, 2012 compared to $0.6 million for the three months ended December 31,</w:t>
      </w:r>
    </w:p>
    <w:p>
      <w:pPr>
        <w:spacing w:after="0" w:line="4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2011. Other income is comprised of activities outside our normal business operations, such as royalty income from the licensing of certain of our brand names, franchise fee income from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foreign exchange gains/losses and gains/losses from the sale of non-inventory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$13.2 million for the three months ended December 29, 2012 compared to $15.3 million for the three months ended December 31, 2011. Excluding the impact of foreign exchange rates, average borrowings declined by approximately $48.0 million during the three months ended December 29, 2012, as compared to the same prior year period. Additionally, there was a decline in our weighted average interest rate of 61 basis points associated with the expiration of a 5.20% interest rate swap agreement in the second quarter of fiscal 2012.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effective tax rate related to continuing operations for the three months ended December 29, 2012 was 35.0% compared to 36.0% for the three months ended December 31, 2011. The effective tax rate used for interim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0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reported a loss from continuing operations of $68.3 million, or $1.11 per diluted share, for the first quarter of fiscal 2013 compared to $73.1 million, or $1.20 per diluted share, for the first quarter of fiscal 2012. We anticipated a loss in our first fiscal quarter due to the seasonal nature of our business, in which sales are heavily weighted to the spring and summer selling seasons. The decrease in our loss from continuing operations for the first three months of fiscal 2013 was driven primarily by the impact of higher volume, partially offset by higher general and administrative expenses and a reduced tax benefit due to a reduction in the effective tax rate. Diluted average common shares used in the diluted net income per common share calculation were 61.4 million for the first quarter of fiscal 2012 compared to 60.9 million for the same period a year ago.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7"/>
          <w:szCs w:val="17"/>
          <w:color w:val="auto"/>
        </w:rPr>
        <w:t>Our continuing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Marketing Agreement, as well as corporate, general and administrative expenses and certain other income/expense items not allocated to the business segments.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7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15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3"/>
                <w:szCs w:val="13"/>
                <w:color w:val="auto"/>
              </w:rPr>
            </w:pPr>
          </w:p>
        </w:tc>
      </w:tr>
      <w:tr>
        <w:trPr>
          <w:trHeight w:val="192"/>
        </w:trPr>
        <w:tc>
          <w:tcPr>
            <w:tcW w:w="7200" w:type="dxa"/>
            <w:vAlign w:val="bottom"/>
          </w:tcPr>
          <w:p>
            <w:pPr>
              <w:spacing w:after="0"/>
              <w:rPr>
                <w:sz w:val="16"/>
                <w:szCs w:val="16"/>
                <w:color w:val="auto"/>
              </w:rPr>
            </w:pPr>
          </w:p>
        </w:tc>
        <w:tc>
          <w:tcPr>
            <w:tcW w:w="15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6"/>
                <w:szCs w:val="16"/>
                <w:color w:val="auto"/>
              </w:rPr>
            </w:pPr>
          </w:p>
        </w:tc>
      </w:tr>
      <w:tr>
        <w:trPr>
          <w:trHeight w:val="250"/>
        </w:trPr>
        <w:tc>
          <w:tcPr>
            <w:tcW w:w="7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160" w:type="dxa"/>
            <w:vAlign w:val="bottom"/>
            <w:gridSpan w:val="3"/>
          </w:tcPr>
          <w:p>
            <w:pPr>
              <w:jc w:val="right"/>
              <w:ind w:right="11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1540" w:type="dxa"/>
            <w:vAlign w:val="bottom"/>
            <w:tcBorders>
              <w:bottom w:val="single" w:sz="8" w:color="CCEEFF"/>
            </w:tcBorders>
            <w:shd w:val="clear" w:color="auto" w:fill="CCEEFF"/>
          </w:tcPr>
          <w:p>
            <w:pPr>
              <w:jc w:val="right"/>
              <w:ind w:right="134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153.2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149.1</w:t>
            </w:r>
          </w:p>
        </w:tc>
      </w:tr>
      <w:tr>
        <w:trPr>
          <w:trHeight w:val="270"/>
        </w:trPr>
        <w:tc>
          <w:tcPr>
            <w:tcW w:w="7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5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186.7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15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7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1540" w:type="dxa"/>
            <w:vAlign w:val="bottom"/>
            <w:tcBorders>
              <w:bottom w:val="single" w:sz="8" w:color="CCEEFF"/>
            </w:tcBorders>
            <w:shd w:val="clear" w:color="auto" w:fill="CCEEFF"/>
          </w:tcPr>
          <w:p>
            <w:pPr>
              <w:jc w:val="right"/>
              <w:ind w:right="134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199.6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loss from continuing operations before 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29,</w:t>
            </w:r>
          </w:p>
        </w:tc>
        <w:tc>
          <w:tcPr>
            <w:tcW w:w="420" w:type="dxa"/>
            <w:vAlign w:val="bottom"/>
          </w:tcPr>
          <w:p>
            <w:pPr>
              <w:spacing w:after="0"/>
              <w:rPr>
                <w:sz w:val="13"/>
                <w:szCs w:val="13"/>
                <w:color w:val="auto"/>
              </w:rPr>
            </w:pPr>
          </w:p>
        </w:tc>
        <w:tc>
          <w:tcPr>
            <w:tcW w:w="1640" w:type="dxa"/>
            <w:vAlign w:val="bottom"/>
          </w:tcPr>
          <w:p>
            <w:pPr>
              <w:jc w:val="right"/>
              <w:ind w:right="433"/>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2011</w:t>
            </w:r>
          </w:p>
        </w:tc>
      </w:tr>
      <w:tr>
        <w:trPr>
          <w:trHeight w:val="250"/>
        </w:trPr>
        <w:tc>
          <w:tcPr>
            <w:tcW w:w="7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70"/>
        </w:trPr>
        <w:tc>
          <w:tcPr>
            <w:tcW w:w="7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30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Global Consumer segment net sales were $153.2 million in the first quarter of fiscal 2013, an increase of 2.7% from the first quarter of fiscal 2012. For the three months ended December 29, 2012, volume, pricing and foreign exchange rates favorably impacted net sales by 2.1%, 0.3% and 0.3%, respectively. Net sales in the U.S. increased $3.7 million, or 3.6% for the first quarter of fiscal 2013 as compared to the same periods in fiscal 2012. The increase in U.S. net sales was driven by higher sales of fertilizer and control products, partially offset by a decline in wild bird food products and in revenues attributable to our marketing agreement with Monsanto. Excluding the impact of changes in foreign exchange rates, net sales internationally decreased by $0.1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03"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or 0.3% for the first quarter of fiscal 2013. The decrease in sales internationally was primarily driven by a decline in year-to-date net sales in the U.K. and France.</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Global Consumer segment operating loss decreased by $0.8 million, or 1.2%, in the first quarter of fiscal 2013, as compared to the same period of fiscal 2012. Excluding the impact of changes in foreign exchange rates, the increase was 0.8% for the first quarter of fiscal 2013. The increase was primarily driven by the impact of the volume increase in the U.S., partially offset by the impact of the volume decline in Europe.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$7.2 million, or 19.1%, in the first quarter of fiscal 2013, as compared to the same period of fiscal 2012. The increase in net sales was driven by increased customer count and a weather driven delay of sales from the fourth quarter of fiscal 2012 to the first quarter of 2013.</w:t>
      </w:r>
    </w:p>
    <w:p>
      <w:pPr>
        <w:spacing w:after="0" w:line="123" w:lineRule="exact"/>
        <w:rPr>
          <w:sz w:val="20"/>
          <w:szCs w:val="20"/>
          <w:color w:val="auto"/>
        </w:rPr>
      </w:pPr>
    </w:p>
    <w:p>
      <w:pPr>
        <w:jc w:val="both"/>
        <w:ind w:right="20" w:firstLine="432"/>
        <w:spacing w:after="0" w:line="252" w:lineRule="auto"/>
        <w:rPr>
          <w:sz w:val="20"/>
          <w:szCs w:val="20"/>
          <w:color w:val="auto"/>
        </w:rPr>
      </w:pPr>
      <w:r>
        <w:rPr>
          <w:rFonts w:ascii="Arial" w:cs="Arial" w:eastAsia="Arial" w:hAnsi="Arial"/>
          <w:sz w:val="16"/>
          <w:szCs w:val="16"/>
          <w:color w:val="auto"/>
        </w:rPr>
        <w:t>The operating loss for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decreased by $3.7 million, or 80.4%, in the first quarter of fiscal 2013, as compared to the same period of fiscal 2012. The improved performance was driven by higher net sales and improved gross margin rate, partially offset by higher SG&amp;A spending.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net operating loss for Corporate &amp; Other was $20.2 million and $19.7 million for the three months ended December 29, 2012 and December 31, 2011, respectively. The increased loss was primarily related to employee related costs, including severance, partially offset by cost productivity initiatives.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used in operating activities totaled $168.6 million and $201.1 million for the three months ended December 29, 2012 and December 31, 2011, respectively. Cash used by operating activities declined $32.5 million primarily due to a decrease in cash used for working capital of $20.8 million and lower net loss of $6.2 million. The decrease in cash used for working capital was primarily due to reduced inventory levels compared to prior year as a result of improved inventory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Cash used in investing activities totaled $28.1 million for the three months ended December 29, 2012, compared to cash used by investing activities of $16.4 million for the comparable period in fiscal 2012. Cash used for investments in property, plant and equipment during the first three months of fiscal 2013 and fiscal 2012 was $25.0 million and $16.4 million, respectively, primarily related to increasing efficiencies at existing production facilities. Additionally, during the three months ended December 29, 2012, we completed acquisitions of two franchisee businesses within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segment.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Financing activities provided cash of $180.8 million and $214.3 million for the three months ended December 29, 2012 and December 31, 2011, respectively. The decrease in cash provided by financing activities was primarily the result of lower net borrowings under our credit facility of $41.7 million during the first quarter of fiscal 2013, a decrease in net cash received from stock option activity of $8.3 million, partially offset by repurchases of our common shares of $17.5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$115.6 million as of December 29, 2012, compared to $127.8 million as of December 31, 2011. The cash and cash equivalents balance at December 29, 2012 included $113.0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0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 which is guaranteed by substantially all of Scotts Miracle-Gro’s domestic subsidiaries. 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our lenders.</w:t>
      </w:r>
    </w:p>
    <w:p>
      <w:pPr>
        <w:spacing w:after="0" w:line="7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Under our credit facility, we have the ability to issue letter of credit commitments up to $75 million. At December 29, 2012, we had letters of credit in the aggregate face amount of $24.2 million outstanding and $1.1 billion of availability under our credit facility.</w:t>
      </w:r>
    </w:p>
    <w:p>
      <w:pPr>
        <w:spacing w:after="0" w:line="3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November 15, 2012, we entered into a new Master Accounts Receivable Purchase Agreement (the “2012 MARP Agreement”), with an initial stated termination date of October 30, 2013, or such later date as may be mutually agreed by the Company and the banks party thereto. The 2012 MARP Agreement, which is uncommitted, provides for the discretionary sale by the Company, and the discretionary purchase by the banks, on a revolving basis, of accounts receivable generated by sales to three specified debtors in an aggregate amount not to exceed $400 million, with debtor sublimits ranging from $100 million to $200 million. Under the terms of the 2012 MARP Agreement, the banks have the opportunity, but not the obligation, to purchase those accounts receivable offered by us at a discount (from the agreed base value thereof) effectively equal to the greater of 7-day or 3-month LIBOR plus 0.75%.</w:t>
      </w:r>
    </w:p>
    <w:p>
      <w:pPr>
        <w:spacing w:after="0" w:line="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the sale of receivables under the 2012 MARP Agreement as short-term debt and continue to carry the receivables on our Consolidated Balance Sheet, primarily as a result of our right to repurchase receivables sold. There were no short-term borrowings under the 2012 MARP Agreement as of December 29, 2012 and $5.4 million as of December 31, 2011.</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December 29, 2012,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3.50 as of December 29, 2012. Our leverage ratio was 2.80 at December 29, 2012. Our credit facility also includes an affirmative covenant regarding our interest coverage. Under the terms of the credit facility, the minimum interest coverage ratio was 3.50 for the twelve months ended December 29, 2012. Our interest coverage ratio was 5.25 for the twelve months ended December 29, 2012.</w:t>
      </w:r>
    </w:p>
    <w:p>
      <w:pPr>
        <w:spacing w:after="0" w:line="9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2013.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opinion, cash flows from operations and borrowings under our credit agreement will be sufficient to meet debt service and working capital needs during fiscal 2013, and thereafter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2012 and through December 29,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0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2012, under “ITEM 1. BUSINESS — Regulatory Considerations” and “ITEM 3. 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2012 includes additional information about us, our operations, our financial condition, our critical accounting policies and accounting estimates, and should be read in conjunction with this Quarterly Report on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9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December 29, 2012 that have materially affected, or are reasonably likely to materially affect,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than as discussed in “NOTE 11. CONTINGENCIES” of the Notes to Condensed Consolidated Financial Statements, pending material legal proceedings have not changed significantly since those disclosed in Scotts Miracle-Gro's Annual Report on Form 10-K for the fiscal year ended September 30, 2012.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December 29, 2012 have not changed materially from those described in “ITEM IA. RISK FACTORS” in Scotts Miracle-Gro's Annual Report on Form 10-K for the fiscal year ended September 30, 2012.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99"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FACTORS” in Scotts Miracle-Gro's Annual Report on Form 10-K for the fiscal year ended September 30, 2012. All forward-looking statements attributable to us or persons working on our behalf are expressly qualified in their entirety by such risk factors.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2.50. Our leverage ratio was 2.80 at December 29, 2012.</w:t>
      </w:r>
    </w:p>
    <w:p>
      <w:pPr>
        <w:spacing w:after="0" w:line="18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December 29,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through October 27, 2012</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41.81</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October 28, 2012 through November 24, 2012</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181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25, 2012 through December 29, 2012</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1,283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42.05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298,816,786</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1,647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41.98</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6"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95" w:lineRule="exact"/>
        <w:rPr>
          <w:rFonts w:ascii="Arial" w:cs="Arial" w:eastAsia="Arial" w:hAnsi="Arial"/>
          <w:sz w:val="16"/>
          <w:szCs w:val="16"/>
          <w:color w:val="auto"/>
        </w:rPr>
      </w:pPr>
    </w:p>
    <w:p>
      <w:pPr>
        <w:ind w:left="500" w:hanging="46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79"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5. OTHER INFORMATION</w:t>
      </w:r>
    </w:p>
    <w:p>
      <w:pPr>
        <w:spacing w:after="0" w:line="270" w:lineRule="exact"/>
        <w:rPr>
          <w:sz w:val="20"/>
          <w:szCs w:val="20"/>
          <w:color w:val="auto"/>
        </w:rPr>
      </w:pPr>
    </w:p>
    <w:p>
      <w:pPr>
        <w:jc w:val="both"/>
        <w:ind w:firstLine="756"/>
        <w:spacing w:after="0" w:line="344" w:lineRule="auto"/>
        <w:rPr>
          <w:sz w:val="20"/>
          <w:szCs w:val="20"/>
          <w:color w:val="auto"/>
        </w:rPr>
      </w:pPr>
      <w:r>
        <w:rPr>
          <w:rFonts w:ascii="Arial" w:cs="Arial" w:eastAsia="Arial" w:hAnsi="Arial"/>
          <w:sz w:val="16"/>
          <w:szCs w:val="16"/>
          <w:color w:val="auto"/>
        </w:rPr>
        <w:t>As previously disclosed in the Company's Current Report on Form 8-K filed with the Securities and Exchange Commission on January 28, 2013, David C. Evans has decided to resign as the Company's Chief Financial Officer and Executive Vice President, Strategy and Business Development. Mr. Evans' resignation will become effective February 8, 2013. Until a final decision is reached on Mr. Evans' successor, Thomas (“Randy”) Coleman, Senior Vice President of Global Operating Finance for The Scotts Company LLC (“Scotts LLC”), will assume on an interim basis the role of principal financial officer for the Company, effective February 8, 2013. Mr. Coleman, age 43, has served as Senior Vice President, Global Operating Finance for Scotts LLC, a wholly owned subsidiary of the Company, since January 2011. Prior to that, Mr. Coleman served as Senior Vice President, North America Finance of Scotts LLC from November 2007 until January 2011. Mr. Coleman holds a bachelor's degree in accounting from The Ohio State University.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42 for a list of the exhibits included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4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THE SCOTTS MIRACLE-GRO COMPANY</w:t>
            </w:r>
          </w:p>
        </w:tc>
      </w:tr>
      <w:tr>
        <w:trPr>
          <w:trHeight w:val="594"/>
        </w:trPr>
        <w:tc>
          <w:tcPr>
            <w:tcW w:w="3620" w:type="dxa"/>
            <w:vAlign w:val="bottom"/>
          </w:tcPr>
          <w:p>
            <w:pPr>
              <w:spacing w:after="0"/>
              <w:rPr>
                <w:sz w:val="20"/>
                <w:szCs w:val="20"/>
                <w:color w:val="auto"/>
              </w:rPr>
            </w:pPr>
            <w:r>
              <w:rPr>
                <w:rFonts w:ascii="Arial" w:cs="Arial" w:eastAsia="Arial" w:hAnsi="Arial"/>
                <w:sz w:val="18"/>
                <w:szCs w:val="18"/>
                <w:color w:val="auto"/>
              </w:rPr>
              <w:t>Date: February 7, 2013</w:t>
            </w:r>
          </w:p>
        </w:tc>
        <w:tc>
          <w:tcPr>
            <w:tcW w:w="216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DAVID C. EVANS</w:t>
            </w:r>
          </w:p>
        </w:tc>
      </w:tr>
      <w:tr>
        <w:trPr>
          <w:trHeight w:val="27"/>
        </w:trPr>
        <w:tc>
          <w:tcPr>
            <w:tcW w:w="3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David C. Evans</w:t>
            </w:r>
          </w:p>
        </w:tc>
      </w:tr>
      <w:tr>
        <w:trPr>
          <w:trHeight w:val="270"/>
        </w:trPr>
        <w:tc>
          <w:tcPr>
            <w:tcW w:w="3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Chief Financial Officer and Executive Vice President,</w:t>
            </w:r>
          </w:p>
        </w:tc>
      </w:tr>
      <w:tr>
        <w:trPr>
          <w:trHeight w:val="270"/>
        </w:trPr>
        <w:tc>
          <w:tcPr>
            <w:tcW w:w="3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Strategy and Business Development</w:t>
            </w:r>
          </w:p>
        </w:tc>
      </w:tr>
      <w:tr>
        <w:trPr>
          <w:trHeight w:val="270"/>
        </w:trPr>
        <w:tc>
          <w:tcPr>
            <w:tcW w:w="3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(Principal Financial and Principal Accounting Officer)</w:t>
            </w:r>
          </w:p>
        </w:tc>
      </w:tr>
      <w:tr>
        <w:trPr>
          <w:trHeight w:val="270"/>
        </w:trPr>
        <w:tc>
          <w:tcPr>
            <w:tcW w:w="36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(Duly Authorized Officer)</w:t>
            </w:r>
          </w:p>
        </w:tc>
      </w:tr>
      <w:tr>
        <w:trPr>
          <w:trHeight w:val="702"/>
        </w:trPr>
        <w:tc>
          <w:tcPr>
            <w:tcW w:w="36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tcPr>
          <w:p>
            <w:pPr>
              <w:jc w:val="center"/>
              <w:ind w:left="1173"/>
              <w:spacing w:after="0"/>
              <w:rPr>
                <w:sz w:val="20"/>
                <w:szCs w:val="20"/>
                <w:color w:val="auto"/>
              </w:rPr>
            </w:pPr>
            <w:r>
              <w:rPr>
                <w:rFonts w:ascii="Arial" w:cs="Arial" w:eastAsia="Arial" w:hAnsi="Arial"/>
                <w:sz w:val="18"/>
                <w:szCs w:val="18"/>
                <w:color w:val="auto"/>
                <w:w w:val="96"/>
              </w:rPr>
              <w:t>THE SCOTTS MIRACLE-GRO COMPANY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tcPr>
          <w:p>
            <w:pPr>
              <w:jc w:val="center"/>
              <w:ind w:left="1173"/>
              <w:spacing w:after="0"/>
              <w:rPr>
                <w:sz w:val="20"/>
                <w:szCs w:val="20"/>
                <w:color w:val="auto"/>
              </w:rPr>
            </w:pPr>
            <w:r>
              <w:rPr>
                <w:rFonts w:ascii="Arial" w:cs="Arial" w:eastAsia="Arial" w:hAnsi="Arial"/>
                <w:sz w:val="18"/>
                <w:szCs w:val="18"/>
                <w:color w:val="auto"/>
                <w:w w:val="94"/>
              </w:rPr>
              <w:t>QUARTERLY REPORT ON FORM 10-Q</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40" w:type="dxa"/>
            <w:vAlign w:val="bottom"/>
          </w:tcPr>
          <w:p>
            <w:pPr>
              <w:jc w:val="center"/>
              <w:ind w:left="1173"/>
              <w:spacing w:after="0"/>
              <w:rPr>
                <w:sz w:val="20"/>
                <w:szCs w:val="20"/>
                <w:color w:val="auto"/>
              </w:rPr>
            </w:pPr>
            <w:r>
              <w:rPr>
                <w:rFonts w:ascii="Arial" w:cs="Arial" w:eastAsia="Arial" w:hAnsi="Arial"/>
                <w:sz w:val="18"/>
                <w:szCs w:val="18"/>
                <w:color w:val="auto"/>
                <w:w w:val="94"/>
              </w:rPr>
              <w:t>FOR THE QUARTERLY PERIOD ENDED DECEMBER 29, 2012</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tcPr>
          <w:p>
            <w:pPr>
              <w:jc w:val="center"/>
              <w:ind w:left="1133"/>
              <w:spacing w:after="0"/>
              <w:rPr>
                <w:sz w:val="20"/>
                <w:szCs w:val="20"/>
                <w:color w:val="auto"/>
              </w:rPr>
            </w:pPr>
            <w:r>
              <w:rPr>
                <w:rFonts w:ascii="Arial" w:cs="Arial" w:eastAsia="Arial" w:hAnsi="Arial"/>
                <w:sz w:val="18"/>
                <w:szCs w:val="18"/>
                <w:color w:val="auto"/>
                <w:w w:val="98"/>
              </w:rPr>
              <w:t>INDEX TO EXHIBITS</w:t>
            </w:r>
          </w:p>
        </w:tc>
        <w:tc>
          <w:tcPr>
            <w:tcW w:w="0" w:type="dxa"/>
            <w:vAlign w:val="bottom"/>
          </w:tcPr>
          <w:p>
            <w:pPr>
              <w:spacing w:after="0"/>
              <w:rPr>
                <w:sz w:val="1"/>
                <w:szCs w:val="1"/>
                <w:color w:val="auto"/>
              </w:rPr>
            </w:pPr>
          </w:p>
        </w:tc>
      </w:tr>
      <w:tr>
        <w:trPr>
          <w:trHeight w:val="301"/>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764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w:t>
            </w:r>
          </w:p>
        </w:tc>
        <w:tc>
          <w:tcPr>
            <w:tcW w:w="7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7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The Scotts Miracle-Gro Company Long-Term Incentive Plan (effective as of January 17, 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7780" w:type="dxa"/>
            <w:vAlign w:val="bottom"/>
          </w:tcPr>
          <w:p>
            <w:pPr>
              <w:ind w:left="260"/>
              <w:spacing w:after="0"/>
              <w:rPr>
                <w:sz w:val="20"/>
                <w:szCs w:val="20"/>
                <w:color w:val="auto"/>
              </w:rPr>
            </w:pPr>
            <w:r>
              <w:rPr>
                <w:rFonts w:ascii="Arial" w:cs="Arial" w:eastAsia="Arial" w:hAnsi="Arial"/>
                <w:sz w:val="18"/>
                <w:szCs w:val="18"/>
                <w:color w:val="auto"/>
                <w:w w:val="95"/>
              </w:rPr>
              <w:t>Specimen form of Deferred Stock Unit Award Agreement for Nonemployee Directors (with Related</w:t>
            </w:r>
          </w:p>
        </w:tc>
      </w:tr>
      <w:tr>
        <w:trPr>
          <w:trHeight w:val="216"/>
        </w:trPr>
        <w:tc>
          <w:tcPr>
            <w:tcW w:w="1000" w:type="dxa"/>
            <w:vAlign w:val="bottom"/>
          </w:tcPr>
          <w:p>
            <w:pPr>
              <w:spacing w:after="0"/>
              <w:rPr>
                <w:sz w:val="18"/>
                <w:szCs w:val="18"/>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w w:val="92"/>
              </w:rPr>
              <w:t>Dividend Equivalents) used to evidence grants of Deferred Stock Units which may be made under The</w:t>
            </w:r>
          </w:p>
        </w:tc>
      </w:tr>
      <w:tr>
        <w:trPr>
          <w:trHeight w:val="216"/>
        </w:trPr>
        <w:tc>
          <w:tcPr>
            <w:tcW w:w="1000" w:type="dxa"/>
            <w:vAlign w:val="bottom"/>
          </w:tcPr>
          <w:p>
            <w:pPr>
              <w:spacing w:after="0"/>
              <w:rPr>
                <w:sz w:val="18"/>
                <w:szCs w:val="18"/>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w w:val="91"/>
              </w:rPr>
              <w:t>Scotts Miracle-Gro Company Long-Term Incentive Plan (Deferral of Cash Retainer — post-January 17,</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2013 version)</w:t>
            </w:r>
          </w:p>
        </w:tc>
      </w:tr>
      <w:tr>
        <w:trPr>
          <w:trHeight w:val="37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7780" w:type="dxa"/>
            <w:vAlign w:val="bottom"/>
          </w:tcPr>
          <w:p>
            <w:pPr>
              <w:ind w:left="260"/>
              <w:spacing w:after="0"/>
              <w:rPr>
                <w:sz w:val="20"/>
                <w:szCs w:val="20"/>
                <w:color w:val="auto"/>
              </w:rPr>
            </w:pPr>
            <w:r>
              <w:rPr>
                <w:rFonts w:ascii="Arial" w:cs="Arial" w:eastAsia="Arial" w:hAnsi="Arial"/>
                <w:sz w:val="18"/>
                <w:szCs w:val="18"/>
                <w:color w:val="auto"/>
                <w:w w:val="95"/>
              </w:rPr>
              <w:t>Specimen form of Deferred Stock Unit Award Agreement for Nonemployee Directors (with Related</w:t>
            </w:r>
          </w:p>
        </w:tc>
      </w:tr>
      <w:tr>
        <w:trPr>
          <w:trHeight w:val="216"/>
        </w:trPr>
        <w:tc>
          <w:tcPr>
            <w:tcW w:w="1000" w:type="dxa"/>
            <w:vAlign w:val="bottom"/>
          </w:tcPr>
          <w:p>
            <w:pPr>
              <w:spacing w:after="0"/>
              <w:rPr>
                <w:sz w:val="18"/>
                <w:szCs w:val="18"/>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w w:val="92"/>
              </w:rPr>
              <w:t>Dividend Equivalents) used to evidence grants of Deferred Stock Units which may be made under The</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Scotts Miracle-Gro Company Long-Term Incentive Plan (post-January 17, 2013 version)</w:t>
            </w:r>
          </w:p>
        </w:tc>
      </w:tr>
      <w:tr>
        <w:trPr>
          <w:trHeight w:val="37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7780" w:type="dxa"/>
            <w:vAlign w:val="bottom"/>
          </w:tcPr>
          <w:p>
            <w:pPr>
              <w:ind w:left="260"/>
              <w:spacing w:after="0"/>
              <w:rPr>
                <w:sz w:val="20"/>
                <w:szCs w:val="20"/>
                <w:color w:val="auto"/>
              </w:rPr>
            </w:pPr>
            <w:r>
              <w:rPr>
                <w:rFonts w:ascii="Arial" w:cs="Arial" w:eastAsia="Arial" w:hAnsi="Arial"/>
                <w:sz w:val="18"/>
                <w:szCs w:val="18"/>
                <w:color w:val="auto"/>
                <w:w w:val="95"/>
              </w:rPr>
              <w:t>Specimen form of Deferred Stock Unit Award Agreement for Nonemployee Directors (with Related</w:t>
            </w:r>
          </w:p>
        </w:tc>
      </w:tr>
      <w:tr>
        <w:trPr>
          <w:trHeight w:val="216"/>
        </w:trPr>
        <w:tc>
          <w:tcPr>
            <w:tcW w:w="1000" w:type="dxa"/>
            <w:vAlign w:val="bottom"/>
          </w:tcPr>
          <w:p>
            <w:pPr>
              <w:spacing w:after="0"/>
              <w:rPr>
                <w:sz w:val="18"/>
                <w:szCs w:val="18"/>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w w:val="93"/>
              </w:rPr>
              <w:t>Dividend Equivalents) used to evidence grants of Deferred Stock Units made on January 18, 2013 to</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William G. Jurgensen under The Scotts Miracle-Gro Company Long-Term Incentive Plan</w:t>
            </w:r>
          </w:p>
        </w:tc>
      </w:tr>
      <w:tr>
        <w:trPr>
          <w:trHeight w:val="37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7780" w:type="dxa"/>
            <w:vAlign w:val="bottom"/>
          </w:tcPr>
          <w:p>
            <w:pPr>
              <w:ind w:left="260"/>
              <w:spacing w:after="0"/>
              <w:rPr>
                <w:sz w:val="20"/>
                <w:szCs w:val="20"/>
                <w:color w:val="auto"/>
              </w:rPr>
            </w:pPr>
            <w:r>
              <w:rPr>
                <w:rFonts w:ascii="Arial" w:cs="Arial" w:eastAsia="Arial" w:hAnsi="Arial"/>
                <w:sz w:val="18"/>
                <w:szCs w:val="18"/>
                <w:color w:val="auto"/>
                <w:w w:val="97"/>
              </w:rPr>
              <w:t>Specimen form of Restricted Stock Unit Award Agreement for Employees (with Related Dividend</w:t>
            </w:r>
          </w:p>
        </w:tc>
      </w:tr>
      <w:tr>
        <w:trPr>
          <w:trHeight w:val="216"/>
        </w:trPr>
        <w:tc>
          <w:tcPr>
            <w:tcW w:w="1000" w:type="dxa"/>
            <w:vAlign w:val="bottom"/>
          </w:tcPr>
          <w:p>
            <w:pPr>
              <w:spacing w:after="0"/>
              <w:rPr>
                <w:sz w:val="18"/>
                <w:szCs w:val="18"/>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w w:val="93"/>
              </w:rPr>
              <w:t>Equivalents) used to evidence grants of Restricted Stock Units which may be made under The Scotts</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Miracle-Gro Company Long-Term Incentive Plan (post-January 17, 2013 version)</w:t>
            </w:r>
          </w:p>
        </w:tc>
      </w:tr>
      <w:tr>
        <w:trPr>
          <w:trHeight w:val="37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7780" w:type="dxa"/>
            <w:vAlign w:val="bottom"/>
          </w:tcPr>
          <w:p>
            <w:pPr>
              <w:ind w:left="260"/>
              <w:spacing w:after="0"/>
              <w:rPr>
                <w:sz w:val="20"/>
                <w:szCs w:val="20"/>
                <w:color w:val="auto"/>
              </w:rPr>
            </w:pPr>
            <w:r>
              <w:rPr>
                <w:rFonts w:ascii="Arial" w:cs="Arial" w:eastAsia="Arial" w:hAnsi="Arial"/>
                <w:sz w:val="18"/>
                <w:szCs w:val="18"/>
                <w:color w:val="auto"/>
              </w:rPr>
              <w:t>Specimen form of Performance Unit Award Agreement for Employees (with Related Dividend</w:t>
            </w:r>
          </w:p>
        </w:tc>
      </w:tr>
      <w:tr>
        <w:trPr>
          <w:trHeight w:val="216"/>
        </w:trPr>
        <w:tc>
          <w:tcPr>
            <w:tcW w:w="1000" w:type="dxa"/>
            <w:vAlign w:val="bottom"/>
          </w:tcPr>
          <w:p>
            <w:pPr>
              <w:spacing w:after="0"/>
              <w:rPr>
                <w:sz w:val="18"/>
                <w:szCs w:val="18"/>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w w:val="96"/>
              </w:rPr>
              <w:t>Equivalents) used to evidence grants of Performance Units which may be made under The Scotts</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Miracle-Gro Company Long-Term Incentive Plan (post-January 17, 2013 version)</w:t>
            </w:r>
          </w:p>
        </w:tc>
      </w:tr>
      <w:tr>
        <w:trPr>
          <w:trHeight w:val="37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7780" w:type="dxa"/>
            <w:vAlign w:val="bottom"/>
          </w:tcPr>
          <w:p>
            <w:pPr>
              <w:ind w:left="260"/>
              <w:spacing w:after="0"/>
              <w:rPr>
                <w:sz w:val="20"/>
                <w:szCs w:val="20"/>
                <w:color w:val="auto"/>
              </w:rPr>
            </w:pPr>
            <w:r>
              <w:rPr>
                <w:rFonts w:ascii="Arial" w:cs="Arial" w:eastAsia="Arial" w:hAnsi="Arial"/>
                <w:sz w:val="18"/>
                <w:szCs w:val="18"/>
                <w:color w:val="auto"/>
                <w:w w:val="91"/>
              </w:rPr>
              <w:t>Specimen form of Nonqualified Stock Option Award Agreement for Employees used to evidence grants</w:t>
            </w:r>
          </w:p>
        </w:tc>
      </w:tr>
      <w:tr>
        <w:trPr>
          <w:trHeight w:val="216"/>
        </w:trPr>
        <w:tc>
          <w:tcPr>
            <w:tcW w:w="1000" w:type="dxa"/>
            <w:vAlign w:val="bottom"/>
          </w:tcPr>
          <w:p>
            <w:pPr>
              <w:spacing w:after="0"/>
              <w:rPr>
                <w:sz w:val="18"/>
                <w:szCs w:val="18"/>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w w:val="91"/>
              </w:rPr>
              <w:t>of Nonqualified Stock Options which may be made under The Scotts Miracle-Gro Company Long-Term</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Incentive Plan (post-January 17, 2013 version)</w:t>
            </w:r>
          </w:p>
        </w:tc>
      </w:tr>
      <w:tr>
        <w:trPr>
          <w:trHeight w:val="37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7780" w:type="dxa"/>
            <w:vAlign w:val="bottom"/>
          </w:tcPr>
          <w:p>
            <w:pPr>
              <w:ind w:left="260"/>
              <w:spacing w:after="0"/>
              <w:rPr>
                <w:sz w:val="20"/>
                <w:szCs w:val="20"/>
                <w:color w:val="auto"/>
              </w:rPr>
            </w:pPr>
            <w:r>
              <w:rPr>
                <w:rFonts w:ascii="Arial" w:cs="Arial" w:eastAsia="Arial" w:hAnsi="Arial"/>
                <w:sz w:val="18"/>
                <w:szCs w:val="18"/>
                <w:color w:val="auto"/>
                <w:w w:val="90"/>
              </w:rPr>
              <w:t>First Amendment to The Scotts Company LLC Executive Retirement Plan, as Amended and Restated as</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of January 1, 2011 (effective as of January 1, 2011)</w:t>
            </w:r>
          </w:p>
        </w:tc>
      </w:tr>
      <w:tr>
        <w:trPr>
          <w:trHeight w:val="377"/>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7780" w:type="dxa"/>
            <w:vAlign w:val="bottom"/>
          </w:tcPr>
          <w:p>
            <w:pPr>
              <w:ind w:left="260"/>
              <w:spacing w:after="0"/>
              <w:rPr>
                <w:sz w:val="20"/>
                <w:szCs w:val="20"/>
                <w:color w:val="auto"/>
              </w:rPr>
            </w:pPr>
            <w:r>
              <w:rPr>
                <w:rFonts w:ascii="Arial" w:cs="Arial" w:eastAsia="Arial" w:hAnsi="Arial"/>
                <w:sz w:val="18"/>
                <w:szCs w:val="18"/>
                <w:color w:val="auto"/>
                <w:w w:val="89"/>
              </w:rPr>
              <w:t>Second Amendment to The Scotts Company LLC Executive Retirement Plan, as Amended and Restated</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as of January 1, 2011 (effective as of January 1, 2012)</w:t>
            </w:r>
          </w:p>
        </w:tc>
      </w:tr>
      <w:tr>
        <w:trPr>
          <w:trHeight w:val="377"/>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7780" w:type="dxa"/>
            <w:vAlign w:val="bottom"/>
          </w:tcPr>
          <w:p>
            <w:pPr>
              <w:ind w:left="260"/>
              <w:spacing w:after="0"/>
              <w:rPr>
                <w:sz w:val="20"/>
                <w:szCs w:val="20"/>
                <w:color w:val="auto"/>
              </w:rPr>
            </w:pPr>
            <w:r>
              <w:rPr>
                <w:rFonts w:ascii="Arial" w:cs="Arial" w:eastAsia="Arial" w:hAnsi="Arial"/>
                <w:sz w:val="18"/>
                <w:szCs w:val="18"/>
                <w:color w:val="auto"/>
                <w:w w:val="92"/>
              </w:rPr>
              <w:t>Third Amendment to The Scotts Company LLC Executive Retirement Plan, as Amended and Restated</w:t>
            </w:r>
          </w:p>
        </w:tc>
      </w:tr>
      <w:tr>
        <w:trPr>
          <w:trHeight w:val="230"/>
        </w:trPr>
        <w:tc>
          <w:tcPr>
            <w:tcW w:w="1000" w:type="dxa"/>
            <w:vAlign w:val="bottom"/>
          </w:tcPr>
          <w:p>
            <w:pPr>
              <w:spacing w:after="0"/>
              <w:rPr>
                <w:sz w:val="20"/>
                <w:szCs w:val="20"/>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as of January 1, 2011 (effective as of January 1, 2013)</w:t>
            </w: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7780" w:type="dxa"/>
            <w:vAlign w:val="bottom"/>
          </w:tcPr>
          <w:p>
            <w:pPr>
              <w:ind w:left="260"/>
              <w:spacing w:after="0"/>
              <w:rPr>
                <w:sz w:val="20"/>
                <w:szCs w:val="20"/>
                <w:color w:val="auto"/>
              </w:rPr>
            </w:pPr>
            <w:r>
              <w:rPr>
                <w:rFonts w:ascii="Arial" w:cs="Arial" w:eastAsia="Arial" w:hAnsi="Arial"/>
                <w:sz w:val="18"/>
                <w:szCs w:val="18"/>
                <w:color w:val="auto"/>
              </w:rPr>
              <w:t>Rule 13a-14(a)/15d-14(a) Certifications (Principal Executive Officer)</w:t>
            </w: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7780" w:type="dxa"/>
            <w:vAlign w:val="bottom"/>
          </w:tcPr>
          <w:p>
            <w:pPr>
              <w:ind w:left="260"/>
              <w:spacing w:after="0"/>
              <w:rPr>
                <w:sz w:val="20"/>
                <w:szCs w:val="20"/>
                <w:color w:val="auto"/>
              </w:rPr>
            </w:pPr>
            <w:r>
              <w:rPr>
                <w:rFonts w:ascii="Arial" w:cs="Arial" w:eastAsia="Arial" w:hAnsi="Arial"/>
                <w:sz w:val="18"/>
                <w:szCs w:val="18"/>
                <w:color w:val="auto"/>
              </w:rPr>
              <w:t>Rule 13a-14(a)/15d-14(a) Certifications (Principal Financial Officer)</w:t>
            </w: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7780" w:type="dxa"/>
            <w:vAlign w:val="bottom"/>
          </w:tcPr>
          <w:p>
            <w:pPr>
              <w:ind w:left="26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77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778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77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77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77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77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91" w:lineRule="exact"/>
        <w:rPr>
          <w:sz w:val="20"/>
          <w:szCs w:val="20"/>
          <w:color w:val="auto"/>
        </w:rPr>
      </w:pPr>
    </w:p>
    <w:p>
      <w:pPr>
        <w:ind w:left="680" w:hanging="64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Incorporated herein by reference to the Registrant's Current Report on Form 8-K filed January 24, 2013 (File No. 1-11593) [Exhibit 10.1]</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821" w:lineRule="exact"/>
        <w:rPr>
          <w:sz w:val="20"/>
          <w:szCs w:val="20"/>
          <w:color w:val="auto"/>
        </w:rPr>
      </w:pPr>
    </w:p>
    <w:p>
      <w:pPr>
        <w:sectPr>
          <w:pgSz w:w="11900" w:h="16838" w:orient="portrait"/>
          <w:cols w:equalWidth="0" w:num="2">
            <w:col w:w="8900" w:space="160"/>
            <w:col w:w="2300"/>
          </w:cols>
          <w:pgMar w:left="240" w:top="584" w:right="299" w:bottom="1440" w:gutter="0" w:footer="0" w:header="0"/>
        </w:sectPr>
      </w:pP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60"/>
          </w:cols>
          <w:pgMar w:left="240" w:top="584" w:right="29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10.2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Deferral of 2013 Cash Retainer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CREDITED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w:t>
      </w:r>
    </w:p>
    <w:p>
      <w:pPr>
        <w:spacing w:after="0" w:line="24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Scotts Miracle-Gro Company (“Company”) believes that its business interests are best served by ensuring that you have an opportunity to share in the Company’s business success. To this end, the Company adopted The Scotts Miracle-Gro Company Long-Term Incentive Plan as Amended and Restated January 17, 2013 (“the Plan”) through which members of its Board of Directors, like you, may acquire (or share in the appreciation of) common shares, without par value, of the Company (“Shares”). Capitalized terms that are not defined in this Deferred Stock Unit Award Agreement (“Award Agreement”) have the same meanings as in the Plan.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Award Agreement describes the deferred stock units (“DSUs”) which you will be credited with upon conversion of quarterly installments of the annual cash retainer payable to you by the Company and the terms and conditions of your DSUs. To ensure you fully understand these terms and conditions, you should:</w:t>
      </w:r>
    </w:p>
    <w:p>
      <w:pPr>
        <w:spacing w:after="0" w:line="226"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Read the Plan and this Award Agreement carefully; and</w:t>
      </w:r>
    </w:p>
    <w:p>
      <w:pPr>
        <w:spacing w:after="0" w:line="254" w:lineRule="exact"/>
        <w:rPr>
          <w:rFonts w:ascii="Arial" w:cs="Arial" w:eastAsia="Arial" w:hAnsi="Arial"/>
          <w:sz w:val="22"/>
          <w:szCs w:val="22"/>
          <w:color w:val="auto"/>
        </w:rPr>
      </w:pPr>
    </w:p>
    <w:p>
      <w:pPr>
        <w:ind w:left="340" w:hanging="8"/>
        <w:spacing w:after="0" w:line="269" w:lineRule="auto"/>
        <w:tabs>
          <w:tab w:leader="none" w:pos="628"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Contact [</w:t>
      </w:r>
      <w:r>
        <w:rPr>
          <w:rFonts w:ascii="Arial" w:cs="Arial" w:eastAsia="Arial" w:hAnsi="Arial"/>
          <w:sz w:val="22"/>
          <w:szCs w:val="22"/>
          <w:b w:val="1"/>
          <w:bCs w:val="1"/>
          <w:color w:val="auto"/>
        </w:rPr>
        <w:t>Title</w:t>
      </w:r>
      <w:r>
        <w:rPr>
          <w:rFonts w:ascii="Arial" w:cs="Arial" w:eastAsia="Arial" w:hAnsi="Arial"/>
          <w:sz w:val="22"/>
          <w:szCs w:val="22"/>
          <w:color w:val="auto"/>
        </w:rPr>
        <w:t>], at [</w:t>
      </w:r>
      <w:r>
        <w:rPr>
          <w:rFonts w:ascii="Arial" w:cs="Arial" w:eastAsia="Arial" w:hAnsi="Arial"/>
          <w:sz w:val="22"/>
          <w:szCs w:val="22"/>
          <w:b w:val="1"/>
          <w:bCs w:val="1"/>
          <w:color w:val="auto"/>
        </w:rPr>
        <w:t>Telephone Number</w:t>
      </w:r>
      <w:r>
        <w:rPr>
          <w:rFonts w:ascii="Arial" w:cs="Arial" w:eastAsia="Arial" w:hAnsi="Arial"/>
          <w:sz w:val="22"/>
          <w:szCs w:val="22"/>
          <w:color w:val="auto"/>
        </w:rPr>
        <w:t>] if you have any questions about your Award. Or, you may send a written inquiry to the address shown below:</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Scotts Miracle-Gro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Title</w:t>
      </w:r>
      <w:r>
        <w:rPr>
          <w:rFonts w:ascii="Arial" w:cs="Arial" w:eastAsia="Arial" w:hAnsi="Arial"/>
          <w:sz w:val="22"/>
          <w:szCs w:val="22"/>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14111 Scottslawn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Marysville, Ohio 43041</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Also, no later than </w:t>
      </w:r>
      <w:r>
        <w:rPr>
          <w:rFonts w:ascii="Arial" w:cs="Arial" w:eastAsia="Arial" w:hAnsi="Arial"/>
          <w:sz w:val="22"/>
          <w:szCs w:val="22"/>
          <w:b w:val="1"/>
          <w:bCs w:val="1"/>
          <w:color w:val="auto"/>
        </w:rPr>
        <w:t>[Insert Date</w:t>
      </w:r>
      <w:r>
        <w:rPr>
          <w:rFonts w:ascii="Arial" w:cs="Arial" w:eastAsia="Arial" w:hAnsi="Arial"/>
          <w:sz w:val="22"/>
          <w:szCs w:val="22"/>
          <w:color w:val="auto"/>
        </w:rPr>
        <w:t>], you must return a signed copy of this Award Agreement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intends that the DSUs credited under this Award Agreement satisfy the requirements of Section 409A of the Code and that this Award Agreement be so administered and construed. You agree that the Company may modify this Award Agreement, without any further consideration, to</w:t>
      </w:r>
    </w:p>
    <w:p>
      <w:pPr>
        <w:sectPr>
          <w:pgSz w:w="11900" w:h="16838" w:orient="portrait"/>
          <w:cols w:equalWidth="0" w:num="1">
            <w:col w:w="11420"/>
          </w:cols>
          <w:pgMar w:left="240" w:top="126"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fulfill this intent, even if those modifications change the terms of your DSUs and reduce their value or potential value.</w:t>
      </w:r>
    </w:p>
    <w:p>
      <w:pPr>
        <w:spacing w:after="0" w:line="25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DESCRIPTION OF YOUR DEFERRED STOCK UNITS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You have elected to convert </w:t>
      </w:r>
      <w:r>
        <w:rPr>
          <w:rFonts w:ascii="Arial" w:cs="Arial" w:eastAsia="Arial" w:hAnsi="Arial"/>
          <w:sz w:val="22"/>
          <w:szCs w:val="22"/>
          <w:b w:val="1"/>
          <w:bCs w:val="1"/>
          <w:color w:val="auto"/>
        </w:rPr>
        <w:t>[$dollar amount]</w:t>
      </w:r>
      <w:r>
        <w:rPr>
          <w:rFonts w:ascii="Arial" w:cs="Arial" w:eastAsia="Arial" w:hAnsi="Arial"/>
          <w:sz w:val="22"/>
          <w:szCs w:val="22"/>
          <w:color w:val="auto"/>
        </w:rPr>
        <w:t xml:space="preserve"> of each quarterly installment of the annual cash retainer paid to you by the Company (“Amount Deferred”) into DSUs, subject to the terms and conditions of the Plan and this Award Agreement. As of each date on which the Amount Deferred would otherwise be paid (each a “Conversion Date”), you will be credited with a number of DSUs and an equal number of related dividend equivalents, determined by dividing the Amount Deferred by the Fair Market Value of a Share. The number of DSUs credited to you each quarter will be reflected on </w:t>
      </w:r>
      <w:r>
        <w:rPr>
          <w:rFonts w:ascii="Arial" w:cs="Arial" w:eastAsia="Arial" w:hAnsi="Arial"/>
          <w:sz w:val="22"/>
          <w:szCs w:val="22"/>
          <w:u w:val="single" w:color="auto"/>
          <w:color w:val="auto"/>
        </w:rPr>
        <w:t>Schedule A</w:t>
      </w:r>
      <w:r>
        <w:rPr>
          <w:rFonts w:ascii="Arial" w:cs="Arial" w:eastAsia="Arial" w:hAnsi="Arial"/>
          <w:sz w:val="22"/>
          <w:szCs w:val="22"/>
          <w:color w:val="auto"/>
        </w:rPr>
        <w:t>, as updated by the Company after each Conversion Date during 2013.</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Each whole DSU represents the right to receive one full Share at the time and in the manner described in this Award Agreement. Each dividend equivalent represents the right to receive additional DSUs (determined in accordance with Section 3(c)) in respect of the dividends that are declared and paid during the period beginning on the relevant Conversion Date and ending on the Settlement Date (as described in Section 2(b)) with respect to the Shares represented by the related DSU.</w:t>
      </w:r>
    </w:p>
    <w:p>
      <w:pPr>
        <w:spacing w:after="0" w:line="137"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04"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Your DSUs (and any related dividend equivalents received pursuant to Section 3(c) following the Conversion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will be 100% vested on the date they are credited to you.</w:t>
      </w:r>
    </w:p>
    <w:p>
      <w:pPr>
        <w:spacing w:after="0" w:line="162" w:lineRule="exact"/>
        <w:rPr>
          <w:rFonts w:ascii="Arial" w:cs="Arial" w:eastAsia="Arial" w:hAnsi="Arial"/>
          <w:sz w:val="22"/>
          <w:szCs w:val="22"/>
          <w:color w:val="auto"/>
        </w:rPr>
      </w:pPr>
    </w:p>
    <w:p>
      <w:pPr>
        <w:jc w:val="both"/>
        <w:ind w:firstLine="656"/>
        <w:spacing w:after="0" w:line="249" w:lineRule="auto"/>
        <w:tabs>
          <w:tab w:leader="none" w:pos="1319"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Settlement</w:t>
      </w:r>
      <w:r>
        <w:rPr>
          <w:rFonts w:ascii="Arial" w:cs="Arial" w:eastAsia="Arial" w:hAnsi="Arial"/>
          <w:sz w:val="22"/>
          <w:szCs w:val="22"/>
          <w:color w:val="auto"/>
        </w:rPr>
        <w:t>. Subject to the terms of the Plan, your vested DSUs shall be settled in a lump sum as soon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administratively practicable, but no later than 90 days, following the earliest to occur of: (i) your Termination (as defined below); (ii) your death; (iii) the date you become Disabled (as defined below); or (iv) </w:t>
      </w:r>
      <w:r>
        <w:rPr>
          <w:rFonts w:ascii="Arial" w:cs="Arial" w:eastAsia="Arial" w:hAnsi="Arial"/>
          <w:sz w:val="22"/>
          <w:szCs w:val="22"/>
          <w:b w:val="1"/>
          <w:bCs w:val="1"/>
          <w:color w:val="auto"/>
        </w:rPr>
        <w:t>January 31, 2016</w:t>
      </w:r>
      <w:r>
        <w:rPr>
          <w:rFonts w:ascii="Arial" w:cs="Arial" w:eastAsia="Arial" w:hAnsi="Arial"/>
          <w:sz w:val="22"/>
          <w:szCs w:val="22"/>
          <w:color w:val="auto"/>
        </w:rPr>
        <w:t xml:space="preserve"> (the “Settlement Date”). Your whole DSUs shall be settled in full Shares, and any fractional DSU shall be settled in cash, determined based upon the Fair Market Value of a Share on the Settlement Date.</w:t>
      </w:r>
    </w:p>
    <w:p>
      <w:pPr>
        <w:spacing w:after="0" w:line="186" w:lineRule="exact"/>
        <w:rPr>
          <w:rFonts w:ascii="Arial" w:cs="Arial" w:eastAsia="Arial" w:hAnsi="Arial"/>
          <w:sz w:val="22"/>
          <w:szCs w:val="22"/>
          <w:color w:val="auto"/>
        </w:rPr>
      </w:pPr>
    </w:p>
    <w:p>
      <w:pPr>
        <w:ind w:left="1120" w:hanging="464"/>
        <w:spacing w:after="0"/>
        <w:tabs>
          <w:tab w:leader="none" w:pos="1120"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Award Agreement:</w:t>
      </w:r>
    </w:p>
    <w:p>
      <w:pPr>
        <w:spacing w:after="0" w:line="225" w:lineRule="exact"/>
        <w:rPr>
          <w:rFonts w:ascii="Arial" w:cs="Arial" w:eastAsia="Arial" w:hAnsi="Arial"/>
          <w:sz w:val="22"/>
          <w:szCs w:val="22"/>
          <w:color w:val="auto"/>
        </w:rPr>
      </w:pPr>
    </w:p>
    <w:p>
      <w:pPr>
        <w:ind w:left="1720" w:hanging="415"/>
        <w:spacing w:after="0"/>
        <w:tabs>
          <w:tab w:leader="none" w:pos="1720" w:val="left"/>
        </w:tabs>
        <w:numPr>
          <w:ilvl w:val="2"/>
          <w:numId w:val="13"/>
        </w:numPr>
        <w:rPr>
          <w:rFonts w:ascii="Arial" w:cs="Arial" w:eastAsia="Arial" w:hAnsi="Arial"/>
          <w:sz w:val="19"/>
          <w:szCs w:val="19"/>
          <w:color w:val="auto"/>
        </w:rPr>
      </w:pPr>
      <w:r>
        <w:rPr>
          <w:rFonts w:ascii="Arial" w:cs="Arial" w:eastAsia="Arial" w:hAnsi="Arial"/>
          <w:sz w:val="19"/>
          <w:szCs w:val="19"/>
          <w:color w:val="auto"/>
        </w:rPr>
        <w:t>“Disabled” means that you have been determined to be totally disabled by the Social Security Administration.</w:t>
      </w:r>
    </w:p>
    <w:p>
      <w:pPr>
        <w:spacing w:after="0" w:line="254" w:lineRule="exact"/>
        <w:rPr>
          <w:rFonts w:ascii="Arial" w:cs="Arial" w:eastAsia="Arial" w:hAnsi="Arial"/>
          <w:sz w:val="19"/>
          <w:szCs w:val="19"/>
          <w:color w:val="auto"/>
        </w:rPr>
      </w:pPr>
    </w:p>
    <w:p>
      <w:pPr>
        <w:ind w:left="660" w:firstLine="645"/>
        <w:spacing w:after="0" w:line="263" w:lineRule="auto"/>
        <w:tabs>
          <w:tab w:leader="none" w:pos="1848" w:val="left"/>
        </w:tabs>
        <w:numPr>
          <w:ilvl w:val="2"/>
          <w:numId w:val="13"/>
        </w:numPr>
        <w:rPr>
          <w:rFonts w:ascii="Arial" w:cs="Arial" w:eastAsia="Arial" w:hAnsi="Arial"/>
          <w:sz w:val="22"/>
          <w:szCs w:val="22"/>
          <w:color w:val="auto"/>
        </w:rPr>
      </w:pPr>
      <w:r>
        <w:rPr>
          <w:rFonts w:ascii="Arial" w:cs="Arial" w:eastAsia="Arial" w:hAnsi="Arial"/>
          <w:sz w:val="22"/>
          <w:szCs w:val="22"/>
          <w:color w:val="auto"/>
        </w:rPr>
        <w:t>“Termination” (or any form thereof) means your “separation from service” from the Company, as defined in Section 409A of the Code.</w:t>
      </w:r>
    </w:p>
    <w:p>
      <w:pPr>
        <w:spacing w:after="0" w:line="209" w:lineRule="exact"/>
        <w:rPr>
          <w:rFonts w:ascii="Arial" w:cs="Arial" w:eastAsia="Arial" w:hAnsi="Arial"/>
          <w:sz w:val="22"/>
          <w:szCs w:val="22"/>
          <w:color w:val="auto"/>
        </w:rPr>
      </w:pPr>
    </w:p>
    <w:p>
      <w:pPr>
        <w:ind w:left="380" w:hanging="372"/>
        <w:spacing w:after="0"/>
        <w:tabs>
          <w:tab w:leader="none" w:pos="3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GENERAL TERMS AND CONDITIONS</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18"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or the Plan at any time.</w:t>
      </w:r>
    </w:p>
    <w:p>
      <w:pPr>
        <w:spacing w:after="0" w:line="162" w:lineRule="exact"/>
        <w:rPr>
          <w:rFonts w:ascii="Arial" w:cs="Arial" w:eastAsia="Arial" w:hAnsi="Arial"/>
          <w:sz w:val="22"/>
          <w:szCs w:val="22"/>
          <w:color w:val="auto"/>
        </w:rPr>
      </w:pPr>
    </w:p>
    <w:p>
      <w:pPr>
        <w:ind w:right="20" w:firstLine="656"/>
        <w:spacing w:after="0" w:line="269" w:lineRule="auto"/>
        <w:tabs>
          <w:tab w:leader="none" w:pos="1116"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RIGHTS BEFORE YOUR DSUs ARE SETTLED. </w:t>
      </w:r>
      <w:r>
        <w:rPr>
          <w:rFonts w:ascii="Arial" w:cs="Arial" w:eastAsia="Arial" w:hAnsi="Arial"/>
          <w:sz w:val="22"/>
          <w:szCs w:val="22"/>
          <w:color w:val="auto"/>
        </w:rPr>
        <w:t>Except as provided in Section 3(c) below, you will have none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of a shareholder with respect to Shares underlying the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DSUs credited to you under this Award Agreement unless and until you become the record holder of such Shares.</w:t>
      </w:r>
    </w:p>
    <w:p>
      <w:pPr>
        <w:spacing w:after="0" w:line="214" w:lineRule="exact"/>
        <w:rPr>
          <w:sz w:val="20"/>
          <w:szCs w:val="20"/>
          <w:color w:val="auto"/>
        </w:rPr>
      </w:pPr>
    </w:p>
    <w:p>
      <w:pPr>
        <w:ind w:left="1120" w:hanging="464"/>
        <w:spacing w:after="0"/>
        <w:tabs>
          <w:tab w:leader="none" w:pos="112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color w:val="auto"/>
        </w:rPr>
      </w:pPr>
    </w:p>
    <w:p>
      <w:pPr>
        <w:ind w:left="660" w:firstLine="645"/>
        <w:spacing w:after="0" w:line="263" w:lineRule="auto"/>
        <w:tabs>
          <w:tab w:leader="none" w:pos="1796" w:val="left"/>
        </w:tabs>
        <w:numPr>
          <w:ilvl w:val="1"/>
          <w:numId w:val="14"/>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credited to you under this Award Agreement, you will receive an additional number of DSUs equal to the quotient of:</w:t>
      </w:r>
    </w:p>
    <w:p>
      <w:pPr>
        <w:spacing w:after="0" w:line="174" w:lineRule="exact"/>
        <w:rPr>
          <w:rFonts w:ascii="Arial" w:cs="Arial" w:eastAsia="Arial" w:hAnsi="Arial"/>
          <w:sz w:val="22"/>
          <w:szCs w:val="22"/>
          <w:color w:val="auto"/>
        </w:rPr>
      </w:pPr>
    </w:p>
    <w:p>
      <w:pPr>
        <w:jc w:val="both"/>
        <w:ind w:left="1300" w:firstLine="653"/>
        <w:spacing w:after="0" w:line="253" w:lineRule="auto"/>
        <w:tabs>
          <w:tab w:leader="none" w:pos="2479" w:val="left"/>
        </w:tabs>
        <w:numPr>
          <w:ilvl w:val="2"/>
          <w:numId w:val="14"/>
        </w:numPr>
        <w:rPr>
          <w:rFonts w:ascii="Arial" w:cs="Arial" w:eastAsia="Arial" w:hAnsi="Arial"/>
          <w:sz w:val="22"/>
          <w:szCs w:val="22"/>
          <w:color w:val="auto"/>
        </w:rPr>
      </w:pPr>
      <w:r>
        <w:rPr>
          <w:rFonts w:ascii="Arial" w:cs="Arial" w:eastAsia="Arial" w:hAnsi="Arial"/>
          <w:sz w:val="22"/>
          <w:szCs w:val="22"/>
          <w:color w:val="auto"/>
        </w:rPr>
        <w:t>the product of (I) such number of DSUs (including additional DSUs previously received in accordance with this Section 3(c)) that have not been settled as of the dividend payment date, multiplied by (II) the amount of the cash dividend paid per Share; divided by</w:t>
      </w:r>
    </w:p>
    <w:p>
      <w:pPr>
        <w:spacing w:after="0" w:line="185" w:lineRule="exact"/>
        <w:rPr>
          <w:rFonts w:ascii="Arial" w:cs="Arial" w:eastAsia="Arial" w:hAnsi="Arial"/>
          <w:sz w:val="22"/>
          <w:szCs w:val="22"/>
          <w:color w:val="auto"/>
        </w:rPr>
      </w:pPr>
    </w:p>
    <w:p>
      <w:pPr>
        <w:ind w:left="1300" w:firstLine="653"/>
        <w:spacing w:after="0" w:line="263" w:lineRule="auto"/>
        <w:tabs>
          <w:tab w:leader="none" w:pos="2553" w:val="left"/>
        </w:tabs>
        <w:numPr>
          <w:ilvl w:val="2"/>
          <w:numId w:val="14"/>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Any additional DSUs credited pursuant to this Section 3(c)(i) shall be subject to the same terms and conditions as the DSUs credited to you pursuant to Section 1 above.</w:t>
      </w:r>
    </w:p>
    <w:p>
      <w:pPr>
        <w:spacing w:after="0" w:line="175" w:lineRule="exact"/>
        <w:rPr>
          <w:sz w:val="20"/>
          <w:szCs w:val="20"/>
          <w:color w:val="auto"/>
        </w:rPr>
      </w:pPr>
    </w:p>
    <w:p>
      <w:pPr>
        <w:jc w:val="both"/>
        <w:ind w:left="660" w:firstLine="645"/>
        <w:spacing w:after="0" w:line="297" w:lineRule="auto"/>
        <w:tabs>
          <w:tab w:leader="none" w:pos="1945" w:val="left"/>
        </w:tabs>
        <w:numPr>
          <w:ilvl w:val="1"/>
          <w:numId w:val="15"/>
        </w:numPr>
        <w:rPr>
          <w:rFonts w:ascii="Arial" w:cs="Arial" w:eastAsia="Arial" w:hAnsi="Arial"/>
          <w:sz w:val="19"/>
          <w:szCs w:val="19"/>
          <w:color w:val="auto"/>
        </w:rPr>
      </w:pPr>
      <w:r>
        <w:rPr>
          <w:rFonts w:ascii="Arial" w:cs="Arial" w:eastAsia="Arial" w:hAnsi="Arial"/>
          <w:sz w:val="19"/>
          <w:szCs w:val="19"/>
          <w:color w:val="auto"/>
        </w:rPr>
        <w:t>If a Share dividend is declared and paid on the Shares underlying the DSUs credited under this Award Agreement, you will receive an additional number of DSUs equal to the product of (A) such number of DSUs (including additional DSUs previously received in accordance with this Section 3(c)) that have not been settled as of the dividend payment date, multiplied by (B) the dividend paid per Share. Any additional DSUs credited pursuant to this Section 3(c)(ii) shall be subject to the same terms and conditions as the DSUs credited pursuant to Section 1 above.</w:t>
      </w:r>
    </w:p>
    <w:p>
      <w:pPr>
        <w:spacing w:after="0" w:line="147" w:lineRule="exact"/>
        <w:rPr>
          <w:rFonts w:ascii="Arial" w:cs="Arial" w:eastAsia="Arial" w:hAnsi="Arial"/>
          <w:sz w:val="19"/>
          <w:szCs w:val="19"/>
          <w:color w:val="auto"/>
        </w:rPr>
      </w:pPr>
    </w:p>
    <w:p>
      <w:pPr>
        <w:ind w:left="660" w:firstLine="645"/>
        <w:spacing w:after="0" w:line="263" w:lineRule="auto"/>
        <w:tabs>
          <w:tab w:leader="none" w:pos="1852" w:val="left"/>
        </w:tabs>
        <w:numPr>
          <w:ilvl w:val="1"/>
          <w:numId w:val="15"/>
        </w:numPr>
        <w:rPr>
          <w:rFonts w:ascii="Arial" w:cs="Arial" w:eastAsia="Arial" w:hAnsi="Arial"/>
          <w:sz w:val="22"/>
          <w:szCs w:val="22"/>
          <w:color w:val="auto"/>
        </w:rPr>
      </w:pPr>
      <w:r>
        <w:rPr>
          <w:rFonts w:ascii="Arial" w:cs="Arial" w:eastAsia="Arial" w:hAnsi="Arial"/>
          <w:sz w:val="22"/>
          <w:szCs w:val="22"/>
          <w:color w:val="auto"/>
        </w:rPr>
        <w:t>Any fractional number of DSUs resulting from the calculations under this Section 3(c) shall be rounded to the nearest whole Share.</w:t>
      </w:r>
    </w:p>
    <w:p>
      <w:pPr>
        <w:spacing w:after="0" w:line="168" w:lineRule="exact"/>
        <w:rPr>
          <w:rFonts w:ascii="Arial" w:cs="Arial" w:eastAsia="Arial" w:hAnsi="Arial"/>
          <w:sz w:val="22"/>
          <w:szCs w:val="22"/>
          <w:color w:val="auto"/>
        </w:rPr>
      </w:pPr>
    </w:p>
    <w:p>
      <w:pPr>
        <w:jc w:val="both"/>
        <w:ind w:firstLine="656"/>
        <w:spacing w:after="0" w:line="248" w:lineRule="auto"/>
        <w:tabs>
          <w:tab w:leader="none" w:pos="1197"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that are settled after you die. This may be done only on a Beneficiary Designation Form and by following the rules described in that Form. The Beneficiary Designation Form does not need to be completed now and is not required as a condition of receiving DSUs upon conversion of the Amount Deferred.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104"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TRANSFERRING YOUR DSUs AND RELATED DIVIDEND EQUIVALENTS. </w:t>
      </w:r>
      <w:r>
        <w:rPr>
          <w:rFonts w:ascii="Arial" w:cs="Arial" w:eastAsia="Arial" w:hAnsi="Arial"/>
          <w:sz w:val="22"/>
          <w:szCs w:val="22"/>
          <w:color w:val="auto"/>
        </w:rPr>
        <w:t>Normally your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may not be transferred to another person. However, as described in Section 3(d), you may complete a Beneficiary Designation Form to name the person to receive any DSUs and related dividend equivalents that are settled after you die. Also, the Committee may allow you to place your DSUs and dividend equivalents into a trust established for your benefit or the benefit of your family. Contact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at [</w:t>
      </w:r>
      <w:r>
        <w:rPr>
          <w:rFonts w:ascii="Arial" w:cs="Arial" w:eastAsia="Arial" w:hAnsi="Arial"/>
          <w:sz w:val="22"/>
          <w:szCs w:val="22"/>
          <w:b w:val="1"/>
          <w:bCs w:val="1"/>
          <w:color w:val="auto"/>
        </w:rPr>
        <w:t>TPA Telephone Number</w:t>
      </w:r>
      <w:r>
        <w:rPr>
          <w:rFonts w:ascii="Arial" w:cs="Arial" w:eastAsia="Arial" w:hAnsi="Arial"/>
          <w:sz w:val="22"/>
          <w:szCs w:val="22"/>
          <w:color w:val="auto"/>
        </w:rPr>
        <w:t>] or at the address given above if you are interested in doing this.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45" w:name="page46"/>
    <w:bookmarkEnd w:id="45"/>
    <w:p>
      <w:pPr>
        <w:jc w:val="both"/>
        <w:ind w:firstLine="656"/>
        <w:spacing w:after="0" w:line="256" w:lineRule="auto"/>
        <w:tabs>
          <w:tab w:leader="none" w:pos="1188"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w:t>
      </w:r>
      <w:r>
        <w:rPr>
          <w:rFonts w:ascii="Arial" w:cs="Arial" w:eastAsia="Arial" w:hAnsi="Arial"/>
          <w:sz w:val="22"/>
          <w:szCs w:val="22"/>
          <w:b w:val="1"/>
          <w:bCs w:val="1"/>
          <w:color w:val="auto"/>
        </w:rPr>
        <w:t xml:space="preserve"> </w:t>
      </w:r>
      <w:r>
        <w:rPr>
          <w:rFonts w:ascii="Arial" w:cs="Arial" w:eastAsia="Arial" w:hAnsi="Arial"/>
          <w:sz w:val="22"/>
          <w:szCs w:val="22"/>
          <w:color w:val="auto"/>
        </w:rPr>
        <w:t>conflicts or 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color w:val="auto"/>
        </w:rPr>
      </w:pPr>
    </w:p>
    <w:p>
      <w:pPr>
        <w:jc w:val="both"/>
        <w:ind w:firstLine="656"/>
        <w:spacing w:after="0" w:line="256" w:lineRule="auto"/>
        <w:tabs>
          <w:tab w:leader="none" w:pos="1143"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OTHER AGREEMENTS. </w:t>
      </w:r>
      <w:r>
        <w:rPr>
          <w:rFonts w:ascii="Arial" w:cs="Arial" w:eastAsia="Arial" w:hAnsi="Arial"/>
          <w:sz w:val="22"/>
          <w:szCs w:val="22"/>
          <w:color w:val="auto"/>
        </w:rPr>
        <w:t>Your DSUs and the related dividend equivalents will be subject to the terms of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agreements between you and the Company or any Affiliate or Subsidiary to the extent that those other agreements do not directly conflict with the terms of the Plan or this Award Agreement.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319"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will 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122"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OTHER RULES. </w:t>
      </w:r>
      <w:r>
        <w:rPr>
          <w:rFonts w:ascii="Arial" w:cs="Arial" w:eastAsia="Arial" w:hAnsi="Arial"/>
          <w:sz w:val="22"/>
          <w:szCs w:val="22"/>
          <w:color w:val="auto"/>
        </w:rPr>
        <w:t>Your DSUs and dividend equivalents are subject to more rules described in the Plan. You should</w:t>
      </w:r>
      <w:r>
        <w:rPr>
          <w:rFonts w:ascii="Arial" w:cs="Arial" w:eastAsia="Arial" w:hAnsi="Arial"/>
          <w:sz w:val="22"/>
          <w:szCs w:val="22"/>
          <w:b w:val="1"/>
          <w:bCs w:val="1"/>
          <w:color w:val="auto"/>
        </w:rPr>
        <w:t xml:space="preserve"> </w:t>
      </w:r>
      <w:r>
        <w:rPr>
          <w:rFonts w:ascii="Arial" w:cs="Arial" w:eastAsia="Arial" w:hAnsi="Arial"/>
          <w:sz w:val="22"/>
          <w:szCs w:val="22"/>
          <w:color w:val="auto"/>
        </w:rPr>
        <w:t>read the Plan carefully to ensure you fully understand all the terms and conditions of the crediting of DSUs and the related dividend equivalents under this Award Agreement.</w:t>
      </w:r>
    </w:p>
    <w:p>
      <w:pPr>
        <w:spacing w:after="0" w:line="217" w:lineRule="exact"/>
        <w:rPr>
          <w:sz w:val="20"/>
          <w:szCs w:val="20"/>
          <w:color w:val="auto"/>
        </w:rPr>
      </w:pPr>
    </w:p>
    <w:p>
      <w:pPr>
        <w:ind w:right="5420"/>
        <w:spacing w:after="0" w:line="451" w:lineRule="auto"/>
        <w:rPr>
          <w:sz w:val="20"/>
          <w:szCs w:val="20"/>
          <w:color w:val="auto"/>
        </w:rPr>
      </w:pPr>
      <w:r>
        <w:rPr>
          <w:rFonts w:ascii="Arial" w:cs="Arial" w:eastAsia="Arial" w:hAnsi="Arial"/>
          <w:sz w:val="22"/>
          <w:szCs w:val="22"/>
          <w:b w:val="1"/>
          <w:bCs w:val="1"/>
          <w:color w:val="auto"/>
        </w:rPr>
        <w:t xml:space="preserve">4. YOUR ACKNOWLEDGMENT OF AWARD CONDITIONS </w:t>
      </w:r>
      <w:r>
        <w:rPr>
          <w:rFonts w:ascii="Arial" w:cs="Arial" w:eastAsia="Arial" w:hAnsi="Arial"/>
          <w:sz w:val="22"/>
          <w:szCs w:val="22"/>
          <w:color w:val="auto"/>
        </w:rPr>
        <w:t>By signing below, you acknowledge and agree that:</w:t>
      </w:r>
    </w:p>
    <w:p>
      <w:pPr>
        <w:spacing w:after="0" w:line="1" w:lineRule="exact"/>
        <w:rPr>
          <w:sz w:val="20"/>
          <w:szCs w:val="20"/>
          <w:color w:val="auto"/>
        </w:rPr>
      </w:pPr>
    </w:p>
    <w:p>
      <w:pPr>
        <w:ind w:left="1100" w:hanging="444"/>
        <w:spacing w:after="0"/>
        <w:tabs>
          <w:tab w:leader="none" w:pos="11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DSUs;</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192" w:val="left"/>
        </w:tabs>
        <w:numPr>
          <w:ilvl w:val="0"/>
          <w:numId w:val="18"/>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DSUs or this Award Agreement to comply with any law and to avoid paying penalties under Section 409A of the Code, even if those changes affect the terms of your DSUs and reduce their value or potential value; and</w:t>
      </w:r>
    </w:p>
    <w:p>
      <w:pPr>
        <w:spacing w:after="0" w:line="182" w:lineRule="exact"/>
        <w:rPr>
          <w:rFonts w:ascii="Arial" w:cs="Arial" w:eastAsia="Arial" w:hAnsi="Arial"/>
          <w:sz w:val="22"/>
          <w:szCs w:val="22"/>
          <w:color w:val="auto"/>
        </w:rPr>
      </w:pPr>
    </w:p>
    <w:p>
      <w:pPr>
        <w:jc w:val="both"/>
        <w:ind w:firstLine="656"/>
        <w:spacing w:after="0" w:line="256" w:lineRule="auto"/>
        <w:tabs>
          <w:tab w:leader="none" w:pos="1151" w:val="left"/>
        </w:tabs>
        <w:numPr>
          <w:ilvl w:val="0"/>
          <w:numId w:val="18"/>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w:t>
      </w:r>
      <w:r>
        <w:rPr>
          <w:rFonts w:ascii="Arial" w:cs="Arial" w:eastAsia="Arial" w:hAnsi="Arial"/>
          <w:sz w:val="22"/>
          <w:szCs w:val="22"/>
          <w:b w:val="1"/>
          <w:bCs w:val="1"/>
          <w:color w:val="auto"/>
        </w:rPr>
        <w:t>[Insert Date]</w:t>
      </w:r>
      <w:r>
        <w:rPr>
          <w:rFonts w:ascii="Arial" w:cs="Arial" w:eastAsia="Arial" w:hAnsi="Arial"/>
          <w:sz w:val="22"/>
          <w:szCs w:val="22"/>
          <w:color w:val="auto"/>
        </w:rPr>
        <w:t>. By signing below you acknowledge that the DSUs credited to you on each Conversion Date (as reflected on Schedule A for each Conversion Date) will be subject to the terms of the Plan and this Award Agreement.</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540" w:type="dxa"/>
            <w:vAlign w:val="bottom"/>
          </w:tcPr>
          <w:p>
            <w:pPr>
              <w:spacing w:after="0"/>
              <w:rPr>
                <w:sz w:val="20"/>
                <w:szCs w:val="20"/>
                <w:color w:val="auto"/>
              </w:rPr>
            </w:pPr>
            <w:r>
              <w:rPr>
                <w:rFonts w:ascii="Arial" w:cs="Arial" w:eastAsia="Arial" w:hAnsi="Arial"/>
                <w:sz w:val="22"/>
                <w:szCs w:val="22"/>
                <w:b w:val="1"/>
                <w:bCs w:val="1"/>
                <w:color w:val="auto"/>
              </w:rPr>
              <w:t>[Director’s Name]</w:t>
            </w:r>
          </w:p>
        </w:tc>
        <w:tc>
          <w:tcPr>
            <w:tcW w:w="4860" w:type="dxa"/>
            <w:vAlign w:val="bottom"/>
            <w:gridSpan w:val="3"/>
          </w:tcPr>
          <w:p>
            <w:pPr>
              <w:ind w:left="700"/>
              <w:spacing w:after="0"/>
              <w:rPr>
                <w:sz w:val="20"/>
                <w:szCs w:val="20"/>
                <w:color w:val="auto"/>
              </w:rPr>
            </w:pPr>
            <w:r>
              <w:rPr>
                <w:rFonts w:ascii="Arial" w:cs="Arial" w:eastAsia="Arial" w:hAnsi="Arial"/>
                <w:sz w:val="22"/>
                <w:szCs w:val="22"/>
                <w:color w:val="auto"/>
                <w:w w:val="99"/>
              </w:rPr>
              <w:t>THE SCOTTS MIRACLE-GRO COMPANY</w:t>
            </w:r>
          </w:p>
        </w:tc>
      </w:tr>
      <w:tr>
        <w:trPr>
          <w:trHeight w:val="455"/>
        </w:trPr>
        <w:tc>
          <w:tcPr>
            <w:tcW w:w="4540" w:type="dxa"/>
            <w:vAlign w:val="bottom"/>
          </w:tcPr>
          <w:p>
            <w:pPr>
              <w:spacing w:after="0"/>
              <w:rPr>
                <w:sz w:val="20"/>
                <w:szCs w:val="20"/>
                <w:color w:val="auto"/>
              </w:rPr>
            </w:pPr>
            <w:r>
              <w:rPr>
                <w:rFonts w:ascii="Arial" w:cs="Arial" w:eastAsia="Arial" w:hAnsi="Arial"/>
                <w:sz w:val="22"/>
                <w:szCs w:val="22"/>
                <w:color w:val="auto"/>
              </w:rPr>
              <w:t>By: ________________________________</w:t>
            </w:r>
          </w:p>
        </w:tc>
        <w:tc>
          <w:tcPr>
            <w:tcW w:w="4860" w:type="dxa"/>
            <w:vAlign w:val="bottom"/>
            <w:gridSpan w:val="3"/>
          </w:tcPr>
          <w:p>
            <w:pPr>
              <w:ind w:left="700"/>
              <w:spacing w:after="0"/>
              <w:rPr>
                <w:sz w:val="20"/>
                <w:szCs w:val="20"/>
                <w:color w:val="auto"/>
              </w:rPr>
            </w:pPr>
            <w:r>
              <w:rPr>
                <w:rFonts w:ascii="Arial" w:cs="Arial" w:eastAsia="Arial" w:hAnsi="Arial"/>
                <w:sz w:val="22"/>
                <w:szCs w:val="22"/>
                <w:color w:val="auto"/>
                <w:w w:val="88"/>
              </w:rPr>
              <w:t>By: ___________________________________</w:t>
            </w:r>
          </w:p>
        </w:tc>
      </w:tr>
      <w:tr>
        <w:trPr>
          <w:trHeight w:val="243"/>
        </w:trPr>
        <w:tc>
          <w:tcPr>
            <w:tcW w:w="4540" w:type="dxa"/>
            <w:vAlign w:val="bottom"/>
          </w:tcPr>
          <w:p>
            <w:pPr>
              <w:spacing w:after="0"/>
              <w:rPr>
                <w:sz w:val="21"/>
                <w:szCs w:val="21"/>
                <w:color w:val="auto"/>
              </w:rPr>
            </w:pPr>
          </w:p>
        </w:tc>
        <w:tc>
          <w:tcPr>
            <w:tcW w:w="4860" w:type="dxa"/>
            <w:vAlign w:val="bottom"/>
            <w:gridSpan w:val="3"/>
          </w:tcPr>
          <w:p>
            <w:pPr>
              <w:ind w:left="780"/>
              <w:spacing w:after="0" w:line="243" w:lineRule="exact"/>
              <w:rPr>
                <w:sz w:val="20"/>
                <w:szCs w:val="20"/>
                <w:color w:val="auto"/>
              </w:rPr>
            </w:pPr>
            <w:r>
              <w:rPr>
                <w:rFonts w:ascii="Arial" w:cs="Arial" w:eastAsia="Arial" w:hAnsi="Arial"/>
                <w:sz w:val="22"/>
                <w:szCs w:val="22"/>
                <w:color w:val="auto"/>
              </w:rPr>
              <w:t>[Name of Company Representative]</w:t>
            </w:r>
          </w:p>
        </w:tc>
      </w:tr>
      <w:tr>
        <w:trPr>
          <w:trHeight w:val="275"/>
        </w:trPr>
        <w:tc>
          <w:tcPr>
            <w:tcW w:w="4540" w:type="dxa"/>
            <w:vAlign w:val="bottom"/>
          </w:tcPr>
          <w:p>
            <w:pPr>
              <w:spacing w:after="0"/>
              <w:rPr>
                <w:sz w:val="23"/>
                <w:szCs w:val="23"/>
                <w:color w:val="auto"/>
              </w:rPr>
            </w:pPr>
          </w:p>
        </w:tc>
        <w:tc>
          <w:tcPr>
            <w:tcW w:w="4860" w:type="dxa"/>
            <w:vAlign w:val="bottom"/>
            <w:gridSpan w:val="3"/>
          </w:tcPr>
          <w:p>
            <w:pPr>
              <w:ind w:left="780"/>
              <w:spacing w:after="0"/>
              <w:rPr>
                <w:sz w:val="20"/>
                <w:szCs w:val="20"/>
                <w:color w:val="auto"/>
              </w:rPr>
            </w:pPr>
            <w:r>
              <w:rPr>
                <w:rFonts w:ascii="Arial" w:cs="Arial" w:eastAsia="Arial" w:hAnsi="Arial"/>
                <w:sz w:val="22"/>
                <w:szCs w:val="22"/>
                <w:color w:val="auto"/>
              </w:rPr>
              <w:t>[Title of Company Representative]</w:t>
            </w:r>
          </w:p>
        </w:tc>
      </w:tr>
      <w:tr>
        <w:trPr>
          <w:trHeight w:val="301"/>
        </w:trPr>
        <w:tc>
          <w:tcPr>
            <w:tcW w:w="4540" w:type="dxa"/>
            <w:vAlign w:val="bottom"/>
          </w:tcPr>
          <w:p>
            <w:pPr>
              <w:spacing w:after="0"/>
              <w:rPr>
                <w:sz w:val="20"/>
                <w:szCs w:val="20"/>
                <w:color w:val="auto"/>
              </w:rPr>
            </w:pPr>
            <w:r>
              <w:rPr>
                <w:rFonts w:ascii="Arial" w:cs="Arial" w:eastAsia="Arial" w:hAnsi="Arial"/>
                <w:sz w:val="22"/>
                <w:szCs w:val="22"/>
                <w:color w:val="auto"/>
              </w:rPr>
              <w:t>Date signed: _________________________</w:t>
            </w:r>
          </w:p>
        </w:tc>
        <w:tc>
          <w:tcPr>
            <w:tcW w:w="4860" w:type="dxa"/>
            <w:vAlign w:val="bottom"/>
            <w:gridSpan w:val="3"/>
          </w:tcPr>
          <w:p>
            <w:pPr>
              <w:ind w:left="780"/>
              <w:spacing w:after="0"/>
              <w:rPr>
                <w:sz w:val="20"/>
                <w:szCs w:val="20"/>
                <w:color w:val="auto"/>
              </w:rPr>
            </w:pPr>
            <w:r>
              <w:rPr>
                <w:rFonts w:ascii="Arial" w:cs="Arial" w:eastAsia="Arial" w:hAnsi="Arial"/>
                <w:sz w:val="22"/>
                <w:szCs w:val="22"/>
                <w:color w:val="auto"/>
                <w:w w:val="88"/>
              </w:rPr>
              <w:t>Date signed: ___________________________</w:t>
            </w:r>
          </w:p>
        </w:tc>
      </w:tr>
      <w:tr>
        <w:trPr>
          <w:trHeight w:val="20"/>
        </w:trPr>
        <w:tc>
          <w:tcPr>
            <w:tcW w:w="4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DEFERRED STOCK UNITS CREDITED TO</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[Director’s Name]</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 w:type="dxa"/>
            <w:vAlign w:val="bottom"/>
            <w:tcBorders>
              <w:top w:val="single" w:sz="8" w:color="00000A"/>
              <w:left w:val="single" w:sz="8" w:color="00000A"/>
            </w:tcBorders>
          </w:tcPr>
          <w:p>
            <w:pPr>
              <w:spacing w:after="0"/>
              <w:rPr>
                <w:sz w:val="21"/>
                <w:szCs w:val="21"/>
                <w:color w:val="auto"/>
              </w:rPr>
            </w:pPr>
          </w:p>
        </w:tc>
        <w:tc>
          <w:tcPr>
            <w:tcW w:w="2860" w:type="dxa"/>
            <w:vAlign w:val="bottom"/>
            <w:tcBorders>
              <w:top w:val="single" w:sz="8" w:color="00000A"/>
              <w:right w:val="single" w:sz="8" w:color="00000A"/>
            </w:tcBorders>
            <w:gridSpan w:val="7"/>
          </w:tcPr>
          <w:p>
            <w:pPr>
              <w:ind w:left="680"/>
              <w:spacing w:after="0" w:line="243" w:lineRule="exact"/>
              <w:rPr>
                <w:sz w:val="20"/>
                <w:szCs w:val="20"/>
                <w:color w:val="auto"/>
              </w:rPr>
            </w:pPr>
            <w:r>
              <w:rPr>
                <w:rFonts w:ascii="Arial" w:cs="Arial" w:eastAsia="Arial" w:hAnsi="Arial"/>
                <w:sz w:val="22"/>
                <w:szCs w:val="22"/>
                <w:color w:val="auto"/>
              </w:rPr>
              <w:t>Conversion Date</w:t>
            </w:r>
          </w:p>
        </w:tc>
        <w:tc>
          <w:tcPr>
            <w:tcW w:w="640" w:type="dxa"/>
            <w:vAlign w:val="bottom"/>
            <w:tcBorders>
              <w:top w:val="single" w:sz="8" w:color="00000A"/>
            </w:tcBorders>
          </w:tcPr>
          <w:p>
            <w:pPr>
              <w:spacing w:after="0"/>
              <w:rPr>
                <w:sz w:val="21"/>
                <w:szCs w:val="21"/>
                <w:color w:val="auto"/>
              </w:rPr>
            </w:pPr>
          </w:p>
        </w:tc>
        <w:tc>
          <w:tcPr>
            <w:tcW w:w="2200" w:type="dxa"/>
            <w:vAlign w:val="bottom"/>
            <w:tcBorders>
              <w:top w:val="single" w:sz="8" w:color="00000A"/>
              <w:right w:val="single" w:sz="8" w:color="00000A"/>
            </w:tcBorders>
            <w:gridSpan w:val="4"/>
          </w:tcPr>
          <w:p>
            <w:pPr>
              <w:jc w:val="center"/>
              <w:ind w:right="680"/>
              <w:spacing w:after="0" w:line="243" w:lineRule="exact"/>
              <w:rPr>
                <w:sz w:val="20"/>
                <w:szCs w:val="20"/>
                <w:color w:val="auto"/>
              </w:rPr>
            </w:pPr>
            <w:r>
              <w:rPr>
                <w:rFonts w:ascii="Arial" w:cs="Arial" w:eastAsia="Arial" w:hAnsi="Arial"/>
                <w:sz w:val="22"/>
                <w:szCs w:val="22"/>
                <w:color w:val="auto"/>
                <w:w w:val="90"/>
              </w:rPr>
              <w:t>Amount Deferred</w:t>
            </w:r>
          </w:p>
        </w:tc>
        <w:tc>
          <w:tcPr>
            <w:tcW w:w="2860" w:type="dxa"/>
            <w:vAlign w:val="bottom"/>
            <w:tcBorders>
              <w:top w:val="single" w:sz="8" w:color="00000A"/>
              <w:right w:val="single" w:sz="8" w:color="00000A"/>
            </w:tcBorders>
            <w:gridSpan w:val="5"/>
          </w:tcPr>
          <w:p>
            <w:pPr>
              <w:jc w:val="center"/>
              <w:ind w:right="40"/>
              <w:spacing w:after="0" w:line="243" w:lineRule="exact"/>
              <w:rPr>
                <w:sz w:val="20"/>
                <w:szCs w:val="20"/>
                <w:color w:val="auto"/>
              </w:rPr>
            </w:pPr>
            <w:r>
              <w:rPr>
                <w:rFonts w:ascii="Arial" w:cs="Arial" w:eastAsia="Arial" w:hAnsi="Arial"/>
                <w:sz w:val="22"/>
                <w:szCs w:val="22"/>
                <w:color w:val="auto"/>
                <w:w w:val="88"/>
              </w:rPr>
              <w:t>Applicable Share Price</w:t>
            </w:r>
          </w:p>
        </w:tc>
        <w:tc>
          <w:tcPr>
            <w:tcW w:w="240" w:type="dxa"/>
            <w:vAlign w:val="bottom"/>
            <w:tcBorders>
              <w:top w:val="single" w:sz="8" w:color="00000A"/>
            </w:tcBorders>
          </w:tcPr>
          <w:p>
            <w:pPr>
              <w:spacing w:after="0"/>
              <w:rPr>
                <w:sz w:val="21"/>
                <w:szCs w:val="21"/>
                <w:color w:val="auto"/>
              </w:rPr>
            </w:pPr>
          </w:p>
        </w:tc>
        <w:tc>
          <w:tcPr>
            <w:tcW w:w="2600" w:type="dxa"/>
            <w:vAlign w:val="bottom"/>
            <w:tcBorders>
              <w:top w:val="single" w:sz="8" w:color="00000A"/>
              <w:right w:val="single" w:sz="8" w:color="00000A"/>
            </w:tcBorders>
            <w:gridSpan w:val="6"/>
          </w:tcPr>
          <w:p>
            <w:pPr>
              <w:jc w:val="center"/>
              <w:ind w:right="280"/>
              <w:spacing w:after="0" w:line="243" w:lineRule="exact"/>
              <w:rPr>
                <w:sz w:val="20"/>
                <w:szCs w:val="20"/>
                <w:color w:val="auto"/>
              </w:rPr>
            </w:pPr>
            <w:r>
              <w:rPr>
                <w:rFonts w:ascii="Arial" w:cs="Arial" w:eastAsia="Arial" w:hAnsi="Arial"/>
                <w:sz w:val="22"/>
                <w:szCs w:val="22"/>
                <w:color w:val="auto"/>
                <w:w w:val="90"/>
              </w:rPr>
              <w:t>Number of Deferred Stock</w:t>
            </w:r>
          </w:p>
        </w:tc>
      </w:tr>
      <w:tr>
        <w:trPr>
          <w:trHeight w:val="223"/>
        </w:trPr>
        <w:tc>
          <w:tcPr>
            <w:tcW w:w="40" w:type="dxa"/>
            <w:vAlign w:val="bottom"/>
            <w:tcBorders>
              <w:left w:val="single" w:sz="8" w:color="00000A"/>
            </w:tcBorders>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4"/>
          </w:tcPr>
          <w:p>
            <w:pPr>
              <w:jc w:val="center"/>
              <w:ind w:right="780"/>
              <w:spacing w:after="0" w:line="223" w:lineRule="exact"/>
              <w:rPr>
                <w:sz w:val="20"/>
                <w:szCs w:val="20"/>
                <w:color w:val="auto"/>
              </w:rPr>
            </w:pPr>
            <w:r>
              <w:rPr>
                <w:rFonts w:ascii="Arial" w:cs="Arial" w:eastAsia="Arial" w:hAnsi="Arial"/>
                <w:sz w:val="22"/>
                <w:szCs w:val="22"/>
                <w:color w:val="auto"/>
                <w:w w:val="95"/>
              </w:rPr>
              <w:t>Units</w:t>
            </w:r>
          </w:p>
        </w:tc>
        <w:tc>
          <w:tcPr>
            <w:tcW w:w="280" w:type="dxa"/>
            <w:vAlign w:val="bottom"/>
            <w:tcBorders>
              <w:right w:val="single" w:sz="8" w:color="00000A"/>
            </w:tcBorders>
          </w:tcPr>
          <w:p>
            <w:pPr>
              <w:spacing w:after="0"/>
              <w:rPr>
                <w:sz w:val="19"/>
                <w:szCs w:val="19"/>
                <w:color w:val="auto"/>
              </w:rPr>
            </w:pP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bottom w:val="single" w:sz="8" w:color="00000A"/>
            </w:tcBorders>
          </w:tcPr>
          <w:p>
            <w:pPr>
              <w:spacing w:after="0"/>
              <w:rPr>
                <w:sz w:val="4"/>
                <w:szCs w:val="4"/>
                <w:color w:val="auto"/>
              </w:rPr>
            </w:pPr>
          </w:p>
        </w:tc>
        <w:tc>
          <w:tcPr>
            <w:tcW w:w="40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7"/>
          </w:tcPr>
          <w:p>
            <w:pPr>
              <w:spacing w:after="0" w:line="223" w:lineRule="exact"/>
              <w:rPr>
                <w:sz w:val="20"/>
                <w:szCs w:val="20"/>
                <w:color w:val="auto"/>
              </w:rPr>
            </w:pPr>
            <w:r>
              <w:rPr>
                <w:rFonts w:ascii="Arial" w:cs="Arial" w:eastAsia="Arial" w:hAnsi="Arial"/>
                <w:sz w:val="22"/>
                <w:szCs w:val="22"/>
                <w:color w:val="auto"/>
              </w:rPr>
              <w:t>January 18, 2013</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400" w:type="dxa"/>
            <w:vAlign w:val="bottom"/>
            <w:tcBorders>
              <w:top w:val="single" w:sz="8" w:color="auto"/>
              <w:bottom w:val="single" w:sz="8" w:color="00000A"/>
            </w:tcBorders>
          </w:tcPr>
          <w:p>
            <w:pPr>
              <w:spacing w:after="0"/>
              <w:rPr>
                <w:sz w:val="4"/>
                <w:szCs w:val="4"/>
                <w:color w:val="auto"/>
              </w:rPr>
            </w:pPr>
          </w:p>
        </w:tc>
        <w:tc>
          <w:tcPr>
            <w:tcW w:w="80" w:type="dxa"/>
            <w:vAlign w:val="bottom"/>
            <w:tcBorders>
              <w:top w:val="single" w:sz="8" w:color="auto"/>
              <w:bottom w:val="single" w:sz="8" w:color="00000A"/>
            </w:tcBorders>
          </w:tcPr>
          <w:p>
            <w:pPr>
              <w:spacing w:after="0"/>
              <w:rPr>
                <w:sz w:val="4"/>
                <w:szCs w:val="4"/>
                <w:color w:val="auto"/>
              </w:rPr>
            </w:pPr>
          </w:p>
        </w:tc>
        <w:tc>
          <w:tcPr>
            <w:tcW w:w="240" w:type="dxa"/>
            <w:vAlign w:val="bottom"/>
            <w:tcBorders>
              <w:top w:val="single" w:sz="8" w:color="auto"/>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7"/>
          </w:tcPr>
          <w:p>
            <w:pPr>
              <w:spacing w:after="0" w:line="223" w:lineRule="exact"/>
              <w:rPr>
                <w:sz w:val="20"/>
                <w:szCs w:val="20"/>
                <w:color w:val="auto"/>
              </w:rPr>
            </w:pPr>
            <w:r>
              <w:rPr>
                <w:rFonts w:ascii="Arial" w:cs="Arial" w:eastAsia="Arial" w:hAnsi="Arial"/>
                <w:sz w:val="22"/>
                <w:szCs w:val="22"/>
                <w:color w:val="auto"/>
              </w:rPr>
              <w:t>April 1, 2013</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400" w:type="dxa"/>
            <w:vAlign w:val="bottom"/>
            <w:tcBorders>
              <w:top w:val="single" w:sz="8" w:color="auto"/>
              <w:bottom w:val="single" w:sz="8" w:color="00000A"/>
            </w:tcBorders>
          </w:tcPr>
          <w:p>
            <w:pPr>
              <w:spacing w:after="0"/>
              <w:rPr>
                <w:sz w:val="4"/>
                <w:szCs w:val="4"/>
                <w:color w:val="auto"/>
              </w:rPr>
            </w:pPr>
          </w:p>
        </w:tc>
        <w:tc>
          <w:tcPr>
            <w:tcW w:w="80" w:type="dxa"/>
            <w:vAlign w:val="bottom"/>
            <w:tcBorders>
              <w:top w:val="single" w:sz="8" w:color="auto"/>
              <w:bottom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7"/>
          </w:tcPr>
          <w:p>
            <w:pPr>
              <w:spacing w:after="0" w:line="223" w:lineRule="exact"/>
              <w:rPr>
                <w:sz w:val="20"/>
                <w:szCs w:val="20"/>
                <w:color w:val="auto"/>
              </w:rPr>
            </w:pPr>
            <w:r>
              <w:rPr>
                <w:rFonts w:ascii="Arial" w:cs="Arial" w:eastAsia="Arial" w:hAnsi="Arial"/>
                <w:sz w:val="22"/>
                <w:szCs w:val="22"/>
                <w:color w:val="auto"/>
              </w:rPr>
              <w:t>July 1, 2013</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400" w:type="dxa"/>
            <w:vAlign w:val="bottom"/>
            <w:tcBorders>
              <w:top w:val="single" w:sz="8" w:color="auto"/>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7"/>
          </w:tcPr>
          <w:p>
            <w:pPr>
              <w:spacing w:after="0" w:line="223" w:lineRule="exact"/>
              <w:rPr>
                <w:sz w:val="20"/>
                <w:szCs w:val="20"/>
                <w:color w:val="auto"/>
              </w:rPr>
            </w:pPr>
            <w:r>
              <w:rPr>
                <w:rFonts w:ascii="Arial" w:cs="Arial" w:eastAsia="Arial" w:hAnsi="Arial"/>
                <w:sz w:val="22"/>
                <w:szCs w:val="22"/>
                <w:color w:val="auto"/>
              </w:rPr>
              <w:t>October 1, 2013</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400" w:type="dxa"/>
            <w:vAlign w:val="bottom"/>
            <w:tcBorders>
              <w:top w:val="single" w:sz="8" w:color="auto"/>
              <w:bottom w:val="single" w:sz="8" w:color="00000A"/>
            </w:tcBorders>
          </w:tcPr>
          <w:p>
            <w:pPr>
              <w:spacing w:after="0"/>
              <w:rPr>
                <w:sz w:val="4"/>
                <w:szCs w:val="4"/>
                <w:color w:val="auto"/>
              </w:rPr>
            </w:pPr>
          </w:p>
        </w:tc>
        <w:tc>
          <w:tcPr>
            <w:tcW w:w="80" w:type="dxa"/>
            <w:vAlign w:val="bottom"/>
            <w:tcBorders>
              <w:top w:val="single" w:sz="8" w:color="auto"/>
              <w:bottom w:val="single" w:sz="8" w:color="00000A"/>
            </w:tcBorders>
          </w:tcPr>
          <w:p>
            <w:pPr>
              <w:spacing w:after="0"/>
              <w:rPr>
                <w:sz w:val="4"/>
                <w:szCs w:val="4"/>
                <w:color w:val="auto"/>
              </w:rPr>
            </w:pPr>
          </w:p>
        </w:tc>
        <w:tc>
          <w:tcPr>
            <w:tcW w:w="240" w:type="dxa"/>
            <w:vAlign w:val="bottom"/>
            <w:tcBorders>
              <w:top w:val="single" w:sz="8" w:color="auto"/>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u w:val="single" w:color="auto"/>
          <w:color w:val="auto"/>
        </w:rPr>
        <w:t>Note: the Company will update Schedule A each quarter to reflect the number of additional DSUs to be credited to you on the applicable Conversion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40"/>
          </w:cols>
          <w:pgMar w:left="240" w:top="369" w:right="21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 ON [Grant Date]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47" w:lineRule="auto"/>
        <w:tabs>
          <w:tab w:leader="none" w:pos="45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DEFERRED STOCK UNITS. </w:t>
      </w:r>
      <w:r>
        <w:rPr>
          <w:rFonts w:ascii="Arial" w:cs="Arial" w:eastAsia="Arial" w:hAnsi="Arial"/>
          <w:sz w:val="22"/>
          <w:szCs w:val="22"/>
          <w:color w:val="auto"/>
        </w:rPr>
        <w:t>You have been granted [</w:t>
      </w:r>
      <w:r>
        <w:rPr>
          <w:rFonts w:ascii="Arial" w:cs="Arial" w:eastAsia="Arial" w:hAnsi="Arial"/>
          <w:sz w:val="22"/>
          <w:szCs w:val="22"/>
          <w:b w:val="1"/>
          <w:bCs w:val="1"/>
          <w:color w:val="auto"/>
        </w:rPr>
        <w:t>insert Number</w:t>
      </w:r>
      <w:r>
        <w:rPr>
          <w:rFonts w:ascii="Arial" w:cs="Arial" w:eastAsia="Arial" w:hAnsi="Arial"/>
          <w:sz w:val="22"/>
          <w:szCs w:val="22"/>
          <w:color w:val="auto"/>
        </w:rPr>
        <w:t>] deferred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(“DSUs”) and an equal number of related dividend equivalents. The “Grant Date” of your Award is [</w:t>
      </w:r>
      <w:r>
        <w:rPr>
          <w:rFonts w:ascii="Arial" w:cs="Arial" w:eastAsia="Arial" w:hAnsi="Arial"/>
          <w:sz w:val="22"/>
          <w:szCs w:val="22"/>
          <w:b w:val="1"/>
          <w:bCs w:val="1"/>
          <w:color w:val="auto"/>
        </w:rPr>
        <w:t>Grant Date</w:t>
      </w:r>
      <w:r>
        <w:rPr>
          <w:rFonts w:ascii="Arial" w:cs="Arial" w:eastAsia="Arial" w:hAnsi="Arial"/>
          <w:sz w:val="22"/>
          <w:szCs w:val="22"/>
          <w:color w:val="auto"/>
        </w:rPr>
        <w:t>]. Each whole DSU represents the right to receive one full Share at the time and in the manner described in this Award Agreement. Each dividend equivalent represents the right to receive additional DSUs (determined in accordance with Section 5) in respect of the dividends that are declared and paid during the period beginning on the Grant Date and ending on the Settlement Date (as described in Section 4(a)) with respect to the Share represented by the related DSU. To accept this Award Agreement, you must return a signed copy of this Award Agreement no later than [</w:t>
      </w:r>
      <w:r>
        <w:rPr>
          <w:rFonts w:ascii="Arial" w:cs="Arial" w:eastAsia="Arial" w:hAnsi="Arial"/>
          <w:sz w:val="22"/>
          <w:szCs w:val="22"/>
          <w:b w:val="1"/>
          <w:bCs w:val="1"/>
          <w:color w:val="auto"/>
        </w:rPr>
        <w:t>Date 30 Days After Grant Date</w:t>
      </w:r>
      <w:r>
        <w:rPr>
          <w:rFonts w:ascii="Arial" w:cs="Arial" w:eastAsia="Arial" w:hAnsi="Arial"/>
          <w:sz w:val="22"/>
          <w:szCs w:val="22"/>
          <w:color w:val="auto"/>
        </w:rPr>
        <w:t>], to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(the “Third Party Administrator”) as follows:</w:t>
      </w:r>
    </w:p>
    <w:p>
      <w:pPr>
        <w:spacing w:after="0" w:line="22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This Award Agreement and your DSUs are granted pursuant to and in accordance with the terms of The Scotts Miracle-Gro Company Long-Term Incentive Plan as amended and restated January 17, 2013 (the “Plan”). All provisions of the Plan are incorporated herein by reference, and your DSUs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54" w:lineRule="exact"/>
        <w:rPr>
          <w:rFonts w:ascii="Arial" w:cs="Arial" w:eastAsia="Arial" w:hAnsi="Arial"/>
          <w:sz w:val="22"/>
          <w:szCs w:val="22"/>
          <w:color w:val="auto"/>
        </w:rPr>
      </w:pPr>
    </w:p>
    <w:p>
      <w:pPr>
        <w:ind w:left="660" w:hanging="65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DSUs described in this Award Agreement will vest as follows:</w:t>
      </w:r>
    </w:p>
    <w:p>
      <w:pPr>
        <w:sectPr>
          <w:pgSz w:w="11900" w:h="16838" w:orient="portrait"/>
          <w:cols w:equalWidth="0" w:num="1">
            <w:col w:w="11420"/>
          </w:cols>
          <w:pgMar w:left="240" w:top="126" w:right="239" w:bottom="1440" w:gutter="0" w:footer="0" w:header="0"/>
        </w:sectPr>
      </w:pPr>
    </w:p>
    <w:bookmarkStart w:id="48" w:name="page49"/>
    <w:bookmarkEnd w:id="48"/>
    <w:p>
      <w:pPr>
        <w:jc w:val="both"/>
        <w:ind w:left="1320" w:hanging="664"/>
        <w:spacing w:after="0" w:line="249" w:lineRule="auto"/>
        <w:tabs>
          <w:tab w:leader="none" w:pos="1302" w:val="left"/>
        </w:tabs>
        <w:numPr>
          <w:ilvl w:val="1"/>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Board services continue from the Grant Date until the third anniversary of the Grant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this case </w:t>
      </w:r>
      <w:r>
        <w:rPr>
          <w:rFonts w:ascii="Arial" w:cs="Arial" w:eastAsia="Arial" w:hAnsi="Arial"/>
          <w:sz w:val="22"/>
          <w:szCs w:val="22"/>
          <w:b w:val="1"/>
          <w:bCs w:val="1"/>
          <w:color w:val="auto"/>
        </w:rPr>
        <w:t>[Vesting Date]</w:t>
      </w:r>
      <w:r>
        <w:rPr>
          <w:rFonts w:ascii="Arial" w:cs="Arial" w:eastAsia="Arial" w:hAnsi="Arial"/>
          <w:sz w:val="22"/>
          <w:szCs w:val="22"/>
          <w:color w:val="auto"/>
        </w:rPr>
        <w:t xml:space="preserve"> (the “Vesting Date”), your DSUs described in this Award Agreement will become 100% vested on the Vesting Date, including any DSUs received pursuant to Section 5 on or prior to the Vesting Date. Any DSUs received pursuant to Section 5 following the Vesting Date will be 100% vested on the date they are credited to you; or</w:t>
      </w:r>
    </w:p>
    <w:p>
      <w:pPr>
        <w:spacing w:after="0" w:line="227" w:lineRule="exact"/>
        <w:rPr>
          <w:rFonts w:ascii="Arial" w:cs="Arial" w:eastAsia="Arial" w:hAnsi="Arial"/>
          <w:sz w:val="22"/>
          <w:szCs w:val="22"/>
          <w:color w:val="auto"/>
        </w:rPr>
      </w:pPr>
    </w:p>
    <w:p>
      <w:pPr>
        <w:ind w:left="1320" w:hanging="664"/>
        <w:spacing w:after="0" w:line="269" w:lineRule="auto"/>
        <w:tabs>
          <w:tab w:leader="none" w:pos="1302" w:val="left"/>
        </w:tabs>
        <w:numPr>
          <w:ilvl w:val="1"/>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your DSUs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earlier than the Vesting Date:</w:t>
      </w:r>
    </w:p>
    <w:p>
      <w:pPr>
        <w:spacing w:after="0" w:line="208" w:lineRule="exact"/>
        <w:rPr>
          <w:rFonts w:ascii="Arial" w:cs="Arial" w:eastAsia="Arial" w:hAnsi="Arial"/>
          <w:sz w:val="22"/>
          <w:szCs w:val="22"/>
          <w:color w:val="auto"/>
        </w:rPr>
      </w:pPr>
    </w:p>
    <w:p>
      <w:pPr>
        <w:jc w:val="both"/>
        <w:ind w:left="1620" w:hanging="315"/>
        <w:spacing w:after="0" w:line="312" w:lineRule="auto"/>
        <w:tabs>
          <w:tab w:leader="none" w:pos="1620" w:val="left"/>
        </w:tabs>
        <w:numPr>
          <w:ilvl w:val="2"/>
          <w:numId w:val="21"/>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all of your DSUs will become 100% vested as of the date of such event. For purposes of this Award Agreement, “Disabled” means that you have been determined to be totally disabled by the Social Security Administration; or</w:t>
      </w:r>
    </w:p>
    <w:p>
      <w:pPr>
        <w:spacing w:after="0" w:line="174" w:lineRule="exact"/>
        <w:rPr>
          <w:rFonts w:ascii="Arial" w:cs="Arial" w:eastAsia="Arial" w:hAnsi="Arial"/>
          <w:sz w:val="19"/>
          <w:szCs w:val="19"/>
          <w:color w:val="auto"/>
        </w:rPr>
      </w:pPr>
    </w:p>
    <w:p>
      <w:pPr>
        <w:ind w:left="1960" w:right="20" w:hanging="655"/>
        <w:spacing w:after="0" w:line="287" w:lineRule="auto"/>
        <w:tabs>
          <w:tab w:leader="none" w:pos="1960" w:val="left"/>
        </w:tabs>
        <w:numPr>
          <w:ilvl w:val="2"/>
          <w:numId w:val="21"/>
        </w:numPr>
        <w:rPr>
          <w:rFonts w:ascii="Arial" w:cs="Arial" w:eastAsia="Arial" w:hAnsi="Arial"/>
          <w:sz w:val="21"/>
          <w:szCs w:val="21"/>
          <w:color w:val="auto"/>
        </w:rPr>
      </w:pPr>
      <w:r>
        <w:rPr>
          <w:rFonts w:ascii="Arial" w:cs="Arial" w:eastAsia="Arial" w:hAnsi="Arial"/>
          <w:sz w:val="21"/>
          <w:szCs w:val="21"/>
          <w:color w:val="auto"/>
        </w:rPr>
        <w:t>If you Terminate for a reason other than Cause after completing at least five full years of continuous service and are at least age 50, all DSUs will become 100% vested as of the date of such event.</w:t>
      </w:r>
    </w:p>
    <w:p>
      <w:pPr>
        <w:spacing w:after="0" w:line="186" w:lineRule="exact"/>
        <w:rPr>
          <w:rFonts w:ascii="Arial" w:cs="Arial" w:eastAsia="Arial" w:hAnsi="Arial"/>
          <w:sz w:val="21"/>
          <w:szCs w:val="21"/>
          <w:color w:val="auto"/>
        </w:rPr>
      </w:pPr>
    </w:p>
    <w:p>
      <w:pPr>
        <w:ind w:left="380" w:hanging="372"/>
        <w:spacing w:after="0"/>
        <w:tabs>
          <w:tab w:leader="none" w:pos="3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48"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Subject to the terms of the Plan and this Award Agreement, your vested DSUs shall ordinarily be settled in a lump sum as soon as administratively practicable, but no later than 90 days following the earliest date to occur of: (i) your Termination; or (ii) the third anniversary of the Grant Date (the “Settlement Date”). Your whole DSUs shall be settled in full Shares, and any fractional DSU shall be settled in cash, determined based upon the Fair Market Value of a Share on the Settlement Date.</w:t>
      </w:r>
    </w:p>
    <w:p>
      <w:pPr>
        <w:spacing w:after="0" w:line="192"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Except as provided in Section 5 below, you will have none of the rights of a shareholder with respect to Shares underlying the DSUs unless and until you become the record holder of such Shares.</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Normally, your DSUs will vest and be settled only under the circumstances described above. However, if there is a Change in Control, your DSUs will become 100% vested on the date of the Change in Control and will be settled as described in the Plan. See the Plan for further details.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2" w:lineRule="exact"/>
        <w:rPr>
          <w:rFonts w:ascii="Arial" w:cs="Arial" w:eastAsia="Arial" w:hAnsi="Arial"/>
          <w:sz w:val="22"/>
          <w:szCs w:val="22"/>
          <w:color w:val="auto"/>
        </w:rPr>
      </w:pPr>
    </w:p>
    <w:p>
      <w:pPr>
        <w:ind w:left="380" w:hanging="372"/>
        <w:spacing w:after="0"/>
        <w:tabs>
          <w:tab w:leader="none" w:pos="3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22"/>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you will receive an additional number of DSUs equal to the quotient of:</w:t>
      </w:r>
    </w:p>
    <w:p>
      <w:pPr>
        <w:spacing w:after="0" w:line="174"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22"/>
        </w:numPr>
        <w:rPr>
          <w:rFonts w:ascii="Arial" w:cs="Arial" w:eastAsia="Arial" w:hAnsi="Arial"/>
          <w:sz w:val="22"/>
          <w:szCs w:val="22"/>
          <w:color w:val="auto"/>
        </w:rPr>
      </w:pPr>
      <w:r>
        <w:rPr>
          <w:rFonts w:ascii="Arial" w:cs="Arial" w:eastAsia="Arial" w:hAnsi="Arial"/>
          <w:sz w:val="22"/>
          <w:szCs w:val="22"/>
          <w:color w:val="auto"/>
        </w:rPr>
        <w:t>The product of (I) the number of DSUs granted under this Award Agreement (including additional DSUs previously received in accordance with this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49" w:name="page50"/>
    <w:bookmarkEnd w:id="49"/>
    <w:p>
      <w:pPr>
        <w:ind w:left="1960"/>
        <w:spacing w:after="0" w:line="263" w:lineRule="auto"/>
        <w:rPr>
          <w:sz w:val="20"/>
          <w:szCs w:val="20"/>
          <w:color w:val="auto"/>
        </w:rPr>
      </w:pPr>
      <w:r>
        <w:rPr>
          <w:rFonts w:ascii="Arial" w:cs="Arial" w:eastAsia="Arial" w:hAnsi="Arial"/>
          <w:sz w:val="22"/>
          <w:szCs w:val="22"/>
          <w:color w:val="auto"/>
        </w:rPr>
        <w:t>Section 5) that have not been settled as of the dividend payment date, multiplied by (II) the amount of the cash dividend paid per Share; divided by</w:t>
      </w:r>
    </w:p>
    <w:p>
      <w:pPr>
        <w:spacing w:after="0" w:line="175" w:lineRule="exact"/>
        <w:rPr>
          <w:sz w:val="20"/>
          <w:szCs w:val="20"/>
          <w:color w:val="auto"/>
        </w:rPr>
      </w:pPr>
    </w:p>
    <w:p>
      <w:pPr>
        <w:ind w:left="1960" w:hanging="655"/>
        <w:spacing w:after="0" w:line="263" w:lineRule="auto"/>
        <w:tabs>
          <w:tab w:leader="none" w:pos="196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If a Share dividend is declared and paid on the Shares underlying the DSUs, you will receive an additional number of DSUs equal to the product of:</w:t>
      </w:r>
    </w:p>
    <w:p>
      <w:pPr>
        <w:spacing w:after="0" w:line="174" w:lineRule="exact"/>
        <w:rPr>
          <w:rFonts w:ascii="Arial" w:cs="Arial" w:eastAsia="Arial" w:hAnsi="Arial"/>
          <w:sz w:val="22"/>
          <w:szCs w:val="22"/>
          <w:color w:val="auto"/>
        </w:rPr>
      </w:pPr>
    </w:p>
    <w:p>
      <w:pPr>
        <w:ind w:left="1960" w:hanging="655"/>
        <w:spacing w:after="0" w:line="343" w:lineRule="auto"/>
        <w:tabs>
          <w:tab w:leader="none" w:pos="19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number of DSUs granted under this Award Agreement (including additional DSUs previously received in accordance with this Section 5) that have not been settled as of the dividend payment date, multiplied by</w:t>
      </w:r>
    </w:p>
    <w:p>
      <w:pPr>
        <w:spacing w:after="0" w:line="105" w:lineRule="exact"/>
        <w:rPr>
          <w:sz w:val="20"/>
          <w:szCs w:val="20"/>
          <w:color w:val="auto"/>
        </w:rPr>
      </w:pPr>
    </w:p>
    <w:p>
      <w:pPr>
        <w:ind w:left="1960" w:hanging="655"/>
        <w:spacing w:after="0"/>
        <w:tabs>
          <w:tab w:leader="none" w:pos="1960" w:val="left"/>
        </w:tabs>
        <w:numPr>
          <w:ilvl w:val="2"/>
          <w:numId w:val="25"/>
        </w:numPr>
        <w:rPr>
          <w:rFonts w:ascii="Arial" w:cs="Arial" w:eastAsia="Arial" w:hAnsi="Arial"/>
          <w:sz w:val="22"/>
          <w:szCs w:val="22"/>
          <w:color w:val="auto"/>
        </w:rPr>
      </w:pPr>
      <w:r>
        <w:rPr>
          <w:rFonts w:ascii="Arial" w:cs="Arial" w:eastAsia="Arial" w:hAnsi="Arial"/>
          <w:sz w:val="22"/>
          <w:szCs w:val="22"/>
          <w:color w:val="auto"/>
        </w:rPr>
        <w:t>The dividend paid per Share.</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Any additional DSUs credited pursuant to this Section 5 shall be subject to the same terms and conditions as the DSUs granted pursuant to Section 1 above.</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Any fractional number of DSUs resulting from the calculations under this Section 5 shall be rounded to the nearest whole Share.</w:t>
      </w:r>
    </w:p>
    <w:p>
      <w:pPr>
        <w:spacing w:after="0" w:line="168" w:lineRule="exact"/>
        <w:rPr>
          <w:rFonts w:ascii="Arial" w:cs="Arial" w:eastAsia="Arial" w:hAnsi="Arial"/>
          <w:sz w:val="22"/>
          <w:szCs w:val="22"/>
          <w:color w:val="auto"/>
        </w:rPr>
      </w:pPr>
    </w:p>
    <w:p>
      <w:pPr>
        <w:ind w:firstLine="8"/>
        <w:spacing w:after="0" w:line="269" w:lineRule="auto"/>
        <w:tabs>
          <w:tab w:leader="none" w:pos="459"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w:t>
      </w:r>
      <w:r>
        <w:rPr>
          <w:rFonts w:ascii="Arial" w:cs="Arial" w:eastAsia="Arial" w:hAnsi="Arial"/>
          <w:sz w:val="22"/>
          <w:szCs w:val="22"/>
          <w:color w:val="auto"/>
        </w:rPr>
        <w:t>Except as otherwise provided in Section 3, if you Terminate prior to the Vesting Date your DSUs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forfeited immediately.</w:t>
      </w:r>
    </w:p>
    <w:p>
      <w:pPr>
        <w:spacing w:after="0" w:line="202" w:lineRule="exact"/>
        <w:rPr>
          <w:rFonts w:ascii="Arial" w:cs="Arial" w:eastAsia="Arial" w:hAnsi="Arial"/>
          <w:sz w:val="22"/>
          <w:szCs w:val="22"/>
          <w:b w:val="1"/>
          <w:bCs w:val="1"/>
          <w:color w:val="auto"/>
        </w:rPr>
      </w:pPr>
    </w:p>
    <w:p>
      <w:pPr>
        <w:ind w:firstLine="8"/>
        <w:spacing w:after="0" w:line="269" w:lineRule="auto"/>
        <w:tabs>
          <w:tab w:leader="none" w:pos="402"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DSUs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DSUs and related dividend equivalents may not be transferred to another person. Also, the Committee may allow you to place your DSUs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8"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50" w:name="page51"/>
    <w:bookmarkEnd w:id="50"/>
    <w:p>
      <w:pPr>
        <w:jc w:val="both"/>
        <w:ind w:firstLine="8"/>
        <w:spacing w:after="0" w:line="264" w:lineRule="auto"/>
        <w:tabs>
          <w:tab w:leader="none" w:pos="482"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DSUs and the related dividend equivalents will be subject to the terms of</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written agreements between you and the Company or any Affiliate or Subsidiary to the extent that those other agreements do not directly conflict with the terms of the Plan or this Award Agreement. Your DSUs and related dividend equivalents granted 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firstLine="8"/>
        <w:spacing w:after="0" w:line="256" w:lineRule="auto"/>
        <w:tabs>
          <w:tab w:leader="none" w:pos="513"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 equivalents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line="269" w:lineRule="auto"/>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 30 Days After</w:t>
      </w:r>
      <w:r>
        <w:rPr>
          <w:rFonts w:ascii="Arial" w:cs="Arial" w:eastAsia="Arial" w:hAnsi="Arial"/>
          <w:sz w:val="22"/>
          <w:szCs w:val="22"/>
          <w:color w:val="auto"/>
        </w:rPr>
        <w:t xml:space="preserv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31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THE SCOTTS MIRACLE-GRO COMPANY</w:t>
      </w:r>
    </w:p>
    <w:p>
      <w:pPr>
        <w:sectPr>
          <w:pgSz w:w="11900" w:h="16838" w:orient="portrait"/>
          <w:cols w:equalWidth="0" w:num="1">
            <w:col w:w="11420"/>
          </w:cols>
          <w:pgMar w:left="240" w:top="369" w:right="239" w:bottom="1440" w:gutter="0" w:footer="0" w:header="0"/>
        </w:sect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369"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38" w:lineRule="auto"/>
        <w:rPr>
          <w:sz w:val="20"/>
          <w:szCs w:val="20"/>
          <w:color w:val="auto"/>
        </w:rPr>
      </w:pPr>
      <w:r>
        <w:rPr>
          <w:rFonts w:ascii="Arial" w:cs="Arial" w:eastAsia="Arial" w:hAnsi="Arial"/>
          <w:sz w:val="22"/>
          <w:szCs w:val="22"/>
          <w:color w:val="auto"/>
        </w:rPr>
        <w:t>[Title of Company Representative]</w:t>
      </w: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36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9"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 ON [Grant Date]</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Scotts Miracle-Gro Company (“Company”) believes that its business interests are best served by ensuring that you have an opportunity to share in the Company’s business success. To this end, the Company adopted The Scotts Miracle-Gro Company Long-Term Incentive Plan, as amended and restated January 17, 2013 (“Plan”) through which members of its Board of Directors, like you, may acquire (or share in the appreciation of) common shares, without par value, of the Company (“Shares”). Capitalized terms that are not defined in this Award Agreement have the same meanings as in the Plan.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Award Agreement describes the type of Award that you have been granted and the terms and conditions of your Award. To ensure you fully understand these terms and conditions, you should:</w:t>
      </w:r>
    </w:p>
    <w:p>
      <w:pPr>
        <w:spacing w:after="0" w:line="215"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Read the Plan and this Award Agreement carefully; and</w:t>
      </w:r>
    </w:p>
    <w:p>
      <w:pPr>
        <w:spacing w:after="0" w:line="254" w:lineRule="exact"/>
        <w:rPr>
          <w:rFonts w:ascii="Arial" w:cs="Arial" w:eastAsia="Arial" w:hAnsi="Arial"/>
          <w:sz w:val="22"/>
          <w:szCs w:val="22"/>
          <w:color w:val="auto"/>
        </w:rPr>
      </w:pPr>
    </w:p>
    <w:p>
      <w:pPr>
        <w:ind w:left="340" w:hanging="8"/>
        <w:spacing w:after="0" w:line="269" w:lineRule="auto"/>
        <w:tabs>
          <w:tab w:leader="none" w:pos="639" w:val="left"/>
        </w:tabs>
        <w:numPr>
          <w:ilvl w:val="0"/>
          <w:numId w:val="30"/>
        </w:numPr>
        <w:rPr>
          <w:rFonts w:ascii="Arial" w:cs="Arial" w:eastAsia="Arial" w:hAnsi="Arial"/>
          <w:sz w:val="22"/>
          <w:szCs w:val="22"/>
          <w:color w:val="auto"/>
        </w:rPr>
      </w:pPr>
      <w:r>
        <w:rPr>
          <w:rFonts w:ascii="Arial" w:cs="Arial" w:eastAsia="Arial" w:hAnsi="Arial"/>
          <w:sz w:val="22"/>
          <w:szCs w:val="22"/>
          <w:color w:val="auto"/>
        </w:rPr>
        <w:t>Contact [</w:t>
      </w:r>
      <w:r>
        <w:rPr>
          <w:rFonts w:ascii="Arial" w:cs="Arial" w:eastAsia="Arial" w:hAnsi="Arial"/>
          <w:sz w:val="22"/>
          <w:szCs w:val="22"/>
          <w:b w:val="1"/>
          <w:bCs w:val="1"/>
          <w:color w:val="auto"/>
        </w:rPr>
        <w:t>Title</w:t>
      </w:r>
      <w:r>
        <w:rPr>
          <w:rFonts w:ascii="Arial" w:cs="Arial" w:eastAsia="Arial" w:hAnsi="Arial"/>
          <w:sz w:val="22"/>
          <w:szCs w:val="22"/>
          <w:color w:val="auto"/>
        </w:rPr>
        <w:t>] at [</w:t>
      </w:r>
      <w:r>
        <w:rPr>
          <w:rFonts w:ascii="Arial" w:cs="Arial" w:eastAsia="Arial" w:hAnsi="Arial"/>
          <w:sz w:val="22"/>
          <w:szCs w:val="22"/>
          <w:b w:val="1"/>
          <w:bCs w:val="1"/>
          <w:color w:val="auto"/>
        </w:rPr>
        <w:t>Telephone Number</w:t>
      </w:r>
      <w:r>
        <w:rPr>
          <w:rFonts w:ascii="Arial" w:cs="Arial" w:eastAsia="Arial" w:hAnsi="Arial"/>
          <w:sz w:val="22"/>
          <w:szCs w:val="22"/>
          <w:color w:val="auto"/>
        </w:rPr>
        <w:t>] if you have any questions about your Award. Or, you may send a written inquiry to the address shown below:</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Scotts Miracle-Gro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Title</w:t>
      </w:r>
      <w:r>
        <w:rPr>
          <w:rFonts w:ascii="Arial" w:cs="Arial" w:eastAsia="Arial" w:hAnsi="Arial"/>
          <w:sz w:val="22"/>
          <w:szCs w:val="22"/>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14111 Scottslawn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Marysville, Ohio 43041</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Also, no later than [</w:t>
      </w:r>
      <w:r>
        <w:rPr>
          <w:rFonts w:ascii="Arial" w:cs="Arial" w:eastAsia="Arial" w:hAnsi="Arial"/>
          <w:sz w:val="22"/>
          <w:szCs w:val="22"/>
          <w:b w:val="1"/>
          <w:bCs w:val="1"/>
          <w:color w:val="auto"/>
        </w:rPr>
        <w:t>Date 30 Days After Grant Date</w:t>
      </w:r>
      <w:r>
        <w:rPr>
          <w:rFonts w:ascii="Arial" w:cs="Arial" w:eastAsia="Arial" w:hAnsi="Arial"/>
          <w:sz w:val="22"/>
          <w:szCs w:val="22"/>
          <w:color w:val="auto"/>
        </w:rPr>
        <w:t>], you must return a signed copy of this Award Agreement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Company intends that this Award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ectPr>
          <w:pgSz w:w="11900" w:h="16838" w:orient="portrait"/>
          <w:cols w:equalWidth="0" w:num="1">
            <w:col w:w="11420"/>
          </w:cols>
          <w:pgMar w:left="240" w:top="126" w:right="239" w:bottom="1440" w:gutter="0" w:footer="0" w:header="0"/>
        </w:sectPr>
      </w:pPr>
    </w:p>
    <w:bookmarkStart w:id="52" w:name="page53"/>
    <w:bookmarkEnd w:id="52"/>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DESCRIPTION OF YOUR DEFERRED STOCK UNITS</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You have been granted [</w:t>
      </w:r>
      <w:r>
        <w:rPr>
          <w:rFonts w:ascii="Arial" w:cs="Arial" w:eastAsia="Arial" w:hAnsi="Arial"/>
          <w:sz w:val="19"/>
          <w:szCs w:val="19"/>
          <w:b w:val="1"/>
          <w:bCs w:val="1"/>
          <w:color w:val="auto"/>
        </w:rPr>
        <w:t>insert Number</w:t>
      </w:r>
      <w:r>
        <w:rPr>
          <w:rFonts w:ascii="Arial" w:cs="Arial" w:eastAsia="Arial" w:hAnsi="Arial"/>
          <w:sz w:val="19"/>
          <w:szCs w:val="19"/>
          <w:color w:val="auto"/>
        </w:rPr>
        <w:t xml:space="preserve">] of deferred stock units (“DSUs”) and an equal number of related dividend equivalents, subject to the terms and conditions of the Plan and this Award Agreement. The “Grant Date” of your Award is </w:t>
      </w:r>
      <w:r>
        <w:rPr>
          <w:rFonts w:ascii="Arial" w:cs="Arial" w:eastAsia="Arial" w:hAnsi="Arial"/>
          <w:sz w:val="19"/>
          <w:szCs w:val="19"/>
          <w:b w:val="1"/>
          <w:bCs w:val="1"/>
          <w:color w:val="auto"/>
        </w:rPr>
        <w:t>[insert Grant Date</w:t>
      </w:r>
      <w:r>
        <w:rPr>
          <w:rFonts w:ascii="Arial" w:cs="Arial" w:eastAsia="Arial" w:hAnsi="Arial"/>
          <w:sz w:val="19"/>
          <w:szCs w:val="19"/>
          <w:color w:val="auto"/>
        </w:rPr>
        <w:t>]. Each whole DSU represents the right to receive one full Share at the time and in the manner described in this Award Agreement. Each dividend equivalent represents the right to receive additional DSUs (determined in accordance with Section 3(e)) in respect of the dividends that are declared and paid during the period beginning on the Grant Date and ending on the Settlement Date (as described in Section 2(b)) with respect to the Share represented by the related DSU.</w:t>
      </w:r>
    </w:p>
    <w:p>
      <w:pPr>
        <w:spacing w:after="0" w:line="144"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w:t>
      </w:r>
    </w:p>
    <w:p>
      <w:pPr>
        <w:spacing w:after="0" w:line="219" w:lineRule="exact"/>
        <w:rPr>
          <w:rFonts w:ascii="Arial" w:cs="Arial" w:eastAsia="Arial" w:hAnsi="Arial"/>
          <w:sz w:val="22"/>
          <w:szCs w:val="22"/>
          <w:b w:val="1"/>
          <w:bCs w:val="1"/>
          <w:color w:val="auto"/>
        </w:rPr>
      </w:pPr>
    </w:p>
    <w:p>
      <w:pPr>
        <w:jc w:val="both"/>
        <w:ind w:firstLine="656"/>
        <w:spacing w:after="0" w:line="315" w:lineRule="auto"/>
        <w:tabs>
          <w:tab w:leader="none" w:pos="1131" w:val="left"/>
        </w:tabs>
        <w:numPr>
          <w:ilvl w:val="1"/>
          <w:numId w:val="31"/>
        </w:numPr>
        <w:rPr>
          <w:rFonts w:ascii="Arial" w:cs="Arial" w:eastAsia="Arial" w:hAnsi="Arial"/>
          <w:sz w:val="19"/>
          <w:szCs w:val="19"/>
          <w:color w:val="auto"/>
        </w:rPr>
      </w:pPr>
      <w:r>
        <w:rPr>
          <w:rFonts w:ascii="Arial" w:cs="Arial" w:eastAsia="Arial" w:hAnsi="Arial"/>
          <w:sz w:val="19"/>
          <w:szCs w:val="19"/>
          <w:b w:val="1"/>
          <w:bCs w:val="1"/>
          <w:color w:val="auto"/>
        </w:rPr>
        <w:t>Vesting</w:t>
      </w:r>
      <w:r>
        <w:rPr>
          <w:rFonts w:ascii="Arial" w:cs="Arial" w:eastAsia="Arial" w:hAnsi="Arial"/>
          <w:sz w:val="19"/>
          <w:szCs w:val="19"/>
          <w:color w:val="auto"/>
        </w:rPr>
        <w:t>. Subject to Sections 3(a) and 3(b), your DSUs will become 100% vested on [</w:t>
      </w:r>
      <w:r>
        <w:rPr>
          <w:rFonts w:ascii="Arial" w:cs="Arial" w:eastAsia="Arial" w:hAnsi="Arial"/>
          <w:sz w:val="19"/>
          <w:szCs w:val="19"/>
          <w:b w:val="1"/>
          <w:bCs w:val="1"/>
          <w:color w:val="auto"/>
        </w:rPr>
        <w:t>insert third anniversary of the Grant Date</w:t>
      </w:r>
      <w:r>
        <w:rPr>
          <w:rFonts w:ascii="Arial" w:cs="Arial" w:eastAsia="Arial" w:hAnsi="Arial"/>
          <w:sz w:val="19"/>
          <w:szCs w:val="19"/>
          <w:color w:val="auto"/>
        </w:rPr>
        <w:t>] (“Vesting Date”), including any DSUs received pursuant to Section 3(e) on or prior to the Vesting Date. Any DSUs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pursuant to Section 3(e) following the Vesting Date will be 100% vested on the date they are credited to you.</w:t>
      </w:r>
    </w:p>
    <w:p>
      <w:pPr>
        <w:spacing w:after="0" w:line="125" w:lineRule="exact"/>
        <w:rPr>
          <w:rFonts w:ascii="Arial" w:cs="Arial" w:eastAsia="Arial" w:hAnsi="Arial"/>
          <w:sz w:val="19"/>
          <w:szCs w:val="19"/>
          <w:color w:val="auto"/>
        </w:rPr>
      </w:pPr>
    </w:p>
    <w:p>
      <w:pPr>
        <w:jc w:val="both"/>
        <w:ind w:firstLine="656"/>
        <w:spacing w:after="0" w:line="262" w:lineRule="auto"/>
        <w:tabs>
          <w:tab w:leader="none" w:pos="1319" w:val="left"/>
        </w:tabs>
        <w:numPr>
          <w:ilvl w:val="1"/>
          <w:numId w:val="31"/>
        </w:numPr>
        <w:rPr>
          <w:rFonts w:ascii="Arial" w:cs="Arial" w:eastAsia="Arial" w:hAnsi="Arial"/>
          <w:sz w:val="21"/>
          <w:szCs w:val="21"/>
          <w:color w:val="auto"/>
        </w:rPr>
      </w:pPr>
      <w:r>
        <w:rPr>
          <w:rFonts w:ascii="Arial" w:cs="Arial" w:eastAsia="Arial" w:hAnsi="Arial"/>
          <w:sz w:val="21"/>
          <w:szCs w:val="21"/>
          <w:b w:val="1"/>
          <w:bCs w:val="1"/>
          <w:color w:val="auto"/>
        </w:rPr>
        <w:t>Settlement</w:t>
      </w:r>
      <w:r>
        <w:rPr>
          <w:rFonts w:ascii="Arial" w:cs="Arial" w:eastAsia="Arial" w:hAnsi="Arial"/>
          <w:sz w:val="21"/>
          <w:szCs w:val="21"/>
          <w:color w:val="auto"/>
        </w:rPr>
        <w:t>. Subject to the terms of the Plan, your vested DSUs shall be settled in a lump sum as soon as</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administratively practicable, but no later than 90 days, following the earliest to occur of: (i) your Termination; (ii) your death; (iii) the date you become Disabled (as defined below); or (iv) the third anniversary of the Grant Date (the “Settlement Date”). Your whole DSUs shall be settled in full Shares, and any fractional DSU shall be settled in cash, determined based upon the Fair Market Value of a Share on the Settlement Date. For purposes of this Award Agreement, “Disabled” means that you have been determined to be totally disabled by the Social Security Administration.</w:t>
      </w:r>
    </w:p>
    <w:p>
      <w:pPr>
        <w:spacing w:after="0" w:line="173" w:lineRule="exact"/>
        <w:rPr>
          <w:rFonts w:ascii="Arial" w:cs="Arial" w:eastAsia="Arial" w:hAnsi="Arial"/>
          <w:sz w:val="21"/>
          <w:szCs w:val="21"/>
          <w:color w:val="auto"/>
        </w:rPr>
      </w:pPr>
    </w:p>
    <w:p>
      <w:pPr>
        <w:ind w:left="380" w:hanging="372"/>
        <w:spacing w:after="0"/>
        <w:tabs>
          <w:tab w:leader="none" w:pos="38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GENERAL TERMS AND CONDITIONS</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18" w:val="left"/>
        </w:tabs>
        <w:numPr>
          <w:ilvl w:val="1"/>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YOU MAY FORFEIT YOUR DSUs IF YOU TERMINATE. </w:t>
      </w:r>
      <w:r>
        <w:rPr>
          <w:rFonts w:ascii="Arial" w:cs="Arial" w:eastAsia="Arial" w:hAnsi="Arial"/>
          <w:sz w:val="22"/>
          <w:szCs w:val="22"/>
          <w:color w:val="auto"/>
        </w:rPr>
        <w:t>Except as otherwise provided in this Section 3(a) and</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3(b), you will forfeit your DSUs if you Terminate prior to the Vesting Date:</w:t>
      </w:r>
    </w:p>
    <w:p>
      <w:pPr>
        <w:spacing w:after="0" w:line="208" w:lineRule="exact"/>
        <w:rPr>
          <w:rFonts w:ascii="Arial" w:cs="Arial" w:eastAsia="Arial" w:hAnsi="Arial"/>
          <w:sz w:val="22"/>
          <w:szCs w:val="22"/>
          <w:color w:val="auto"/>
        </w:rPr>
      </w:pPr>
    </w:p>
    <w:p>
      <w:pPr>
        <w:jc w:val="both"/>
        <w:ind w:right="20" w:firstLine="1305"/>
        <w:spacing w:after="0" w:line="253" w:lineRule="auto"/>
        <w:tabs>
          <w:tab w:leader="none" w:pos="1904" w:val="left"/>
        </w:tabs>
        <w:numPr>
          <w:ilvl w:val="2"/>
          <w:numId w:val="31"/>
        </w:numPr>
        <w:rPr>
          <w:rFonts w:ascii="Arial" w:cs="Arial" w:eastAsia="Arial" w:hAnsi="Arial"/>
          <w:sz w:val="22"/>
          <w:szCs w:val="22"/>
          <w:color w:val="auto"/>
        </w:rPr>
      </w:pPr>
      <w:r>
        <w:rPr>
          <w:rFonts w:ascii="Arial" w:cs="Arial" w:eastAsia="Arial" w:hAnsi="Arial"/>
          <w:sz w:val="22"/>
          <w:szCs w:val="22"/>
          <w:color w:val="auto"/>
        </w:rPr>
        <w:t>If you Terminate for Cause (as defined below) prior to the Vesting Date, your DSUs will be forfeited immediately. For purposes of this Award Agreement, “Cause” means your conviction of, or plea of guilty or nolo contendere to, a felony.</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791" w:val="left"/>
        </w:tabs>
        <w:numPr>
          <w:ilvl w:val="2"/>
          <w:numId w:val="31"/>
        </w:numPr>
        <w:rPr>
          <w:rFonts w:ascii="Arial" w:cs="Arial" w:eastAsia="Arial" w:hAnsi="Arial"/>
          <w:sz w:val="22"/>
          <w:szCs w:val="22"/>
          <w:color w:val="auto"/>
        </w:rPr>
      </w:pPr>
      <w:r>
        <w:rPr>
          <w:rFonts w:ascii="Arial" w:cs="Arial" w:eastAsia="Arial" w:hAnsi="Arial"/>
          <w:sz w:val="22"/>
          <w:szCs w:val="22"/>
          <w:color w:val="auto"/>
        </w:rPr>
        <w:t>If you (A) Terminate (other than for Cause) after completing at least one full term of continuous service on the Board of Directors, (B) die or (C) become Disabled, the DSUs granted during your first term will become 100% vested as of the date of such event.</w:t>
      </w:r>
    </w:p>
    <w:p>
      <w:pPr>
        <w:spacing w:after="0" w:line="226" w:lineRule="exact"/>
        <w:rPr>
          <w:rFonts w:ascii="Arial" w:cs="Arial" w:eastAsia="Arial" w:hAnsi="Arial"/>
          <w:sz w:val="22"/>
          <w:szCs w:val="22"/>
          <w:color w:val="auto"/>
        </w:rPr>
      </w:pPr>
    </w:p>
    <w:p>
      <w:pPr>
        <w:ind w:right="20" w:firstLine="1305"/>
        <w:spacing w:after="0" w:line="263" w:lineRule="auto"/>
        <w:tabs>
          <w:tab w:leader="none" w:pos="1928" w:val="left"/>
        </w:tabs>
        <w:numPr>
          <w:ilvl w:val="2"/>
          <w:numId w:val="31"/>
        </w:numPr>
        <w:rPr>
          <w:rFonts w:ascii="Arial" w:cs="Arial" w:eastAsia="Arial" w:hAnsi="Arial"/>
          <w:sz w:val="22"/>
          <w:szCs w:val="22"/>
          <w:color w:val="auto"/>
        </w:rPr>
      </w:pPr>
      <w:r>
        <w:rPr>
          <w:rFonts w:ascii="Arial" w:cs="Arial" w:eastAsia="Arial" w:hAnsi="Arial"/>
          <w:sz w:val="22"/>
          <w:szCs w:val="22"/>
          <w:color w:val="auto"/>
        </w:rPr>
        <w:t>If you Terminate for any reason not described in Section 3(a)(i) or 3(a)(ii) prior to the Vesting Date, your DSUs will be forfeited immediately.</w:t>
      </w:r>
    </w:p>
    <w:p>
      <w:pPr>
        <w:spacing w:after="0" w:line="209" w:lineRule="exact"/>
        <w:rPr>
          <w:rFonts w:ascii="Arial" w:cs="Arial" w:eastAsia="Arial" w:hAnsi="Arial"/>
          <w:sz w:val="22"/>
          <w:szCs w:val="22"/>
          <w:color w:val="auto"/>
        </w:rPr>
      </w:pPr>
    </w:p>
    <w:p>
      <w:pPr>
        <w:jc w:val="both"/>
        <w:ind w:firstLine="656"/>
        <w:spacing w:after="0" w:line="256" w:lineRule="auto"/>
        <w:tabs>
          <w:tab w:leader="none" w:pos="1143" w:val="left"/>
        </w:tabs>
        <w:numPr>
          <w:ilvl w:val="1"/>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Normally, your DSUs will vest and be settled only under the circumstances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Sections 2 and 3(a). However, if there is a Change in Control, your DSUs will become 100% vested on the date of the Change in Control and will be settled as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described in the Plan. You should read the Plan carefully to ensure that you understand how this may happen.</w:t>
      </w:r>
    </w:p>
    <w:p>
      <w:pPr>
        <w:spacing w:after="0" w:line="214" w:lineRule="exact"/>
        <w:rPr>
          <w:sz w:val="20"/>
          <w:szCs w:val="20"/>
          <w:color w:val="auto"/>
        </w:rPr>
      </w:pPr>
    </w:p>
    <w:p>
      <w:pPr>
        <w:ind w:firstLine="656"/>
        <w:spacing w:after="0" w:line="269" w:lineRule="auto"/>
        <w:tabs>
          <w:tab w:leader="none" w:pos="1118"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or the Plan at any time.</w:t>
      </w:r>
    </w:p>
    <w:p>
      <w:pPr>
        <w:spacing w:after="0" w:line="162" w:lineRule="exact"/>
        <w:rPr>
          <w:rFonts w:ascii="Arial" w:cs="Arial" w:eastAsia="Arial" w:hAnsi="Arial"/>
          <w:sz w:val="22"/>
          <w:szCs w:val="22"/>
          <w:color w:val="auto"/>
        </w:rPr>
      </w:pPr>
    </w:p>
    <w:p>
      <w:pPr>
        <w:jc w:val="both"/>
        <w:ind w:right="20" w:firstLine="656"/>
        <w:spacing w:after="0" w:line="256" w:lineRule="auto"/>
        <w:tabs>
          <w:tab w:leader="none" w:pos="1116"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RIGHTS BEFORE YOUR DSUs ARE SETTLED. </w:t>
      </w:r>
      <w:r>
        <w:rPr>
          <w:rFonts w:ascii="Arial" w:cs="Arial" w:eastAsia="Arial" w:hAnsi="Arial"/>
          <w:sz w:val="22"/>
          <w:szCs w:val="22"/>
          <w:color w:val="auto"/>
        </w:rPr>
        <w:t>Except as provided in Section 3(e) below, you will have none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of a shareholder with respect to Shares underlying the DSUs unless and until you become the record holder of such Shares.</w:t>
      </w:r>
    </w:p>
    <w:p>
      <w:pPr>
        <w:spacing w:after="0" w:line="176"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color w:val="auto"/>
        </w:rPr>
      </w:pPr>
    </w:p>
    <w:p>
      <w:pPr>
        <w:ind w:firstLine="1305"/>
        <w:spacing w:after="0" w:line="263" w:lineRule="auto"/>
        <w:tabs>
          <w:tab w:leader="none" w:pos="1825"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you will receive an additional number of DSUs equal to the quotient of:</w:t>
      </w:r>
    </w:p>
    <w:p>
      <w:pPr>
        <w:spacing w:after="0" w:line="174" w:lineRule="exact"/>
        <w:rPr>
          <w:rFonts w:ascii="Arial" w:cs="Arial" w:eastAsia="Arial" w:hAnsi="Arial"/>
          <w:sz w:val="22"/>
          <w:szCs w:val="22"/>
          <w:color w:val="auto"/>
        </w:rPr>
      </w:pPr>
    </w:p>
    <w:p>
      <w:pPr>
        <w:jc w:val="both"/>
        <w:ind w:left="1300" w:firstLine="653"/>
        <w:spacing w:after="0" w:line="271" w:lineRule="auto"/>
        <w:tabs>
          <w:tab w:leader="none" w:pos="2578" w:val="left"/>
        </w:tabs>
        <w:numPr>
          <w:ilvl w:val="2"/>
          <w:numId w:val="32"/>
        </w:numPr>
        <w:rPr>
          <w:rFonts w:ascii="Arial" w:cs="Arial" w:eastAsia="Arial" w:hAnsi="Arial"/>
          <w:sz w:val="21"/>
          <w:szCs w:val="21"/>
          <w:color w:val="auto"/>
        </w:rPr>
      </w:pPr>
      <w:r>
        <w:rPr>
          <w:rFonts w:ascii="Arial" w:cs="Arial" w:eastAsia="Arial" w:hAnsi="Arial"/>
          <w:sz w:val="21"/>
          <w:szCs w:val="21"/>
          <w:color w:val="auto"/>
        </w:rPr>
        <w:t>the product of (I) the number of DSUs granted under this Award Agreement (including additional DSUs previously received in accordance with this Section 3(e)) that have not been settled as of the dividend payment date, multiplied by (II) the amount of the cash dividend paid per Share; divided by</w:t>
      </w:r>
    </w:p>
    <w:p>
      <w:pPr>
        <w:spacing w:after="0" w:line="167" w:lineRule="exact"/>
        <w:rPr>
          <w:rFonts w:ascii="Arial" w:cs="Arial" w:eastAsia="Arial" w:hAnsi="Arial"/>
          <w:sz w:val="21"/>
          <w:szCs w:val="21"/>
          <w:color w:val="auto"/>
        </w:rPr>
      </w:pPr>
    </w:p>
    <w:p>
      <w:pPr>
        <w:ind w:left="1300" w:firstLine="653"/>
        <w:spacing w:after="0" w:line="263" w:lineRule="auto"/>
        <w:tabs>
          <w:tab w:leader="none" w:pos="2553" w:val="left"/>
        </w:tabs>
        <w:numPr>
          <w:ilvl w:val="2"/>
          <w:numId w:val="32"/>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Any additional DSU credited pursuant to this Section 3(e)(i) shall be subject to the same terms and conditions as the DSUs granted pursuant to Section 1 above.</w:t>
      </w:r>
    </w:p>
    <w:p>
      <w:pPr>
        <w:spacing w:after="0" w:line="175" w:lineRule="exact"/>
        <w:rPr>
          <w:sz w:val="20"/>
          <w:szCs w:val="20"/>
          <w:color w:val="auto"/>
        </w:rPr>
      </w:pPr>
    </w:p>
    <w:p>
      <w:pPr>
        <w:jc w:val="both"/>
        <w:ind w:firstLine="1305"/>
        <w:spacing w:after="0" w:line="288" w:lineRule="auto"/>
        <w:tabs>
          <w:tab w:leader="none" w:pos="1855" w:val="left"/>
        </w:tabs>
        <w:numPr>
          <w:ilvl w:val="2"/>
          <w:numId w:val="33"/>
        </w:numPr>
        <w:rPr>
          <w:rFonts w:ascii="Arial" w:cs="Arial" w:eastAsia="Arial" w:hAnsi="Arial"/>
          <w:sz w:val="19"/>
          <w:szCs w:val="19"/>
          <w:color w:val="auto"/>
        </w:rPr>
      </w:pPr>
      <w:r>
        <w:rPr>
          <w:rFonts w:ascii="Arial" w:cs="Arial" w:eastAsia="Arial" w:hAnsi="Arial"/>
          <w:sz w:val="19"/>
          <w:szCs w:val="19"/>
          <w:color w:val="auto"/>
        </w:rPr>
        <w:t>If a Share dividend is declared and paid on the Shares underlying the DSUs, you will receive an additional number of DSUs equal to the product of (A) the number of DSUs granted under this Award Agreement (including additional DSUs previously received in accordance with this Section 3(e)) that have not been settled as of the dividend payment date, multiplied by</w:t>
      </w:r>
    </w:p>
    <w:p>
      <w:pPr>
        <w:spacing w:after="0" w:line="1" w:lineRule="exact"/>
        <w:rPr>
          <w:rFonts w:ascii="Arial" w:cs="Arial" w:eastAsia="Arial" w:hAnsi="Arial"/>
          <w:sz w:val="19"/>
          <w:szCs w:val="19"/>
          <w:color w:val="auto"/>
        </w:rPr>
      </w:pPr>
    </w:p>
    <w:p>
      <w:pPr>
        <w:ind w:firstLine="8"/>
        <w:spacing w:after="0" w:line="246" w:lineRule="auto"/>
        <w:tabs>
          <w:tab w:leader="none" w:pos="353"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dividend paid per Share. Any additional DSUs credited pursuant to this Section 3(e)(ii) shall be subject to the same terms and conditions as the DSUs granted pursuant to Section 1 above.</w:t>
      </w:r>
    </w:p>
    <w:p>
      <w:pPr>
        <w:spacing w:after="0" w:line="192" w:lineRule="exact"/>
        <w:rPr>
          <w:rFonts w:ascii="Arial" w:cs="Arial" w:eastAsia="Arial" w:hAnsi="Arial"/>
          <w:sz w:val="22"/>
          <w:szCs w:val="22"/>
          <w:color w:val="auto"/>
        </w:rPr>
      </w:pPr>
    </w:p>
    <w:p>
      <w:pPr>
        <w:ind w:left="1840" w:hanging="535"/>
        <w:spacing w:after="0"/>
        <w:tabs>
          <w:tab w:leader="none" w:pos="1840" w:val="left"/>
        </w:tabs>
        <w:numPr>
          <w:ilvl w:val="2"/>
          <w:numId w:val="34"/>
        </w:numPr>
        <w:rPr>
          <w:rFonts w:ascii="Arial" w:cs="Arial" w:eastAsia="Arial" w:hAnsi="Arial"/>
          <w:sz w:val="19"/>
          <w:szCs w:val="19"/>
          <w:color w:val="auto"/>
        </w:rPr>
      </w:pPr>
      <w:r>
        <w:rPr>
          <w:rFonts w:ascii="Arial" w:cs="Arial" w:eastAsia="Arial" w:hAnsi="Arial"/>
          <w:sz w:val="19"/>
          <w:szCs w:val="19"/>
          <w:color w:val="auto"/>
        </w:rPr>
        <w:t>Any fractional number of DSUs resulting from the calculations under this Section 3(e) shall be rounded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nearest whole Share.</w:t>
      </w:r>
    </w:p>
    <w:p>
      <w:pPr>
        <w:spacing w:after="0" w:line="195" w:lineRule="exact"/>
        <w:rPr>
          <w:rFonts w:ascii="Arial" w:cs="Arial" w:eastAsia="Arial" w:hAnsi="Arial"/>
          <w:sz w:val="19"/>
          <w:szCs w:val="19"/>
          <w:color w:val="auto"/>
        </w:rPr>
      </w:pPr>
    </w:p>
    <w:p>
      <w:pPr>
        <w:jc w:val="both"/>
        <w:ind w:firstLine="656"/>
        <w:spacing w:after="0" w:line="248" w:lineRule="auto"/>
        <w:tabs>
          <w:tab w:leader="none" w:pos="1175" w:val="left"/>
        </w:tabs>
        <w:numPr>
          <w:ilvl w:val="1"/>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color w:val="auto"/>
        </w:rPr>
      </w:pPr>
    </w:p>
    <w:p>
      <w:pPr>
        <w:jc w:val="both"/>
        <w:ind w:firstLine="656"/>
        <w:spacing w:after="0" w:line="274" w:lineRule="auto"/>
        <w:tabs>
          <w:tab w:leader="none" w:pos="1197" w:val="left"/>
        </w:tabs>
        <w:numPr>
          <w:ilvl w:val="1"/>
          <w:numId w:val="34"/>
        </w:numPr>
        <w:rPr>
          <w:rFonts w:ascii="Arial" w:cs="Arial" w:eastAsia="Arial" w:hAnsi="Arial"/>
          <w:sz w:val="21"/>
          <w:szCs w:val="21"/>
          <w:color w:val="auto"/>
        </w:rPr>
      </w:pPr>
      <w:r>
        <w:rPr>
          <w:rFonts w:ascii="Arial" w:cs="Arial" w:eastAsia="Arial" w:hAnsi="Arial"/>
          <w:sz w:val="21"/>
          <w:szCs w:val="21"/>
          <w:b w:val="1"/>
          <w:bCs w:val="1"/>
          <w:color w:val="auto"/>
        </w:rPr>
        <w:t xml:space="preserve">TRANSFERRING YOUR DSUs AND RELATED DIVIDEND EQUIVALENTS. </w:t>
      </w:r>
      <w:r>
        <w:rPr>
          <w:rFonts w:ascii="Arial" w:cs="Arial" w:eastAsia="Arial" w:hAnsi="Arial"/>
          <w:sz w:val="21"/>
          <w:szCs w:val="21"/>
          <w:color w:val="auto"/>
        </w:rPr>
        <w:t>Normally your DSUs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dividend equivalents may not be transferred to another person. However, as described in Section 3(f), you may complete a Beneficiary Designation Form to name the person to receive any DSUs and related dividend equivalents that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54" w:name="page55"/>
    <w:bookmarkEnd w:id="54"/>
    <w:p>
      <w:pPr>
        <w:jc w:val="both"/>
        <w:spacing w:after="0" w:line="253" w:lineRule="auto"/>
        <w:rPr>
          <w:sz w:val="20"/>
          <w:szCs w:val="20"/>
          <w:color w:val="auto"/>
        </w:rPr>
      </w:pPr>
      <w:r>
        <w:rPr>
          <w:rFonts w:ascii="Arial" w:cs="Arial" w:eastAsia="Arial" w:hAnsi="Arial"/>
          <w:sz w:val="22"/>
          <w:szCs w:val="22"/>
          <w:color w:val="auto"/>
        </w:rPr>
        <w:t>vest before you die but are settled after you die. Also, the Committee may allow you to place your DSUs and dividend equivalents into a trust established for your benefit or the benefit of your family. Contact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at [</w:t>
      </w:r>
      <w:r>
        <w:rPr>
          <w:rFonts w:ascii="Arial" w:cs="Arial" w:eastAsia="Arial" w:hAnsi="Arial"/>
          <w:sz w:val="22"/>
          <w:szCs w:val="22"/>
          <w:b w:val="1"/>
          <w:bCs w:val="1"/>
          <w:color w:val="auto"/>
        </w:rPr>
        <w:t>TPA Telephone</w:t>
      </w:r>
      <w:r>
        <w:rPr>
          <w:rFonts w:ascii="Arial" w:cs="Arial" w:eastAsia="Arial" w:hAnsi="Arial"/>
          <w:sz w:val="22"/>
          <w:szCs w:val="22"/>
          <w:color w:val="auto"/>
        </w:rPr>
        <w:t xml:space="preserve"> </w:t>
      </w:r>
      <w:r>
        <w:rPr>
          <w:rFonts w:ascii="Arial" w:cs="Arial" w:eastAsia="Arial" w:hAnsi="Arial"/>
          <w:sz w:val="22"/>
          <w:szCs w:val="22"/>
          <w:b w:val="1"/>
          <w:bCs w:val="1"/>
          <w:color w:val="auto"/>
        </w:rPr>
        <w:t>Number</w:t>
      </w:r>
      <w:r>
        <w:rPr>
          <w:rFonts w:ascii="Arial" w:cs="Arial" w:eastAsia="Arial" w:hAnsi="Arial"/>
          <w:sz w:val="22"/>
          <w:szCs w:val="22"/>
          <w:color w:val="auto"/>
        </w:rPr>
        <w:t>] or at the address given above if you are interested in doing this.</w:t>
      </w:r>
    </w:p>
    <w:p>
      <w:pPr>
        <w:spacing w:after="0" w:line="220" w:lineRule="exact"/>
        <w:rPr>
          <w:sz w:val="20"/>
          <w:szCs w:val="20"/>
          <w:color w:val="auto"/>
        </w:rPr>
      </w:pPr>
    </w:p>
    <w:p>
      <w:pPr>
        <w:jc w:val="both"/>
        <w:ind w:firstLine="656"/>
        <w:spacing w:after="0" w:line="256" w:lineRule="auto"/>
        <w:tabs>
          <w:tab w:leader="none" w:pos="1224"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w:t>
      </w:r>
      <w:r>
        <w:rPr>
          <w:rFonts w:ascii="Arial" w:cs="Arial" w:eastAsia="Arial" w:hAnsi="Arial"/>
          <w:sz w:val="22"/>
          <w:szCs w:val="22"/>
          <w:b w:val="1"/>
          <w:bCs w:val="1"/>
          <w:color w:val="auto"/>
        </w:rPr>
        <w:t xml:space="preserve"> </w:t>
      </w:r>
      <w:r>
        <w:rPr>
          <w:rFonts w:ascii="Arial" w:cs="Arial" w:eastAsia="Arial" w:hAnsi="Arial"/>
          <w:sz w:val="22"/>
          <w:szCs w:val="22"/>
          <w:color w:val="auto"/>
        </w:rPr>
        <w:t>conflicts or 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color w:val="auto"/>
        </w:rPr>
      </w:pPr>
    </w:p>
    <w:p>
      <w:pPr>
        <w:jc w:val="both"/>
        <w:ind w:firstLine="656"/>
        <w:spacing w:after="0" w:line="264" w:lineRule="auto"/>
        <w:tabs>
          <w:tab w:leader="none" w:pos="1109" w:val="left"/>
        </w:tabs>
        <w:numPr>
          <w:ilvl w:val="0"/>
          <w:numId w:val="35"/>
        </w:numPr>
        <w:rPr>
          <w:rFonts w:ascii="Arial" w:cs="Arial" w:eastAsia="Arial" w:hAnsi="Arial"/>
          <w:sz w:val="21"/>
          <w:szCs w:val="2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DSUs and the related dividend equivalents will be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of any other written agreements between you and the Company or any Affiliate or Subsidiary to the extent that those other agreements do not directly conflict with the terms of the Plan or this Award Agreement. Your DSUs and related dividend equivalents granted 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color w:val="auto"/>
        </w:rPr>
      </w:pPr>
    </w:p>
    <w:p>
      <w:pPr>
        <w:jc w:val="both"/>
        <w:ind w:firstLine="656"/>
        <w:spacing w:after="0" w:line="256" w:lineRule="auto"/>
        <w:tabs>
          <w:tab w:leader="none" w:pos="1068"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17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OTHER RULES. </w:t>
      </w:r>
      <w:r>
        <w:rPr>
          <w:rFonts w:ascii="Arial" w:cs="Arial" w:eastAsia="Arial" w:hAnsi="Arial"/>
          <w:sz w:val="22"/>
          <w:szCs w:val="22"/>
          <w:color w:val="auto"/>
        </w:rPr>
        <w:t>Your DSUs and dividend equivalents are subject to more rules described in the Plan. You should</w:t>
      </w:r>
      <w:r>
        <w:rPr>
          <w:rFonts w:ascii="Arial" w:cs="Arial" w:eastAsia="Arial" w:hAnsi="Arial"/>
          <w:sz w:val="22"/>
          <w:szCs w:val="22"/>
          <w:b w:val="1"/>
          <w:bCs w:val="1"/>
          <w:color w:val="auto"/>
        </w:rPr>
        <w:t xml:space="preserve"> </w:t>
      </w:r>
      <w:r>
        <w:rPr>
          <w:rFonts w:ascii="Arial" w:cs="Arial" w:eastAsia="Arial" w:hAnsi="Arial"/>
          <w:sz w:val="22"/>
          <w:szCs w:val="22"/>
          <w:color w:val="auto"/>
        </w:rPr>
        <w:t>read the Plan carefully to ensure you fully understand all the terms and conditions of the grant of DSUs and the related dividend equivalents under this Award Agreement.</w:t>
      </w:r>
    </w:p>
    <w:p>
      <w:pPr>
        <w:spacing w:after="0" w:line="217" w:lineRule="exact"/>
        <w:rPr>
          <w:sz w:val="20"/>
          <w:szCs w:val="20"/>
          <w:color w:val="auto"/>
        </w:rPr>
      </w:pPr>
    </w:p>
    <w:p>
      <w:pPr>
        <w:ind w:right="5420"/>
        <w:spacing w:after="0" w:line="451" w:lineRule="auto"/>
        <w:rPr>
          <w:sz w:val="20"/>
          <w:szCs w:val="20"/>
          <w:color w:val="auto"/>
        </w:rPr>
      </w:pPr>
      <w:r>
        <w:rPr>
          <w:rFonts w:ascii="Arial" w:cs="Arial" w:eastAsia="Arial" w:hAnsi="Arial"/>
          <w:sz w:val="22"/>
          <w:szCs w:val="22"/>
          <w:b w:val="1"/>
          <w:bCs w:val="1"/>
          <w:color w:val="auto"/>
        </w:rPr>
        <w:t xml:space="preserve">4. YOUR ACKNOWLEDGMENT OF AWARD CONDITIONS </w:t>
      </w:r>
      <w:r>
        <w:rPr>
          <w:rFonts w:ascii="Arial" w:cs="Arial" w:eastAsia="Arial" w:hAnsi="Arial"/>
          <w:sz w:val="22"/>
          <w:szCs w:val="22"/>
          <w:color w:val="auto"/>
        </w:rPr>
        <w:t>By signing below, you acknowledge and agree that:</w:t>
      </w:r>
    </w:p>
    <w:p>
      <w:pPr>
        <w:spacing w:after="0" w:line="1" w:lineRule="exact"/>
        <w:rPr>
          <w:sz w:val="20"/>
          <w:szCs w:val="20"/>
          <w:color w:val="auto"/>
        </w:rPr>
      </w:pPr>
    </w:p>
    <w:p>
      <w:pPr>
        <w:ind w:left="1100" w:hanging="444"/>
        <w:spacing w:after="0"/>
        <w:tabs>
          <w:tab w:leader="none" w:pos="11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192" w:val="left"/>
        </w:tabs>
        <w:numPr>
          <w:ilvl w:val="0"/>
          <w:numId w:val="36"/>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55" w:name="page56"/>
    <w:bookmarkEnd w:id="55"/>
    <w:p>
      <w:pPr>
        <w:ind w:left="1220" w:hanging="564"/>
        <w:spacing w:after="0"/>
        <w:tabs>
          <w:tab w:leader="none" w:pos="12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You must return a signed copy of this Award Agreement to the address given above before [</w:t>
      </w:r>
      <w:r>
        <w:rPr>
          <w:rFonts w:ascii="Arial" w:cs="Arial" w:eastAsia="Arial" w:hAnsi="Arial"/>
          <w:sz w:val="19"/>
          <w:szCs w:val="19"/>
          <w:b w:val="1"/>
          <w:bCs w:val="1"/>
          <w:color w:val="auto"/>
        </w:rPr>
        <w:t>Date 30 Days After</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35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THE SCOTTS MIRACLE-GRO COMPANY</w:t>
      </w:r>
    </w:p>
    <w:p>
      <w:pPr>
        <w:sectPr>
          <w:pgSz w:w="11900" w:h="16838" w:orient="portrait"/>
          <w:cols w:equalWidth="0" w:num="1">
            <w:col w:w="11420"/>
          </w:cols>
          <w:pgMar w:left="240" w:top="369" w:right="239" w:bottom="1440" w:gutter="0" w:footer="0" w:header="0"/>
        </w:sect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369"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38" w:lineRule="auto"/>
        <w:rPr>
          <w:sz w:val="20"/>
          <w:szCs w:val="20"/>
          <w:color w:val="auto"/>
        </w:rPr>
      </w:pPr>
      <w:r>
        <w:rPr>
          <w:rFonts w:ascii="Arial" w:cs="Arial" w:eastAsia="Arial" w:hAnsi="Arial"/>
          <w:sz w:val="22"/>
          <w:szCs w:val="22"/>
          <w:color w:val="auto"/>
        </w:rPr>
        <w:t>[Title of Company Representative]</w:t>
      </w:r>
    </w:p>
    <w:p>
      <w:pPr>
        <w:spacing w:after="0"/>
        <w:rPr>
          <w:sz w:val="20"/>
          <w:szCs w:val="20"/>
          <w:color w:val="auto"/>
        </w:rPr>
      </w:pPr>
      <w:r>
        <w:rPr>
          <w:rFonts w:ascii="Arial" w:cs="Arial" w:eastAsia="Arial" w:hAnsi="Arial"/>
          <w:sz w:val="19"/>
          <w:szCs w:val="19"/>
          <w:color w:val="auto"/>
        </w:rPr>
        <w:t>Date signed: ____________________________</w:t>
      </w:r>
    </w:p>
    <w:p>
      <w:pPr>
        <w:sectPr>
          <w:pgSz w:w="11900" w:h="16838" w:orient="portrait"/>
          <w:cols w:equalWidth="0" w:num="2">
            <w:col w:w="4860" w:space="720"/>
            <w:col w:w="5840"/>
          </w:cols>
          <w:pgMar w:left="240" w:top="369" w:right="2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RESTRICTED STOCK UNIT AWARD AGREEMENT FOR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60" w:lineRule="auto"/>
        <w:tabs>
          <w:tab w:leader="none" w:pos="486"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DESCRIPTION OF YOUR RESTRICTED STOCK UNITS. </w:t>
      </w:r>
      <w:r>
        <w:rPr>
          <w:rFonts w:ascii="Arial" w:cs="Arial" w:eastAsia="Arial" w:hAnsi="Arial"/>
          <w:sz w:val="21"/>
          <w:szCs w:val="21"/>
          <w:color w:val="auto"/>
        </w:rPr>
        <w:t>You have been granted [</w:t>
      </w:r>
      <w:r>
        <w:rPr>
          <w:rFonts w:ascii="Arial" w:cs="Arial" w:eastAsia="Arial" w:hAnsi="Arial"/>
          <w:sz w:val="21"/>
          <w:szCs w:val="21"/>
          <w:b w:val="1"/>
          <w:bCs w:val="1"/>
          <w:color w:val="auto"/>
        </w:rPr>
        <w:t>Number</w:t>
      </w:r>
      <w:r>
        <w:rPr>
          <w:rFonts w:ascii="Arial" w:cs="Arial" w:eastAsia="Arial" w:hAnsi="Arial"/>
          <w:sz w:val="21"/>
          <w:szCs w:val="21"/>
          <w:color w:val="auto"/>
        </w:rPr>
        <w:t>]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(“RSUs”) and an equal number of related dividend equivalents. The “Grant Date” of your Award is [</w:t>
      </w:r>
      <w:r>
        <w:rPr>
          <w:rFonts w:ascii="Arial" w:cs="Arial" w:eastAsia="Arial" w:hAnsi="Arial"/>
          <w:sz w:val="21"/>
          <w:szCs w:val="21"/>
          <w:b w:val="1"/>
          <w:bCs w:val="1"/>
          <w:color w:val="auto"/>
        </w:rPr>
        <w:t>Grant Date</w:t>
      </w:r>
      <w:r>
        <w:rPr>
          <w:rFonts w:ascii="Arial" w:cs="Arial" w:eastAsia="Arial" w:hAnsi="Arial"/>
          <w:sz w:val="21"/>
          <w:szCs w:val="21"/>
          <w:color w:val="auto"/>
        </w:rPr>
        <w:t>].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To accept this Award Agreement, you must return a signed copy of this Award Agreement no later than [</w:t>
      </w:r>
      <w:r>
        <w:rPr>
          <w:rFonts w:ascii="Arial" w:cs="Arial" w:eastAsia="Arial" w:hAnsi="Arial"/>
          <w:sz w:val="21"/>
          <w:szCs w:val="21"/>
          <w:b w:val="1"/>
          <w:bCs w:val="1"/>
          <w:color w:val="auto"/>
        </w:rPr>
        <w:t>Date 30 Days After Grant Date</w:t>
      </w:r>
      <w:r>
        <w:rPr>
          <w:rFonts w:ascii="Arial" w:cs="Arial" w:eastAsia="Arial" w:hAnsi="Arial"/>
          <w:sz w:val="21"/>
          <w:szCs w:val="21"/>
          <w:color w:val="auto"/>
        </w:rPr>
        <w:t>], to [</w:t>
      </w:r>
      <w:r>
        <w:rPr>
          <w:rFonts w:ascii="Arial" w:cs="Arial" w:eastAsia="Arial" w:hAnsi="Arial"/>
          <w:sz w:val="21"/>
          <w:szCs w:val="21"/>
          <w:b w:val="1"/>
          <w:bCs w:val="1"/>
          <w:color w:val="auto"/>
        </w:rPr>
        <w:t>Third Party</w:t>
      </w:r>
      <w:r>
        <w:rPr>
          <w:rFonts w:ascii="Arial" w:cs="Arial" w:eastAsia="Arial" w:hAnsi="Arial"/>
          <w:sz w:val="21"/>
          <w:szCs w:val="21"/>
          <w:color w:val="auto"/>
        </w:rPr>
        <w:t xml:space="preserve"> </w:t>
      </w:r>
      <w:r>
        <w:rPr>
          <w:rFonts w:ascii="Arial" w:cs="Arial" w:eastAsia="Arial" w:hAnsi="Arial"/>
          <w:sz w:val="21"/>
          <w:szCs w:val="21"/>
          <w:b w:val="1"/>
          <w:bCs w:val="1"/>
          <w:color w:val="auto"/>
        </w:rPr>
        <w:t>Administrator</w:t>
      </w:r>
      <w:r>
        <w:rPr>
          <w:rFonts w:ascii="Arial" w:cs="Arial" w:eastAsia="Arial" w:hAnsi="Arial"/>
          <w:sz w:val="21"/>
          <w:szCs w:val="21"/>
          <w:color w:val="auto"/>
        </w:rPr>
        <w:t>] (the “Third Party Administrator”) as follows:</w:t>
      </w:r>
    </w:p>
    <w:p>
      <w:pPr>
        <w:spacing w:after="0" w:line="2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This Award Agreement and your RSUs are granted pursuant to and in accordance with The Scotts Miracle-Gro Company Long-Term Incentive Plan as amended and restated January 17, 2013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54" w:lineRule="exact"/>
        <w:rPr>
          <w:rFonts w:ascii="Arial" w:cs="Arial" w:eastAsia="Arial" w:hAnsi="Arial"/>
          <w:sz w:val="22"/>
          <w:szCs w:val="22"/>
          <w:color w:val="auto"/>
        </w:rPr>
      </w:pPr>
    </w:p>
    <w:p>
      <w:pPr>
        <w:ind w:firstLine="8"/>
        <w:spacing w:after="0" w:line="282" w:lineRule="auto"/>
        <w:tabs>
          <w:tab w:leader="none" w:pos="369"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88" w:lineRule="exact"/>
        <w:rPr>
          <w:rFonts w:ascii="Arial" w:cs="Arial" w:eastAsia="Arial" w:hAnsi="Arial"/>
          <w:sz w:val="22"/>
          <w:szCs w:val="22"/>
          <w:b w:val="1"/>
          <w:bCs w:val="1"/>
          <w:color w:val="auto"/>
        </w:rPr>
      </w:pPr>
    </w:p>
    <w:p>
      <w:pPr>
        <w:ind w:left="1320" w:hanging="664"/>
        <w:spacing w:after="0" w:line="269" w:lineRule="auto"/>
        <w:tabs>
          <w:tab w:leader="none" w:pos="1302"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employment continues from the Grant Date until the third anniversary of the Grant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this case </w:t>
      </w:r>
      <w:r>
        <w:rPr>
          <w:rFonts w:ascii="Arial" w:cs="Arial" w:eastAsia="Arial" w:hAnsi="Arial"/>
          <w:sz w:val="22"/>
          <w:szCs w:val="22"/>
          <w:b w:val="1"/>
          <w:bCs w:val="1"/>
          <w:color w:val="auto"/>
        </w:rPr>
        <w:t>[Vesting Date]</w:t>
      </w:r>
      <w:r>
        <w:rPr>
          <w:rFonts w:ascii="Arial" w:cs="Arial" w:eastAsia="Arial" w:hAnsi="Arial"/>
          <w:sz w:val="22"/>
          <w:szCs w:val="22"/>
          <w:color w:val="auto"/>
        </w:rPr>
        <w:t xml:space="preserve"> (the “Vesting Date”), your</w:t>
      </w:r>
    </w:p>
    <w:p>
      <w:pPr>
        <w:sectPr>
          <w:pgSz w:w="11900" w:h="16838" w:orient="portrait"/>
          <w:cols w:equalWidth="0" w:num="1">
            <w:col w:w="11420"/>
          </w:cols>
          <w:pgMar w:left="240" w:top="126" w:right="239" w:bottom="1440" w:gutter="0" w:footer="0" w:header="0"/>
        </w:sectPr>
      </w:pPr>
    </w:p>
    <w:bookmarkStart w:id="57" w:name="page58"/>
    <w:bookmarkEnd w:id="57"/>
    <w:p>
      <w:pPr>
        <w:ind w:left="1320"/>
        <w:spacing w:after="0"/>
        <w:rPr>
          <w:sz w:val="20"/>
          <w:szCs w:val="20"/>
          <w:color w:val="auto"/>
        </w:rPr>
      </w:pPr>
      <w:r>
        <w:rPr>
          <w:rFonts w:ascii="Arial" w:cs="Arial" w:eastAsia="Arial" w:hAnsi="Arial"/>
          <w:sz w:val="22"/>
          <w:szCs w:val="22"/>
          <w:color w:val="auto"/>
        </w:rPr>
        <w:t>RSUs described in this Award Agreement will become 100% vested on the Vesting Date; or</w:t>
      </w:r>
    </w:p>
    <w:p>
      <w:pPr>
        <w:spacing w:after="0" w:line="254" w:lineRule="exact"/>
        <w:rPr>
          <w:sz w:val="20"/>
          <w:szCs w:val="20"/>
          <w:color w:val="auto"/>
        </w:rPr>
      </w:pPr>
    </w:p>
    <w:p>
      <w:pPr>
        <w:ind w:left="1320" w:hanging="664"/>
        <w:spacing w:after="0" w:line="269" w:lineRule="auto"/>
        <w:tabs>
          <w:tab w:leader="none" w:pos="1302" w:val="left"/>
        </w:tabs>
        <w:numPr>
          <w:ilvl w:val="1"/>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your RSUs described in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100% vested earlier than the Vesting Date:</w:t>
      </w:r>
    </w:p>
    <w:p>
      <w:pPr>
        <w:spacing w:after="0" w:line="208"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2"/>
          <w:numId w:val="40"/>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your RSUs described in this Award Agreement will become 100% vested as of the date of such event and will be settled in accordance with Section 4 of this Award Agreement.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200" w:lineRule="exact"/>
        <w:rPr>
          <w:rFonts w:ascii="Arial" w:cs="Arial" w:eastAsia="Arial" w:hAnsi="Arial"/>
          <w:sz w:val="19"/>
          <w:szCs w:val="19"/>
          <w:color w:val="auto"/>
        </w:rPr>
      </w:pPr>
    </w:p>
    <w:p>
      <w:pPr>
        <w:jc w:val="both"/>
        <w:ind w:left="1960" w:hanging="655"/>
        <w:spacing w:after="0" w:line="250" w:lineRule="auto"/>
        <w:tabs>
          <w:tab w:leader="none" w:pos="1960" w:val="left"/>
        </w:tabs>
        <w:numPr>
          <w:ilvl w:val="2"/>
          <w:numId w:val="40"/>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55 and completing at least 10 years of employment with the Company, its Affiliates and/or its Subsidiaries, your RSUs described in this Award Agreement will become 100% vested as of the date of such event and will be settled in accordance with Section 4 of this Award Agreement.</w:t>
      </w:r>
    </w:p>
    <w:p>
      <w:pPr>
        <w:spacing w:after="0" w:line="200" w:lineRule="exact"/>
        <w:rPr>
          <w:rFonts w:ascii="Arial" w:cs="Arial" w:eastAsia="Arial" w:hAnsi="Arial"/>
          <w:sz w:val="22"/>
          <w:szCs w:val="22"/>
          <w:color w:val="auto"/>
        </w:rPr>
      </w:pPr>
    </w:p>
    <w:p>
      <w:pPr>
        <w:spacing w:after="0" w:line="279" w:lineRule="exact"/>
        <w:rPr>
          <w:rFonts w:ascii="Arial" w:cs="Arial" w:eastAsia="Arial" w:hAnsi="Arial"/>
          <w:sz w:val="22"/>
          <w:szCs w:val="22"/>
          <w:color w:val="auto"/>
        </w:rPr>
      </w:pPr>
    </w:p>
    <w:p>
      <w:pPr>
        <w:ind w:left="380" w:hanging="372"/>
        <w:spacing w:after="0"/>
        <w:tabs>
          <w:tab w:leader="none" w:pos="3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88"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your vested RSUs, minus any shares that are withheld for taxes as provided under Section 4(c), shall be settled in a lump sum as soon as administratively practicable, but no later than 90 days following the earliest date to occur of: (i) your Termination due to your death or Disability; or</w:t>
      </w:r>
    </w:p>
    <w:p>
      <w:pPr>
        <w:spacing w:after="0" w:line="1" w:lineRule="exact"/>
        <w:rPr>
          <w:rFonts w:ascii="Arial" w:cs="Arial" w:eastAsia="Arial" w:hAnsi="Arial"/>
          <w:sz w:val="19"/>
          <w:szCs w:val="19"/>
          <w:color w:val="auto"/>
        </w:rPr>
      </w:pPr>
    </w:p>
    <w:p>
      <w:pPr>
        <w:jc w:val="both"/>
        <w:ind w:left="1300" w:firstLine="5"/>
        <w:spacing w:after="0" w:line="245" w:lineRule="auto"/>
        <w:tabs>
          <w:tab w:leader="none" w:pos="1622"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third anniversary of the Grant Date (the “Settlement Date”). Your whole RSUs shall be settled in full Shares, and any fractional RSU shall be settled in cash, determined based upon the Fair Market Value of a Share on the Settlement Date.</w:t>
      </w:r>
    </w:p>
    <w:p>
      <w:pPr>
        <w:spacing w:after="0" w:line="193" w:lineRule="exact"/>
        <w:rPr>
          <w:rFonts w:ascii="Arial" w:cs="Arial" w:eastAsia="Arial" w:hAnsi="Arial"/>
          <w:sz w:val="22"/>
          <w:szCs w:val="22"/>
          <w:color w:val="auto"/>
        </w:rPr>
      </w:pPr>
    </w:p>
    <w:p>
      <w:pPr>
        <w:ind w:left="1300" w:hanging="644"/>
        <w:spacing w:after="0" w:line="287" w:lineRule="auto"/>
        <w:tabs>
          <w:tab w:leader="none" w:pos="13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Except as provided in Section 5 of this Award Agreement, you will have none of the rights of a shareholder with respect to Shares underlying the RSUs unless and until you become the record holder of such Shares.</w:t>
      </w:r>
    </w:p>
    <w:p>
      <w:pPr>
        <w:spacing w:after="0" w:line="151" w:lineRule="exact"/>
        <w:rPr>
          <w:rFonts w:ascii="Arial" w:cs="Arial" w:eastAsia="Arial" w:hAnsi="Arial"/>
          <w:sz w:val="21"/>
          <w:szCs w:val="21"/>
          <w:color w:val="auto"/>
        </w:rPr>
      </w:pPr>
    </w:p>
    <w:p>
      <w:pPr>
        <w:ind w:left="1300" w:right="20" w:hanging="644"/>
        <w:spacing w:after="0" w:line="263"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You may use one of the following methods to pay the required withholding taxes related to the vesting of your RSUs. You will decide on the method at the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58" w:name="page59"/>
    <w:bookmarkEnd w:id="58"/>
    <w:p>
      <w:pPr>
        <w:ind w:left="1300"/>
        <w:spacing w:after="0" w:line="263" w:lineRule="auto"/>
        <w:rPr>
          <w:sz w:val="20"/>
          <w:szCs w:val="20"/>
          <w:color w:val="auto"/>
        </w:rPr>
      </w:pPr>
      <w:r>
        <w:rPr>
          <w:rFonts w:ascii="Arial" w:cs="Arial" w:eastAsia="Arial" w:hAnsi="Arial"/>
          <w:sz w:val="22"/>
          <w:szCs w:val="22"/>
          <w:color w:val="auto"/>
        </w:rPr>
        <w:t>prescribed by the Company. If you do not elect one of these methods, the Company will apply the Net Settlement method described below:</w:t>
      </w:r>
    </w:p>
    <w:p>
      <w:pPr>
        <w:spacing w:after="0" w:line="175" w:lineRule="exact"/>
        <w:rPr>
          <w:sz w:val="20"/>
          <w:szCs w:val="20"/>
          <w:color w:val="auto"/>
        </w:rPr>
      </w:pPr>
    </w:p>
    <w:p>
      <w:pPr>
        <w:jc w:val="both"/>
        <w:ind w:left="1960" w:hanging="655"/>
        <w:spacing w:after="0" w:line="253" w:lineRule="auto"/>
        <w:tabs>
          <w:tab w:leader="none" w:pos="1960" w:val="left"/>
        </w:tabs>
        <w:numPr>
          <w:ilvl w:val="2"/>
          <w:numId w:val="42"/>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RSUs.</w:t>
      </w:r>
    </w:p>
    <w:p>
      <w:pPr>
        <w:spacing w:after="0" w:line="226" w:lineRule="exact"/>
        <w:rPr>
          <w:rFonts w:ascii="Arial" w:cs="Arial" w:eastAsia="Arial" w:hAnsi="Arial"/>
          <w:sz w:val="22"/>
          <w:szCs w:val="22"/>
          <w:color w:val="auto"/>
        </w:rPr>
      </w:pPr>
    </w:p>
    <w:p>
      <w:pPr>
        <w:ind w:left="1960" w:hanging="655"/>
        <w:spacing w:after="0" w:line="287" w:lineRule="auto"/>
        <w:tabs>
          <w:tab w:leader="none" w:pos="1960" w:val="left"/>
        </w:tabs>
        <w:numPr>
          <w:ilvl w:val="2"/>
          <w:numId w:val="42"/>
        </w:numPr>
        <w:rPr>
          <w:rFonts w:ascii="Arial" w:cs="Arial" w:eastAsia="Arial" w:hAnsi="Arial"/>
          <w:sz w:val="21"/>
          <w:szCs w:val="21"/>
          <w:color w:val="auto"/>
        </w:rPr>
      </w:pPr>
      <w:r>
        <w:rPr>
          <w:rFonts w:ascii="Arial" w:cs="Arial" w:eastAsia="Arial" w:hAnsi="Arial"/>
          <w:sz w:val="21"/>
          <w:szCs w:val="21"/>
          <w:color w:val="auto"/>
        </w:rPr>
        <w:t>NET SETTLEMENT: If you elect this alternative, the Company will retain the number of shares with a Fair Market Value equal to the minimum statutory withholding requirements applicable on your RSUs.</w:t>
      </w:r>
    </w:p>
    <w:p>
      <w:pPr>
        <w:spacing w:after="0" w:line="192"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Normally, your RSUs will vest and be settled only under the circumstances described above. However, if there is a Change in Control, your RSUs will become 100% vested on the date of the Change in Control and will be settled as described in the Plan. See the Plan for further details.</w:t>
      </w:r>
    </w:p>
    <w:p>
      <w:pPr>
        <w:spacing w:after="0" w:line="220" w:lineRule="exact"/>
        <w:rPr>
          <w:rFonts w:ascii="Arial" w:cs="Arial" w:eastAsia="Arial" w:hAnsi="Arial"/>
          <w:sz w:val="22"/>
          <w:szCs w:val="22"/>
          <w:color w:val="auto"/>
        </w:rPr>
      </w:pPr>
    </w:p>
    <w:p>
      <w:pPr>
        <w:jc w:val="both"/>
        <w:ind w:firstLine="8"/>
        <w:spacing w:after="0" w:line="248" w:lineRule="auto"/>
        <w:tabs>
          <w:tab w:leader="none" w:pos="4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You will be entitled to receive a dividend equivalent equal to any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on each Share represented by a related RSU, subject to the same terms and conditions as the related RSU. Any dividend equivalents described in this Section 5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27" w:lineRule="exact"/>
        <w:rPr>
          <w:rFonts w:ascii="Arial" w:cs="Arial" w:eastAsia="Arial" w:hAnsi="Arial"/>
          <w:sz w:val="22"/>
          <w:szCs w:val="22"/>
          <w:b w:val="1"/>
          <w:bCs w:val="1"/>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Except as otherwise provided in Section 3 or Section 4(d) of this Award Agreement, you will forfeit your unvested RSUs if you Terminate prior to the Vesting Date.</w:t>
      </w:r>
    </w:p>
    <w:p>
      <w:pPr>
        <w:spacing w:after="0" w:line="215"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2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59" w:name="page60"/>
    <w:bookmarkEnd w:id="59"/>
    <w:p>
      <w:pPr>
        <w:jc w:val="both"/>
        <w:ind w:left="1960" w:hanging="655"/>
        <w:spacing w:after="0" w:line="247" w:lineRule="auto"/>
        <w:tabs>
          <w:tab w:leader="none" w:pos="19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firstLine="8"/>
        <w:spacing w:after="0" w:line="269" w:lineRule="auto"/>
        <w:tabs>
          <w:tab w:leader="none" w:pos="402"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8"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64" w:lineRule="auto"/>
        <w:tabs>
          <w:tab w:leader="none" w:pos="47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related dividend equivalents will be subject to the terms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firstLine="8"/>
        <w:spacing w:after="0" w:line="256" w:lineRule="auto"/>
        <w:tabs>
          <w:tab w:leader="none" w:pos="528"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(e.g., the number of Shares underlying your RSUs will be adjusted to reflect a stock split).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60" w:name="page61"/>
    <w:bookmarkEnd w:id="60"/>
    <w:p>
      <w:pPr>
        <w:spacing w:after="0"/>
        <w:tabs>
          <w:tab w:leader="none" w:pos="46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line="269"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 30 Days After</w:t>
      </w:r>
      <w:r>
        <w:rPr>
          <w:rFonts w:ascii="Arial" w:cs="Arial" w:eastAsia="Arial" w:hAnsi="Arial"/>
          <w:sz w:val="22"/>
          <w:szCs w:val="22"/>
          <w:color w:val="auto"/>
        </w:rPr>
        <w:t xml:space="preserv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600" w:type="dxa"/>
            <w:vAlign w:val="bottom"/>
          </w:tcPr>
          <w:p>
            <w:pPr>
              <w:spacing w:after="0"/>
              <w:rPr>
                <w:sz w:val="23"/>
                <w:szCs w:val="23"/>
                <w:color w:val="auto"/>
              </w:rPr>
            </w:pPr>
          </w:p>
        </w:tc>
        <w:tc>
          <w:tcPr>
            <w:tcW w:w="5120" w:type="dxa"/>
            <w:vAlign w:val="bottom"/>
          </w:tcPr>
          <w:p>
            <w:pPr>
              <w:ind w:left="880"/>
              <w:spacing w:after="0"/>
              <w:rPr>
                <w:sz w:val="20"/>
                <w:szCs w:val="20"/>
                <w:color w:val="auto"/>
              </w:rPr>
            </w:pPr>
            <w:r>
              <w:rPr>
                <w:rFonts w:ascii="Arial" w:cs="Arial" w:eastAsia="Arial" w:hAnsi="Arial"/>
                <w:sz w:val="22"/>
                <w:szCs w:val="22"/>
                <w:color w:val="auto"/>
              </w:rPr>
              <w:t>THE SCOTTS MIRACLE-GRO COMPANY</w:t>
            </w:r>
          </w:p>
        </w:tc>
        <w:tc>
          <w:tcPr>
            <w:tcW w:w="0" w:type="dxa"/>
            <w:vAlign w:val="bottom"/>
          </w:tcPr>
          <w:p>
            <w:pPr>
              <w:spacing w:after="0"/>
              <w:rPr>
                <w:sz w:val="1"/>
                <w:szCs w:val="1"/>
                <w:color w:val="auto"/>
              </w:rPr>
            </w:pPr>
          </w:p>
        </w:tc>
      </w:tr>
      <w:tr>
        <w:trPr>
          <w:trHeight w:val="486"/>
        </w:trPr>
        <w:tc>
          <w:tcPr>
            <w:tcW w:w="4600" w:type="dxa"/>
            <w:vAlign w:val="bottom"/>
            <w:vMerge w:val="restart"/>
          </w:tcPr>
          <w:p>
            <w:pPr>
              <w:spacing w:after="0"/>
              <w:rPr>
                <w:sz w:val="20"/>
                <w:szCs w:val="20"/>
                <w:color w:val="auto"/>
              </w:rPr>
            </w:pPr>
            <w:r>
              <w:rPr>
                <w:rFonts w:ascii="Arial" w:cs="Arial" w:eastAsia="Arial" w:hAnsi="Arial"/>
                <w:sz w:val="22"/>
                <w:szCs w:val="22"/>
                <w:color w:val="auto"/>
              </w:rPr>
              <w:t>[Grantee’s Name]</w:t>
            </w:r>
          </w:p>
        </w:tc>
        <w:tc>
          <w:tcPr>
            <w:tcW w:w="5120" w:type="dxa"/>
            <w:vAlign w:val="bottom"/>
          </w:tcPr>
          <w:p>
            <w:pPr>
              <w:ind w:left="940"/>
              <w:spacing w:after="0"/>
              <w:rPr>
                <w:sz w:val="20"/>
                <w:szCs w:val="20"/>
                <w:color w:val="auto"/>
              </w:rPr>
            </w:pPr>
            <w:r>
              <w:rPr>
                <w:rFonts w:ascii="Arial" w:cs="Arial" w:eastAsia="Arial" w:hAnsi="Arial"/>
                <w:sz w:val="22"/>
                <w:szCs w:val="22"/>
                <w:color w:val="auto"/>
                <w:w w:val="89"/>
              </w:rPr>
              <w:t>By: ___________________________________</w:t>
            </w:r>
          </w:p>
        </w:tc>
        <w:tc>
          <w:tcPr>
            <w:tcW w:w="0" w:type="dxa"/>
            <w:vAlign w:val="bottom"/>
          </w:tcPr>
          <w:p>
            <w:pPr>
              <w:spacing w:after="0"/>
              <w:rPr>
                <w:sz w:val="1"/>
                <w:szCs w:val="1"/>
                <w:color w:val="auto"/>
              </w:rPr>
            </w:pPr>
          </w:p>
        </w:tc>
      </w:tr>
      <w:tr>
        <w:trPr>
          <w:trHeight w:val="243"/>
        </w:trPr>
        <w:tc>
          <w:tcPr>
            <w:tcW w:w="4600" w:type="dxa"/>
            <w:vAlign w:val="bottom"/>
            <w:vMerge w:val="continue"/>
          </w:tcPr>
          <w:p>
            <w:pPr>
              <w:spacing w:after="0"/>
              <w:rPr>
                <w:sz w:val="21"/>
                <w:szCs w:val="21"/>
                <w:color w:val="auto"/>
              </w:rPr>
            </w:pPr>
          </w:p>
        </w:tc>
        <w:tc>
          <w:tcPr>
            <w:tcW w:w="5120" w:type="dxa"/>
            <w:vAlign w:val="bottom"/>
            <w:vMerge w:val="restart"/>
          </w:tcPr>
          <w:p>
            <w:pPr>
              <w:ind w:left="940"/>
              <w:spacing w:after="0"/>
              <w:rPr>
                <w:sz w:val="20"/>
                <w:szCs w:val="20"/>
                <w:color w:val="auto"/>
              </w:rPr>
            </w:pPr>
            <w:r>
              <w:rPr>
                <w:rFonts w:ascii="Arial" w:cs="Arial" w:eastAsia="Arial" w:hAnsi="Arial"/>
                <w:sz w:val="22"/>
                <w:szCs w:val="22"/>
                <w:color w:val="auto"/>
              </w:rPr>
              <w:t>[Name of Company Representative]</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line="243" w:lineRule="exact"/>
              <w:rPr>
                <w:sz w:val="20"/>
                <w:szCs w:val="20"/>
                <w:color w:val="auto"/>
              </w:rPr>
            </w:pPr>
            <w:r>
              <w:rPr>
                <w:rFonts w:ascii="Arial" w:cs="Arial" w:eastAsia="Arial" w:hAnsi="Arial"/>
                <w:sz w:val="22"/>
                <w:szCs w:val="22"/>
                <w:color w:val="auto"/>
              </w:rPr>
              <w:t>By: ______________________________</w:t>
            </w:r>
          </w:p>
        </w:tc>
        <w:tc>
          <w:tcPr>
            <w:tcW w:w="5120" w:type="dxa"/>
            <w:vAlign w:val="bottom"/>
          </w:tcPr>
          <w:p>
            <w:pPr>
              <w:ind w:left="940"/>
              <w:spacing w:after="0" w:line="243" w:lineRule="exact"/>
              <w:rPr>
                <w:sz w:val="20"/>
                <w:szCs w:val="20"/>
                <w:color w:val="auto"/>
              </w:rPr>
            </w:pPr>
            <w:r>
              <w:rPr>
                <w:rFonts w:ascii="Arial" w:cs="Arial" w:eastAsia="Arial" w:hAnsi="Arial"/>
                <w:sz w:val="22"/>
                <w:szCs w:val="22"/>
                <w:color w:val="auto"/>
              </w:rPr>
              <w:t>[Title of Company Representative]</w:t>
            </w:r>
          </w:p>
        </w:tc>
        <w:tc>
          <w:tcPr>
            <w:tcW w:w="0" w:type="dxa"/>
            <w:vAlign w:val="bottom"/>
          </w:tcPr>
          <w:p>
            <w:pPr>
              <w:spacing w:after="0"/>
              <w:rPr>
                <w:sz w:val="1"/>
                <w:szCs w:val="1"/>
                <w:color w:val="auto"/>
              </w:rPr>
            </w:pPr>
          </w:p>
        </w:tc>
      </w:tr>
      <w:tr>
        <w:trPr>
          <w:trHeight w:val="275"/>
        </w:trPr>
        <w:tc>
          <w:tcPr>
            <w:tcW w:w="4600" w:type="dxa"/>
            <w:vAlign w:val="bottom"/>
            <w:vMerge w:val="restart"/>
          </w:tcPr>
          <w:p>
            <w:pPr>
              <w:spacing w:after="0"/>
              <w:rPr>
                <w:sz w:val="20"/>
                <w:szCs w:val="20"/>
                <w:color w:val="auto"/>
              </w:rPr>
            </w:pPr>
            <w:r>
              <w:rPr>
                <w:rFonts w:ascii="Arial" w:cs="Arial" w:eastAsia="Arial" w:hAnsi="Arial"/>
                <w:sz w:val="22"/>
                <w:szCs w:val="22"/>
                <w:color w:val="auto"/>
              </w:rPr>
              <w:t>Date signed: ________________________</w:t>
            </w:r>
          </w:p>
        </w:tc>
        <w:tc>
          <w:tcPr>
            <w:tcW w:w="5120" w:type="dxa"/>
            <w:vAlign w:val="bottom"/>
          </w:tcPr>
          <w:p>
            <w:pPr>
              <w:ind w:left="940"/>
              <w:spacing w:after="0"/>
              <w:rPr>
                <w:sz w:val="20"/>
                <w:szCs w:val="20"/>
                <w:color w:val="auto"/>
              </w:rPr>
            </w:pPr>
            <w:r>
              <w:rPr>
                <w:rFonts w:ascii="Arial" w:cs="Arial" w:eastAsia="Arial" w:hAnsi="Arial"/>
                <w:sz w:val="22"/>
                <w:szCs w:val="22"/>
                <w:color w:val="auto"/>
                <w:w w:val="88"/>
              </w:rPr>
              <w:t>Date signed: ____________________________</w:t>
            </w:r>
          </w:p>
        </w:tc>
        <w:tc>
          <w:tcPr>
            <w:tcW w:w="0" w:type="dxa"/>
            <w:vAlign w:val="bottom"/>
          </w:tcPr>
          <w:p>
            <w:pPr>
              <w:spacing w:after="0"/>
              <w:rPr>
                <w:sz w:val="1"/>
                <w:szCs w:val="1"/>
                <w:color w:val="auto"/>
              </w:rPr>
            </w:pPr>
          </w:p>
        </w:tc>
      </w:tr>
      <w:tr>
        <w:trPr>
          <w:trHeight w:val="243"/>
        </w:trPr>
        <w:tc>
          <w:tcPr>
            <w:tcW w:w="4600" w:type="dxa"/>
            <w:vAlign w:val="bottom"/>
            <w:vMerge w:val="continue"/>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 UNIT AWARD AGREEMENT FOR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left="320" w:hanging="312"/>
        <w:spacing w:after="0" w:line="249" w:lineRule="auto"/>
        <w:tabs>
          <w:tab w:leader="none" w:pos="32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PERFORMANCE UNITS. </w:t>
      </w:r>
      <w:r>
        <w:rPr>
          <w:rFonts w:ascii="Arial" w:cs="Arial" w:eastAsia="Arial" w:hAnsi="Arial"/>
          <w:sz w:val="22"/>
          <w:szCs w:val="22"/>
          <w:color w:val="auto"/>
        </w:rPr>
        <w:t>You have received a grant of [</w:t>
      </w:r>
      <w:r>
        <w:rPr>
          <w:rFonts w:ascii="Arial" w:cs="Arial" w:eastAsia="Arial" w:hAnsi="Arial"/>
          <w:sz w:val="22"/>
          <w:szCs w:val="22"/>
          <w:b w:val="1"/>
          <w:bCs w:val="1"/>
          <w:color w:val="auto"/>
        </w:rPr>
        <w:t>Number</w:t>
      </w:r>
      <w:r>
        <w:rPr>
          <w:rFonts w:ascii="Arial" w:cs="Arial" w:eastAsia="Arial" w:hAnsi="Arial"/>
          <w:sz w:val="22"/>
          <w:szCs w:val="22"/>
          <w:color w:val="auto"/>
        </w:rPr>
        <w:t>] Performance Units</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Units”), based on a target level of performance, and an equal number of related dividend equivalents. If the minimum performance is achieved (and if all other service and vesting requirements are met), the Performance Units and related dividend equivalents that will actually be awarded to you may be more or less than the number of Performance Units granted. See Sections 3, 6 and Exhibit A for more details.</w:t>
      </w:r>
    </w:p>
    <w:p>
      <w:pPr>
        <w:spacing w:after="0" w:line="187" w:lineRule="exact"/>
        <w:rPr>
          <w:sz w:val="20"/>
          <w:szCs w:val="20"/>
          <w:color w:val="auto"/>
        </w:rPr>
      </w:pPr>
    </w:p>
    <w:p>
      <w:pPr>
        <w:jc w:val="both"/>
        <w:ind w:left="340"/>
        <w:spacing w:after="0" w:line="256" w:lineRule="auto"/>
        <w:rPr>
          <w:sz w:val="20"/>
          <w:szCs w:val="20"/>
          <w:color w:val="auto"/>
        </w:rPr>
      </w:pPr>
      <w:r>
        <w:rPr>
          <w:rFonts w:ascii="Arial" w:cs="Arial" w:eastAsia="Arial" w:hAnsi="Arial"/>
          <w:sz w:val="22"/>
          <w:szCs w:val="22"/>
          <w:color w:val="auto"/>
        </w:rPr>
        <w:t>The “Grant Date” of your Award is [</w:t>
      </w:r>
      <w:r>
        <w:rPr>
          <w:rFonts w:ascii="Arial" w:cs="Arial" w:eastAsia="Arial" w:hAnsi="Arial"/>
          <w:sz w:val="22"/>
          <w:szCs w:val="22"/>
          <w:b w:val="1"/>
          <w:bCs w:val="1"/>
          <w:color w:val="auto"/>
        </w:rPr>
        <w:t>Grant Date</w:t>
      </w:r>
      <w:r>
        <w:rPr>
          <w:rFonts w:ascii="Arial" w:cs="Arial" w:eastAsia="Arial" w:hAnsi="Arial"/>
          <w:sz w:val="22"/>
          <w:szCs w:val="22"/>
          <w:color w:val="auto"/>
        </w:rPr>
        <w:t>]. To accept this Award Agreement, you must return a signed copy of this Award Agreement no later than [</w:t>
      </w:r>
      <w:r>
        <w:rPr>
          <w:rFonts w:ascii="Arial" w:cs="Arial" w:eastAsia="Arial" w:hAnsi="Arial"/>
          <w:sz w:val="22"/>
          <w:szCs w:val="22"/>
          <w:b w:val="1"/>
          <w:bCs w:val="1"/>
          <w:color w:val="auto"/>
        </w:rPr>
        <w:t>Date 30 Days After Grant Date</w:t>
      </w:r>
      <w:r>
        <w:rPr>
          <w:rFonts w:ascii="Arial" w:cs="Arial" w:eastAsia="Arial" w:hAnsi="Arial"/>
          <w:sz w:val="22"/>
          <w:szCs w:val="22"/>
          <w:color w:val="auto"/>
        </w:rPr>
        <w:t>], to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(the “Third Party Administrator”) as follows:</w:t>
      </w:r>
    </w:p>
    <w:p>
      <w:pPr>
        <w:spacing w:after="0" w:line="1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This Award Agreement and your Performance Units are granted pursuant to the terms and conditions of The Scotts Miracle-Gro Company Long-Term Incentive Plan as amended and restated January 17, 2013 (the “Plan”) and this Award Agreement. All provisions of the Plan are incorporated herein by reference, and your Performance Units and related dividend equivalents are subject to the terms of the Plan.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ectPr>
          <w:pgSz w:w="11900" w:h="16838" w:orient="portrait"/>
          <w:cols w:equalWidth="0" w:num="1">
            <w:col w:w="11420"/>
          </w:cols>
          <w:pgMar w:left="240" w:top="126" w:right="239" w:bottom="1440" w:gutter="0" w:footer="0" w:header="0"/>
        </w:sectPr>
      </w:pPr>
    </w:p>
    <w:bookmarkStart w:id="62" w:name="page63"/>
    <w:bookmarkEnd w:id="62"/>
    <w:p>
      <w:pPr>
        <w:jc w:val="both"/>
        <w:ind w:firstLine="8"/>
        <w:spacing w:after="0" w:line="295" w:lineRule="auto"/>
        <w:tabs>
          <w:tab w:leader="none" w:pos="559"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PERFORMANCE UNIT ACHIEVEMENT. </w:t>
      </w:r>
      <w:r>
        <w:rPr>
          <w:rFonts w:ascii="Arial" w:cs="Arial" w:eastAsia="Arial" w:hAnsi="Arial"/>
          <w:sz w:val="19"/>
          <w:szCs w:val="19"/>
          <w:color w:val="auto"/>
        </w:rPr>
        <w:t>The number of Performance Units Achieved will be calculated as follows: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Performance Units Achieved = Performance Units * Payout Percentage. </w:t>
      </w:r>
      <w:r>
        <w:rPr>
          <w:rFonts w:ascii="Arial" w:cs="Arial" w:eastAsia="Arial" w:hAnsi="Arial"/>
          <w:sz w:val="19"/>
          <w:szCs w:val="19"/>
          <w:color w:val="auto"/>
        </w:rPr>
        <w:t>The number of Performance Units Achieved is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satisfaction of the performance criteria set forth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over the period beginning on [</w:t>
      </w:r>
      <w:r>
        <w:rPr>
          <w:rFonts w:ascii="Arial" w:cs="Arial" w:eastAsia="Arial" w:hAnsi="Arial"/>
          <w:sz w:val="19"/>
          <w:szCs w:val="19"/>
          <w:b w:val="1"/>
          <w:bCs w:val="1"/>
          <w:color w:val="auto"/>
        </w:rPr>
        <w:t>Beginning Date</w:t>
      </w:r>
      <w:r>
        <w:rPr>
          <w:rFonts w:ascii="Arial" w:cs="Arial" w:eastAsia="Arial" w:hAnsi="Arial"/>
          <w:sz w:val="19"/>
          <w:szCs w:val="19"/>
          <w:color w:val="auto"/>
        </w:rPr>
        <w:t>] and ending on [</w:t>
      </w:r>
      <w:r>
        <w:rPr>
          <w:rFonts w:ascii="Arial" w:cs="Arial" w:eastAsia="Arial" w:hAnsi="Arial"/>
          <w:sz w:val="19"/>
          <w:szCs w:val="19"/>
          <w:b w:val="1"/>
          <w:bCs w:val="1"/>
          <w:color w:val="auto"/>
        </w:rPr>
        <w:t>Ending Date</w:t>
      </w:r>
      <w:r>
        <w:rPr>
          <w:rFonts w:ascii="Arial" w:cs="Arial" w:eastAsia="Arial" w:hAnsi="Arial"/>
          <w:sz w:val="19"/>
          <w:szCs w:val="19"/>
          <w:color w:val="auto"/>
        </w:rPr>
        <w:t>] (the “Performance Period”), and will be determined at the end of the Performance Period. If actual performance is below the Minimum performance level indicated, no Performance Units will be achieved. Each whole Performance Unit Achieved represents the right to receive one full Share at the time and in the manner described in this Award Agreement.</w:t>
      </w:r>
    </w:p>
    <w:p>
      <w:pPr>
        <w:spacing w:after="0" w:line="306" w:lineRule="exact"/>
        <w:rPr>
          <w:rFonts w:ascii="Arial" w:cs="Arial" w:eastAsia="Arial" w:hAnsi="Arial"/>
          <w:sz w:val="19"/>
          <w:szCs w:val="19"/>
          <w:b w:val="1"/>
          <w:bCs w:val="1"/>
          <w:color w:val="auto"/>
        </w:rPr>
      </w:pPr>
    </w:p>
    <w:p>
      <w:pPr>
        <w:ind w:firstLine="8"/>
        <w:spacing w:after="0" w:line="269" w:lineRule="auto"/>
        <w:tabs>
          <w:tab w:leader="none" w:pos="563"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7 of this Award Agreement, the Performance Units Achieved, as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 of this Award Agreement, are also subject to achieving the vesting criteria as follows:</w:t>
      </w:r>
    </w:p>
    <w:p>
      <w:pPr>
        <w:spacing w:after="0" w:line="202" w:lineRule="exact"/>
        <w:rPr>
          <w:rFonts w:ascii="Arial" w:cs="Arial" w:eastAsia="Arial" w:hAnsi="Arial"/>
          <w:sz w:val="22"/>
          <w:szCs w:val="22"/>
          <w:b w:val="1"/>
          <w:bCs w:val="1"/>
          <w:color w:val="auto"/>
        </w:rPr>
      </w:pPr>
    </w:p>
    <w:p>
      <w:pPr>
        <w:ind w:left="1300" w:right="20" w:hanging="644"/>
        <w:spacing w:after="0" w:line="350" w:lineRule="auto"/>
        <w:tabs>
          <w:tab w:leader="none" w:pos="1300" w:val="left"/>
        </w:tabs>
        <w:numPr>
          <w:ilvl w:val="1"/>
          <w:numId w:val="50"/>
        </w:numPr>
        <w:rPr>
          <w:rFonts w:ascii="Arial" w:cs="Arial" w:eastAsia="Arial" w:hAnsi="Arial"/>
          <w:sz w:val="19"/>
          <w:szCs w:val="19"/>
          <w:color w:val="auto"/>
        </w:rPr>
      </w:pPr>
      <w:r>
        <w:rPr>
          <w:rFonts w:ascii="Arial" w:cs="Arial" w:eastAsia="Arial" w:hAnsi="Arial"/>
          <w:sz w:val="19"/>
          <w:szCs w:val="19"/>
          <w:b w:val="1"/>
          <w:bCs w:val="1"/>
          <w:color w:val="auto"/>
        </w:rPr>
        <w:t xml:space="preserve">General Vesting. </w:t>
      </w:r>
      <w:r>
        <w:rPr>
          <w:rFonts w:ascii="Arial" w:cs="Arial" w:eastAsia="Arial" w:hAnsi="Arial"/>
          <w:sz w:val="19"/>
          <w:szCs w:val="19"/>
          <w:color w:val="auto"/>
        </w:rPr>
        <w:t>If your employment continues from the Grant Date until [</w:t>
      </w:r>
      <w:r>
        <w:rPr>
          <w:rFonts w:ascii="Arial" w:cs="Arial" w:eastAsia="Arial" w:hAnsi="Arial"/>
          <w:sz w:val="19"/>
          <w:szCs w:val="19"/>
          <w:b w:val="1"/>
          <w:bCs w:val="1"/>
          <w:color w:val="auto"/>
        </w:rPr>
        <w:t>Third Anniversary of Grant Date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“Vesting Date”) the number of Performance Units Achieved shall become 100% vested on the Vesting Date; or</w:t>
      </w:r>
    </w:p>
    <w:p>
      <w:pPr>
        <w:spacing w:after="0" w:line="132" w:lineRule="exact"/>
        <w:rPr>
          <w:rFonts w:ascii="Arial" w:cs="Arial" w:eastAsia="Arial" w:hAnsi="Arial"/>
          <w:sz w:val="19"/>
          <w:szCs w:val="19"/>
          <w:color w:val="auto"/>
        </w:rPr>
      </w:pPr>
    </w:p>
    <w:p>
      <w:pPr>
        <w:jc w:val="both"/>
        <w:ind w:left="1320" w:hanging="664"/>
        <w:spacing w:after="0" w:line="256" w:lineRule="auto"/>
        <w:tabs>
          <w:tab w:leader="none" w:pos="1302" w:val="left"/>
        </w:tabs>
        <w:numPr>
          <w:ilvl w:val="1"/>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the Performance Units Achieved will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become 100% vested, even if you Terminate prior to the Vesting Date (subject to the performance criteria as described in Section 3 and Exhibit A):</w:t>
      </w:r>
    </w:p>
    <w:p>
      <w:pPr>
        <w:spacing w:after="0" w:line="222"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2"/>
          <w:numId w:val="50"/>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the number of Performance Units Achieved, as described in this Award Agreement, will be deemed to become 100% vested as of the Vesting Date.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200" w:lineRule="exact"/>
        <w:rPr>
          <w:rFonts w:ascii="Arial" w:cs="Arial" w:eastAsia="Arial" w:hAnsi="Arial"/>
          <w:sz w:val="19"/>
          <w:szCs w:val="19"/>
          <w:color w:val="auto"/>
        </w:rPr>
      </w:pPr>
    </w:p>
    <w:p>
      <w:pPr>
        <w:jc w:val="both"/>
        <w:ind w:left="1960" w:hanging="655"/>
        <w:spacing w:after="0" w:line="250" w:lineRule="auto"/>
        <w:tabs>
          <w:tab w:leader="none" w:pos="1960" w:val="left"/>
        </w:tabs>
        <w:numPr>
          <w:ilvl w:val="2"/>
          <w:numId w:val="50"/>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55 and completing at least 10 years of employment with the Company, its Affiliates and/or its Subsidiaries, the number of Performance Units Achieved, as described in this Award Agreement, will be deemed to become 100% vested as of the Vesting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63" w:name="page64"/>
    <w:bookmarkEnd w:id="63"/>
    <w:p>
      <w:pPr>
        <w:ind w:left="380" w:hanging="372"/>
        <w:spacing w:after="0"/>
        <w:tabs>
          <w:tab w:leader="none" w:pos="38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97"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the number of vested Performance Units Achieved, minus any shares that are withheld for taxes as provided under Section 5(c), shall be settled in a lump sum as soon as administratively practicable, but no later than 90 days following the Vesting Date (the “Settlement Date”). Your whole Performance Units Achieved shall be settled in full Shares, and any fractional Performance Unit Achieved shall be settled in cash, determined based upon the Fair Market Value of a Share on the Settlement Date.</w:t>
      </w:r>
    </w:p>
    <w:p>
      <w:pPr>
        <w:spacing w:after="0" w:line="147" w:lineRule="exact"/>
        <w:rPr>
          <w:rFonts w:ascii="Arial" w:cs="Arial" w:eastAsia="Arial" w:hAnsi="Arial"/>
          <w:sz w:val="19"/>
          <w:szCs w:val="19"/>
          <w:color w:val="auto"/>
        </w:rPr>
      </w:pPr>
    </w:p>
    <w:p>
      <w:pPr>
        <w:ind w:left="1300" w:hanging="644"/>
        <w:spacing w:after="0" w:line="343"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Except as provided in Section 6 of this Award Agreement, you will have none of the rights of a shareholder with respect to Shares underlying the Performance Units unless and until you become the record holder of such Shares.</w:t>
      </w:r>
    </w:p>
    <w:p>
      <w:pPr>
        <w:spacing w:after="0" w:line="145" w:lineRule="exact"/>
        <w:rPr>
          <w:rFonts w:ascii="Arial" w:cs="Arial" w:eastAsia="Arial" w:hAnsi="Arial"/>
          <w:sz w:val="19"/>
          <w:szCs w:val="19"/>
          <w:color w:val="auto"/>
        </w:rPr>
      </w:pPr>
    </w:p>
    <w:p>
      <w:pPr>
        <w:jc w:val="both"/>
        <w:ind w:left="1300" w:hanging="644"/>
        <w:spacing w:after="0" w:line="271" w:lineRule="auto"/>
        <w:tabs>
          <w:tab w:leader="none" w:pos="1300" w:val="left"/>
        </w:tabs>
        <w:numPr>
          <w:ilvl w:val="1"/>
          <w:numId w:val="51"/>
        </w:numPr>
        <w:rPr>
          <w:rFonts w:ascii="Arial" w:cs="Arial" w:eastAsia="Arial" w:hAnsi="Arial"/>
          <w:sz w:val="21"/>
          <w:szCs w:val="21"/>
          <w:color w:val="auto"/>
        </w:rPr>
      </w:pPr>
      <w:r>
        <w:rPr>
          <w:rFonts w:ascii="Arial" w:cs="Arial" w:eastAsia="Arial" w:hAnsi="Arial"/>
          <w:sz w:val="21"/>
          <w:szCs w:val="21"/>
          <w:color w:val="auto"/>
        </w:rPr>
        <w:t>You may use one of the following methods to pay the required withholding taxes related to the settlement of your Performance Units Achieved. You will decide on the method at the time prescribed by the Company. If you do not elect one of these methods, the Company will apply the Net Settlement method described below:</w:t>
      </w:r>
    </w:p>
    <w:p>
      <w:pPr>
        <w:spacing w:after="0" w:line="167" w:lineRule="exact"/>
        <w:rPr>
          <w:rFonts w:ascii="Arial" w:cs="Arial" w:eastAsia="Arial" w:hAnsi="Arial"/>
          <w:sz w:val="21"/>
          <w:szCs w:val="21"/>
          <w:color w:val="auto"/>
        </w:rPr>
      </w:pPr>
    </w:p>
    <w:p>
      <w:pPr>
        <w:jc w:val="both"/>
        <w:ind w:left="1960" w:hanging="655"/>
        <w:spacing w:after="0" w:line="253" w:lineRule="auto"/>
        <w:tabs>
          <w:tab w:leader="none" w:pos="1960" w:val="left"/>
        </w:tabs>
        <w:numPr>
          <w:ilvl w:val="2"/>
          <w:numId w:val="51"/>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Performance Units.</w:t>
      </w:r>
    </w:p>
    <w:p>
      <w:pPr>
        <w:spacing w:after="0" w:line="226"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51"/>
        </w:numPr>
        <w:rPr>
          <w:rFonts w:ascii="Arial" w:cs="Arial" w:eastAsia="Arial" w:hAnsi="Arial"/>
          <w:sz w:val="22"/>
          <w:szCs w:val="22"/>
          <w:color w:val="auto"/>
        </w:rPr>
      </w:pPr>
      <w:r>
        <w:rPr>
          <w:rFonts w:ascii="Arial" w:cs="Arial" w:eastAsia="Arial" w:hAnsi="Arial"/>
          <w:sz w:val="22"/>
          <w:szCs w:val="22"/>
          <w:color w:val="auto"/>
        </w:rPr>
        <w:t>NET SETTLEMENT: If you elect this alternative, the Company will retain the number of shares with a Fair Market Value equal to the minimum statutory withholding requirements applicable on your Performance Units.</w:t>
      </w:r>
    </w:p>
    <w:p>
      <w:pPr>
        <w:spacing w:after="0" w:line="226"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Normally, the number of Performance Units Achieved will vest and be settled only under the circumstances described above. However, if there is a Change in Control, your Performance Units will become 100% vested on the date of the Change in Control and will be settled as described in the Plan. See the Plan for further details.</w:t>
      </w:r>
    </w:p>
    <w:p>
      <w:pPr>
        <w:spacing w:after="0" w:line="168" w:lineRule="exact"/>
        <w:rPr>
          <w:rFonts w:ascii="Arial" w:cs="Arial" w:eastAsia="Arial" w:hAnsi="Arial"/>
          <w:sz w:val="19"/>
          <w:szCs w:val="19"/>
          <w:color w:val="auto"/>
        </w:rPr>
      </w:pPr>
    </w:p>
    <w:p>
      <w:pPr>
        <w:jc w:val="both"/>
        <w:ind w:firstLine="8"/>
        <w:spacing w:after="0" w:line="291" w:lineRule="auto"/>
        <w:tabs>
          <w:tab w:leader="none" w:pos="40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Each dividend equivalent represents the right to receive an amount equal to the dividends that</w:t>
      </w:r>
      <w:r>
        <w:rPr>
          <w:rFonts w:ascii="Arial" w:cs="Arial" w:eastAsia="Arial" w:hAnsi="Arial"/>
          <w:sz w:val="19"/>
          <w:szCs w:val="19"/>
          <w:b w:val="1"/>
          <w:bCs w:val="1"/>
          <w:color w:val="auto"/>
        </w:rPr>
        <w:t xml:space="preserve"> </w:t>
      </w:r>
      <w:r>
        <w:rPr>
          <w:rFonts w:ascii="Arial" w:cs="Arial" w:eastAsia="Arial" w:hAnsi="Arial"/>
          <w:sz w:val="19"/>
          <w:szCs w:val="19"/>
          <w:color w:val="auto"/>
        </w:rPr>
        <w:t>are declared and paid during the period beginning on the Grant Date and ending on the Settlement Date (as described in Section 5(a) of this Award Agreement) with respect to the Share represented by the related Performance Unit Achieved, subject to the same terms and conditions. The dividend equivalents on Performance Units Achieved shall be payable only when and to the extent that the performance criteria and vesting criteria are satisfied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Any dividend equivalents described in this Section 6 will be distributed to you in accordance with Section 5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64" w:name="page65"/>
    <w:bookmarkEnd w:id="64"/>
    <w:p>
      <w:pPr>
        <w:ind w:left="380" w:hanging="372"/>
        <w:spacing w:after="0"/>
        <w:tabs>
          <w:tab w:leader="none" w:pos="3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343" w:lineRule="auto"/>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Except as otherwise provided in Section 4 or Section 5(d) of this Award Agreement, you will forfeit your unvested Performance Units if you Terminate prior to the Vesting Date, whether the performance criteria are achieved or not.</w:t>
      </w:r>
    </w:p>
    <w:p>
      <w:pPr>
        <w:spacing w:after="0" w:line="145"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Performance Units and related dividend equivalents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2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firstLine="8"/>
        <w:spacing w:after="0" w:line="269" w:lineRule="auto"/>
        <w:tabs>
          <w:tab w:leader="none" w:pos="402"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9" w:right="239" w:bottom="1440" w:gutter="0" w:footer="0" w:header="0"/>
        </w:sectPr>
      </w:pPr>
    </w:p>
    <w:bookmarkStart w:id="65" w:name="page66"/>
    <w:bookmarkEnd w:id="65"/>
    <w:p>
      <w:pPr>
        <w:jc w:val="both"/>
        <w:ind w:firstLine="8"/>
        <w:spacing w:after="0" w:line="262" w:lineRule="auto"/>
        <w:tabs>
          <w:tab w:leader="none" w:pos="389"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BENEFICIARY DESIGNATION. </w:t>
      </w:r>
      <w:r>
        <w:rPr>
          <w:rFonts w:ascii="Arial" w:cs="Arial" w:eastAsia="Arial" w:hAnsi="Arial"/>
          <w:sz w:val="21"/>
          <w:szCs w:val="21"/>
          <w:color w:val="auto"/>
        </w:rPr>
        <w:t>You may name a beneficiary or beneficiaries to receive any vested Performance Units and</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dividend equivalents that may be achieved under this Award Agreement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214" w:lineRule="exact"/>
        <w:rPr>
          <w:rFonts w:ascii="Arial" w:cs="Arial" w:eastAsia="Arial" w:hAnsi="Arial"/>
          <w:sz w:val="21"/>
          <w:szCs w:val="21"/>
          <w:b w:val="1"/>
          <w:bCs w:val="1"/>
          <w:color w:val="auto"/>
        </w:rPr>
      </w:pPr>
    </w:p>
    <w:p>
      <w:pPr>
        <w:jc w:val="both"/>
        <w:ind w:firstLine="8"/>
        <w:spacing w:after="0" w:line="252" w:lineRule="auto"/>
        <w:tabs>
          <w:tab w:leader="none" w:pos="708"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PERFORMANCE UNITS AND RELATED DIVIDEND EQUIVALENTS. </w:t>
      </w:r>
      <w:r>
        <w:rPr>
          <w:rFonts w:ascii="Arial" w:cs="Arial" w:eastAsia="Arial" w:hAnsi="Arial"/>
          <w:sz w:val="22"/>
          <w:szCs w:val="22"/>
          <w:color w:val="auto"/>
        </w:rPr>
        <w:t>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Section 9, your Performance Units and related dividend equivalents may not be transferred to another person. Also, the Committee may allow you to place your Performance Units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7"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98" w:lineRule="auto"/>
        <w:tabs>
          <w:tab w:leader="none" w:pos="486"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AGREEMENTS AND POLICIES. </w:t>
      </w:r>
      <w:r>
        <w:rPr>
          <w:rFonts w:ascii="Arial" w:cs="Arial" w:eastAsia="Arial" w:hAnsi="Arial"/>
          <w:sz w:val="19"/>
          <w:szCs w:val="19"/>
          <w:color w:val="auto"/>
        </w:rPr>
        <w:t>Your Performance Units and related dividend equivalents, whether achieved or</w:t>
      </w:r>
      <w:r>
        <w:rPr>
          <w:rFonts w:ascii="Arial" w:cs="Arial" w:eastAsia="Arial" w:hAnsi="Arial"/>
          <w:sz w:val="19"/>
          <w:szCs w:val="19"/>
          <w:b w:val="1"/>
          <w:bCs w:val="1"/>
          <w:color w:val="auto"/>
        </w:rPr>
        <w:t xml:space="preserve"> </w:t>
      </w:r>
      <w:r>
        <w:rPr>
          <w:rFonts w:ascii="Arial" w:cs="Arial" w:eastAsia="Arial" w:hAnsi="Arial"/>
          <w:sz w:val="19"/>
          <w:szCs w:val="19"/>
          <w:color w:val="auto"/>
        </w:rPr>
        <w:t>not, will be subject to the terms of any other written agreements between you and the Company or any Affiliate or Subsidiary to the extent that those other agreements do not directly conflict with the terms of the Plan or this Award Agreement. Your Performance Units and related dividend equivalents granted under the Plan shall be subject to any applicable Company clawback or recoupment policies, share trading policies and other policies that may be implemented by the Company from time to time.</w:t>
      </w:r>
    </w:p>
    <w:p>
      <w:pPr>
        <w:spacing w:after="0" w:line="142" w:lineRule="exact"/>
        <w:rPr>
          <w:rFonts w:ascii="Arial" w:cs="Arial" w:eastAsia="Arial" w:hAnsi="Arial"/>
          <w:sz w:val="19"/>
          <w:szCs w:val="19"/>
          <w:b w:val="1"/>
          <w:bCs w:val="1"/>
          <w:color w:val="auto"/>
        </w:rPr>
      </w:pPr>
    </w:p>
    <w:p>
      <w:pPr>
        <w:jc w:val="both"/>
        <w:ind w:firstLine="8"/>
        <w:spacing w:after="0" w:line="256" w:lineRule="auto"/>
        <w:tabs>
          <w:tab w:leader="none" w:pos="562"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PERFORMANCE UNITS. </w:t>
      </w:r>
      <w:r>
        <w:rPr>
          <w:rFonts w:ascii="Arial" w:cs="Arial" w:eastAsia="Arial" w:hAnsi="Arial"/>
          <w:sz w:val="22"/>
          <w:szCs w:val="22"/>
          <w:color w:val="auto"/>
        </w:rPr>
        <w:t>Subject to the terms of the Plan, your Performance Units and</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dividend equivalents will be adjusted, if appropriate, to reflect any change to the Company’s capital structure (e.g., the number of Shares underlying your Performance Units will be adjusted to reflect a stock split).</w:t>
      </w:r>
    </w:p>
    <w:p>
      <w:pPr>
        <w:spacing w:after="0" w:line="216" w:lineRule="exact"/>
        <w:rPr>
          <w:rFonts w:ascii="Arial" w:cs="Arial" w:eastAsia="Arial" w:hAnsi="Arial"/>
          <w:sz w:val="22"/>
          <w:szCs w:val="22"/>
          <w:b w:val="1"/>
          <w:bCs w:val="1"/>
          <w:color w:val="auto"/>
        </w:rPr>
      </w:pPr>
    </w:p>
    <w:p>
      <w:pPr>
        <w:ind w:left="480" w:hanging="472"/>
        <w:spacing w:after="0"/>
        <w:tabs>
          <w:tab w:leader="none" w:pos="4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9" w:right="239" w:bottom="1440" w:gutter="0" w:footer="0" w:header="0"/>
        </w:sectPr>
      </w:pPr>
    </w:p>
    <w:bookmarkStart w:id="66" w:name="page67"/>
    <w:bookmarkEnd w:id="66"/>
    <w:p>
      <w:pPr>
        <w:ind w:left="1260" w:hanging="644"/>
        <w:spacing w:after="0" w:line="269" w:lineRule="auto"/>
        <w:tabs>
          <w:tab w:leader="none" w:pos="12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 30 Days After</w:t>
      </w:r>
      <w:r>
        <w:rPr>
          <w:rFonts w:ascii="Arial" w:cs="Arial" w:eastAsia="Arial" w:hAnsi="Arial"/>
          <w:sz w:val="22"/>
          <w:szCs w:val="22"/>
          <w:color w:val="auto"/>
        </w:rPr>
        <w:t xml:space="preserv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0" w:type="dxa"/>
            <w:vAlign w:val="bottom"/>
          </w:tcPr>
          <w:p>
            <w:pPr>
              <w:spacing w:after="0"/>
              <w:rPr>
                <w:sz w:val="23"/>
                <w:szCs w:val="23"/>
                <w:color w:val="auto"/>
              </w:rPr>
            </w:pPr>
          </w:p>
        </w:tc>
        <w:tc>
          <w:tcPr>
            <w:tcW w:w="5120" w:type="dxa"/>
            <w:vAlign w:val="bottom"/>
          </w:tcPr>
          <w:p>
            <w:pPr>
              <w:ind w:left="880"/>
              <w:spacing w:after="0"/>
              <w:rPr>
                <w:sz w:val="20"/>
                <w:szCs w:val="20"/>
                <w:color w:val="auto"/>
              </w:rPr>
            </w:pPr>
            <w:r>
              <w:rPr>
                <w:rFonts w:ascii="Arial" w:cs="Arial" w:eastAsia="Arial" w:hAnsi="Arial"/>
                <w:sz w:val="22"/>
                <w:szCs w:val="22"/>
                <w:color w:val="auto"/>
              </w:rPr>
              <w:t>THE SCOTTS MIRACLE-GRO COMPANY</w:t>
            </w:r>
          </w:p>
        </w:tc>
        <w:tc>
          <w:tcPr>
            <w:tcW w:w="0" w:type="dxa"/>
            <w:vAlign w:val="bottom"/>
          </w:tcPr>
          <w:p>
            <w:pPr>
              <w:spacing w:after="0"/>
              <w:rPr>
                <w:sz w:val="1"/>
                <w:szCs w:val="1"/>
                <w:color w:val="auto"/>
              </w:rPr>
            </w:pPr>
          </w:p>
        </w:tc>
      </w:tr>
      <w:tr>
        <w:trPr>
          <w:trHeight w:val="486"/>
        </w:trPr>
        <w:tc>
          <w:tcPr>
            <w:tcW w:w="4600" w:type="dxa"/>
            <w:vAlign w:val="bottom"/>
            <w:vMerge w:val="restart"/>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Grantee’s Name</w:t>
            </w:r>
            <w:r>
              <w:rPr>
                <w:rFonts w:ascii="Arial" w:cs="Arial" w:eastAsia="Arial" w:hAnsi="Arial"/>
                <w:sz w:val="22"/>
                <w:szCs w:val="22"/>
                <w:color w:val="auto"/>
              </w:rPr>
              <w:t>]</w:t>
            </w:r>
          </w:p>
        </w:tc>
        <w:tc>
          <w:tcPr>
            <w:tcW w:w="5120" w:type="dxa"/>
            <w:vAlign w:val="bottom"/>
          </w:tcPr>
          <w:p>
            <w:pPr>
              <w:ind w:left="940"/>
              <w:spacing w:after="0"/>
              <w:rPr>
                <w:sz w:val="20"/>
                <w:szCs w:val="20"/>
                <w:color w:val="auto"/>
              </w:rPr>
            </w:pPr>
            <w:r>
              <w:rPr>
                <w:rFonts w:ascii="Arial" w:cs="Arial" w:eastAsia="Arial" w:hAnsi="Arial"/>
                <w:sz w:val="22"/>
                <w:szCs w:val="22"/>
                <w:color w:val="auto"/>
                <w:w w:val="89"/>
              </w:rPr>
              <w:t>By: ___________________________________</w:t>
            </w:r>
          </w:p>
        </w:tc>
        <w:tc>
          <w:tcPr>
            <w:tcW w:w="0" w:type="dxa"/>
            <w:vAlign w:val="bottom"/>
          </w:tcPr>
          <w:p>
            <w:pPr>
              <w:spacing w:after="0"/>
              <w:rPr>
                <w:sz w:val="1"/>
                <w:szCs w:val="1"/>
                <w:color w:val="auto"/>
              </w:rPr>
            </w:pPr>
          </w:p>
        </w:tc>
      </w:tr>
      <w:tr>
        <w:trPr>
          <w:trHeight w:val="243"/>
        </w:trPr>
        <w:tc>
          <w:tcPr>
            <w:tcW w:w="4600" w:type="dxa"/>
            <w:vAlign w:val="bottom"/>
            <w:vMerge w:val="continue"/>
          </w:tcPr>
          <w:p>
            <w:pPr>
              <w:spacing w:after="0"/>
              <w:rPr>
                <w:sz w:val="21"/>
                <w:szCs w:val="21"/>
                <w:color w:val="auto"/>
              </w:rPr>
            </w:pPr>
          </w:p>
        </w:tc>
        <w:tc>
          <w:tcPr>
            <w:tcW w:w="5120" w:type="dxa"/>
            <w:vAlign w:val="bottom"/>
            <w:vMerge w:val="restart"/>
          </w:tcPr>
          <w:p>
            <w:pPr>
              <w:ind w:left="940"/>
              <w:spacing w:after="0"/>
              <w:rPr>
                <w:sz w:val="20"/>
                <w:szCs w:val="20"/>
                <w:color w:val="auto"/>
              </w:rPr>
            </w:pPr>
            <w:r>
              <w:rPr>
                <w:rFonts w:ascii="Arial" w:cs="Arial" w:eastAsia="Arial" w:hAnsi="Arial"/>
                <w:sz w:val="22"/>
                <w:szCs w:val="22"/>
                <w:color w:val="auto"/>
              </w:rPr>
              <w:t>[Name of Company Representative]</w:t>
            </w: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line="243" w:lineRule="exact"/>
              <w:rPr>
                <w:sz w:val="20"/>
                <w:szCs w:val="20"/>
                <w:color w:val="auto"/>
              </w:rPr>
            </w:pPr>
            <w:r>
              <w:rPr>
                <w:rFonts w:ascii="Arial" w:cs="Arial" w:eastAsia="Arial" w:hAnsi="Arial"/>
                <w:sz w:val="22"/>
                <w:szCs w:val="22"/>
                <w:color w:val="auto"/>
              </w:rPr>
              <w:t>By: ______________________________</w:t>
            </w:r>
          </w:p>
        </w:tc>
        <w:tc>
          <w:tcPr>
            <w:tcW w:w="5120" w:type="dxa"/>
            <w:vAlign w:val="bottom"/>
          </w:tcPr>
          <w:p>
            <w:pPr>
              <w:ind w:left="940"/>
              <w:spacing w:after="0" w:line="243" w:lineRule="exact"/>
              <w:rPr>
                <w:sz w:val="20"/>
                <w:szCs w:val="20"/>
                <w:color w:val="auto"/>
              </w:rPr>
            </w:pPr>
            <w:r>
              <w:rPr>
                <w:rFonts w:ascii="Arial" w:cs="Arial" w:eastAsia="Arial" w:hAnsi="Arial"/>
                <w:sz w:val="22"/>
                <w:szCs w:val="22"/>
                <w:color w:val="auto"/>
              </w:rPr>
              <w:t>[Title of Company Representative]</w:t>
            </w:r>
          </w:p>
        </w:tc>
        <w:tc>
          <w:tcPr>
            <w:tcW w:w="0" w:type="dxa"/>
            <w:vAlign w:val="bottom"/>
          </w:tcPr>
          <w:p>
            <w:pPr>
              <w:spacing w:after="0"/>
              <w:rPr>
                <w:sz w:val="1"/>
                <w:szCs w:val="1"/>
                <w:color w:val="auto"/>
              </w:rPr>
            </w:pPr>
          </w:p>
        </w:tc>
      </w:tr>
      <w:tr>
        <w:trPr>
          <w:trHeight w:val="275"/>
        </w:trPr>
        <w:tc>
          <w:tcPr>
            <w:tcW w:w="4600" w:type="dxa"/>
            <w:vAlign w:val="bottom"/>
            <w:vMerge w:val="restart"/>
          </w:tcPr>
          <w:p>
            <w:pPr>
              <w:spacing w:after="0"/>
              <w:rPr>
                <w:sz w:val="20"/>
                <w:szCs w:val="20"/>
                <w:color w:val="auto"/>
              </w:rPr>
            </w:pPr>
            <w:r>
              <w:rPr>
                <w:rFonts w:ascii="Arial" w:cs="Arial" w:eastAsia="Arial" w:hAnsi="Arial"/>
                <w:sz w:val="22"/>
                <w:szCs w:val="22"/>
                <w:color w:val="auto"/>
              </w:rPr>
              <w:t>Date signed: ________________________</w:t>
            </w:r>
          </w:p>
        </w:tc>
        <w:tc>
          <w:tcPr>
            <w:tcW w:w="5120" w:type="dxa"/>
            <w:vAlign w:val="bottom"/>
          </w:tcPr>
          <w:p>
            <w:pPr>
              <w:ind w:left="940"/>
              <w:spacing w:after="0"/>
              <w:rPr>
                <w:sz w:val="20"/>
                <w:szCs w:val="20"/>
                <w:color w:val="auto"/>
              </w:rPr>
            </w:pPr>
            <w:r>
              <w:rPr>
                <w:rFonts w:ascii="Arial" w:cs="Arial" w:eastAsia="Arial" w:hAnsi="Arial"/>
                <w:sz w:val="22"/>
                <w:szCs w:val="22"/>
                <w:color w:val="auto"/>
                <w:w w:val="88"/>
              </w:rPr>
              <w:t>Date signed: ____________________________</w:t>
            </w:r>
          </w:p>
        </w:tc>
        <w:tc>
          <w:tcPr>
            <w:tcW w:w="0" w:type="dxa"/>
            <w:vAlign w:val="bottom"/>
          </w:tcPr>
          <w:p>
            <w:pPr>
              <w:spacing w:after="0"/>
              <w:rPr>
                <w:sz w:val="1"/>
                <w:szCs w:val="1"/>
                <w:color w:val="auto"/>
              </w:rPr>
            </w:pPr>
          </w:p>
        </w:tc>
      </w:tr>
      <w:tr>
        <w:trPr>
          <w:trHeight w:val="243"/>
        </w:trPr>
        <w:tc>
          <w:tcPr>
            <w:tcW w:w="4600" w:type="dxa"/>
            <w:vAlign w:val="bottom"/>
            <w:vMerge w:val="continue"/>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80" w:top="369" w:right="239" w:bottom="1440" w:gutter="0" w:footer="0" w:header="0"/>
        </w:sectPr>
      </w:pPr>
    </w:p>
    <w:bookmarkStart w:id="67" w:name="page68"/>
    <w:bookmarkEnd w:id="67"/>
    <w:p>
      <w:pPr>
        <w:jc w:val="center"/>
        <w:ind w:right="-15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980"/>
        <w:spacing w:after="0" w:line="287" w:lineRule="auto"/>
        <w:rPr>
          <w:sz w:val="20"/>
          <w:szCs w:val="20"/>
          <w:color w:val="auto"/>
        </w:rPr>
      </w:pPr>
      <w:r>
        <w:rPr>
          <w:rFonts w:ascii="Arial" w:cs="Arial" w:eastAsia="Arial" w:hAnsi="Arial"/>
          <w:sz w:val="21"/>
          <w:szCs w:val="21"/>
          <w:color w:val="auto"/>
        </w:rPr>
        <w:t>The number of Performance Units Achieved under this Award Agreement is subject to the satisfaction of the following performance criteria and will be determined as of the end of the Performance Period, as follows:</w:t>
      </w:r>
    </w:p>
    <w:p>
      <w:pPr>
        <w:sectPr>
          <w:pgSz w:w="11900" w:h="16838" w:orient="portrait"/>
          <w:cols w:equalWidth="0" w:num="1">
            <w:col w:w="11280"/>
          </w:cols>
          <w:pgMar w:left="240" w:top="585" w:right="379" w:bottom="1440" w:gutter="0" w:footer="0" w:header="0"/>
        </w:sectPr>
      </w:pPr>
    </w:p>
    <w:p>
      <w:pPr>
        <w:spacing w:after="0" w:line="152" w:lineRule="exact"/>
        <w:rPr>
          <w:sz w:val="20"/>
          <w:szCs w:val="20"/>
          <w:color w:val="auto"/>
        </w:rPr>
      </w:pPr>
    </w:p>
    <w:p>
      <w:pPr>
        <w:ind w:right="180"/>
        <w:spacing w:after="0" w:line="580" w:lineRule="auto"/>
        <w:rPr>
          <w:sz w:val="20"/>
          <w:szCs w:val="20"/>
          <w:color w:val="auto"/>
        </w:rPr>
      </w:pPr>
      <w:r>
        <w:rPr>
          <w:rFonts w:ascii="Arial" w:cs="Arial" w:eastAsia="Arial" w:hAnsi="Arial"/>
          <w:sz w:val="19"/>
          <w:szCs w:val="19"/>
          <w:i w:val="1"/>
          <w:iCs w:val="1"/>
          <w:color w:val="auto"/>
        </w:rPr>
        <w:t>Performance Units Achieved = Performance Units * Payout Percentage Payout Percentage = Portion of Performance Units achieved</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Measurement Level</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Measure</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w:t>
            </w:r>
          </w:p>
        </w:tc>
      </w:tr>
      <w:tr>
        <w:trPr>
          <w:trHeight w:val="34"/>
        </w:trPr>
        <w:tc>
          <w:tcPr>
            <w:tcW w:w="238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122"/>
        </w:trPr>
        <w:tc>
          <w:tcPr>
            <w:tcW w:w="23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r>
      <w:tr>
        <w:trPr>
          <w:trHeight w:val="237"/>
        </w:trPr>
        <w:tc>
          <w:tcPr>
            <w:tcW w:w="2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Total Company</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Earnings Per Share¹</w:t>
            </w:r>
          </w:p>
        </w:tc>
        <w:tc>
          <w:tcPr>
            <w:tcW w:w="222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rPr>
              <w:t>100%</w:t>
            </w:r>
          </w:p>
        </w:tc>
      </w:tr>
      <w:tr>
        <w:trPr>
          <w:trHeight w:val="27"/>
        </w:trPr>
        <w:tc>
          <w:tcPr>
            <w:tcW w:w="238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FY13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186118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1185" cy="386080"/>
                    </a:xfrm>
                    <a:prstGeom prst="rect">
                      <a:avLst/>
                    </a:prstGeom>
                    <a:noFill/>
                  </pic:spPr>
                </pic:pic>
              </a:graphicData>
            </a:graphic>
          </wp:anchor>
        </w:drawing>
      </w:r>
    </w:p>
    <w:p>
      <w:pPr>
        <w:spacing w:after="0" w:line="9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Minimum²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128905</wp:posOffset>
            </wp:positionV>
            <wp:extent cx="185229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188595"/>
                    </a:xfrm>
                    <a:prstGeom prst="rect">
                      <a:avLst/>
                    </a:prstGeom>
                    <a:noFill/>
                  </pic:spPr>
                </pic:pic>
              </a:graphicData>
            </a:graphic>
          </wp:anchor>
        </w:drawing>
      </w:r>
    </w:p>
    <w:p>
      <w:pPr>
        <w:spacing w:after="0" w:line="20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$1.00 EPS</w:t>
      </w:r>
    </w:p>
    <w:p>
      <w:pPr>
        <w:spacing w:after="0" w:line="263" w:lineRule="exact"/>
        <w:rPr>
          <w:sz w:val="20"/>
          <w:szCs w:val="20"/>
          <w:color w:val="auto"/>
        </w:rPr>
      </w:pPr>
    </w:p>
    <w:p>
      <w:pPr>
        <w:sectPr>
          <w:pgSz w:w="11900" w:h="16838" w:orient="portrait"/>
          <w:cols w:equalWidth="0" w:num="2">
            <w:col w:w="6440" w:space="400"/>
            <w:col w:w="4440"/>
          </w:cols>
          <w:pgMar w:left="240" w:top="585" w:right="379" w:bottom="1440" w:gutter="0" w:footer="0" w:header="0"/>
          <w:type w:val="continuous"/>
        </w:sectPr>
      </w:pP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440" w:type="dxa"/>
            <w:vAlign w:val="bottom"/>
            <w:tcBorders>
              <w:top w:val="single" w:sz="8" w:color="auto"/>
              <w:left w:val="single" w:sz="8" w:color="auto"/>
              <w:right w:val="single" w:sz="8" w:color="auto"/>
            </w:tcBorders>
          </w:tcPr>
          <w:p>
            <w:pPr>
              <w:jc w:val="right"/>
              <w:ind w:right="4961"/>
              <w:spacing w:after="0"/>
              <w:rPr>
                <w:sz w:val="20"/>
                <w:szCs w:val="20"/>
                <w:color w:val="auto"/>
              </w:rPr>
            </w:pPr>
            <w:r>
              <w:rPr>
                <w:rFonts w:ascii="Arial" w:cs="Arial" w:eastAsia="Arial" w:hAnsi="Arial"/>
                <w:sz w:val="18"/>
                <w:szCs w:val="18"/>
                <w:color w:val="auto"/>
                <w:w w:val="88"/>
              </w:rPr>
              <w:t>Payout Percentage</w:t>
            </w:r>
          </w:p>
        </w:tc>
        <w:tc>
          <w:tcPr>
            <w:tcW w:w="380" w:type="dxa"/>
            <w:vAlign w:val="bottom"/>
            <w:tcBorders>
              <w:right w:val="single" w:sz="8" w:color="auto"/>
            </w:tcBorders>
          </w:tcPr>
          <w:p>
            <w:pPr>
              <w:spacing w:after="0"/>
              <w:rPr>
                <w:sz w:val="22"/>
                <w:szCs w:val="22"/>
                <w:color w:val="auto"/>
              </w:rPr>
            </w:pPr>
          </w:p>
        </w:tc>
        <w:tc>
          <w:tcPr>
            <w:tcW w:w="2900" w:type="dxa"/>
            <w:vAlign w:val="bottom"/>
            <w:tcBorders>
              <w:top w:val="single" w:sz="8" w:color="auto"/>
              <w:right w:val="single" w:sz="8" w:color="auto"/>
            </w:tcBorders>
          </w:tcPr>
          <w:p>
            <w:pPr>
              <w:jc w:val="right"/>
              <w:ind w:right="1170"/>
              <w:spacing w:after="0"/>
              <w:rPr>
                <w:sz w:val="20"/>
                <w:szCs w:val="20"/>
                <w:color w:val="auto"/>
              </w:rPr>
            </w:pPr>
            <w:r>
              <w:rPr>
                <w:rFonts w:ascii="Arial" w:cs="Arial" w:eastAsia="Arial" w:hAnsi="Arial"/>
                <w:sz w:val="18"/>
                <w:szCs w:val="18"/>
                <w:color w:val="auto"/>
              </w:rPr>
              <w:t>100%</w:t>
            </w:r>
          </w:p>
        </w:tc>
      </w:tr>
      <w:tr>
        <w:trPr>
          <w:trHeight w:val="27"/>
        </w:trPr>
        <w:tc>
          <w:tcPr>
            <w:tcW w:w="64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692"/>
        </w:trPr>
        <w:tc>
          <w:tcPr>
            <w:tcW w:w="6440" w:type="dxa"/>
            <w:vAlign w:val="bottom"/>
          </w:tcPr>
          <w:p>
            <w:pPr>
              <w:jc w:val="right"/>
              <w:ind w:right="3641"/>
              <w:spacing w:after="0"/>
              <w:rPr>
                <w:sz w:val="20"/>
                <w:szCs w:val="20"/>
                <w:color w:val="auto"/>
              </w:rPr>
            </w:pPr>
            <w:r>
              <w:rPr>
                <w:rFonts w:ascii="Arial" w:cs="Arial" w:eastAsia="Arial" w:hAnsi="Arial"/>
                <w:sz w:val="22"/>
                <w:szCs w:val="22"/>
                <w:color w:val="auto"/>
                <w:w w:val="87"/>
              </w:rPr>
              <w:t>_________________________</w:t>
            </w:r>
          </w:p>
        </w:tc>
        <w:tc>
          <w:tcPr>
            <w:tcW w:w="38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8"/>
        <w:spacing w:after="0" w:line="253" w:lineRule="auto"/>
        <w:tabs>
          <w:tab w:leader="none" w:pos="119" w:val="left"/>
        </w:tabs>
        <w:numPr>
          <w:ilvl w:val="0"/>
          <w:numId w:val="56"/>
        </w:numPr>
        <w:rPr>
          <w:rFonts w:ascii="Arial" w:cs="Arial" w:eastAsia="Arial" w:hAnsi="Arial"/>
          <w:sz w:val="22"/>
          <w:szCs w:val="22"/>
          <w:color w:val="auto"/>
        </w:rPr>
      </w:pPr>
      <w:r>
        <w:rPr>
          <w:rFonts w:ascii="Arial" w:cs="Arial" w:eastAsia="Arial" w:hAnsi="Arial"/>
          <w:sz w:val="22"/>
          <w:szCs w:val="22"/>
          <w:color w:val="auto"/>
        </w:rPr>
        <w:t>Diluted Earnings Per Share as reported in the Company's year-end audited financial statements (excluding the negative impact of any nonrecurring items, extraordinary items, discontinued operations, or cumulative effects of accounting changes) for the performance period beginning October 1, 2012 and ending September 30, 2013.</w:t>
      </w:r>
    </w:p>
    <w:p>
      <w:pPr>
        <w:spacing w:after="0" w:line="200" w:lineRule="exact"/>
        <w:rPr>
          <w:sz w:val="20"/>
          <w:szCs w:val="20"/>
          <w:color w:val="auto"/>
        </w:rPr>
      </w:pPr>
    </w:p>
    <w:p>
      <w:pPr>
        <w:spacing w:after="0" w:line="202" w:lineRule="exact"/>
        <w:rPr>
          <w:sz w:val="20"/>
          <w:szCs w:val="20"/>
          <w:color w:val="auto"/>
        </w:rPr>
      </w:pPr>
    </w:p>
    <w:p>
      <w:pPr>
        <w:ind w:left="5660" w:right="1280" w:hanging="5652"/>
        <w:spacing w:after="0" w:line="699" w:lineRule="auto"/>
        <w:tabs>
          <w:tab w:leader="none" w:pos="127"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actual performance is below the Minimum performance level indicated, no Performance Units will be achieved. 7</w:t>
      </w:r>
    </w:p>
    <w:p>
      <w:pPr>
        <w:sectPr>
          <w:pgSz w:w="11900" w:h="16838" w:orient="portrait"/>
          <w:cols w:equalWidth="0" w:num="1">
            <w:col w:w="11280"/>
          </w:cols>
          <w:pgMar w:left="240" w:top="585" w:right="37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10.7</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AWARD AGREEMENT FOR EMPLOYEES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GRANTED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64" w:lineRule="auto"/>
        <w:tabs>
          <w:tab w:leader="none" w:pos="465"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DESCRIPTION OF YOUR NONQUALIFIED STOCK OPTION. </w:t>
      </w:r>
      <w:r>
        <w:rPr>
          <w:rFonts w:ascii="Arial" w:cs="Arial" w:eastAsia="Arial" w:hAnsi="Arial"/>
          <w:sz w:val="21"/>
          <w:szCs w:val="21"/>
          <w:color w:val="auto"/>
        </w:rPr>
        <w:t>You have been granted a Nonqualified Stock Option</w:t>
      </w:r>
      <w:r>
        <w:rPr>
          <w:rFonts w:ascii="Arial" w:cs="Arial" w:eastAsia="Arial" w:hAnsi="Arial"/>
          <w:sz w:val="21"/>
          <w:szCs w:val="21"/>
          <w:b w:val="1"/>
          <w:bCs w:val="1"/>
          <w:color w:val="auto"/>
        </w:rPr>
        <w:t xml:space="preserve"> </w:t>
      </w:r>
      <w:r>
        <w:rPr>
          <w:rFonts w:ascii="Arial" w:cs="Arial" w:eastAsia="Arial" w:hAnsi="Arial"/>
          <w:sz w:val="21"/>
          <w:szCs w:val="21"/>
          <w:color w:val="auto"/>
        </w:rPr>
        <w:t>(“NSO”) to purchase [</w:t>
      </w:r>
      <w:r>
        <w:rPr>
          <w:rFonts w:ascii="Arial" w:cs="Arial" w:eastAsia="Arial" w:hAnsi="Arial"/>
          <w:sz w:val="21"/>
          <w:szCs w:val="21"/>
          <w:b w:val="1"/>
          <w:bCs w:val="1"/>
          <w:color w:val="auto"/>
        </w:rPr>
        <w:t>Number of Common Shares</w:t>
      </w:r>
      <w:r>
        <w:rPr>
          <w:rFonts w:ascii="Arial" w:cs="Arial" w:eastAsia="Arial" w:hAnsi="Arial"/>
          <w:sz w:val="21"/>
          <w:szCs w:val="21"/>
          <w:color w:val="auto"/>
        </w:rPr>
        <w:t>] Shares at an exercise price of $[</w:t>
      </w:r>
      <w:r>
        <w:rPr>
          <w:rFonts w:ascii="Arial" w:cs="Arial" w:eastAsia="Arial" w:hAnsi="Arial"/>
          <w:sz w:val="21"/>
          <w:szCs w:val="21"/>
          <w:b w:val="1"/>
          <w:bCs w:val="1"/>
          <w:color w:val="auto"/>
        </w:rPr>
        <w:t>Exercise Price</w:t>
      </w:r>
      <w:r>
        <w:rPr>
          <w:rFonts w:ascii="Arial" w:cs="Arial" w:eastAsia="Arial" w:hAnsi="Arial"/>
          <w:sz w:val="21"/>
          <w:szCs w:val="21"/>
          <w:color w:val="auto"/>
        </w:rPr>
        <w:t>] for each Share (“Exercise Price”) on or before [</w:t>
      </w:r>
      <w:r>
        <w:rPr>
          <w:rFonts w:ascii="Arial" w:cs="Arial" w:eastAsia="Arial" w:hAnsi="Arial"/>
          <w:sz w:val="21"/>
          <w:szCs w:val="21"/>
          <w:b w:val="1"/>
          <w:bCs w:val="1"/>
          <w:color w:val="auto"/>
        </w:rPr>
        <w:t>Day Prior to Tenth Anniversary of Grant Date</w:t>
      </w:r>
      <w:r>
        <w:rPr>
          <w:rFonts w:ascii="Arial" w:cs="Arial" w:eastAsia="Arial" w:hAnsi="Arial"/>
          <w:sz w:val="21"/>
          <w:szCs w:val="21"/>
          <w:color w:val="auto"/>
        </w:rPr>
        <w:t>] (“Expiration Date”). The Grant Date of the NSO is [</w:t>
      </w:r>
      <w:r>
        <w:rPr>
          <w:rFonts w:ascii="Arial" w:cs="Arial" w:eastAsia="Arial" w:hAnsi="Arial"/>
          <w:sz w:val="21"/>
          <w:szCs w:val="21"/>
          <w:b w:val="1"/>
          <w:bCs w:val="1"/>
          <w:color w:val="auto"/>
        </w:rPr>
        <w:t>Grant</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To accept this Award Agreement, you must return a signed copy of this Award Agreement no later than [</w:t>
      </w:r>
      <w:r>
        <w:rPr>
          <w:rFonts w:ascii="Arial" w:cs="Arial" w:eastAsia="Arial" w:hAnsi="Arial"/>
          <w:sz w:val="21"/>
          <w:szCs w:val="21"/>
          <w:b w:val="1"/>
          <w:bCs w:val="1"/>
          <w:color w:val="auto"/>
        </w:rPr>
        <w:t>Date 30 Days After Grant Date</w:t>
      </w:r>
      <w:r>
        <w:rPr>
          <w:rFonts w:ascii="Arial" w:cs="Arial" w:eastAsia="Arial" w:hAnsi="Arial"/>
          <w:sz w:val="21"/>
          <w:szCs w:val="21"/>
          <w:color w:val="auto"/>
        </w:rPr>
        <w:t>], to [</w:t>
      </w:r>
      <w:r>
        <w:rPr>
          <w:rFonts w:ascii="Arial" w:cs="Arial" w:eastAsia="Arial" w:hAnsi="Arial"/>
          <w:sz w:val="21"/>
          <w:szCs w:val="21"/>
          <w:b w:val="1"/>
          <w:bCs w:val="1"/>
          <w:color w:val="auto"/>
        </w:rPr>
        <w:t xml:space="preserve">Third Party Administrator] </w:t>
      </w:r>
      <w:r>
        <w:rPr>
          <w:rFonts w:ascii="Arial" w:cs="Arial" w:eastAsia="Arial" w:hAnsi="Arial"/>
          <w:sz w:val="21"/>
          <w:szCs w:val="21"/>
          <w:color w:val="auto"/>
        </w:rPr>
        <w:t>(the “Third Party Administrator”) as follows: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020" w:hanging="364"/>
        <w:spacing w:after="0" w:line="250" w:lineRule="auto"/>
        <w:tabs>
          <w:tab w:leader="none" w:pos="100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This Award Agreement and your NSO are granted pursuant to and in accordance with The Scotts Miracle-Gro Company Long-Term Incentive Plan as amended and restated January 17, 2013 (the “Plan”). All provisions of the Plan are incorporated herein by reference, and your NSO is subject to the terms of the Plan. To the extent there is a conflict between this Award Agreement and the Plan, the Plan will govern.</w:t>
      </w:r>
    </w:p>
    <w:p>
      <w:pPr>
        <w:spacing w:after="0" w:line="228" w:lineRule="exact"/>
        <w:rPr>
          <w:rFonts w:ascii="Arial" w:cs="Arial" w:eastAsia="Arial" w:hAnsi="Arial"/>
          <w:sz w:val="22"/>
          <w:szCs w:val="22"/>
          <w:color w:val="auto"/>
        </w:rPr>
      </w:pPr>
    </w:p>
    <w:p>
      <w:pPr>
        <w:ind w:left="1000" w:hanging="344"/>
        <w:spacing w:after="0"/>
        <w:tabs>
          <w:tab w:leader="none" w:pos="1000" w:val="left"/>
        </w:tabs>
        <w:numPr>
          <w:ilvl w:val="1"/>
          <w:numId w:val="59"/>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54" w:lineRule="exact"/>
        <w:rPr>
          <w:rFonts w:ascii="Arial" w:cs="Arial" w:eastAsia="Arial" w:hAnsi="Arial"/>
          <w:sz w:val="22"/>
          <w:szCs w:val="22"/>
          <w:color w:val="auto"/>
        </w:rPr>
      </w:pPr>
    </w:p>
    <w:p>
      <w:pPr>
        <w:ind w:right="20" w:firstLine="8"/>
        <w:spacing w:after="0" w:line="269" w:lineRule="auto"/>
        <w:tabs>
          <w:tab w:leader="none" w:pos="81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NSO described in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vest as follows:</w:t>
      </w:r>
    </w:p>
    <w:p>
      <w:pPr>
        <w:spacing w:after="0" w:line="202" w:lineRule="exact"/>
        <w:rPr>
          <w:rFonts w:ascii="Arial" w:cs="Arial" w:eastAsia="Arial" w:hAnsi="Arial"/>
          <w:sz w:val="22"/>
          <w:szCs w:val="22"/>
          <w:b w:val="1"/>
          <w:bCs w:val="1"/>
          <w:color w:val="auto"/>
        </w:rPr>
      </w:pPr>
    </w:p>
    <w:p>
      <w:pPr>
        <w:jc w:val="both"/>
        <w:ind w:left="1320" w:hanging="664"/>
        <w:spacing w:after="0" w:line="256" w:lineRule="auto"/>
        <w:tabs>
          <w:tab w:leader="none" w:pos="1302" w:val="left"/>
        </w:tabs>
        <w:numPr>
          <w:ilvl w:val="1"/>
          <w:numId w:val="59"/>
        </w:numPr>
        <w:rPr>
          <w:rFonts w:ascii="Arial" w:cs="Arial" w:eastAsia="Arial" w:hAnsi="Arial"/>
          <w:sz w:val="18"/>
          <w:szCs w:val="18"/>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employment continues from the Grant Date until the third anniversary of the Grant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this case </w:t>
      </w:r>
      <w:r>
        <w:rPr>
          <w:rFonts w:ascii="Arial" w:cs="Arial" w:eastAsia="Arial" w:hAnsi="Arial"/>
          <w:sz w:val="22"/>
          <w:szCs w:val="22"/>
          <w:b w:val="1"/>
          <w:bCs w:val="1"/>
          <w:color w:val="auto"/>
        </w:rPr>
        <w:t>[Vesting Date]</w:t>
      </w:r>
      <w:r>
        <w:rPr>
          <w:rFonts w:ascii="Arial" w:cs="Arial" w:eastAsia="Arial" w:hAnsi="Arial"/>
          <w:sz w:val="22"/>
          <w:szCs w:val="22"/>
          <w:color w:val="auto"/>
        </w:rPr>
        <w:t xml:space="preserve"> (the “Vesting Date”), your NSO described in this Award Agreement will vest (and become exercisable) on the Vesting Date;</w:t>
      </w:r>
    </w:p>
    <w:p>
      <w:pPr>
        <w:sectPr>
          <w:pgSz w:w="11900" w:h="16838" w:orient="portrait"/>
          <w:cols w:equalWidth="0" w:num="1">
            <w:col w:w="11420"/>
          </w:cols>
          <w:pgMar w:left="240" w:top="126" w:right="239" w:bottom="1440" w:gutter="0" w:footer="0" w:header="0"/>
        </w:sectPr>
      </w:pPr>
    </w:p>
    <w:bookmarkStart w:id="69" w:name="page70"/>
    <w:bookmarkEnd w:id="69"/>
    <w:p>
      <w:pPr>
        <w:ind w:left="1320" w:hanging="664"/>
        <w:spacing w:after="0" w:line="269" w:lineRule="auto"/>
        <w:tabs>
          <w:tab w:leader="none" w:pos="1302" w:val="left"/>
        </w:tabs>
        <w:numPr>
          <w:ilvl w:val="1"/>
          <w:numId w:val="60"/>
        </w:numPr>
        <w:rPr>
          <w:rFonts w:ascii="Arial" w:cs="Arial" w:eastAsia="Arial" w:hAnsi="Arial"/>
          <w:sz w:val="18"/>
          <w:szCs w:val="18"/>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the NSO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earlier than the Vesting Date:</w:t>
      </w:r>
    </w:p>
    <w:p>
      <w:pPr>
        <w:spacing w:after="0" w:line="208" w:lineRule="exact"/>
        <w:rPr>
          <w:rFonts w:ascii="Arial" w:cs="Arial" w:eastAsia="Arial" w:hAnsi="Arial"/>
          <w:sz w:val="18"/>
          <w:szCs w:val="18"/>
          <w:color w:val="auto"/>
        </w:rPr>
      </w:pPr>
    </w:p>
    <w:p>
      <w:pPr>
        <w:jc w:val="both"/>
        <w:ind w:left="1620" w:hanging="315"/>
        <w:spacing w:after="0" w:line="289" w:lineRule="auto"/>
        <w:tabs>
          <w:tab w:leader="none" w:pos="1620" w:val="left"/>
        </w:tabs>
        <w:numPr>
          <w:ilvl w:val="2"/>
          <w:numId w:val="60"/>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your NSO described in this Award Agreement will become fully vested and expire on the Expiration Date.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w:t>
      </w:r>
    </w:p>
    <w:p>
      <w:pPr>
        <w:spacing w:after="0" w:line="198"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55 and completing at least 10 years of employment with the Company, its Affiliates and/or its Subsidiaries, your NSO described in this Award Agreement will become fully vested and expire on the Expiration Date; or</w:t>
      </w:r>
    </w:p>
    <w:p>
      <w:pPr>
        <w:spacing w:after="0" w:line="226" w:lineRule="exact"/>
        <w:rPr>
          <w:rFonts w:ascii="Arial" w:cs="Arial" w:eastAsia="Arial" w:hAnsi="Arial"/>
          <w:sz w:val="22"/>
          <w:szCs w:val="22"/>
          <w:color w:val="auto"/>
        </w:rPr>
      </w:pPr>
    </w:p>
    <w:p>
      <w:pPr>
        <w:ind w:left="1960" w:hanging="655"/>
        <w:spacing w:after="0"/>
        <w:tabs>
          <w:tab w:leader="none" w:pos="19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If there is a Change in Control, your NSO may vest earlier. See the Plan for further details.</w:t>
      </w:r>
    </w:p>
    <w:p>
      <w:pPr>
        <w:spacing w:after="0" w:line="254" w:lineRule="exact"/>
        <w:rPr>
          <w:rFonts w:ascii="Arial" w:cs="Arial" w:eastAsia="Arial" w:hAnsi="Arial"/>
          <w:sz w:val="22"/>
          <w:szCs w:val="22"/>
          <w:color w:val="auto"/>
        </w:rPr>
      </w:pPr>
    </w:p>
    <w:p>
      <w:pPr>
        <w:ind w:right="20" w:firstLine="8"/>
        <w:spacing w:after="0" w:line="269" w:lineRule="auto"/>
        <w:tabs>
          <w:tab w:leader="none" w:pos="42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RIGHTS BEFORE YOUR NSO IS EXERCISED</w:t>
      </w:r>
      <w:r>
        <w:rPr>
          <w:rFonts w:ascii="Arial" w:cs="Arial" w:eastAsia="Arial" w:hAnsi="Arial"/>
          <w:sz w:val="22"/>
          <w:szCs w:val="22"/>
          <w:color w:val="auto"/>
        </w:rPr>
        <w:t>. You may not vote, or receive any dividends associated with, the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underlying your NSO before your NSO is exercised with respect to such Shares.</w:t>
      </w:r>
    </w:p>
    <w:p>
      <w:pPr>
        <w:spacing w:after="0" w:line="202" w:lineRule="exact"/>
        <w:rPr>
          <w:rFonts w:ascii="Arial" w:cs="Arial" w:eastAsia="Arial" w:hAnsi="Arial"/>
          <w:sz w:val="22"/>
          <w:szCs w:val="22"/>
          <w:b w:val="1"/>
          <w:bCs w:val="1"/>
          <w:color w:val="auto"/>
        </w:rPr>
      </w:pPr>
    </w:p>
    <w:p>
      <w:pPr>
        <w:ind w:left="340" w:hanging="332"/>
        <w:spacing w:after="0"/>
        <w:tabs>
          <w:tab w:leader="none" w:pos="34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EXERCISING YOUR NSO.</w:t>
      </w:r>
    </w:p>
    <w:p>
      <w:pPr>
        <w:spacing w:after="0" w:line="266" w:lineRule="exact"/>
        <w:rPr>
          <w:rFonts w:ascii="Arial" w:cs="Arial" w:eastAsia="Arial" w:hAnsi="Arial"/>
          <w:sz w:val="22"/>
          <w:szCs w:val="22"/>
          <w:b w:val="1"/>
          <w:bCs w:val="1"/>
          <w:color w:val="auto"/>
        </w:rPr>
      </w:pPr>
    </w:p>
    <w:p>
      <w:pPr>
        <w:jc w:val="both"/>
        <w:ind w:left="1300" w:hanging="644"/>
        <w:spacing w:after="0" w:line="250" w:lineRule="auto"/>
        <w:tabs>
          <w:tab w:leader="none" w:pos="13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After your NSO vests, you may exercise the NSO at any time prior to the Expiration Date. To exercise the NSO you must complete an Exercise Notice on the form provided by the Company, which is available from Third Party Administrator. At any one time, you must exercise your NSO to buy no fewer than 100 Shares, or, you must exercise the balance of your NSO if the value is less than 100 Shares.</w:t>
      </w:r>
    </w:p>
    <w:p>
      <w:pPr>
        <w:spacing w:after="0" w:line="228"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1"/>
          <w:numId w:val="61"/>
        </w:numPr>
        <w:rPr>
          <w:rFonts w:ascii="Arial" w:cs="Arial" w:eastAsia="Arial" w:hAnsi="Arial"/>
          <w:sz w:val="21"/>
          <w:szCs w:val="21"/>
          <w:color w:val="auto"/>
        </w:rPr>
      </w:pPr>
      <w:r>
        <w:rPr>
          <w:rFonts w:ascii="Arial" w:cs="Arial" w:eastAsia="Arial" w:hAnsi="Arial"/>
          <w:sz w:val="21"/>
          <w:szCs w:val="21"/>
          <w:color w:val="auto"/>
        </w:rPr>
        <w:t>You may use one of the following three methods to exercise your NSO and to pay any taxes related to that exercise. You will decide on the method at the time of exercise. If you do not elect one of these methods, the Company will apply the Broker-Assisted Cashless Exercise and Sell method described below:</w:t>
      </w:r>
    </w:p>
    <w:p>
      <w:pPr>
        <w:spacing w:after="0" w:line="208" w:lineRule="exact"/>
        <w:rPr>
          <w:rFonts w:ascii="Arial" w:cs="Arial" w:eastAsia="Arial" w:hAnsi="Arial"/>
          <w:sz w:val="21"/>
          <w:szCs w:val="21"/>
          <w:color w:val="auto"/>
        </w:rPr>
      </w:pPr>
    </w:p>
    <w:p>
      <w:pPr>
        <w:jc w:val="both"/>
        <w:ind w:left="1960" w:hanging="655"/>
        <w:spacing w:after="0" w:line="253" w:lineRule="auto"/>
        <w:tabs>
          <w:tab w:leader="none" w:pos="1960" w:val="left"/>
        </w:tabs>
        <w:numPr>
          <w:ilvl w:val="2"/>
          <w:numId w:val="61"/>
        </w:numPr>
        <w:rPr>
          <w:rFonts w:ascii="Arial" w:cs="Arial" w:eastAsia="Arial" w:hAnsi="Arial"/>
          <w:sz w:val="22"/>
          <w:szCs w:val="22"/>
          <w:color w:val="auto"/>
        </w:rPr>
      </w:pPr>
      <w:r>
        <w:rPr>
          <w:rFonts w:ascii="Arial" w:cs="Arial" w:eastAsia="Arial" w:hAnsi="Arial"/>
          <w:sz w:val="22"/>
          <w:szCs w:val="22"/>
          <w:color w:val="auto"/>
        </w:rPr>
        <w:t>BROKER-ASSISTED CASHLESS EXERCISE AND SELL: If you elect this alternative, you will be deemed to have simultaneously exercised the NSO and to have sold the Shares underlying the portion of the NSO you</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70" w:name="page71"/>
    <w:bookmarkEnd w:id="70"/>
    <w:p>
      <w:pPr>
        <w:jc w:val="both"/>
        <w:ind w:left="1960"/>
        <w:spacing w:after="0" w:line="253" w:lineRule="auto"/>
        <w:rPr>
          <w:sz w:val="20"/>
          <w:szCs w:val="20"/>
          <w:color w:val="auto"/>
        </w:rPr>
      </w:pPr>
      <w:r>
        <w:rPr>
          <w:rFonts w:ascii="Arial" w:cs="Arial" w:eastAsia="Arial" w:hAnsi="Arial"/>
          <w:sz w:val="22"/>
          <w:szCs w:val="22"/>
          <w:color w:val="auto"/>
        </w:rPr>
        <w:t>exercised. When the transaction is complete, you will receive cash (but no Shares) from the broker equal to the difference between the aggregate Fair Market Value of the Shares deemed to have been acquired through the exercise minus the aggregate Exercise Price and related taxes.</w:t>
      </w:r>
    </w:p>
    <w:p>
      <w:pPr>
        <w:spacing w:after="0" w:line="226" w:lineRule="exact"/>
        <w:rPr>
          <w:sz w:val="20"/>
          <w:szCs w:val="20"/>
          <w:color w:val="auto"/>
        </w:rPr>
      </w:pPr>
    </w:p>
    <w:p>
      <w:pPr>
        <w:jc w:val="both"/>
        <w:ind w:left="1960" w:hanging="655"/>
        <w:spacing w:after="0" w:line="248" w:lineRule="auto"/>
        <w:tabs>
          <w:tab w:leader="none" w:pos="1960" w:val="left"/>
        </w:tabs>
        <w:numPr>
          <w:ilvl w:val="2"/>
          <w:numId w:val="62"/>
        </w:numPr>
        <w:rPr>
          <w:rFonts w:ascii="Arial" w:cs="Arial" w:eastAsia="Arial" w:hAnsi="Arial"/>
          <w:sz w:val="22"/>
          <w:szCs w:val="22"/>
          <w:color w:val="auto"/>
        </w:rPr>
      </w:pPr>
      <w:r>
        <w:rPr>
          <w:rFonts w:ascii="Arial" w:cs="Arial" w:eastAsia="Arial" w:hAnsi="Arial"/>
          <w:sz w:val="22"/>
          <w:szCs w:val="22"/>
          <w:color w:val="auto"/>
        </w:rPr>
        <w:t>COMBINATION EXERCISE: If you elect this alternative, you will be deemed to have simultaneously exercised the NSO and to have sold a number of those Shares with a Fair Market Value equal to the aggregate Exercise Price and for taxes that are required to be withheld on account of the exercise. When the transaction is complete, the balance of the Shares subject to the portion of the NSO you exercised will be transferred to you.</w:t>
      </w:r>
    </w:p>
    <w:p>
      <w:pPr>
        <w:spacing w:after="0" w:line="232"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62"/>
        </w:numPr>
        <w:rPr>
          <w:rFonts w:ascii="Arial" w:cs="Arial" w:eastAsia="Arial" w:hAnsi="Arial"/>
          <w:sz w:val="22"/>
          <w:szCs w:val="22"/>
          <w:color w:val="auto"/>
        </w:rPr>
      </w:pPr>
      <w:r>
        <w:rPr>
          <w:rFonts w:ascii="Arial" w:cs="Arial" w:eastAsia="Arial" w:hAnsi="Arial"/>
          <w:sz w:val="22"/>
          <w:szCs w:val="22"/>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228"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You may never exercise your NSO to purchase a fractional Share. Any fractional Share shall be redeemed for cash equal to the Fair Market Value of such fractional Share.</w:t>
      </w:r>
    </w:p>
    <w:p>
      <w:pPr>
        <w:spacing w:after="0" w:line="209" w:lineRule="exact"/>
        <w:rPr>
          <w:rFonts w:ascii="Arial" w:cs="Arial" w:eastAsia="Arial" w:hAnsi="Arial"/>
          <w:sz w:val="22"/>
          <w:szCs w:val="22"/>
          <w:color w:val="auto"/>
        </w:rPr>
      </w:pPr>
    </w:p>
    <w:p>
      <w:pPr>
        <w:jc w:val="both"/>
        <w:ind w:firstLine="8"/>
        <w:spacing w:after="0" w:line="256" w:lineRule="auto"/>
        <w:tabs>
          <w:tab w:leader="none" w:pos="378"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EXPIRATION AND FORFEITURE. </w:t>
      </w:r>
      <w:r>
        <w:rPr>
          <w:rFonts w:ascii="Arial" w:cs="Arial" w:eastAsia="Arial" w:hAnsi="Arial"/>
          <w:sz w:val="22"/>
          <w:szCs w:val="22"/>
          <w:color w:val="auto"/>
        </w:rPr>
        <w:t>It is your responsibility to keep track of when your NSO expires. Your NSO will expire</w:t>
      </w:r>
      <w:r>
        <w:rPr>
          <w:rFonts w:ascii="Arial" w:cs="Arial" w:eastAsia="Arial" w:hAnsi="Arial"/>
          <w:sz w:val="22"/>
          <w:szCs w:val="22"/>
          <w:b w:val="1"/>
          <w:bCs w:val="1"/>
          <w:color w:val="auto"/>
        </w:rPr>
        <w:t xml:space="preserve"> </w:t>
      </w:r>
      <w:r>
        <w:rPr>
          <w:rFonts w:ascii="Arial" w:cs="Arial" w:eastAsia="Arial" w:hAnsi="Arial"/>
          <w:sz w:val="22"/>
          <w:szCs w:val="22"/>
          <w:color w:val="auto"/>
        </w:rPr>
        <w:t>and/or you will forfeit your NSO (i.e. you will no longer have the right to exercise any portion of your NSO) under each of the following circumstances:</w:t>
      </w:r>
    </w:p>
    <w:p>
      <w:pPr>
        <w:spacing w:after="0" w:line="216" w:lineRule="exact"/>
        <w:rPr>
          <w:rFonts w:ascii="Arial" w:cs="Arial" w:eastAsia="Arial" w:hAnsi="Arial"/>
          <w:sz w:val="22"/>
          <w:szCs w:val="22"/>
          <w:b w:val="1"/>
          <w:bCs w:val="1"/>
          <w:color w:val="auto"/>
        </w:rPr>
      </w:pPr>
    </w:p>
    <w:p>
      <w:pPr>
        <w:ind w:left="980" w:hanging="324"/>
        <w:spacing w:after="0"/>
        <w:tabs>
          <w:tab w:leader="none" w:pos="980" w:val="left"/>
        </w:tabs>
        <w:numPr>
          <w:ilvl w:val="1"/>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General Expiration Rules. </w:t>
      </w:r>
      <w:r>
        <w:rPr>
          <w:rFonts w:ascii="Arial" w:cs="Arial" w:eastAsia="Arial" w:hAnsi="Arial"/>
          <w:sz w:val="22"/>
          <w:szCs w:val="22"/>
          <w:color w:val="auto"/>
        </w:rPr>
        <w:t>In general, your NSO will expire on the Expiration Date.</w:t>
      </w:r>
    </w:p>
    <w:p>
      <w:pPr>
        <w:spacing w:after="0" w:line="260" w:lineRule="exact"/>
        <w:rPr>
          <w:rFonts w:ascii="Arial" w:cs="Arial" w:eastAsia="Arial" w:hAnsi="Arial"/>
          <w:sz w:val="22"/>
          <w:szCs w:val="22"/>
          <w:color w:val="auto"/>
        </w:rPr>
      </w:pPr>
    </w:p>
    <w:p>
      <w:pPr>
        <w:ind w:left="980" w:hanging="324"/>
        <w:spacing w:after="0" w:line="269" w:lineRule="auto"/>
        <w:tabs>
          <w:tab w:leader="none" w:pos="980" w:val="left"/>
        </w:tabs>
        <w:numPr>
          <w:ilvl w:val="1"/>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Forfeiture Rules. </w:t>
      </w:r>
      <w:r>
        <w:rPr>
          <w:rFonts w:ascii="Arial" w:cs="Arial" w:eastAsia="Arial" w:hAnsi="Arial"/>
          <w:sz w:val="22"/>
          <w:szCs w:val="22"/>
          <w:color w:val="auto"/>
        </w:rPr>
        <w:t>In the following instances, your NSO will expire and you will forfeit your NSO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Date:</w:t>
      </w:r>
    </w:p>
    <w:p>
      <w:pPr>
        <w:spacing w:after="0" w:line="208" w:lineRule="exact"/>
        <w:rPr>
          <w:rFonts w:ascii="Arial" w:cs="Arial" w:eastAsia="Arial" w:hAnsi="Arial"/>
          <w:sz w:val="22"/>
          <w:szCs w:val="22"/>
          <w:color w:val="auto"/>
        </w:rPr>
      </w:pPr>
    </w:p>
    <w:p>
      <w:pPr>
        <w:ind w:left="1620" w:right="20" w:hanging="315"/>
        <w:spacing w:after="0" w:line="263" w:lineRule="auto"/>
        <w:tabs>
          <w:tab w:leader="none" w:pos="1620" w:val="left"/>
        </w:tabs>
        <w:numPr>
          <w:ilvl w:val="2"/>
          <w:numId w:val="64"/>
        </w:numPr>
        <w:rPr>
          <w:rFonts w:ascii="Arial" w:cs="Arial" w:eastAsia="Arial" w:hAnsi="Arial"/>
          <w:sz w:val="22"/>
          <w:szCs w:val="22"/>
          <w:color w:val="auto"/>
        </w:rPr>
      </w:pPr>
      <w:r>
        <w:rPr>
          <w:rFonts w:ascii="Arial" w:cs="Arial" w:eastAsia="Arial" w:hAnsi="Arial"/>
          <w:sz w:val="22"/>
          <w:szCs w:val="22"/>
          <w:color w:val="auto"/>
        </w:rPr>
        <w:t>If you Terminate before the Vesting Date, except as provided in Section 3 above, you will forfeit your NSO in its entirety;</w:t>
      </w:r>
    </w:p>
    <w:p>
      <w:pPr>
        <w:spacing w:after="0" w:line="215"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64"/>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NSO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28" w:lineRule="exact"/>
        <w:rPr>
          <w:rFonts w:ascii="Arial" w:cs="Arial" w:eastAsia="Arial" w:hAnsi="Arial"/>
          <w:sz w:val="22"/>
          <w:szCs w:val="22"/>
          <w:color w:val="auto"/>
        </w:rPr>
      </w:pPr>
    </w:p>
    <w:p>
      <w:pPr>
        <w:ind w:left="2280" w:hanging="327"/>
        <w:spacing w:after="0" w:line="263" w:lineRule="auto"/>
        <w:tabs>
          <w:tab w:leader="none" w:pos="2280" w:val="left"/>
        </w:tabs>
        <w:numPr>
          <w:ilvl w:val="3"/>
          <w:numId w:val="64"/>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71" w:name="page72"/>
    <w:bookmarkEnd w:id="71"/>
    <w:p>
      <w:pPr>
        <w:ind w:left="2280" w:hanging="327"/>
        <w:spacing w:after="0" w:line="263" w:lineRule="auto"/>
        <w:tabs>
          <w:tab w:leader="none" w:pos="2280" w:val="left"/>
        </w:tabs>
        <w:numPr>
          <w:ilvl w:val="2"/>
          <w:numId w:val="65"/>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2280" w:hanging="327"/>
        <w:spacing w:after="0" w:line="263" w:lineRule="auto"/>
        <w:tabs>
          <w:tab w:leader="none" w:pos="2280" w:val="left"/>
        </w:tabs>
        <w:numPr>
          <w:ilvl w:val="2"/>
          <w:numId w:val="65"/>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2280" w:hanging="327"/>
        <w:spacing w:after="0" w:line="247" w:lineRule="auto"/>
        <w:tabs>
          <w:tab w:leader="none" w:pos="2280" w:val="left"/>
        </w:tabs>
        <w:numPr>
          <w:ilvl w:val="2"/>
          <w:numId w:val="65"/>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2280" w:hanging="327"/>
        <w:spacing w:after="0" w:line="263" w:lineRule="auto"/>
        <w:tabs>
          <w:tab w:leader="none" w:pos="2280" w:val="left"/>
        </w:tabs>
        <w:numPr>
          <w:ilvl w:val="2"/>
          <w:numId w:val="65"/>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If you Terminate for Cause after the Vesting Date, the portion of your NSO that has not been exercised will be forfeited (whether or not then vested) on the date you Terminate; or</w:t>
      </w:r>
    </w:p>
    <w:p>
      <w:pPr>
        <w:spacing w:after="0" w:line="215" w:lineRule="exact"/>
        <w:rPr>
          <w:rFonts w:ascii="Arial" w:cs="Arial" w:eastAsia="Arial" w:hAnsi="Arial"/>
          <w:sz w:val="22"/>
          <w:szCs w:val="22"/>
          <w:color w:val="auto"/>
        </w:rPr>
      </w:pPr>
    </w:p>
    <w:p>
      <w:pPr>
        <w:ind w:left="1960" w:hanging="655"/>
        <w:spacing w:after="0" w:line="343" w:lineRule="auto"/>
        <w:tabs>
          <w:tab w:leader="none" w:pos="19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If you Terminate for any other reason after the Vesting Date, the portion of your NSO that is vested but has not been exercised will expire on the earlier of the Expiration Date or 90 days after you Terminate.</w:t>
      </w:r>
    </w:p>
    <w:p>
      <w:pPr>
        <w:spacing w:after="0" w:line="139" w:lineRule="exact"/>
        <w:rPr>
          <w:rFonts w:ascii="Arial" w:cs="Arial" w:eastAsia="Arial" w:hAnsi="Arial"/>
          <w:sz w:val="19"/>
          <w:szCs w:val="19"/>
          <w:color w:val="auto"/>
        </w:rPr>
      </w:pPr>
    </w:p>
    <w:p>
      <w:pPr>
        <w:ind w:firstLine="8"/>
        <w:spacing w:after="0" w:line="269" w:lineRule="auto"/>
        <w:tabs>
          <w:tab w:leader="none" w:pos="40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r>
        <w:rPr>
          <w:rFonts w:ascii="Arial" w:cs="Arial" w:eastAsia="Arial" w:hAnsi="Arial"/>
          <w:sz w:val="22"/>
          <w:szCs w:val="22"/>
          <w:color w:val="auto"/>
        </w:rPr>
        <w:t>. 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202" w:lineRule="exact"/>
        <w:rPr>
          <w:rFonts w:ascii="Arial" w:cs="Arial" w:eastAsia="Arial" w:hAnsi="Arial"/>
          <w:sz w:val="22"/>
          <w:szCs w:val="22"/>
          <w:b w:val="1"/>
          <w:bCs w:val="1"/>
          <w:color w:val="auto"/>
        </w:rPr>
      </w:pPr>
    </w:p>
    <w:p>
      <w:pPr>
        <w:jc w:val="both"/>
        <w:ind w:firstLine="8"/>
        <w:spacing w:after="0" w:line="298" w:lineRule="auto"/>
        <w:tabs>
          <w:tab w:leader="none" w:pos="378"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BENEFICIARY DESIGNATION</w:t>
      </w:r>
      <w:r>
        <w:rPr>
          <w:rFonts w:ascii="Arial" w:cs="Arial" w:eastAsia="Arial" w:hAnsi="Arial"/>
          <w:sz w:val="19"/>
          <w:szCs w:val="19"/>
          <w:color w:val="auto"/>
        </w:rPr>
        <w:t>. You may name a beneficiary or beneficiaries to receive or to exercise the vested portion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NSO that is 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83" w:lineRule="exact"/>
        <w:rPr>
          <w:rFonts w:ascii="Arial" w:cs="Arial" w:eastAsia="Arial" w:hAnsi="Arial"/>
          <w:sz w:val="19"/>
          <w:szCs w:val="19"/>
          <w:b w:val="1"/>
          <w:bCs w:val="1"/>
          <w:color w:val="auto"/>
        </w:rPr>
      </w:pPr>
    </w:p>
    <w:p>
      <w:pPr>
        <w:jc w:val="both"/>
        <w:ind w:firstLine="8"/>
        <w:spacing w:after="0" w:line="256" w:lineRule="auto"/>
        <w:tabs>
          <w:tab w:leader="none" w:pos="41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TRANSFERRING YOUR NSO</w:t>
      </w:r>
      <w:r>
        <w:rPr>
          <w:rFonts w:ascii="Arial" w:cs="Arial" w:eastAsia="Arial" w:hAnsi="Arial"/>
          <w:sz w:val="22"/>
          <w:szCs w:val="22"/>
          <w:color w:val="auto"/>
        </w:rPr>
        <w:t>. Except as described in Section 8, your NSO may not be transferred to another person.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allow you to place your NSO into a trust established for your benefit or for the benefit of your family. Contact the </w:t>
      </w:r>
      <w:r>
        <w:rPr>
          <w:rFonts w:ascii="Arial" w:cs="Arial" w:eastAsia="Arial" w:hAnsi="Arial"/>
          <w:sz w:val="22"/>
          <w:szCs w:val="22"/>
          <w:b w:val="1"/>
          <w:bCs w:val="1"/>
          <w:color w:val="auto"/>
        </w:rPr>
        <w:t xml:space="preserve">Third Party Administrator </w:t>
      </w:r>
      <w:r>
        <w:rPr>
          <w:rFonts w:ascii="Arial" w:cs="Arial" w:eastAsia="Arial" w:hAnsi="Arial"/>
          <w:sz w:val="22"/>
          <w:szCs w:val="22"/>
          <w:color w:val="auto"/>
        </w:rPr>
        <w:t>for further details.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72" w:name="page73"/>
    <w:bookmarkEnd w:id="72"/>
    <w:p>
      <w:pPr>
        <w:jc w:val="both"/>
        <w:ind w:firstLine="8"/>
        <w:spacing w:after="0" w:line="256" w:lineRule="auto"/>
        <w:tabs>
          <w:tab w:leader="none" w:pos="508"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49" w:lineRule="auto"/>
        <w:tabs>
          <w:tab w:leader="none" w:pos="621"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OTHER AGREEMENTS AND POLICIES</w:t>
      </w:r>
      <w:r>
        <w:rPr>
          <w:rFonts w:ascii="Arial" w:cs="Arial" w:eastAsia="Arial" w:hAnsi="Arial"/>
          <w:sz w:val="22"/>
          <w:szCs w:val="22"/>
          <w:color w:val="auto"/>
        </w:rPr>
        <w:t>. Your NSO will be subject to the terms of any other written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or any Affiliate or Subsidiary to the extent that those other agreements do not directly conflict with the terms of the Plan or this Award Agreement. Your NSO granted under the Plan shall be subject to any applicable Company clawback or recoupment policies, share trading policies and other policies that may be implemented by the Company from time to time.</w:t>
      </w:r>
    </w:p>
    <w:p>
      <w:pPr>
        <w:spacing w:after="0" w:line="227" w:lineRule="exact"/>
        <w:rPr>
          <w:rFonts w:ascii="Arial" w:cs="Arial" w:eastAsia="Arial" w:hAnsi="Arial"/>
          <w:sz w:val="22"/>
          <w:szCs w:val="22"/>
          <w:b w:val="1"/>
          <w:bCs w:val="1"/>
          <w:color w:val="auto"/>
        </w:rPr>
      </w:pPr>
    </w:p>
    <w:p>
      <w:pPr>
        <w:jc w:val="both"/>
        <w:ind w:firstLine="8"/>
        <w:spacing w:after="0" w:line="256" w:lineRule="auto"/>
        <w:tabs>
          <w:tab w:leader="none" w:pos="49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TO YOUR NSO</w:t>
      </w:r>
      <w:r>
        <w:rPr>
          <w:rFonts w:ascii="Arial" w:cs="Arial" w:eastAsia="Arial" w:hAnsi="Arial"/>
          <w:sz w:val="22"/>
          <w:szCs w:val="22"/>
          <w:color w:val="auto"/>
        </w:rPr>
        <w:t>. Subject to the terms of the Plan, your NSO and the terms of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adjusted, if appropriate, to reflect any change to the Company’s capital structure (e.g., the number of Shares underlying your NSO and the Exercise Price will be adjusted to reflect a stock split).</w:t>
      </w:r>
    </w:p>
    <w:p>
      <w:pPr>
        <w:spacing w:after="0" w:line="216" w:lineRule="exact"/>
        <w:rPr>
          <w:rFonts w:ascii="Arial" w:cs="Arial" w:eastAsia="Arial" w:hAnsi="Arial"/>
          <w:sz w:val="22"/>
          <w:szCs w:val="22"/>
          <w:b w:val="1"/>
          <w:bCs w:val="1"/>
          <w:color w:val="auto"/>
        </w:rPr>
      </w:pPr>
    </w:p>
    <w:p>
      <w:pPr>
        <w:ind w:left="480" w:hanging="472"/>
        <w:spacing w:after="0"/>
        <w:tabs>
          <w:tab w:leader="none" w:pos="48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60" w:lineRule="exact"/>
        <w:rPr>
          <w:sz w:val="20"/>
          <w:szCs w:val="20"/>
          <w:color w:val="auto"/>
        </w:rPr>
      </w:pPr>
    </w:p>
    <w:p>
      <w:pPr>
        <w:ind w:left="1100" w:hanging="444"/>
        <w:spacing w:after="0"/>
        <w:tabs>
          <w:tab w:leader="none" w:pos="11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NSO;</w:t>
      </w:r>
    </w:p>
    <w:p>
      <w:pPr>
        <w:spacing w:after="0" w:line="260"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spacing w:after="0" w:line="222" w:lineRule="exact"/>
        <w:rPr>
          <w:rFonts w:ascii="Arial" w:cs="Arial" w:eastAsia="Arial" w:hAnsi="Arial"/>
          <w:sz w:val="22"/>
          <w:szCs w:val="22"/>
          <w:color w:val="auto"/>
        </w:rPr>
      </w:pPr>
    </w:p>
    <w:p>
      <w:pPr>
        <w:ind w:left="1300" w:hanging="644"/>
        <w:spacing w:after="0" w:line="269" w:lineRule="auto"/>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 30 Days After</w:t>
      </w:r>
      <w:r>
        <w:rPr>
          <w:rFonts w:ascii="Arial" w:cs="Arial" w:eastAsia="Arial" w:hAnsi="Arial"/>
          <w:sz w:val="22"/>
          <w:szCs w:val="22"/>
          <w:color w:val="auto"/>
        </w:rPr>
        <w:t xml:space="preserv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Grantee’s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5020" w:space="720"/>
            <w:col w:w="5680"/>
          </w:cols>
          <w:pgMar w:left="240" w:top="625" w:right="239" w:bottom="1440" w:gutter="0" w:footer="0" w:header="0"/>
          <w:type w:val="continuous"/>
        </w:sectPr>
      </w:pPr>
    </w:p>
    <w:p>
      <w:pPr>
        <w:spacing w:after="0" w:line="17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BY:__________________________________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w:t>
      </w:r>
    </w:p>
    <w:p>
      <w:pPr>
        <w:spacing w:after="0" w:line="79" w:lineRule="exact"/>
        <w:rPr>
          <w:sz w:val="20"/>
          <w:szCs w:val="20"/>
          <w:color w:val="auto"/>
        </w:rPr>
      </w:pPr>
    </w:p>
    <w:p>
      <w:pPr>
        <w:sectPr>
          <w:pgSz w:w="11900" w:h="16838" w:orient="portrait"/>
          <w:cols w:equalWidth="0" w:num="2">
            <w:col w:w="5020" w:space="720"/>
            <w:col w:w="5680"/>
          </w:cols>
          <w:pgMar w:left="240" w:top="625"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[Name of Company representative]</w:t>
      </w:r>
    </w:p>
    <w:p>
      <w:pPr>
        <w:spacing w:after="0" w:line="79" w:lineRule="exact"/>
        <w:rPr>
          <w:sz w:val="20"/>
          <w:szCs w:val="20"/>
          <w:color w:val="auto"/>
        </w:rPr>
      </w:pPr>
    </w:p>
    <w:p>
      <w:pPr>
        <w:sectPr>
          <w:pgSz w:w="11900" w:h="16838" w:orient="portrait"/>
          <w:cols w:equalWidth="0" w:num="2">
            <w:col w:w="5020" w:space="720"/>
            <w:col w:w="5680"/>
          </w:cols>
          <w:pgMar w:left="240" w:top="625" w:right="239" w:bottom="1440" w:gutter="0" w:footer="0" w:header="0"/>
          <w:type w:val="continuous"/>
        </w:sectPr>
      </w:pPr>
    </w:p>
    <w:p>
      <w:pPr>
        <w:ind w:left="5740"/>
        <w:spacing w:after="0"/>
        <w:rPr>
          <w:sz w:val="20"/>
          <w:szCs w:val="20"/>
          <w:color w:val="auto"/>
        </w:rPr>
      </w:pPr>
      <w:r>
        <w:rPr>
          <w:rFonts w:ascii="Arial" w:cs="Arial" w:eastAsia="Arial" w:hAnsi="Arial"/>
          <w:sz w:val="22"/>
          <w:szCs w:val="22"/>
          <w:color w:val="auto"/>
        </w:rPr>
        <w:t>[Title of Company representative]</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Date signed:______________________</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25" w:right="2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10.8</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COMPANY LLC EXECUTIVE RETIREMENT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January 1, 2011)</w:t>
      </w:r>
    </w:p>
    <w:p>
      <w:pPr>
        <w:spacing w:after="0" w:line="31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WHEREAS, The Scotts Company LLC (the “Company”) sponsors </w:t>
      </w:r>
      <w:r>
        <w:rPr>
          <w:rFonts w:ascii="Arial" w:cs="Arial" w:eastAsia="Arial" w:hAnsi="Arial"/>
          <w:sz w:val="22"/>
          <w:szCs w:val="22"/>
          <w:i w:val="1"/>
          <w:iCs w:val="1"/>
          <w:color w:val="auto"/>
        </w:rPr>
        <w:t>The Scotts Company LLC Executive Retirement Plan</w:t>
      </w:r>
      <w:r>
        <w:rPr>
          <w:rFonts w:ascii="Arial" w:cs="Arial" w:eastAsia="Arial" w:hAnsi="Arial"/>
          <w:sz w:val="22"/>
          <w:szCs w:val="22"/>
          <w:color w:val="auto"/>
        </w:rPr>
        <w:t xml:space="preserve"> (the “Plan”); and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Section XI of the Plan provides that the Plan may be amended by Compensation and Organization Committee of the Board of Directors, or its delegate,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wants to amend the Plan to clarify certain provisions pertaining to emergency distributions;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Plan is amended effective January 1, 2011, in the following manner:</w:t>
      </w:r>
    </w:p>
    <w:p>
      <w:pPr>
        <w:spacing w:after="0" w:line="274" w:lineRule="exact"/>
        <w:rPr>
          <w:sz w:val="20"/>
          <w:szCs w:val="20"/>
          <w:color w:val="auto"/>
        </w:rPr>
      </w:pPr>
    </w:p>
    <w:p>
      <w:pPr>
        <w:ind w:right="700" w:firstLine="648"/>
        <w:spacing w:after="0" w:line="379" w:lineRule="auto"/>
        <w:rPr>
          <w:sz w:val="20"/>
          <w:szCs w:val="20"/>
          <w:color w:val="auto"/>
        </w:rPr>
      </w:pPr>
      <w:r>
        <w:rPr>
          <w:rFonts w:ascii="Arial" w:cs="Arial" w:eastAsia="Arial" w:hAnsi="Arial"/>
          <w:sz w:val="22"/>
          <w:szCs w:val="22"/>
          <w:color w:val="auto"/>
        </w:rPr>
        <w:t>Plan section V, “Method of Distribution of Deferred Compensation,” is amended by replacing, in subsection (E), the subsection description and first sentence thereunder with the following:</w:t>
      </w:r>
    </w:p>
    <w:p>
      <w:pPr>
        <w:spacing w:after="0" w:line="119"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u w:val="single" w:color="auto"/>
          <w:color w:val="auto"/>
        </w:rPr>
        <w:t>Unforeseeable Emergency Distributions</w:t>
      </w:r>
      <w:r>
        <w:rPr>
          <w:rFonts w:ascii="Arial" w:cs="Arial" w:eastAsia="Arial" w:hAnsi="Arial"/>
          <w:sz w:val="21"/>
          <w:szCs w:val="21"/>
          <w:color w:val="auto"/>
        </w:rPr>
        <w:t>. The Benefits Administrative Committee, in its sole discretion, may elect to distribute all or a portion of the Participant’s Account in the event such Participant requests a distribution due to an Unforeseeable Emergency, as described under Treasury Regulation Section 1.409A-3(i)(3).</w:t>
      </w:r>
    </w:p>
    <w:p>
      <w:pPr>
        <w:sectPr>
          <w:pgSz w:w="11900" w:h="16838" w:orient="portrait"/>
          <w:cols w:equalWidth="0" w:num="1">
            <w:col w:w="11420"/>
          </w:cols>
          <w:pgMar w:left="240" w:top="126" w:right="2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22"/>
          <w:szCs w:val="22"/>
          <w:b w:val="1"/>
          <w:bCs w:val="1"/>
          <w:color w:val="auto"/>
        </w:rPr>
        <w:t>THE SCOTTS COMPANY LLC</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Certificate</w:t>
      </w:r>
    </w:p>
    <w:p>
      <w:pPr>
        <w:spacing w:after="0" w:line="200" w:lineRule="exact"/>
        <w:rPr>
          <w:sz w:val="20"/>
          <w:szCs w:val="20"/>
          <w:color w:val="auto"/>
        </w:rPr>
      </w:pPr>
    </w:p>
    <w:p>
      <w:pPr>
        <w:spacing w:after="0" w:line="323" w:lineRule="exact"/>
        <w:rPr>
          <w:sz w:val="20"/>
          <w:szCs w:val="20"/>
          <w:color w:val="auto"/>
        </w:rPr>
      </w:pPr>
    </w:p>
    <w:p>
      <w:pPr>
        <w:ind w:firstLine="1297"/>
        <w:spacing w:after="0" w:line="563" w:lineRule="auto"/>
        <w:rPr>
          <w:sz w:val="20"/>
          <w:szCs w:val="20"/>
          <w:color w:val="auto"/>
        </w:rPr>
      </w:pPr>
      <w:r>
        <w:rPr>
          <w:rFonts w:ascii="Arial" w:cs="Arial" w:eastAsia="Arial" w:hAnsi="Arial"/>
          <w:sz w:val="19"/>
          <w:szCs w:val="19"/>
          <w:color w:val="auto"/>
        </w:rPr>
        <w:t xml:space="preserve">I, Denise S. Stump, the Executive Vice President, Global Human Resources of The Scotts Company LLC hereby certify that the </w:t>
      </w:r>
      <w:r>
        <w:rPr>
          <w:rFonts w:ascii="Arial" w:cs="Arial" w:eastAsia="Arial" w:hAnsi="Arial"/>
          <w:sz w:val="19"/>
          <w:szCs w:val="19"/>
          <w:u w:val="single" w:color="auto"/>
          <w:color w:val="auto"/>
        </w:rPr>
        <w:t>First Amendment</w:t>
      </w:r>
      <w:r>
        <w:rPr>
          <w:rFonts w:ascii="Arial" w:cs="Arial" w:eastAsia="Arial" w:hAnsi="Arial"/>
          <w:sz w:val="19"/>
          <w:szCs w:val="19"/>
          <w:color w:val="auto"/>
        </w:rPr>
        <w:t xml:space="preserve">, attached hereto as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to </w:t>
      </w:r>
      <w:r>
        <w:rPr>
          <w:rFonts w:ascii="Arial" w:cs="Arial" w:eastAsia="Arial" w:hAnsi="Arial"/>
          <w:sz w:val="19"/>
          <w:szCs w:val="19"/>
          <w:i w:val="1"/>
          <w:iCs w:val="1"/>
          <w:color w:val="auto"/>
        </w:rPr>
        <w:t>The Scotts Company LLC Executive Retirement Plan</w:t>
      </w:r>
      <w:r>
        <w:rPr>
          <w:rFonts w:ascii="Arial" w:cs="Arial" w:eastAsia="Arial" w:hAnsi="Arial"/>
          <w:sz w:val="19"/>
          <w:szCs w:val="19"/>
          <w:color w:val="auto"/>
        </w:rPr>
        <w:t>, as Amended and Restated as of January 1, 2011, was implemented by me this day and made effective as of the date set forth therein.</w:t>
      </w:r>
    </w:p>
    <w:p>
      <w:pPr>
        <w:spacing w:after="0" w:line="2" w:lineRule="exact"/>
        <w:rPr>
          <w:sz w:val="20"/>
          <w:szCs w:val="20"/>
          <w:color w:val="auto"/>
        </w:rPr>
      </w:pPr>
    </w:p>
    <w:p>
      <w:pPr>
        <w:ind w:right="400" w:firstLine="1297"/>
        <w:spacing w:after="0" w:line="497" w:lineRule="auto"/>
        <w:rPr>
          <w:sz w:val="20"/>
          <w:szCs w:val="20"/>
          <w:color w:val="auto"/>
        </w:rPr>
      </w:pPr>
      <w:r>
        <w:rPr>
          <w:rFonts w:ascii="Arial" w:cs="Arial" w:eastAsia="Arial" w:hAnsi="Arial"/>
          <w:sz w:val="22"/>
          <w:szCs w:val="22"/>
          <w:color w:val="auto"/>
        </w:rPr>
        <w:t>This action is taken by me on behalf of The Scotts Company LLC, pursuant to delegations to me by the Compensation and Organization Committee of the Board of Directors of The Scotts Miracle-Gro Company on August 8, 2007, which delegation remains in full force and effect, as of the date of this Certificate.</w:t>
      </w:r>
    </w:p>
    <w:p>
      <w:pPr>
        <w:spacing w:after="0" w:line="39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SCOTTS COMPANY LLC</w:t>
      </w:r>
    </w:p>
    <w:p>
      <w:pPr>
        <w:spacing w:after="0" w:line="200" w:lineRule="exact"/>
        <w:rPr>
          <w:sz w:val="20"/>
          <w:szCs w:val="20"/>
          <w:color w:val="auto"/>
        </w:rPr>
      </w:pPr>
    </w:p>
    <w:p>
      <w:pPr>
        <w:spacing w:after="0" w:line="37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Denise S.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631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Denise S. Stump</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Global Human Resources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Dated: June _</w:t>
      </w:r>
      <w:r>
        <w:rPr>
          <w:rFonts w:ascii="Arial" w:cs="Arial" w:eastAsia="Arial" w:hAnsi="Arial"/>
          <w:sz w:val="22"/>
          <w:szCs w:val="22"/>
          <w:u w:val="single" w:color="auto"/>
          <w:color w:val="auto"/>
        </w:rPr>
        <w:t>21</w:t>
      </w:r>
      <w:r>
        <w:rPr>
          <w:rFonts w:ascii="Arial" w:cs="Arial" w:eastAsia="Arial" w:hAnsi="Arial"/>
          <w:sz w:val="22"/>
          <w:szCs w:val="22"/>
          <w:color w:val="auto"/>
        </w:rPr>
        <w:t>__, 2011</w:t>
      </w:r>
    </w:p>
    <w:p>
      <w:pPr>
        <w:sectPr>
          <w:pgSz w:w="11900" w:h="16838" w:orient="portrait"/>
          <w:cols w:equalWidth="0" w:num="1">
            <w:col w:w="11380"/>
          </w:cols>
          <w:pgMar w:left="240" w:top="625" w:right="27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10.9</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COMPANY LLC EXECUTIVE RETIREMENT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January 1, 2011)</w:t>
      </w:r>
    </w:p>
    <w:p>
      <w:pPr>
        <w:spacing w:after="0" w:line="31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WHEREAS, The Scotts Company LLC (the “Company”) sponsors </w:t>
      </w:r>
      <w:r>
        <w:rPr>
          <w:rFonts w:ascii="Arial" w:cs="Arial" w:eastAsia="Arial" w:hAnsi="Arial"/>
          <w:sz w:val="22"/>
          <w:szCs w:val="22"/>
          <w:i w:val="1"/>
          <w:iCs w:val="1"/>
          <w:color w:val="auto"/>
        </w:rPr>
        <w:t>The Scotts Company LLC Executive Retirement Plan</w:t>
      </w:r>
      <w:r>
        <w:rPr>
          <w:rFonts w:ascii="Arial" w:cs="Arial" w:eastAsia="Arial" w:hAnsi="Arial"/>
          <w:sz w:val="22"/>
          <w:szCs w:val="22"/>
          <w:color w:val="auto"/>
        </w:rPr>
        <w:t xml:space="preserve"> (the “Plan”); and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Plan Section XI provides that the Plan may be amended by the Compensation and Organization Committee of the Board of Directors, or its delegate; and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Company wants to amend the Plan to permit Participants to defer Base Salary attributable to Compensation not in excess of the Pay Cap into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Plan is amended effective January 1, 2012, as follows:</w:t>
      </w:r>
    </w:p>
    <w:p>
      <w:pPr>
        <w:spacing w:after="0" w:line="274" w:lineRule="exact"/>
        <w:rPr>
          <w:sz w:val="20"/>
          <w:szCs w:val="20"/>
          <w:color w:val="auto"/>
        </w:rPr>
      </w:pPr>
    </w:p>
    <w:p>
      <w:pPr>
        <w:ind w:right="800" w:firstLine="8"/>
        <w:spacing w:after="0" w:line="379" w:lineRule="auto"/>
        <w:tabs>
          <w:tab w:leader="none" w:pos="342" w:val="left"/>
        </w:tabs>
        <w:numPr>
          <w:ilvl w:val="0"/>
          <w:numId w:val="70"/>
        </w:numPr>
        <w:rPr>
          <w:rFonts w:ascii="Arial" w:cs="Arial" w:eastAsia="Arial" w:hAnsi="Arial"/>
          <w:sz w:val="22"/>
          <w:szCs w:val="22"/>
          <w:color w:val="auto"/>
        </w:rPr>
      </w:pPr>
      <w:r>
        <w:rPr>
          <w:rFonts w:ascii="Arial" w:cs="Arial" w:eastAsia="Arial" w:hAnsi="Arial"/>
          <w:sz w:val="22"/>
          <w:szCs w:val="22"/>
          <w:color w:val="auto"/>
        </w:rPr>
        <w:t>Effective on and after January 1, 2012, Section C, “Election of Participant to Defer Compensation,” of Plan section IV, “Accounts,” is deleted and replaced by the following:</w:t>
      </w:r>
    </w:p>
    <w:p>
      <w:pPr>
        <w:spacing w:after="0" w:line="119" w:lineRule="exact"/>
        <w:rPr>
          <w:rFonts w:ascii="Arial" w:cs="Arial" w:eastAsia="Arial" w:hAnsi="Arial"/>
          <w:sz w:val="22"/>
          <w:szCs w:val="22"/>
          <w:color w:val="auto"/>
        </w:rPr>
      </w:pPr>
    </w:p>
    <w:p>
      <w:pPr>
        <w:ind w:left="1120" w:hanging="464"/>
        <w:spacing w:after="0"/>
        <w:tabs>
          <w:tab w:leader="none" w:pos="1120"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Annual Base Salary Deferral Elections</w:t>
      </w:r>
    </w:p>
    <w:p>
      <w:pPr>
        <w:spacing w:after="0" w:line="219"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Each Eligible Employee may, on such terms and conditions as the Committee may specify, elect to have a percentage of his or her Base Salary attributable to Compensation in excess of the Pay Cap, for all pay periods commencing with the pay period in which the Participant’s RSP Compensation reaches or first exceeds the Pay Cap, deferred and allocated to his or her Deferred Compensation Account and paid pursuant to the terms of the Plan.</w:t>
      </w:r>
    </w:p>
    <w:p>
      <w:pPr>
        <w:spacing w:after="0" w:line="192"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2"/>
          <w:numId w:val="70"/>
        </w:numPr>
        <w:rPr>
          <w:rFonts w:ascii="Arial" w:cs="Arial" w:eastAsia="Arial" w:hAnsi="Arial"/>
          <w:sz w:val="19"/>
          <w:szCs w:val="19"/>
          <w:color w:val="auto"/>
        </w:rPr>
      </w:pPr>
      <w:r>
        <w:rPr>
          <w:rFonts w:ascii="Arial" w:cs="Arial" w:eastAsia="Arial" w:hAnsi="Arial"/>
          <w:sz w:val="19"/>
          <w:szCs w:val="19"/>
          <w:color w:val="auto"/>
        </w:rPr>
        <w:t>Each Eligible Employee may, on such terms and conditions as the Committee may specify, elect to have a percentage of his or her Base Salary attributable to Compensation not in excess of the Pay Cap, for all pay periods commencing with the first pay period of the Plan Year and ending with the pay period prior to the pay period in which the Participant’s RSP Compensation reaches or first exceeds the Pay Cap, deferred and allocated to his or her Deferred Compensation Account and paid pursuant to the terms of the Plan.</w:t>
      </w:r>
    </w:p>
    <w:p>
      <w:pPr>
        <w:spacing w:after="0" w:line="147"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To exercise such elections for any Plan Year, on or before the date prescribed by the Benefits Administrative Committee (which shall be no later than December 31 of the calendar year preceding the Plan Year in which the services relating to such Base Salary are performed), the Eligible Employee must advise the Employer of his or her elections in writing or by filing such</w:t>
      </w:r>
    </w:p>
    <w:p>
      <w:pPr>
        <w:sectPr>
          <w:pgSz w:w="11900" w:h="16838" w:orient="portrait"/>
          <w:cols w:equalWidth="0" w:num="1">
            <w:col w:w="11420"/>
          </w:cols>
          <w:pgMar w:left="240" w:top="126" w:right="239" w:bottom="1440" w:gutter="0" w:footer="0" w:header="0"/>
        </w:sectPr>
      </w:pPr>
    </w:p>
    <w:bookmarkStart w:id="76" w:name="page77"/>
    <w:bookmarkEnd w:id="76"/>
    <w:p>
      <w:pPr>
        <w:jc w:val="both"/>
        <w:ind w:left="1292"/>
        <w:spacing w:after="0" w:line="253" w:lineRule="auto"/>
        <w:rPr>
          <w:sz w:val="20"/>
          <w:szCs w:val="20"/>
          <w:color w:val="auto"/>
        </w:rPr>
      </w:pPr>
      <w:r>
        <w:rPr>
          <w:rFonts w:ascii="Arial" w:cs="Arial" w:eastAsia="Arial" w:hAnsi="Arial"/>
          <w:sz w:val="22"/>
          <w:szCs w:val="22"/>
          <w:color w:val="auto"/>
        </w:rPr>
        <w:t>elections electronically using procedures prescribed by the Benefits Administrative Committee. Such Base Salary Deferral Elections shall apply only to Base Salary earned by and payable to the Participant after the date on which the Base Salary Deferral Election is received by the recordkeeper.</w:t>
      </w:r>
    </w:p>
    <w:p>
      <w:pPr>
        <w:spacing w:after="0" w:line="186" w:lineRule="exact"/>
        <w:rPr>
          <w:sz w:val="20"/>
          <w:szCs w:val="20"/>
          <w:color w:val="auto"/>
        </w:rPr>
      </w:pPr>
    </w:p>
    <w:p>
      <w:pPr>
        <w:ind w:left="1112" w:hanging="464"/>
        <w:spacing w:after="0"/>
        <w:tabs>
          <w:tab w:leader="none" w:pos="1112"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New Hire Base Salary Deferral Elections</w:t>
      </w:r>
    </w:p>
    <w:p>
      <w:pPr>
        <w:spacing w:after="0" w:line="220" w:lineRule="exact"/>
        <w:rPr>
          <w:sz w:val="20"/>
          <w:szCs w:val="20"/>
          <w:color w:val="auto"/>
        </w:rPr>
      </w:pPr>
    </w:p>
    <w:p>
      <w:pPr>
        <w:jc w:val="both"/>
        <w:ind w:left="1292"/>
        <w:spacing w:after="0" w:line="248" w:lineRule="auto"/>
        <w:rPr>
          <w:sz w:val="20"/>
          <w:szCs w:val="20"/>
          <w:color w:val="auto"/>
        </w:rPr>
      </w:pPr>
      <w:r>
        <w:rPr>
          <w:rFonts w:ascii="Arial" w:cs="Arial" w:eastAsia="Arial" w:hAnsi="Arial"/>
          <w:sz w:val="22"/>
          <w:szCs w:val="22"/>
          <w:color w:val="auto"/>
        </w:rPr>
        <w:t>Notwithstanding the preceding paragraph, for the Plan Year in which an employee first becomes an Eligible Employee, such Eligible Employee may complete a Base Salary Deferral Election at any time within 30 days following the date on which he or she becomes an Eligible Employee. Such Base Salary Deferral Elections shall apply only to Compensation earned by and payable to the Eligible Employee after the date on which the Base Salary Deferral Elections are received by the recordkeeper.</w:t>
      </w:r>
    </w:p>
    <w:p>
      <w:pPr>
        <w:spacing w:after="0" w:line="192" w:lineRule="exact"/>
        <w:rPr>
          <w:sz w:val="20"/>
          <w:szCs w:val="20"/>
          <w:color w:val="auto"/>
        </w:rPr>
      </w:pPr>
    </w:p>
    <w:p>
      <w:pPr>
        <w:jc w:val="both"/>
        <w:ind w:left="1952" w:hanging="655"/>
        <w:spacing w:after="0" w:line="253" w:lineRule="auto"/>
        <w:tabs>
          <w:tab w:leader="none" w:pos="1952" w:val="left"/>
        </w:tabs>
        <w:numPr>
          <w:ilvl w:val="1"/>
          <w:numId w:val="72"/>
        </w:numPr>
        <w:rPr>
          <w:rFonts w:ascii="Arial" w:cs="Arial" w:eastAsia="Arial" w:hAnsi="Arial"/>
          <w:sz w:val="22"/>
          <w:szCs w:val="22"/>
          <w:color w:val="auto"/>
        </w:rPr>
      </w:pPr>
      <w:r>
        <w:rPr>
          <w:rFonts w:ascii="Arial" w:cs="Arial" w:eastAsia="Arial" w:hAnsi="Arial"/>
          <w:sz w:val="22"/>
          <w:szCs w:val="22"/>
          <w:color w:val="auto"/>
        </w:rPr>
        <w:t>Such Base Salary Deferral Election with respect to Base Salary attributable to Compensation in excess of the Pay Cap shall apply for all pay periods commencing with the pay period in which the Participant’s RSP Compensation reaches or first exceeds the Pay Cap.</w:t>
      </w:r>
    </w:p>
    <w:p>
      <w:pPr>
        <w:spacing w:after="0" w:line="185" w:lineRule="exact"/>
        <w:rPr>
          <w:rFonts w:ascii="Arial" w:cs="Arial" w:eastAsia="Arial" w:hAnsi="Arial"/>
          <w:sz w:val="22"/>
          <w:szCs w:val="22"/>
          <w:color w:val="auto"/>
        </w:rPr>
      </w:pPr>
    </w:p>
    <w:p>
      <w:pPr>
        <w:jc w:val="both"/>
        <w:ind w:left="1952" w:hanging="655"/>
        <w:spacing w:after="0" w:line="302" w:lineRule="auto"/>
        <w:tabs>
          <w:tab w:leader="none" w:pos="1952" w:val="left"/>
        </w:tabs>
        <w:numPr>
          <w:ilvl w:val="1"/>
          <w:numId w:val="72"/>
        </w:numPr>
        <w:rPr>
          <w:rFonts w:ascii="Arial" w:cs="Arial" w:eastAsia="Arial" w:hAnsi="Arial"/>
          <w:sz w:val="19"/>
          <w:szCs w:val="19"/>
          <w:color w:val="auto"/>
        </w:rPr>
      </w:pPr>
      <w:r>
        <w:rPr>
          <w:rFonts w:ascii="Arial" w:cs="Arial" w:eastAsia="Arial" w:hAnsi="Arial"/>
          <w:sz w:val="19"/>
          <w:szCs w:val="19"/>
          <w:color w:val="auto"/>
        </w:rPr>
        <w:t>Such Base Salary Deferral Election with respect to Base Salary attributable to Compensation not in excess of the Pay Cap shall apply for all pay periods commencing with the first pay period beginning after the date on which the Base Salary Deferral Election is received by the recordkeeper and ending with the pay period prior to the pay period in which the Participant’s RSP Compensation reaches or first exceeds the Pay Cap.</w:t>
      </w:r>
    </w:p>
    <w:p>
      <w:pPr>
        <w:spacing w:after="0" w:line="142" w:lineRule="exact"/>
        <w:rPr>
          <w:rFonts w:ascii="Arial" w:cs="Arial" w:eastAsia="Arial" w:hAnsi="Arial"/>
          <w:sz w:val="19"/>
          <w:szCs w:val="19"/>
          <w:color w:val="auto"/>
        </w:rPr>
      </w:pPr>
    </w:p>
    <w:p>
      <w:pPr>
        <w:jc w:val="both"/>
        <w:ind w:left="1292" w:hanging="644"/>
        <w:spacing w:after="0" w:line="261" w:lineRule="auto"/>
        <w:tabs>
          <w:tab w:leader="none" w:pos="1292" w:val="left"/>
        </w:tabs>
        <w:numPr>
          <w:ilvl w:val="0"/>
          <w:numId w:val="73"/>
        </w:numPr>
        <w:rPr>
          <w:rFonts w:ascii="Arial" w:cs="Arial" w:eastAsia="Arial" w:hAnsi="Arial"/>
          <w:sz w:val="21"/>
          <w:szCs w:val="21"/>
          <w:color w:val="auto"/>
        </w:rPr>
      </w:pPr>
      <w:r>
        <w:rPr>
          <w:rFonts w:ascii="Arial" w:cs="Arial" w:eastAsia="Arial" w:hAnsi="Arial"/>
          <w:sz w:val="21"/>
          <w:szCs w:val="21"/>
          <w:color w:val="auto"/>
        </w:rPr>
        <w:t>If Base Salary Deferral Elections are submitted to the recordkeeper in accordance with this Section IV.C., the Employer will allocate to the Participant’s Deferred Compensation Account the amount of Base Salary determined in accordance with this Section IV.C. All Base Salary Deferral Elections made under Section IV.C.(1) become irrevocable no later than December 31 of the calendar year preceding the Plan Year to which a Participant’s Base Salary Deferral Election relates. All Base Salary Deferral Elections made under Section IV.C.(2) become irrevocable as of the end of the applicable 30-day period.</w:t>
      </w:r>
    </w:p>
    <w:p>
      <w:pPr>
        <w:spacing w:after="0" w:line="180" w:lineRule="exact"/>
        <w:rPr>
          <w:sz w:val="20"/>
          <w:szCs w:val="20"/>
          <w:color w:val="auto"/>
        </w:rPr>
      </w:pPr>
    </w:p>
    <w:p>
      <w:pPr>
        <w:ind w:left="-8" w:right="820" w:firstLine="8"/>
        <w:spacing w:after="0" w:line="263" w:lineRule="auto"/>
        <w:tabs>
          <w:tab w:leader="none" w:pos="406" w:val="left"/>
        </w:tabs>
        <w:numPr>
          <w:ilvl w:val="0"/>
          <w:numId w:val="74"/>
        </w:numPr>
        <w:rPr>
          <w:rFonts w:ascii="Arial" w:cs="Arial" w:eastAsia="Arial" w:hAnsi="Arial"/>
          <w:sz w:val="22"/>
          <w:szCs w:val="22"/>
          <w:color w:val="auto"/>
        </w:rPr>
      </w:pPr>
      <w:r>
        <w:rPr>
          <w:rFonts w:ascii="Arial" w:cs="Arial" w:eastAsia="Arial" w:hAnsi="Arial"/>
          <w:sz w:val="22"/>
          <w:szCs w:val="22"/>
          <w:color w:val="auto"/>
        </w:rPr>
        <w:t>Effective on and after January 1, 2012, subsection (2)(b), of Section D, “Employer Contributions,” of Plan section IV, “Accounts,” is deleted and replaced by the following:</w:t>
      </w:r>
    </w:p>
    <w:p>
      <w:pPr>
        <w:spacing w:after="0" w:line="174" w:lineRule="exact"/>
        <w:rPr>
          <w:rFonts w:ascii="Arial" w:cs="Arial" w:eastAsia="Arial" w:hAnsi="Arial"/>
          <w:sz w:val="22"/>
          <w:szCs w:val="22"/>
          <w:color w:val="auto"/>
        </w:rPr>
      </w:pPr>
    </w:p>
    <w:p>
      <w:pPr>
        <w:jc w:val="both"/>
        <w:ind w:left="652" w:hanging="4"/>
        <w:spacing w:after="0" w:line="250" w:lineRule="auto"/>
        <w:tabs>
          <w:tab w:leader="none" w:pos="1123" w:val="left"/>
        </w:tabs>
        <w:numPr>
          <w:ilvl w:val="1"/>
          <w:numId w:val="74"/>
        </w:numPr>
        <w:rPr>
          <w:rFonts w:ascii="Arial" w:cs="Arial" w:eastAsia="Arial" w:hAnsi="Arial"/>
          <w:sz w:val="22"/>
          <w:szCs w:val="22"/>
          <w:color w:val="auto"/>
        </w:rPr>
      </w:pPr>
      <w:r>
        <w:rPr>
          <w:rFonts w:ascii="Arial" w:cs="Arial" w:eastAsia="Arial" w:hAnsi="Arial"/>
          <w:sz w:val="22"/>
          <w:szCs w:val="22"/>
          <w:color w:val="auto"/>
        </w:rPr>
        <w:t>Effective for Plan Years beginning on or after January 1, 2012, the Employers shall make a matching contribution with respect to each Participant who, under the Plan, has made or caused to be made Base Salary and Performance Award deferrals of the Participant’s Compensation for such Plan Year. Such matching contributions shall equal 150% of the first 4% of a Participant’s Compensation deferred to the Plan</w:t>
      </w:r>
    </w:p>
    <w:p>
      <w:pPr>
        <w:sectPr>
          <w:pgSz w:w="11900" w:h="16838" w:orient="portrait"/>
          <w:cols w:equalWidth="0" w:num="1">
            <w:col w:w="11412"/>
          </w:cols>
          <w:pgMar w:left="248" w:top="374" w:right="239" w:bottom="1440" w:gutter="0" w:footer="0" w:header="0"/>
        </w:sectPr>
      </w:pPr>
    </w:p>
    <w:bookmarkStart w:id="77" w:name="page78"/>
    <w:bookmarkEnd w:id="77"/>
    <w:p>
      <w:pPr>
        <w:jc w:val="both"/>
        <w:ind w:left="652"/>
        <w:spacing w:after="0" w:line="261" w:lineRule="auto"/>
        <w:rPr>
          <w:sz w:val="20"/>
          <w:szCs w:val="20"/>
          <w:color w:val="auto"/>
        </w:rPr>
      </w:pPr>
      <w:r>
        <w:rPr>
          <w:rFonts w:ascii="Arial" w:cs="Arial" w:eastAsia="Arial" w:hAnsi="Arial"/>
          <w:sz w:val="21"/>
          <w:szCs w:val="21"/>
          <w:color w:val="auto"/>
        </w:rPr>
        <w:t>in excess of the Pay Cap plus 50% of the next 2% of a Participant’s Compensation deferred to the Plan in excess of the Pay Cap. Matching contributions shall not exceed 7% of a Participant’s Compensation in excess of the Pay Cap. Further, a Participant whose RSP Compensation does not exceed the Pay Cap for the applicable Plan Year shall receive a matching contribution on any Base Salary and/or Performance Award deferred to the Plan equal to 7% of such deferrals. Matching contributions shall be determined and credited to a Participant’s Matching Account between January 1 and March 31 of the Plan Year following the Plan Year to which they apply.</w:t>
      </w:r>
    </w:p>
    <w:p>
      <w:pPr>
        <w:spacing w:after="0" w:line="180" w:lineRule="exact"/>
        <w:rPr>
          <w:sz w:val="20"/>
          <w:szCs w:val="20"/>
          <w:color w:val="auto"/>
        </w:rPr>
      </w:pPr>
    </w:p>
    <w:p>
      <w:pPr>
        <w:ind w:left="-8" w:right="560" w:firstLine="8"/>
        <w:spacing w:after="0" w:line="263" w:lineRule="auto"/>
        <w:tabs>
          <w:tab w:leader="none" w:pos="478" w:val="left"/>
        </w:tabs>
        <w:numPr>
          <w:ilvl w:val="0"/>
          <w:numId w:val="75"/>
        </w:numPr>
        <w:rPr>
          <w:rFonts w:ascii="Arial" w:cs="Arial" w:eastAsia="Arial" w:hAnsi="Arial"/>
          <w:sz w:val="22"/>
          <w:szCs w:val="22"/>
          <w:color w:val="auto"/>
        </w:rPr>
      </w:pPr>
      <w:r>
        <w:rPr>
          <w:rFonts w:ascii="Arial" w:cs="Arial" w:eastAsia="Arial" w:hAnsi="Arial"/>
          <w:sz w:val="22"/>
          <w:szCs w:val="22"/>
          <w:color w:val="auto"/>
        </w:rPr>
        <w:t>Effective on and after January 1, 2012, Section A, “Time of Distribution,” of Plan section V, “Method of Distribution of Deferred Compensation,” is amended by adding the following new paragraph to the end thereof:</w:t>
      </w:r>
    </w:p>
    <w:p>
      <w:pPr>
        <w:spacing w:after="0" w:line="175" w:lineRule="exact"/>
        <w:rPr>
          <w:sz w:val="20"/>
          <w:szCs w:val="20"/>
          <w:color w:val="auto"/>
        </w:rPr>
      </w:pPr>
    </w:p>
    <w:p>
      <w:pPr>
        <w:jc w:val="both"/>
        <w:ind w:left="652"/>
        <w:spacing w:after="0" w:line="302" w:lineRule="auto"/>
        <w:rPr>
          <w:sz w:val="20"/>
          <w:szCs w:val="20"/>
          <w:color w:val="auto"/>
        </w:rPr>
      </w:pPr>
      <w:r>
        <w:rPr>
          <w:rFonts w:ascii="Arial" w:cs="Arial" w:eastAsia="Arial" w:hAnsi="Arial"/>
          <w:sz w:val="19"/>
          <w:szCs w:val="19"/>
          <w:color w:val="auto"/>
        </w:rPr>
        <w:t>Notwithstanding the foregoing, effective for Plan Years beginning on and after January 1, 2012, with respect any matching contribution allocated to a Participant’s Matching Account under Section IV.D.(2)(b) after a distribution event described in this Section V.A., such matching contribution shall be paid on the later of (i) the applicable payment date under the Plan or (ii) the April 1 of the Plan Year in which the matching contribution is allocated to the Participant’s Matching Account.</w:t>
      </w:r>
    </w:p>
    <w:p>
      <w:pPr>
        <w:sectPr>
          <w:pgSz w:w="11900" w:h="16838" w:orient="portrait"/>
          <w:cols w:equalWidth="0" w:num="1">
            <w:col w:w="11412"/>
          </w:cols>
          <w:pgMar w:left="248" w:top="375" w:right="239" w:bottom="1440" w:gutter="0" w:footer="0" w:header="0"/>
        </w:sectPr>
      </w:pPr>
    </w:p>
    <w:bookmarkStart w:id="78" w:name="page79"/>
    <w:bookmarkEnd w:id="78"/>
    <w:p>
      <w:pPr>
        <w:jc w:val="center"/>
        <w:ind w:right="-199"/>
        <w:spacing w:after="0"/>
        <w:rPr>
          <w:sz w:val="20"/>
          <w:szCs w:val="20"/>
          <w:color w:val="auto"/>
        </w:rPr>
      </w:pPr>
      <w:r>
        <w:rPr>
          <w:rFonts w:ascii="Arial" w:cs="Arial" w:eastAsia="Arial" w:hAnsi="Arial"/>
          <w:sz w:val="22"/>
          <w:szCs w:val="22"/>
          <w:b w:val="1"/>
          <w:bCs w:val="1"/>
          <w:color w:val="auto"/>
        </w:rPr>
        <w:t>THE SCOTTS COMPANY LLC</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u w:val="single" w:color="auto"/>
          <w:color w:val="auto"/>
        </w:rPr>
        <w:t>Certificate</w:t>
      </w:r>
    </w:p>
    <w:p>
      <w:pPr>
        <w:spacing w:after="0" w:line="200" w:lineRule="exact"/>
        <w:rPr>
          <w:sz w:val="20"/>
          <w:szCs w:val="20"/>
          <w:color w:val="auto"/>
        </w:rPr>
      </w:pPr>
    </w:p>
    <w:p>
      <w:pPr>
        <w:spacing w:after="0" w:line="323" w:lineRule="exact"/>
        <w:rPr>
          <w:sz w:val="20"/>
          <w:szCs w:val="20"/>
          <w:color w:val="auto"/>
        </w:rPr>
      </w:pPr>
    </w:p>
    <w:p>
      <w:pPr>
        <w:ind w:firstLine="1297"/>
        <w:spacing w:after="0" w:line="563" w:lineRule="auto"/>
        <w:rPr>
          <w:sz w:val="20"/>
          <w:szCs w:val="20"/>
          <w:color w:val="auto"/>
        </w:rPr>
      </w:pPr>
      <w:r>
        <w:rPr>
          <w:rFonts w:ascii="Arial" w:cs="Arial" w:eastAsia="Arial" w:hAnsi="Arial"/>
          <w:sz w:val="19"/>
          <w:szCs w:val="19"/>
          <w:color w:val="auto"/>
        </w:rPr>
        <w:t xml:space="preserve">I, Denise S. Stump, the Executive Vice President, Global Human Resources of The Scotts Company LLC hereby certify that the </w:t>
      </w:r>
      <w:r>
        <w:rPr>
          <w:rFonts w:ascii="Arial" w:cs="Arial" w:eastAsia="Arial" w:hAnsi="Arial"/>
          <w:sz w:val="19"/>
          <w:szCs w:val="19"/>
          <w:u w:val="single" w:color="auto"/>
          <w:color w:val="auto"/>
        </w:rPr>
        <w:t>Second Amendment</w:t>
      </w:r>
      <w:r>
        <w:rPr>
          <w:rFonts w:ascii="Arial" w:cs="Arial" w:eastAsia="Arial" w:hAnsi="Arial"/>
          <w:sz w:val="19"/>
          <w:szCs w:val="19"/>
          <w:color w:val="auto"/>
        </w:rPr>
        <w:t xml:space="preserve">, attached hereto as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to </w:t>
      </w:r>
      <w:r>
        <w:rPr>
          <w:rFonts w:ascii="Arial" w:cs="Arial" w:eastAsia="Arial" w:hAnsi="Arial"/>
          <w:sz w:val="19"/>
          <w:szCs w:val="19"/>
          <w:i w:val="1"/>
          <w:iCs w:val="1"/>
          <w:color w:val="auto"/>
        </w:rPr>
        <w:t>The Scotts Company LLC Executive Retirement Plan</w:t>
      </w:r>
      <w:r>
        <w:rPr>
          <w:rFonts w:ascii="Arial" w:cs="Arial" w:eastAsia="Arial" w:hAnsi="Arial"/>
          <w:sz w:val="19"/>
          <w:szCs w:val="19"/>
          <w:color w:val="auto"/>
        </w:rPr>
        <w:t xml:space="preserve">, </w:t>
      </w:r>
      <w:r>
        <w:rPr>
          <w:rFonts w:ascii="Arial" w:cs="Arial" w:eastAsia="Arial" w:hAnsi="Arial"/>
          <w:sz w:val="19"/>
          <w:szCs w:val="19"/>
          <w:i w:val="1"/>
          <w:iCs w:val="1"/>
          <w:color w:val="auto"/>
        </w:rPr>
        <w:t>as</w:t>
      </w:r>
      <w:r>
        <w:rPr>
          <w:rFonts w:ascii="Arial" w:cs="Arial" w:eastAsia="Arial" w:hAnsi="Arial"/>
          <w:sz w:val="19"/>
          <w:szCs w:val="19"/>
          <w:color w:val="auto"/>
        </w:rPr>
        <w:t xml:space="preserve"> </w:t>
      </w:r>
      <w:r>
        <w:rPr>
          <w:rFonts w:ascii="Arial" w:cs="Arial" w:eastAsia="Arial" w:hAnsi="Arial"/>
          <w:sz w:val="19"/>
          <w:szCs w:val="19"/>
          <w:i w:val="1"/>
          <w:iCs w:val="1"/>
          <w:color w:val="auto"/>
        </w:rPr>
        <w:t>Amended and Restated as of January 1, 2011</w:t>
      </w:r>
      <w:r>
        <w:rPr>
          <w:rFonts w:ascii="Arial" w:cs="Arial" w:eastAsia="Arial" w:hAnsi="Arial"/>
          <w:sz w:val="19"/>
          <w:szCs w:val="19"/>
          <w:color w:val="auto"/>
        </w:rPr>
        <w:t>, was implemented by me this day and made effective as of the date set forth therein.</w:t>
      </w:r>
    </w:p>
    <w:p>
      <w:pPr>
        <w:spacing w:after="0" w:line="2" w:lineRule="exact"/>
        <w:rPr>
          <w:sz w:val="20"/>
          <w:szCs w:val="20"/>
          <w:color w:val="auto"/>
        </w:rPr>
      </w:pPr>
    </w:p>
    <w:p>
      <w:pPr>
        <w:ind w:right="240" w:firstLine="1297"/>
        <w:spacing w:after="0" w:line="497" w:lineRule="auto"/>
        <w:rPr>
          <w:sz w:val="20"/>
          <w:szCs w:val="20"/>
          <w:color w:val="auto"/>
        </w:rPr>
      </w:pPr>
      <w:r>
        <w:rPr>
          <w:rFonts w:ascii="Arial" w:cs="Arial" w:eastAsia="Arial" w:hAnsi="Arial"/>
          <w:sz w:val="22"/>
          <w:szCs w:val="22"/>
          <w:color w:val="auto"/>
        </w:rPr>
        <w:t>This action is taken by me on behalf of The Scotts Company LLC, pursuant to delegations to me by the Compensation and Organization Committee of the Board of Directors of The Scotts Miracle-Gro Company on August 8, 2007, which delegation remains in full force and effect, as of the date of this Certificate.</w:t>
      </w:r>
    </w:p>
    <w:p>
      <w:pPr>
        <w:spacing w:after="0" w:line="394"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THE SCOTTS COMPANY LLC</w:t>
      </w:r>
    </w:p>
    <w:p>
      <w:pPr>
        <w:spacing w:after="0" w:line="200" w:lineRule="exact"/>
        <w:rPr>
          <w:sz w:val="20"/>
          <w:szCs w:val="20"/>
          <w:color w:val="auto"/>
        </w:rPr>
      </w:pPr>
    </w:p>
    <w:p>
      <w:pPr>
        <w:spacing w:after="0" w:line="37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Denise S.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631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Denise S. Stump</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Global Human Resources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_</w:t>
      </w:r>
      <w:r>
        <w:rPr>
          <w:rFonts w:ascii="Arial" w:cs="Arial" w:eastAsia="Arial" w:hAnsi="Arial"/>
          <w:sz w:val="22"/>
          <w:szCs w:val="22"/>
          <w:u w:val="single" w:color="auto"/>
          <w:color w:val="auto"/>
        </w:rPr>
        <w:t>19</w:t>
      </w:r>
      <w:r>
        <w:rPr>
          <w:rFonts w:ascii="Arial" w:cs="Arial" w:eastAsia="Arial" w:hAnsi="Arial"/>
          <w:sz w:val="22"/>
          <w:szCs w:val="22"/>
          <w:color w:val="auto"/>
        </w:rPr>
        <w:t>__, 2011</w:t>
      </w:r>
    </w:p>
    <w:p>
      <w:pPr>
        <w:sectPr>
          <w:pgSz w:w="11900" w:h="16838" w:orient="portrait"/>
          <w:cols w:equalWidth="0" w:num="1">
            <w:col w:w="11220"/>
          </w:cols>
          <w:pgMar w:left="240" w:top="585" w:right="4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10.10</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COMPANY LLC EXECUTIVE RETIREMENT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January 1, 2011)</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 xml:space="preserve">WHEREAS, The Scotts Company LLC (the “Company”) sponsors </w:t>
      </w:r>
      <w:r>
        <w:rPr>
          <w:rFonts w:ascii="Arial" w:cs="Arial" w:eastAsia="Arial" w:hAnsi="Arial"/>
          <w:sz w:val="22"/>
          <w:szCs w:val="22"/>
          <w:i w:val="1"/>
          <w:iCs w:val="1"/>
          <w:color w:val="auto"/>
        </w:rPr>
        <w:t>The Scotts Company LLC Executive Retirement Plan</w:t>
      </w:r>
      <w:r>
        <w:rPr>
          <w:rFonts w:ascii="Arial" w:cs="Arial" w:eastAsia="Arial" w:hAnsi="Arial"/>
          <w:sz w:val="22"/>
          <w:szCs w:val="22"/>
          <w:color w:val="auto"/>
        </w:rPr>
        <w:t xml:space="preserve"> (as the same has been amended through the date hereof, the “Plan”); and</w:t>
      </w:r>
    </w:p>
    <w:p>
      <w:pPr>
        <w:spacing w:after="0" w:line="215"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WHEREAS, Plan Section XI provides that the Plan may be amended by the Compensation and Organization Committee of the Board of Directors or its delegate; and</w:t>
      </w:r>
    </w:p>
    <w:p>
      <w:pPr>
        <w:spacing w:after="0" w:line="215"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WHEREAS, the Company wants to amend the Plan to allow Participants to defer a portion of any LTI Offset Payments payable to the Participants; and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capitalized terms used herein but not defined herein have the meanings given to such terms under the Plan;</w:t>
      </w:r>
    </w:p>
    <w:p>
      <w:pPr>
        <w:spacing w:after="0" w:line="295"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NOW THEREFORE, the Plan is amended as follows, effective January 1, 2013, and with respect to Base Salary Deferral Elections that are effective on or after that d</w:t>
      </w:r>
      <w:r>
        <w:rPr>
          <w:rFonts w:ascii="Arial" w:cs="Arial" w:eastAsia="Arial" w:hAnsi="Arial"/>
          <w:sz w:val="19"/>
          <w:szCs w:val="19"/>
          <w:color w:val="1F497D"/>
        </w:rPr>
        <w:t>ate</w:t>
      </w:r>
      <w:r>
        <w:rPr>
          <w:rFonts w:ascii="Arial" w:cs="Arial" w:eastAsia="Arial" w:hAnsi="Arial"/>
          <w:sz w:val="22"/>
          <w:szCs w:val="22"/>
          <w:color w:val="auto"/>
        </w:rPr>
        <w:t>:</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The first paragraph of Plan Section I, “Name and Purpose,” is deleted and replaced with the following:</w:t>
      </w:r>
    </w:p>
    <w:p>
      <w:pPr>
        <w:spacing w:after="0" w:line="260" w:lineRule="exact"/>
        <w:rPr>
          <w:sz w:val="20"/>
          <w:szCs w:val="20"/>
          <w:color w:val="auto"/>
        </w:rPr>
      </w:pPr>
    </w:p>
    <w:p>
      <w:pPr>
        <w:ind w:left="660" w:right="120"/>
        <w:spacing w:after="0" w:line="248" w:lineRule="auto"/>
        <w:rPr>
          <w:sz w:val="20"/>
          <w:szCs w:val="20"/>
          <w:color w:val="auto"/>
        </w:rPr>
      </w:pPr>
      <w:r>
        <w:rPr>
          <w:rFonts w:ascii="Arial" w:cs="Arial" w:eastAsia="Arial" w:hAnsi="Arial"/>
          <w:sz w:val="22"/>
          <w:szCs w:val="22"/>
          <w:color w:val="auto"/>
        </w:rPr>
        <w:t>The Scotts Company LLC Executive Retirement Plan (formerly The Scotts Company Executive Retirement Plan) provides Eligible Employees the opportunity to defer certain salary, bonuses and other compensation. The Plan supplements the benefits Eligible Employees accrue under The Scotts Company LLC Retirement Savings Plan (formerly The Scotts Company Retirement Savings Plan). The Plan is unfunded. It is intended that the Plan be exempt from the funding, participation, vesting and fiduciary provisions of Title I of ERISA.</w:t>
      </w:r>
    </w:p>
    <w:p>
      <w:pPr>
        <w:spacing w:after="0" w:line="233" w:lineRule="exact"/>
        <w:rPr>
          <w:sz w:val="20"/>
          <w:szCs w:val="20"/>
          <w:color w:val="auto"/>
        </w:rPr>
      </w:pPr>
    </w:p>
    <w:p>
      <w:pPr>
        <w:ind w:right="240" w:firstLine="8"/>
        <w:spacing w:after="0" w:line="263" w:lineRule="auto"/>
        <w:tabs>
          <w:tab w:leader="none" w:pos="414" w:val="left"/>
        </w:tabs>
        <w:numPr>
          <w:ilvl w:val="0"/>
          <w:numId w:val="76"/>
        </w:numPr>
        <w:rPr>
          <w:rFonts w:ascii="Arial" w:cs="Arial" w:eastAsia="Arial" w:hAnsi="Arial"/>
          <w:sz w:val="22"/>
          <w:szCs w:val="22"/>
          <w:color w:val="auto"/>
        </w:rPr>
      </w:pPr>
      <w:r>
        <w:rPr>
          <w:rFonts w:ascii="Arial" w:cs="Arial" w:eastAsia="Arial" w:hAnsi="Arial"/>
          <w:sz w:val="22"/>
          <w:szCs w:val="22"/>
          <w:color w:val="auto"/>
        </w:rPr>
        <w:t>Plan Section II, “Definitions,” is amended by deleting the definition of “Base Salary Deferral Election” and replacing it with the following:</w:t>
      </w:r>
    </w:p>
    <w:p>
      <w:pPr>
        <w:spacing w:after="0" w:line="215" w:lineRule="exact"/>
        <w:rPr>
          <w:sz w:val="20"/>
          <w:szCs w:val="20"/>
          <w:color w:val="auto"/>
        </w:rPr>
      </w:pPr>
    </w:p>
    <w:p>
      <w:pPr>
        <w:ind w:left="660" w:right="120"/>
        <w:spacing w:after="0" w:line="248" w:lineRule="auto"/>
        <w:rPr>
          <w:sz w:val="20"/>
          <w:szCs w:val="20"/>
          <w:color w:val="auto"/>
        </w:rPr>
      </w:pPr>
      <w:r>
        <w:rPr>
          <w:rFonts w:ascii="Arial" w:cs="Arial" w:eastAsia="Arial" w:hAnsi="Arial"/>
          <w:sz w:val="22"/>
          <w:szCs w:val="22"/>
          <w:color w:val="auto"/>
        </w:rPr>
        <w:t>“Base Salary Deferral Election” means an Eligible Employee’s election, in a manner prescribed by the Benefits Administrative Committee, to defer Base Salary pursuant to the Plan. A Base Salary Deferral Election shall also cause a deferral of any LTI Offset Payment that is payable to the Eligible Employee. The amount of any LTI Offset Payment that is deferred under the Base Salary Deferral Election shall be the same percentage as the percentage of the Base Salary that the Eligible Employee elects to defer to the Plan.</w:t>
      </w:r>
    </w:p>
    <w:p>
      <w:pPr>
        <w:sectPr>
          <w:pgSz w:w="11900" w:h="16838" w:orient="portrait"/>
          <w:cols w:equalWidth="0" w:num="1">
            <w:col w:w="11420"/>
          </w:cols>
          <w:pgMar w:left="240" w:top="126" w:right="239" w:bottom="1440" w:gutter="0" w:footer="0" w:header="0"/>
        </w:sectPr>
      </w:pPr>
    </w:p>
    <w:bookmarkStart w:id="80" w:name="page81"/>
    <w:bookmarkEnd w:id="80"/>
    <w:p>
      <w:pPr>
        <w:ind w:right="780" w:firstLine="8"/>
        <w:spacing w:after="0" w:line="263" w:lineRule="auto"/>
        <w:tabs>
          <w:tab w:leader="none" w:pos="486" w:val="left"/>
        </w:tabs>
        <w:numPr>
          <w:ilvl w:val="0"/>
          <w:numId w:val="77"/>
        </w:numPr>
        <w:rPr>
          <w:rFonts w:ascii="Arial" w:cs="Arial" w:eastAsia="Arial" w:hAnsi="Arial"/>
          <w:sz w:val="22"/>
          <w:szCs w:val="22"/>
          <w:color w:val="auto"/>
        </w:rPr>
      </w:pPr>
      <w:r>
        <w:rPr>
          <w:rFonts w:ascii="Arial" w:cs="Arial" w:eastAsia="Arial" w:hAnsi="Arial"/>
          <w:sz w:val="22"/>
          <w:szCs w:val="22"/>
          <w:color w:val="auto"/>
        </w:rPr>
        <w:t>Plan Section II, “Definitions,” is further amended by inserting the following definition after the definition of the term Investment Fund: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“LTI Offset Payment” means an amount that is designated as an LTI Offset Payment in the Company’s payroll system.</w:t>
      </w:r>
    </w:p>
    <w:p>
      <w:pPr>
        <w:spacing w:after="0" w:line="295" w:lineRule="exact"/>
        <w:rPr>
          <w:sz w:val="20"/>
          <w:szCs w:val="20"/>
          <w:color w:val="auto"/>
        </w:rPr>
      </w:pPr>
    </w:p>
    <w:p>
      <w:pPr>
        <w:ind w:right="820"/>
        <w:spacing w:after="0" w:line="263" w:lineRule="auto"/>
        <w:rPr>
          <w:sz w:val="20"/>
          <w:szCs w:val="20"/>
          <w:color w:val="auto"/>
        </w:rPr>
      </w:pPr>
      <w:r>
        <w:rPr>
          <w:rFonts w:ascii="Arial" w:cs="Arial" w:eastAsia="Arial" w:hAnsi="Arial"/>
          <w:sz w:val="22"/>
          <w:szCs w:val="22"/>
          <w:color w:val="auto"/>
        </w:rPr>
        <w:t>IV. Section C, “Annual Base Salary Deferral Elections,” of Plan Section IV, “Accounts,” is deleted and replaced with the following:</w:t>
      </w:r>
    </w:p>
    <w:p>
      <w:pPr>
        <w:spacing w:after="0" w:line="215" w:lineRule="exact"/>
        <w:rPr>
          <w:sz w:val="20"/>
          <w:szCs w:val="20"/>
          <w:color w:val="auto"/>
        </w:rPr>
      </w:pPr>
    </w:p>
    <w:p>
      <w:pPr>
        <w:ind w:left="1120" w:hanging="464"/>
        <w:spacing w:after="0"/>
        <w:tabs>
          <w:tab w:leader="none" w:pos="112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Annual Base Salary Deferral Elections</w:t>
      </w:r>
    </w:p>
    <w:p>
      <w:pPr>
        <w:spacing w:after="0" w:line="219"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1"/>
          <w:numId w:val="78"/>
        </w:numPr>
        <w:rPr>
          <w:rFonts w:ascii="Arial" w:cs="Arial" w:eastAsia="Arial" w:hAnsi="Arial"/>
          <w:sz w:val="19"/>
          <w:szCs w:val="19"/>
          <w:color w:val="auto"/>
        </w:rPr>
      </w:pPr>
      <w:r>
        <w:rPr>
          <w:rFonts w:ascii="Arial" w:cs="Arial" w:eastAsia="Arial" w:hAnsi="Arial"/>
          <w:sz w:val="19"/>
          <w:szCs w:val="19"/>
          <w:color w:val="auto"/>
        </w:rPr>
        <w:t>Each Eligible Employee may, on such terms and conditions as the Committee may specify, elect to have a percentage of his or her Base Salary and an equal percentage of any LTI Offset Payment attributable to Compensation in excess of the Pay Cap, for all pay periods commencing with the pay period in which the Participant’s RSP Compensation reaches or first exceeds the Pay Cap, deferred and allocated to his or her Deferred Compensation Account and paid pursuant to the terms of the Plan.</w:t>
      </w:r>
    </w:p>
    <w:p>
      <w:pPr>
        <w:spacing w:after="0" w:line="147" w:lineRule="exact"/>
        <w:rPr>
          <w:rFonts w:ascii="Arial" w:cs="Arial" w:eastAsia="Arial" w:hAnsi="Arial"/>
          <w:sz w:val="19"/>
          <w:szCs w:val="19"/>
          <w:color w:val="auto"/>
        </w:rPr>
      </w:pPr>
    </w:p>
    <w:p>
      <w:pPr>
        <w:jc w:val="both"/>
        <w:ind w:left="1960" w:hanging="655"/>
        <w:spacing w:after="0" w:line="261" w:lineRule="auto"/>
        <w:tabs>
          <w:tab w:leader="none" w:pos="1960" w:val="left"/>
        </w:tabs>
        <w:numPr>
          <w:ilvl w:val="1"/>
          <w:numId w:val="78"/>
        </w:numPr>
        <w:rPr>
          <w:rFonts w:ascii="Arial" w:cs="Arial" w:eastAsia="Arial" w:hAnsi="Arial"/>
          <w:sz w:val="21"/>
          <w:szCs w:val="21"/>
          <w:color w:val="auto"/>
        </w:rPr>
      </w:pPr>
      <w:r>
        <w:rPr>
          <w:rFonts w:ascii="Arial" w:cs="Arial" w:eastAsia="Arial" w:hAnsi="Arial"/>
          <w:sz w:val="21"/>
          <w:szCs w:val="21"/>
          <w:color w:val="auto"/>
        </w:rPr>
        <w:t>Each Eligible Employee may, on such terms and conditions as the Committee may specify, elect to have a percentage of his or her Base Salary and an equal percentage of any LTI Offset Payment attributable to Compensation not in excess of the Pay Cap, for all pay periods commencing with the first pay period of the Plan Year and ending with the pay period prior to the pay period in which the Participant’s RSP Compensation reaches or first exceeds the Pay Cap, deferred and allocated to his or her Deferred Compensation Account and paid pursuant to the terms of the Plan.</w:t>
      </w:r>
    </w:p>
    <w:p>
      <w:pPr>
        <w:spacing w:after="0" w:line="180"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To exercise such elections for any Plan Year, on or before the date prescribed by the Benefits Administrative Committee (which shall be no later than December 31 of the calendar year preceding the Plan Year in which the services relating to such Base Salary and LTI Offset Payment are performed), the Eligible Employee must advise the Employer of his or her elections in writing or by filing such elections electronically using procedures prescribed by the Benefits Administrative Committee. Such Base Salary Deferral Elections shall apply only to Base Salary and LTI Offset Payments earned by and payable to the Participant after the date on which the Base Salary Deferral Election is received by the recordkeeper.</w:t>
      </w:r>
    </w:p>
    <w:p>
      <w:pPr>
        <w:sectPr>
          <w:pgSz w:w="11900" w:h="16838" w:orient="portrait"/>
          <w:cols w:equalWidth="0" w:num="1">
            <w:col w:w="11420"/>
          </w:cols>
          <w:pgMar w:left="240" w:top="888" w:right="239" w:bottom="1440" w:gutter="0" w:footer="0" w:header="0"/>
        </w:sectPr>
      </w:pPr>
    </w:p>
    <w:bookmarkStart w:id="81" w:name="page82"/>
    <w:bookmarkEnd w:id="81"/>
    <w:p>
      <w:pPr>
        <w:ind w:left="1112" w:hanging="464"/>
        <w:spacing w:after="0"/>
        <w:tabs>
          <w:tab w:leader="none" w:pos="111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New Hire Base Salary Deferral Elections</w:t>
      </w:r>
    </w:p>
    <w:p>
      <w:pPr>
        <w:spacing w:after="0" w:line="220" w:lineRule="exact"/>
        <w:rPr>
          <w:sz w:val="20"/>
          <w:szCs w:val="20"/>
          <w:color w:val="auto"/>
        </w:rPr>
      </w:pPr>
    </w:p>
    <w:p>
      <w:pPr>
        <w:jc w:val="both"/>
        <w:ind w:left="1292"/>
        <w:spacing w:after="0" w:line="263" w:lineRule="auto"/>
        <w:rPr>
          <w:sz w:val="20"/>
          <w:szCs w:val="20"/>
          <w:color w:val="auto"/>
        </w:rPr>
      </w:pPr>
      <w:r>
        <w:rPr>
          <w:rFonts w:ascii="Arial" w:cs="Arial" w:eastAsia="Arial" w:hAnsi="Arial"/>
          <w:sz w:val="21"/>
          <w:szCs w:val="21"/>
          <w:color w:val="auto"/>
        </w:rPr>
        <w:t>Notwithstanding the preceding paragraph, for the Plan Year in which an employee first becomes an Eligible Employee, such Eligible Employee may complete a Base Salary Deferral Election at any time within 30 days following the date on which he or she becomes an Eligible Employee. Such Base Salary Deferral Elections shall apply only to the Base Salary and LTI Offset Payments earned by and payable to the Eligible Employee after the date on which the Base Salary Deferral Elections are received by the recordkeeper.</w:t>
      </w:r>
    </w:p>
    <w:p>
      <w:pPr>
        <w:spacing w:after="0" w:line="176" w:lineRule="exact"/>
        <w:rPr>
          <w:sz w:val="20"/>
          <w:szCs w:val="20"/>
          <w:color w:val="auto"/>
        </w:rPr>
      </w:pPr>
    </w:p>
    <w:p>
      <w:pPr>
        <w:jc w:val="both"/>
        <w:ind w:left="1952" w:hanging="655"/>
        <w:spacing w:after="0" w:line="271" w:lineRule="auto"/>
        <w:tabs>
          <w:tab w:leader="none" w:pos="1952" w:val="left"/>
        </w:tabs>
        <w:numPr>
          <w:ilvl w:val="2"/>
          <w:numId w:val="80"/>
        </w:numPr>
        <w:rPr>
          <w:rFonts w:ascii="Arial" w:cs="Arial" w:eastAsia="Arial" w:hAnsi="Arial"/>
          <w:sz w:val="21"/>
          <w:szCs w:val="21"/>
          <w:color w:val="auto"/>
        </w:rPr>
      </w:pPr>
      <w:r>
        <w:rPr>
          <w:rFonts w:ascii="Arial" w:cs="Arial" w:eastAsia="Arial" w:hAnsi="Arial"/>
          <w:sz w:val="21"/>
          <w:szCs w:val="21"/>
          <w:color w:val="auto"/>
        </w:rPr>
        <w:t>Such Base Salary Deferral Election with respect to Base Salary and LTI Offset Payments attributable to Compensation in excess of the Pay Cap shall apply for all pay periods commencing with the pay period in which the Participant’s RSP Compensation reaches or first exceeds the Pay Cap.</w:t>
      </w:r>
    </w:p>
    <w:p>
      <w:pPr>
        <w:spacing w:after="0" w:line="167" w:lineRule="exact"/>
        <w:rPr>
          <w:rFonts w:ascii="Arial" w:cs="Arial" w:eastAsia="Arial" w:hAnsi="Arial"/>
          <w:sz w:val="21"/>
          <w:szCs w:val="21"/>
          <w:color w:val="auto"/>
        </w:rPr>
      </w:pPr>
    </w:p>
    <w:p>
      <w:pPr>
        <w:jc w:val="both"/>
        <w:ind w:left="1952" w:hanging="655"/>
        <w:spacing w:after="0" w:line="248" w:lineRule="auto"/>
        <w:tabs>
          <w:tab w:leader="none" w:pos="1952" w:val="left"/>
        </w:tabs>
        <w:numPr>
          <w:ilvl w:val="2"/>
          <w:numId w:val="80"/>
        </w:numPr>
        <w:rPr>
          <w:rFonts w:ascii="Arial" w:cs="Arial" w:eastAsia="Arial" w:hAnsi="Arial"/>
          <w:sz w:val="22"/>
          <w:szCs w:val="22"/>
          <w:color w:val="auto"/>
        </w:rPr>
      </w:pPr>
      <w:r>
        <w:rPr>
          <w:rFonts w:ascii="Arial" w:cs="Arial" w:eastAsia="Arial" w:hAnsi="Arial"/>
          <w:sz w:val="22"/>
          <w:szCs w:val="22"/>
          <w:color w:val="auto"/>
        </w:rPr>
        <w:t>Such Base Salary Deferral Election with respect to Base Salary and LTI Offset Payments attributable to Compensation not in excess of the Pay Cap shall apply for all pay periods commencing with the first pay period beginning after the date on which the Base Salary Deferral Election is received by the recordkeeper and ending with the pay period prior to the pay period in which the Participant’s RSP Compensation reaches or first exceeds the Pay Cap.</w:t>
      </w:r>
    </w:p>
    <w:p>
      <w:pPr>
        <w:spacing w:after="0" w:line="192" w:lineRule="exact"/>
        <w:rPr>
          <w:rFonts w:ascii="Arial" w:cs="Arial" w:eastAsia="Arial" w:hAnsi="Arial"/>
          <w:sz w:val="22"/>
          <w:szCs w:val="22"/>
          <w:color w:val="auto"/>
        </w:rPr>
      </w:pPr>
    </w:p>
    <w:p>
      <w:pPr>
        <w:jc w:val="both"/>
        <w:ind w:left="652" w:hanging="4"/>
        <w:spacing w:after="0" w:line="261" w:lineRule="auto"/>
        <w:tabs>
          <w:tab w:leader="none" w:pos="1290" w:val="left"/>
        </w:tabs>
        <w:numPr>
          <w:ilvl w:val="1"/>
          <w:numId w:val="81"/>
        </w:numPr>
        <w:rPr>
          <w:rFonts w:ascii="Arial" w:cs="Arial" w:eastAsia="Arial" w:hAnsi="Arial"/>
          <w:sz w:val="21"/>
          <w:szCs w:val="21"/>
          <w:color w:val="auto"/>
        </w:rPr>
      </w:pPr>
      <w:r>
        <w:rPr>
          <w:rFonts w:ascii="Arial" w:cs="Arial" w:eastAsia="Arial" w:hAnsi="Arial"/>
          <w:sz w:val="21"/>
          <w:szCs w:val="21"/>
          <w:color w:val="auto"/>
        </w:rPr>
        <w:t>If Base Salary Deferral Elections are submitted to the recordkeeper in accordance with this Section IV.C., the Employer will allocate to the Participant’s Deferred Compensation Account the amount of Base Salary and LTI Offset Payment determined in accordance with this Section IV.C. All Base Salary Deferral Elections made under Section IV.C.(1) become irrevocable no later than December 31 of the calendar year preceding the Plan Year to which a Participant’s Base Salary Deferral Election relates. All Base Salary Deferral Elections made under Section IV.C.(2) become irrevocable as of the end of the applicable 30-day period.</w:t>
      </w:r>
    </w:p>
    <w:p>
      <w:pPr>
        <w:spacing w:after="0" w:line="180" w:lineRule="exact"/>
        <w:rPr>
          <w:rFonts w:ascii="Arial" w:cs="Arial" w:eastAsia="Arial" w:hAnsi="Arial"/>
          <w:sz w:val="21"/>
          <w:szCs w:val="21"/>
          <w:color w:val="auto"/>
        </w:rPr>
      </w:pPr>
    </w:p>
    <w:p>
      <w:pPr>
        <w:ind w:left="-8" w:right="480" w:firstLine="8"/>
        <w:spacing w:after="0" w:line="263" w:lineRule="auto"/>
        <w:tabs>
          <w:tab w:leader="none" w:pos="390" w:val="left"/>
        </w:tabs>
        <w:numPr>
          <w:ilvl w:val="0"/>
          <w:numId w:val="82"/>
        </w:numPr>
        <w:rPr>
          <w:rFonts w:ascii="Arial" w:cs="Arial" w:eastAsia="Arial" w:hAnsi="Arial"/>
          <w:sz w:val="22"/>
          <w:szCs w:val="22"/>
          <w:color w:val="auto"/>
        </w:rPr>
      </w:pPr>
      <w:r>
        <w:rPr>
          <w:rFonts w:ascii="Arial" w:cs="Arial" w:eastAsia="Arial" w:hAnsi="Arial"/>
          <w:sz w:val="22"/>
          <w:szCs w:val="22"/>
          <w:color w:val="auto"/>
        </w:rPr>
        <w:t>Subsection 2(b) of Section D, “Employer Contributions,” of Plan Section IV, “Accounts,” is deleted and replaced with the following:</w:t>
      </w:r>
    </w:p>
    <w:p>
      <w:pPr>
        <w:spacing w:after="0" w:line="215" w:lineRule="exact"/>
        <w:rPr>
          <w:sz w:val="20"/>
          <w:szCs w:val="20"/>
          <w:color w:val="auto"/>
        </w:rPr>
      </w:pPr>
    </w:p>
    <w:p>
      <w:pPr>
        <w:ind w:left="652" w:right="20" w:hanging="4"/>
        <w:spacing w:after="0" w:line="247" w:lineRule="auto"/>
        <w:tabs>
          <w:tab w:leader="none" w:pos="1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Effective for Plan Years beginning on or after January 1, 2013, the Employers shall make a matching contribution with respect to each Participant who, under the Plan, has made or caused to be made a Base Salary Deferral Election and/or a Performance Award Deferral Election for such Plan Year. Such matching contributions shall equal 150% of the first 4% of a Participant’s Compensation deferred to the Plan in excess of the Pay Cap plus 50% of the next 2% of a Participant’s Compensation deferred to the Plan in excess of the Pay Cap. Matching contributions shall not exceed 7% of a Participant’s Compensation in</w:t>
      </w:r>
    </w:p>
    <w:p>
      <w:pPr>
        <w:sectPr>
          <w:pgSz w:w="11900" w:h="16838" w:orient="portrait"/>
          <w:cols w:equalWidth="0" w:num="1">
            <w:col w:w="11412"/>
          </w:cols>
          <w:pgMar w:left="248" w:top="1104" w:right="239" w:bottom="1440" w:gutter="0" w:footer="0" w:header="0"/>
        </w:sectPr>
      </w:pPr>
    </w:p>
    <w:bookmarkStart w:id="82" w:name="page83"/>
    <w:bookmarkEnd w:id="82"/>
    <w:p>
      <w:pPr>
        <w:spacing w:after="0" w:line="302" w:lineRule="auto"/>
        <w:rPr>
          <w:sz w:val="20"/>
          <w:szCs w:val="20"/>
          <w:color w:val="auto"/>
        </w:rPr>
      </w:pPr>
      <w:r>
        <w:rPr>
          <w:rFonts w:ascii="Arial" w:cs="Arial" w:eastAsia="Arial" w:hAnsi="Arial"/>
          <w:sz w:val="19"/>
          <w:szCs w:val="19"/>
          <w:color w:val="auto"/>
        </w:rPr>
        <w:t>excess of the Pay Cap. Further, a Participant whose RSP Compensation does not exceed the Pay Cap for the applicable Plan Year shall receive a matching contribution equal to 7% of the amount deferred pursuant to a Base Salary Deferral Election and/or a Performance Award Deferral Election. Matching contributions shall be determined and credited to a Participant’s Matching Account between January 1 and March 1 of the Plan Year following the Plan Year to which they apply.</w:t>
      </w:r>
    </w:p>
    <w:p>
      <w:pPr>
        <w:sectPr>
          <w:pgSz w:w="11900" w:h="16838" w:orient="portrait"/>
          <w:cols w:equalWidth="0" w:num="1">
            <w:col w:w="10700"/>
          </w:cols>
          <w:pgMar w:left="900" w:top="631" w:right="299" w:bottom="1440" w:gutter="0" w:footer="0" w:header="0"/>
        </w:sectPr>
      </w:pPr>
    </w:p>
    <w:bookmarkStart w:id="83" w:name="page84"/>
    <w:bookmarkEnd w:id="83"/>
    <w:p>
      <w:pPr>
        <w:jc w:val="center"/>
        <w:ind w:right="-99"/>
        <w:spacing w:after="0"/>
        <w:rPr>
          <w:sz w:val="20"/>
          <w:szCs w:val="20"/>
          <w:color w:val="auto"/>
        </w:rPr>
      </w:pPr>
      <w:r>
        <w:rPr>
          <w:rFonts w:ascii="Arial" w:cs="Arial" w:eastAsia="Arial" w:hAnsi="Arial"/>
          <w:sz w:val="22"/>
          <w:szCs w:val="22"/>
          <w:b w:val="1"/>
          <w:bCs w:val="1"/>
          <w:color w:val="auto"/>
        </w:rPr>
        <w:t>THE SCOTTS COMPANY LLC</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Certificate</w:t>
      </w:r>
    </w:p>
    <w:p>
      <w:pPr>
        <w:spacing w:after="0" w:line="200" w:lineRule="exact"/>
        <w:rPr>
          <w:sz w:val="20"/>
          <w:szCs w:val="20"/>
          <w:color w:val="auto"/>
        </w:rPr>
      </w:pPr>
    </w:p>
    <w:p>
      <w:pPr>
        <w:spacing w:after="0" w:line="323" w:lineRule="exact"/>
        <w:rPr>
          <w:sz w:val="20"/>
          <w:szCs w:val="20"/>
          <w:color w:val="auto"/>
        </w:rPr>
      </w:pPr>
    </w:p>
    <w:p>
      <w:pPr>
        <w:ind w:firstLine="1297"/>
        <w:spacing w:after="0" w:line="563" w:lineRule="auto"/>
        <w:rPr>
          <w:sz w:val="20"/>
          <w:szCs w:val="20"/>
          <w:color w:val="auto"/>
        </w:rPr>
      </w:pPr>
      <w:r>
        <w:rPr>
          <w:rFonts w:ascii="Arial" w:cs="Arial" w:eastAsia="Arial" w:hAnsi="Arial"/>
          <w:sz w:val="19"/>
          <w:szCs w:val="19"/>
          <w:color w:val="auto"/>
        </w:rPr>
        <w:t xml:space="preserve">I, Denise S. Stump, the Executive Vice President, Global Human Resources of The Scotts Company LLC, hereby certify that the </w:t>
      </w:r>
      <w:r>
        <w:rPr>
          <w:rFonts w:ascii="Arial" w:cs="Arial" w:eastAsia="Arial" w:hAnsi="Arial"/>
          <w:sz w:val="19"/>
          <w:szCs w:val="19"/>
          <w:u w:val="single" w:color="auto"/>
          <w:color w:val="auto"/>
        </w:rPr>
        <w:t>Third Amendment</w:t>
      </w:r>
      <w:r>
        <w:rPr>
          <w:rFonts w:ascii="Arial" w:cs="Arial" w:eastAsia="Arial" w:hAnsi="Arial"/>
          <w:sz w:val="19"/>
          <w:szCs w:val="19"/>
          <w:color w:val="auto"/>
        </w:rPr>
        <w:t xml:space="preserve"> to </w:t>
      </w:r>
      <w:r>
        <w:rPr>
          <w:rFonts w:ascii="Arial" w:cs="Arial" w:eastAsia="Arial" w:hAnsi="Arial"/>
          <w:sz w:val="19"/>
          <w:szCs w:val="19"/>
          <w:i w:val="1"/>
          <w:iCs w:val="1"/>
          <w:color w:val="auto"/>
        </w:rPr>
        <w:t>The Scotts Company LLC Executive Retirement Plan</w:t>
      </w:r>
      <w:r>
        <w:rPr>
          <w:rFonts w:ascii="Arial" w:cs="Arial" w:eastAsia="Arial" w:hAnsi="Arial"/>
          <w:sz w:val="19"/>
          <w:szCs w:val="19"/>
          <w:color w:val="auto"/>
        </w:rPr>
        <w:t xml:space="preserve">, </w:t>
      </w:r>
      <w:r>
        <w:rPr>
          <w:rFonts w:ascii="Arial" w:cs="Arial" w:eastAsia="Arial" w:hAnsi="Arial"/>
          <w:sz w:val="19"/>
          <w:szCs w:val="19"/>
          <w:i w:val="1"/>
          <w:iCs w:val="1"/>
          <w:color w:val="auto"/>
        </w:rPr>
        <w:t>as Amended and Restated as of January</w:t>
      </w:r>
      <w:r>
        <w:rPr>
          <w:rFonts w:ascii="Arial" w:cs="Arial" w:eastAsia="Arial" w:hAnsi="Arial"/>
          <w:sz w:val="19"/>
          <w:szCs w:val="19"/>
          <w:color w:val="auto"/>
        </w:rPr>
        <w:t xml:space="preserve"> </w:t>
      </w:r>
      <w:r>
        <w:rPr>
          <w:rFonts w:ascii="Arial" w:cs="Arial" w:eastAsia="Arial" w:hAnsi="Arial"/>
          <w:sz w:val="19"/>
          <w:szCs w:val="19"/>
          <w:i w:val="1"/>
          <w:iCs w:val="1"/>
          <w:color w:val="auto"/>
        </w:rPr>
        <w:t>1, 2011</w:t>
      </w:r>
      <w:r>
        <w:rPr>
          <w:rFonts w:ascii="Arial" w:cs="Arial" w:eastAsia="Arial" w:hAnsi="Arial"/>
          <w:sz w:val="19"/>
          <w:szCs w:val="19"/>
          <w:color w:val="auto"/>
        </w:rPr>
        <w:t>, attached hereto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I</w:t>
      </w:r>
      <w:r>
        <w:rPr>
          <w:rFonts w:ascii="Arial" w:cs="Arial" w:eastAsia="Arial" w:hAnsi="Arial"/>
          <w:sz w:val="19"/>
          <w:szCs w:val="19"/>
          <w:color w:val="auto"/>
        </w:rPr>
        <w:t>, was implemented by me this day and made effective as of the date set forth therein.</w:t>
      </w:r>
    </w:p>
    <w:p>
      <w:pPr>
        <w:spacing w:after="0" w:line="2" w:lineRule="exact"/>
        <w:rPr>
          <w:sz w:val="20"/>
          <w:szCs w:val="20"/>
          <w:color w:val="auto"/>
        </w:rPr>
      </w:pPr>
    </w:p>
    <w:p>
      <w:pPr>
        <w:ind w:right="340" w:firstLine="1297"/>
        <w:spacing w:after="0" w:line="497" w:lineRule="auto"/>
        <w:rPr>
          <w:sz w:val="20"/>
          <w:szCs w:val="20"/>
          <w:color w:val="auto"/>
        </w:rPr>
      </w:pPr>
      <w:r>
        <w:rPr>
          <w:rFonts w:ascii="Arial" w:cs="Arial" w:eastAsia="Arial" w:hAnsi="Arial"/>
          <w:sz w:val="22"/>
          <w:szCs w:val="22"/>
          <w:color w:val="auto"/>
        </w:rPr>
        <w:t>This action is taken by me on behalf of The Scotts Company LLC, pursuant to delegations made to me by the Compensation and Organization Committee of the Board of Directors of The Scotts Miracle-Gro Company on August 8, 2007, which delegation remains in full force and effect, as of the date of this Certificate.</w:t>
      </w:r>
    </w:p>
    <w:p>
      <w:pPr>
        <w:spacing w:after="0" w:line="39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SCOTTS COMPANY LLC</w:t>
      </w:r>
    </w:p>
    <w:p>
      <w:pPr>
        <w:spacing w:after="0" w:line="200" w:lineRule="exact"/>
        <w:rPr>
          <w:sz w:val="20"/>
          <w:szCs w:val="20"/>
          <w:color w:val="auto"/>
        </w:rPr>
      </w:pPr>
    </w:p>
    <w:p>
      <w:pPr>
        <w:spacing w:after="0" w:line="37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Denise S.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631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Denise S. Stump</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Global Human Resources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_</w:t>
      </w:r>
      <w:r>
        <w:rPr>
          <w:rFonts w:ascii="Arial" w:cs="Arial" w:eastAsia="Arial" w:hAnsi="Arial"/>
          <w:sz w:val="22"/>
          <w:szCs w:val="22"/>
          <w:u w:val="single" w:color="auto"/>
          <w:color w:val="auto"/>
        </w:rPr>
        <w:t>17</w:t>
      </w:r>
      <w:r>
        <w:rPr>
          <w:rFonts w:ascii="Arial" w:cs="Arial" w:eastAsia="Arial" w:hAnsi="Arial"/>
          <w:sz w:val="22"/>
          <w:szCs w:val="22"/>
          <w:color w:val="auto"/>
        </w:rPr>
        <w:t>__, 2012</w:t>
      </w:r>
    </w:p>
    <w:p>
      <w:pPr>
        <w:sectPr>
          <w:pgSz w:w="11900" w:h="16838" w:orient="portrait"/>
          <w:cols w:equalWidth="0" w:num="1">
            <w:col w:w="11320"/>
          </w:cols>
          <w:pgMar w:left="240" w:top="6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29, 2012;</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February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279"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29, 2012;</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February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David C. Evans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Chief Financial Officer and Executive Vice President, Strategy and</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Business Development</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December 29, 2012 as filed with the Securities and Exchange Commission on the date hereof (the “Report”), the undersigned James Hagedorn, Chief Executive Officer and Chairman of the Board of the Company, and David C. Evans, Chief Financial Officer and Executive Vice President, Strategy and Business Development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DAVID C. EVANS</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David C. Evans</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Chief Executive Officer</w:t>
            </w:r>
          </w:p>
        </w:tc>
        <w:tc>
          <w:tcPr>
            <w:tcW w:w="5580" w:type="dxa"/>
            <w:vAlign w:val="bottom"/>
          </w:tcPr>
          <w:p>
            <w:pPr>
              <w:ind w:left="360"/>
              <w:spacing w:after="0"/>
              <w:rPr>
                <w:sz w:val="20"/>
                <w:szCs w:val="20"/>
                <w:color w:val="auto"/>
              </w:rPr>
            </w:pPr>
            <w:r>
              <w:rPr>
                <w:rFonts w:ascii="Arial" w:cs="Arial" w:eastAsia="Arial" w:hAnsi="Arial"/>
                <w:sz w:val="18"/>
                <w:szCs w:val="18"/>
                <w:color w:val="auto"/>
              </w:rPr>
              <w:t>Chief Financial Officer and Executive Vice President,</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Strategy and Business Development</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February 7, 2013</w:t>
            </w:r>
          </w:p>
        </w:tc>
        <w:tc>
          <w:tcPr>
            <w:tcW w:w="5580" w:type="dxa"/>
            <w:vAlign w:val="bottom"/>
          </w:tcPr>
          <w:p>
            <w:pPr>
              <w:ind w:left="360"/>
              <w:spacing w:after="0"/>
              <w:rPr>
                <w:sz w:val="20"/>
                <w:szCs w:val="20"/>
                <w:color w:val="auto"/>
              </w:rPr>
            </w:pPr>
            <w:r>
              <w:rPr>
                <w:rFonts w:ascii="Arial" w:cs="Arial" w:eastAsia="Arial" w:hAnsi="Arial"/>
                <w:sz w:val="18"/>
                <w:szCs w:val="18"/>
                <w:color w:val="auto"/>
              </w:rPr>
              <w:t>February 7, 2013</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lowerLetter"/>
      <w:start w:val="1"/>
    </w:lvl>
  </w:abstractNum>
  <w:abstractNum w:abstractNumId="3">
    <w:nsid w:val="7A6D8D3C"/>
    <w:multiLevelType w:val="hybridMultilevel"/>
    <w:lvl w:ilvl="0">
      <w:lvlJc w:val="left"/>
      <w:lvlText w:val="(%1)"/>
      <w:numFmt w:val="lowerLetter"/>
      <w:start w:val="3"/>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1)"/>
      <w:numFmt w:val="lowerLetter"/>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
    <w:nsid w:val="3DC240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
    <w:nsid w:val="1BA026FA"/>
    <w:multiLevelType w:val="hybridMultilevel"/>
    <w:lvl w:ilvl="0">
      <w:lvlJc w:val="left"/>
      <w:lvlText w:val="%1"/>
      <w:numFmt w:val="lowerLetter"/>
      <w:start w:val="1"/>
    </w:lvl>
    <w:lvl w:ilvl="1">
      <w:lvlJc w:val="left"/>
      <w:lvlText w:val="(%2)"/>
      <w:numFmt w:val="lowerRoman"/>
      <w:start w:val="2"/>
    </w:lvl>
  </w:abstractNum>
  <w:abstractNum w:abstractNumId="15">
    <w:nsid w:val="79A1DEAA"/>
    <w:multiLevelType w:val="hybridMultilevel"/>
    <w:lvl w:ilvl="0">
      <w:lvlJc w:val="left"/>
      <w:lvlText w:val="(%1)"/>
      <w:numFmt w:val="lowerLetter"/>
      <w:start w:val="4"/>
    </w:lvl>
    <w:lvl w:ilvl="1">
      <w:lvlJc w:val="left"/>
      <w:lvlText w:val="%2"/>
      <w:numFmt w:val="lowerRoman"/>
      <w:start w:val="1"/>
    </w:lvl>
  </w:abstractNum>
  <w:abstractNum w:abstractNumId="16">
    <w:nsid w:val="75C6C33A"/>
    <w:multiLevelType w:val="hybridMultilevel"/>
    <w:lvl w:ilvl="0">
      <w:lvlJc w:val="left"/>
      <w:lvlText w:val="(%1)"/>
      <w:numFmt w:val="lowerLetter"/>
      <w:start w:val="6"/>
    </w:lvl>
  </w:abstractNum>
  <w:abstractNum w:abstractNumId="17">
    <w:nsid w:val="12E685FB"/>
    <w:multiLevelType w:val="hybridMultilevel"/>
    <w:lvl w:ilvl="0">
      <w:lvlJc w:val="left"/>
      <w:lvlText w:val="(%1)"/>
      <w:numFmt w:val="lowerLetter"/>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1."/>
      <w:numFmt w:val="decimal"/>
      <w:start w:val="2"/>
    </w:lvl>
    <w:lvl w:ilvl="1">
      <w:lvlJc w:val="left"/>
      <w:lvlText w:val="(%2)"/>
      <w:numFmt w:val="lowerLetter"/>
      <w:start w:val="1"/>
    </w:lvl>
  </w:abstractNum>
  <w:abstractNum w:abstractNumId="20">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4F4EF00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23F9C13C"/>
    <w:multiLevelType w:val="hybridMultilevel"/>
    <w:lvl w:ilvl="0">
      <w:lvlJc w:val="left"/>
      <w:lvlText w:val="%1"/>
      <w:numFmt w:val="lowerLetter"/>
      <w:start w:val="1"/>
    </w:lvl>
    <w:lvl w:ilvl="1">
      <w:lvlJc w:val="left"/>
      <w:lvlText w:val="(%2)"/>
      <w:numFmt w:val="lowerLetter"/>
      <w:start w:val="35"/>
    </w:lvl>
  </w:abstractNum>
  <w:abstractNum w:abstractNumId="23">
    <w:nsid w:val="649BB77C"/>
    <w:multiLevelType w:val="hybridMultilevel"/>
    <w:lvl w:ilvl="0">
      <w:lvlJc w:val="left"/>
      <w:lvlText w:val="(%1)"/>
      <w:numFmt w:val="lowerLetter"/>
      <w:start w:val="2"/>
    </w:lvl>
    <w:lvl w:ilvl="1">
      <w:lvlJc w:val="left"/>
      <w:lvlText w:val="(%2)"/>
      <w:numFmt w:val="lowerLetter"/>
      <w:start w:val="9"/>
    </w:lvl>
  </w:abstractNum>
  <w:abstractNum w:abstractNumId="24">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5">
    <w:nsid w:val="3938657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6">
    <w:nsid w:val="1CF10FD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7">
    <w:nsid w:val="180115BE"/>
    <w:multiLevelType w:val="hybridMultilevel"/>
    <w:lvl w:ilvl="0">
      <w:lvlJc w:val="left"/>
      <w:lvlText w:val="%1."/>
      <w:numFmt w:val="decimal"/>
      <w:start w:val="11"/>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
    <w:nsid w:val="15B5AF5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2">
    <w:nsid w:val="741226B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3">
    <w:nsid w:val="D34B6A8"/>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61"/>
    </w:lvl>
  </w:abstractNum>
  <w:abstractNum w:abstractNumId="34">
    <w:nsid w:val="10233C99"/>
    <w:multiLevelType w:val="hybridMultilevel"/>
    <w:lvl w:ilvl="0">
      <w:lvlJc w:val="left"/>
      <w:lvlText w:val="(%1)"/>
      <w:numFmt w:val="lowerLetter"/>
      <w:start w:val="8"/>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lowerLetter"/>
      <w:start w:val="4"/>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2"/>
    </w:lvl>
    <w:lvl w:ilvl="1">
      <w:lvlJc w:val="left"/>
      <w:lvlText w:val="(%2)"/>
      <w:numFmt w:val="lowerLetter"/>
      <w:start w:val="1"/>
    </w:lvl>
  </w:abstractNum>
  <w:abstractNum w:abstractNumId="39">
    <w:nsid w:val="579BE4F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
    <w:nsid w:val="310C50B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41">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2F305DE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3">
    <w:nsid w:val="25A70BF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
    <w:nsid w:val="1DBABF00"/>
    <w:multiLevelType w:val="hybridMultilevel"/>
    <w:lvl w:ilvl="0">
      <w:lvlJc w:val="left"/>
      <w:lvlText w:val="%1"/>
      <w:numFmt w:val="decimal"/>
      <w:start w:val="1"/>
    </w:lvl>
    <w:lvl w:ilvl="1">
      <w:lvlJc w:val="left"/>
      <w:lvlText w:val="(%2)"/>
      <w:numFmt w:val="lowerRoman"/>
      <w:start w:val="4"/>
    </w:lvl>
  </w:abstractNum>
  <w:abstractNum w:abstractNumId="45">
    <w:nsid w:val="4AD084E9"/>
    <w:multiLevelType w:val="hybridMultilevel"/>
    <w:lvl w:ilvl="0">
      <w:lvlJc w:val="left"/>
      <w:lvlText w:val="%1."/>
      <w:numFmt w:val="decimal"/>
      <w:start w:val="7"/>
    </w:lvl>
    <w:lvl w:ilvl="1">
      <w:lvlJc w:val="left"/>
      <w:lvlText w:val="%2"/>
      <w:numFmt w:val="lowerRoman"/>
      <w:start w:val="1"/>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2"/>
    </w:lvl>
    <w:lvl w:ilvl="1">
      <w:lvlJc w:val="left"/>
      <w:lvlText w:val="(%2)"/>
      <w:numFmt w:val="lowerLetter"/>
      <w:start w:val="1"/>
    </w:lvl>
  </w:abstractNum>
  <w:abstractNum w:abstractNumId="49">
    <w:nsid w:val="100F8FC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
    <w:nsid w:val="6590700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
    <w:nsid w:val="15014AC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2">
    <w:nsid w:val="5F5E7FD0"/>
    <w:multiLevelType w:val="hybridMultilevel"/>
    <w:lvl w:ilvl="0">
      <w:lvlJc w:val="left"/>
      <w:lvlText w:val="%1."/>
      <w:numFmt w:val="decimal"/>
      <w:start w:val="9"/>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lowerLetter"/>
      <w:start w:val="4"/>
    </w:lvl>
  </w:abstractNum>
  <w:abstractNum w:abstractNumId="55">
    <w:nsid w:val="6B94764"/>
    <w:multiLevelType w:val="hybridMultilevel"/>
    <w:lvl w:ilvl="0">
      <w:lvlJc w:val="left"/>
      <w:lvlText w:val="¹"/>
      <w:numFmt w:val="bullet"/>
      <w:start w:val="1"/>
    </w:lvl>
  </w:abstractNum>
  <w:abstractNum w:abstractNumId="56">
    <w:nsid w:val="42C296BD"/>
    <w:multiLevelType w:val="hybridMultilevel"/>
    <w:lvl w:ilvl="0">
      <w:lvlJc w:val="left"/>
      <w:lvlText w:val="²"/>
      <w:numFmt w:val="bullet"/>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2"/>
    </w:lvl>
    <w:lvl w:ilvl="1">
      <w:lvlJc w:val="left"/>
      <w:lvlText w:val="(%2)"/>
      <w:numFmt w:val="lowerLetter"/>
      <w:start w:val="1"/>
    </w:lvl>
  </w:abstractNum>
  <w:abstractNum w:abstractNumId="59">
    <w:nsid w:val="661E3F1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0">
    <w:nsid w:val="5DC79E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1">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62">
    <w:nsid w:val="7BD3EE7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63">
    <w:nsid w:val="51D9C5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4">
    <w:nsid w:val="613EFDC5"/>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65">
    <w:nsid w:val="BF72B14"/>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66">
    <w:nsid w:val="11447B73"/>
    <w:multiLevelType w:val="hybridMultilevel"/>
    <w:lvl w:ilvl="0">
      <w:lvlJc w:val="left"/>
      <w:lvlText w:val="%1."/>
      <w:numFmt w:val="decimal"/>
      <w:start w:val="7"/>
    </w:lvl>
    <w:lvl w:ilvl="1">
      <w:lvlJc w:val="left"/>
      <w:lvlText w:val="%2"/>
      <w:numFmt w:val="lowerRoman"/>
      <w:start w:val="1"/>
    </w:lvl>
    <w:lvl w:ilvl="2">
      <w:lvlJc w:val="left"/>
      <w:lvlText w:val="%3"/>
      <w:numFmt w:val="decimal"/>
      <w:start w:val="1"/>
    </w:lvl>
  </w:abstractNum>
  <w:abstractNum w:abstractNumId="67">
    <w:nsid w:val="42963E5A"/>
    <w:multiLevelType w:val="hybridMultilevel"/>
    <w:lvl w:ilvl="0">
      <w:lvlJc w:val="left"/>
      <w:lvlText w:val="%1."/>
      <w:numFmt w:val="decimal"/>
      <w:start w:val="10"/>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0">
    <w:nsid w:val="1A32234B"/>
    <w:multiLevelType w:val="hybridMultilevel"/>
    <w:lvl w:ilvl="0">
      <w:lvlJc w:val="left"/>
      <w:lvlText w:val="(%1)"/>
      <w:numFmt w:val="decimal"/>
      <w:start w:val="2"/>
    </w:lvl>
  </w:abstractNum>
  <w:abstractNum w:abstractNumId="71">
    <w:nsid w:val="3B0FD379"/>
    <w:multiLevelType w:val="hybridMultilevel"/>
    <w:lvl w:ilvl="0">
      <w:lvlJc w:val="left"/>
      <w:lvlText w:val="%1"/>
      <w:numFmt w:val="decimal"/>
      <w:start w:val="1"/>
    </w:lvl>
    <w:lvl w:ilvl="1">
      <w:lvlJc w:val="left"/>
      <w:lvlText w:val="(%2)"/>
      <w:numFmt w:val="lowerLetter"/>
      <w:start w:val="1"/>
    </w:lvl>
  </w:abstractNum>
  <w:abstractNum w:abstractNumId="72">
    <w:nsid w:val="68EB2F63"/>
    <w:multiLevelType w:val="hybridMultilevel"/>
    <w:lvl w:ilvl="0">
      <w:lvlJc w:val="left"/>
      <w:lvlText w:val="(%1)"/>
      <w:numFmt w:val="decimal"/>
      <w:start w:val="3"/>
    </w:lvl>
    <w:lvl w:ilvl="1">
      <w:lvlJc w:val="left"/>
      <w:lvlText w:val="%2"/>
      <w:numFmt w:val="lowerLetter"/>
      <w:start w:val="1"/>
    </w:lvl>
  </w:abstractNum>
  <w:abstractNum w:abstractNumId="73">
    <w:nsid w:val="4962813B"/>
    <w:multiLevelType w:val="hybridMultilevel"/>
    <w:lvl w:ilvl="0">
      <w:lvlJc w:val="left"/>
      <w:lvlText w:val="%1."/>
      <w:numFmt w:val="upperLetter"/>
      <w:start w:val="35"/>
    </w:lvl>
    <w:lvl w:ilvl="1">
      <w:lvlJc w:val="left"/>
      <w:lvlText w:val="(%2)"/>
      <w:numFmt w:val="lowerLetter"/>
      <w:start w:val="2"/>
    </w:lvl>
  </w:abstractNum>
  <w:abstractNum w:abstractNumId="74">
    <w:nsid w:val="60B6DF70"/>
    <w:multiLevelType w:val="hybridMultilevel"/>
    <w:lvl w:ilvl="0">
      <w:lvlJc w:val="left"/>
      <w:lvlText w:val="%1."/>
      <w:numFmt w:val="upperLetter"/>
      <w:start w:val="61"/>
    </w:lvl>
  </w:abstractNum>
  <w:abstractNum w:abstractNumId="75">
    <w:nsid w:val="6A5EE64"/>
    <w:multiLevelType w:val="hybridMultilevel"/>
    <w:lvl w:ilvl="0">
      <w:lvlJc w:val="left"/>
      <w:lvlText w:val="%1."/>
      <w:numFmt w:val="upperLetter"/>
      <w:start w:val="35"/>
    </w:lvl>
  </w:abstractNum>
  <w:abstractNum w:abstractNumId="76">
    <w:nsid w:val="14330624"/>
    <w:multiLevelType w:val="hybridMultilevel"/>
    <w:lvl w:ilvl="0">
      <w:lvlJc w:val="left"/>
      <w:lvlText w:val="%1."/>
      <w:numFmt w:val="upperLetter"/>
      <w:start w:val="61"/>
    </w:lvl>
  </w:abstractNum>
  <w:abstractNum w:abstractNumId="77">
    <w:nsid w:val="7FFFCA11"/>
    <w:multiLevelType w:val="hybridMultilevel"/>
    <w:lvl w:ilvl="0">
      <w:lvlJc w:val="left"/>
      <w:lvlText w:val="(%1)"/>
      <w:numFmt w:val="decimal"/>
      <w:start w:val="1"/>
    </w:lvl>
    <w:lvl w:ilvl="1">
      <w:lvlJc w:val="left"/>
      <w:lvlText w:val="(%2)"/>
      <w:numFmt w:val="lowerLetter"/>
      <w:start w:val="1"/>
    </w:lvl>
  </w:abstractNum>
  <w:abstractNum w:abstractNumId="78">
    <w:nsid w:val="1A27709E"/>
    <w:multiLevelType w:val="hybridMultilevel"/>
    <w:lvl w:ilvl="0">
      <w:lvlJc w:val="left"/>
      <w:lvlText w:val="(%1)"/>
      <w:numFmt w:val="decimal"/>
      <w:start w:val="2"/>
    </w:lvl>
  </w:abstractNum>
  <w:abstractNum w:abstractNumId="79">
    <w:nsid w:val="71EA110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0">
    <w:nsid w:val="100F59DC"/>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81">
    <w:nsid w:val="7FB7E0AA"/>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82">
    <w:nsid w:val="6EB5BD4"/>
    <w:multiLevelType w:val="hybridMultilevel"/>
    <w:lvl w:ilvl="0">
      <w:lvlJc w:val="left"/>
      <w:lvlText w:val="(%1)"/>
      <w:numFmt w:val="lowerLetter"/>
      <w:start w:val="2"/>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2019-12-06T01:33:13Z</dcterms:created>
  <dcterms:modified xsi:type="dcterms:W3CDTF">2019-12-06T01:33:13Z</dcterms:modified>
</cp:coreProperties>
</file>