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w:t>
      </w:r>
    </w:p>
    <w:p>
      <w:pPr>
        <w:pStyle w:val="TextBody"/>
        <w:bidi w:val="0"/>
        <w:spacing w:lineRule="auto" w:line="288" w:before="100" w:after="283"/>
        <w:jc w:val="center"/>
        <w:rPr>
          <w:rFonts w:ascii="Times New Roman;serif" w:hAnsi="Times New Roman;serif"/>
          <w:b/>
          <w:color w:val="000000"/>
          <w:sz w:val="32"/>
        </w:rPr>
      </w:pPr>
      <w:r>
        <w:rPr>
          <w:rFonts w:ascii="Times New Roman;serif" w:hAnsi="Times New Roman;serif"/>
          <w:b/>
          <w:color w:val="000000"/>
          <w:sz w:val="32"/>
        </w:rPr>
        <w:t xml:space="preserve">FORM 10-Q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QUARTERLY REPORT PURSUANT TO SECTION 13 OR 15(d) OF THE SECURITIES EXCHANGE ACT OF 1934</w:t>
            </w:r>
          </w:p>
        </w:tc>
      </w:tr>
    </w:tbl>
    <w:p>
      <w:pPr>
        <w:pStyle w:val="TextBody"/>
        <w:bidi w:val="0"/>
        <w:spacing w:lineRule="auto" w:line="288" w:before="120" w:after="283"/>
        <w:ind w:left="0" w:right="0" w:firstLine="495"/>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28, 2025 </w:t>
      </w:r>
    </w:p>
    <w:p>
      <w:pPr>
        <w:pStyle w:val="TextBody"/>
        <w:bidi w:val="0"/>
        <w:spacing w:lineRule="auto" w:line="288" w:before="120" w:after="283"/>
        <w:ind w:left="0" w:right="0" w:firstLine="495"/>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3234"/>
        <w:gridCol w:w="3234"/>
        <w:gridCol w:w="3240"/>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before="0" w:after="283"/>
              <w:jc w:val="left"/>
              <w:rPr>
                <w:sz w:val="4"/>
                <w:szCs w:val="4"/>
              </w:rPr>
            </w:pPr>
            <w:r>
              <w:rPr>
                <w:sz w:val="4"/>
                <w:szCs w:val="4"/>
              </w:rPr>
            </w:r>
          </w:p>
        </w:tc>
        <w:tc>
          <w:tcPr>
            <w:tcW w:w="32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TRANSITION REPORT PURSUANT TO SECTION 13 OR 15(d) OF THE SECURITIES EXCHANGE ACT OF 1934</w:t>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 to </w:t>
      </w:r>
    </w:p>
    <w:p>
      <w:pPr>
        <w:pStyle w:val="TextBody"/>
        <w:bidi w:val="0"/>
        <w:spacing w:lineRule="auto" w:line="288" w:before="0" w:after="0"/>
        <w:jc w:val="center"/>
        <w:rPr/>
      </w:pPr>
      <w:r>
        <w:rPr>
          <w:rFonts w:ascii="Times New Roman;serif" w:hAnsi="Times New Roman;serif"/>
          <w:b/>
          <w:color w:val="000000"/>
          <w:sz w:val="20"/>
        </w:rPr>
        <w:t xml:space="preserve">Commission File Number: </w:t>
      </w:r>
      <w:r>
        <w:rPr>
          <w:rFonts w:ascii="Times New Roman;serif" w:hAnsi="Times New Roman;serif"/>
          <w:b w:val="false"/>
          <w:color w:val="000000"/>
          <w:sz w:val="20"/>
        </w:rPr>
        <w:t>001-11593</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 </w:t>
      </w:r>
    </w:p>
    <w:p>
      <w:pPr>
        <w:pStyle w:val="TextBody"/>
        <w:bidi w:val="0"/>
        <w:spacing w:lineRule="auto" w:line="288" w:before="100" w:after="283"/>
        <w:jc w:val="center"/>
        <w:rPr>
          <w:rFonts w:ascii="Times New Roman;serif" w:hAnsi="Times New Roman;serif"/>
          <w:b/>
          <w:color w:val="000000"/>
          <w:sz w:val="44"/>
        </w:rPr>
      </w:pPr>
      <w:r>
        <w:rPr>
          <w:rFonts w:ascii="Times New Roman;serif" w:hAnsi="Times New Roman;serif"/>
          <w:b/>
          <w:color w:val="000000"/>
          <w:sz w:val="44"/>
        </w:rPr>
        <w:t>The Scotts Miracle-Gro Company</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w:t>
      </w:r>
    </w:p>
    <w:tbl>
      <w:tblPr>
        <w:tblW w:w="4179" w:type="dxa"/>
        <w:jc w:val="center"/>
        <w:tblInd w:w="0" w:type="dxa"/>
        <w:tblLayout w:type="fixed"/>
        <w:tblCellMar>
          <w:top w:w="28" w:type="dxa"/>
          <w:left w:w="28" w:type="dxa"/>
          <w:bottom w:w="28" w:type="dxa"/>
          <w:right w:w="28" w:type="dxa"/>
        </w:tblCellMar>
      </w:tblPr>
      <w:tblGrid>
        <w:gridCol w:w="437"/>
        <w:gridCol w:w="385"/>
        <w:gridCol w:w="385"/>
        <w:gridCol w:w="385"/>
        <w:gridCol w:w="385"/>
        <w:gridCol w:w="391"/>
        <w:gridCol w:w="109"/>
        <w:gridCol w:w="109"/>
        <w:gridCol w:w="109"/>
        <w:gridCol w:w="433"/>
        <w:gridCol w:w="433"/>
        <w:gridCol w:w="618"/>
      </w:tblGrid>
      <w:tr>
        <w:trPr/>
        <w:tc>
          <w:tcPr>
            <w:tcW w:w="43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Ohio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31-1414921</w:t>
            </w:r>
          </w:p>
        </w:tc>
      </w:tr>
      <w:tr>
        <w:trPr/>
        <w:tc>
          <w:tcPr>
            <w:tcW w:w="23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14111 Scottslawn Road, Marysville, Ohio 43041 </w:t>
      </w:r>
    </w:p>
    <w:p>
      <w:pPr>
        <w:pStyle w:val="TextBody"/>
        <w:bidi w:val="0"/>
        <w:spacing w:lineRule="auto" w:line="288" w:before="0" w:after="0"/>
        <w:jc w:val="center"/>
        <w:rPr/>
      </w:pPr>
      <w:r>
        <w:rPr>
          <w:rFonts w:ascii="Times New Roman;serif" w:hAnsi="Times New Roman;serif"/>
          <w:b/>
          <w:color w:val="000000"/>
          <w:sz w:val="16"/>
        </w:rPr>
        <w:t>(Address of principal executive offices)</w:t>
      </w:r>
      <w:r>
        <w:rPr>
          <w:color w:val="000000"/>
        </w:rPr>
        <w:t xml:space="preserve"> </w:t>
      </w:r>
      <w:r>
        <w:rPr>
          <w:rFonts w:ascii="Times New Roman;serif" w:hAnsi="Times New Roman;serif"/>
          <w:b/>
          <w:color w:val="000000"/>
          <w:sz w:val="16"/>
        </w:rPr>
        <w:t>(Zip Code)</w:t>
      </w:r>
    </w:p>
    <w:p>
      <w:pPr>
        <w:pStyle w:val="TextBody"/>
        <w:bidi w:val="0"/>
        <w:spacing w:lineRule="auto" w:line="288" w:before="120" w:after="283"/>
        <w:jc w:val="center"/>
        <w:rPr/>
      </w:pPr>
      <w:r>
        <w:rPr>
          <w:rFonts w:ascii="Times New Roman;serif" w:hAnsi="Times New Roman;serif"/>
          <w:b w:val="false"/>
          <w:color w:val="000000"/>
          <w:sz w:val="20"/>
        </w:rPr>
        <w:t>(937</w:t>
      </w:r>
      <w:r>
        <w:rPr>
          <w:rFonts w:ascii="Times New Roman;serif" w:hAnsi="Times New Roman;serif"/>
          <w:b/>
          <w:color w:val="000000"/>
          <w:sz w:val="19"/>
        </w:rPr>
        <w:t xml:space="preserve">) </w:t>
      </w:r>
      <w:r>
        <w:rPr>
          <w:rFonts w:ascii="Times New Roman;serif" w:hAnsi="Times New Roman;serif"/>
          <w:b w:val="false"/>
          <w:color w:val="000000"/>
          <w:sz w:val="20"/>
        </w:rPr>
        <w:t>644-0011</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 </w: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(Former name, former address and former fiscal year, if changed since last report)</w:t>
      </w:r>
    </w:p>
    <w:p>
      <w:pPr>
        <w:pStyle w:val="TextBody"/>
        <w:bidi w:val="0"/>
        <w:spacing w:lineRule="auto" w:line="288" w:before="120" w:after="283"/>
        <w:jc w:val="center"/>
        <w:rPr>
          <w:rFonts w:ascii="Times New Roman;serif" w:hAnsi="Times New Roman;serif"/>
          <w:b/>
          <w:color w:val="000000"/>
          <w:sz w:val="19"/>
        </w:rPr>
      </w:pPr>
      <w:r>
        <w:rPr>
          <w:rFonts w:ascii="Times New Roman;serif" w:hAnsi="Times New Roman;serif"/>
          <w:b/>
          <w:color w:val="000000"/>
          <w:sz w:val="19"/>
        </w:rPr>
        <w:t>Securities registered pursuant to Section 12(b) of the Act:</w:t>
      </w:r>
    </w:p>
    <w:tbl>
      <w:tblPr>
        <w:tblW w:w="8391" w:type="dxa"/>
        <w:jc w:val="center"/>
        <w:tblInd w:w="0" w:type="dxa"/>
        <w:tblLayout w:type="fixed"/>
        <w:tblCellMar>
          <w:top w:w="28" w:type="dxa"/>
          <w:left w:w="28" w:type="dxa"/>
          <w:bottom w:w="28" w:type="dxa"/>
          <w:right w:w="28" w:type="dxa"/>
        </w:tblCellMar>
      </w:tblPr>
      <w:tblGrid>
        <w:gridCol w:w="1086"/>
        <w:gridCol w:w="957"/>
        <w:gridCol w:w="971"/>
        <w:gridCol w:w="109"/>
        <w:gridCol w:w="109"/>
        <w:gridCol w:w="109"/>
        <w:gridCol w:w="484"/>
        <w:gridCol w:w="484"/>
        <w:gridCol w:w="486"/>
        <w:gridCol w:w="109"/>
        <w:gridCol w:w="109"/>
        <w:gridCol w:w="109"/>
        <w:gridCol w:w="956"/>
        <w:gridCol w:w="956"/>
        <w:gridCol w:w="1357"/>
      </w:tblGrid>
      <w:tr>
        <w:trPr/>
        <w:tc>
          <w:tcPr>
            <w:tcW w:w="108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Name of each exchange on which registered</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Common Shares, $0.01 stated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SMG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NYSE</w:t>
            </w:r>
          </w:p>
        </w:tc>
      </w:tr>
    </w:tbl>
    <w:p>
      <w:pPr>
        <w:pStyle w:val="TextBody"/>
        <w:bidi w:val="0"/>
        <w:spacing w:lineRule="auto" w:line="288" w:before="100" w:after="283"/>
        <w:jc w:val="both"/>
        <w:rPr/>
      </w:pPr>
      <w:r>
        <w:rPr>
          <w:rFonts w:ascii="Times New Roman;serif" w:hAnsi="Times New Roman;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serif" w:hAnsi="Times New Roman;serif"/>
          <w:b w:val="false"/>
          <w:color w:val="000000"/>
          <w:sz w:val="20"/>
        </w:rPr>
        <w:t>Yes</w:t>
      </w:r>
      <w:r>
        <w:rPr>
          <w:color w:val="000000"/>
        </w:rPr>
        <w:t>  ☒    </w:t>
      </w:r>
      <w:r>
        <w:rPr>
          <w:rFonts w:ascii="Times New Roman;serif" w:hAnsi="Times New Roman;serif"/>
          <w:b w:val="false"/>
          <w:color w:val="000000"/>
          <w:sz w:val="19"/>
        </w:rPr>
        <w:t>No  </w:t>
      </w:r>
      <w:r>
        <w:rPr>
          <w:color w:val="000000"/>
        </w:rPr>
        <w:t>☐ </w:t>
      </w:r>
    </w:p>
    <w:p>
      <w:pPr>
        <w:pStyle w:val="TextBody"/>
        <w:bidi w:val="0"/>
        <w:spacing w:lineRule="auto" w:line="288" w:before="100" w:after="283"/>
        <w:jc w:val="both"/>
        <w:rPr/>
      </w:pPr>
      <w:r>
        <w:rPr>
          <w:rFonts w:ascii="Times New Roman;serif" w:hAnsi="Times New Roman;serif"/>
          <w:b w:val="false"/>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serif" w:hAnsi="Times New Roman;serif"/>
          <w:b w:val="false"/>
          <w:color w:val="000000"/>
          <w:sz w:val="20"/>
        </w:rPr>
        <w:t>Yes</w:t>
      </w:r>
      <w:r>
        <w:rPr>
          <w:color w:val="000000"/>
        </w:rPr>
        <w:t>  ☒    </w:t>
      </w:r>
      <w:r>
        <w:rPr>
          <w:rFonts w:ascii="Times New Roman;serif" w:hAnsi="Times New Roman;serif"/>
          <w:b w:val="false"/>
          <w:color w:val="000000"/>
          <w:sz w:val="19"/>
        </w:rPr>
        <w:t>No  </w:t>
      </w:r>
      <w:r>
        <w:rPr>
          <w:color w:val="000000"/>
        </w:rPr>
        <w:t>☐ </w:t>
      </w:r>
    </w:p>
    <w:p>
      <w:pPr>
        <w:pStyle w:val="TextBody"/>
        <w:bidi w:val="0"/>
        <w:spacing w:lineRule="auto" w:line="288" w:before="100" w:after="283"/>
        <w:jc w:val="both"/>
        <w:rPr>
          <w:rFonts w:ascii="Times New Roman;serif" w:hAnsi="Times New Roman;serif"/>
          <w:b w:val="false"/>
          <w:color w:val="000000"/>
          <w:sz w:val="19"/>
        </w:rPr>
      </w:pPr>
      <w:r>
        <w:rPr>
          <w:rFonts w:ascii="Times New Roman;serif" w:hAnsi="Times New Roman;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316" w:type="dxa"/>
        <w:jc w:val="center"/>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pPr>
      <w:r>
        <w:rPr>
          <w:rFonts w:ascii="Times New Roman;serif" w:hAnsi="Times New Roman;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0" w:after="0"/>
        <w:jc w:val="both"/>
        <w:rPr>
          <w:rFonts w:ascii="Times New Roman;serif" w:hAnsi="Times New Roman;serif"/>
          <w:b w:val="false"/>
          <w:color w:val="000000"/>
          <w:sz w:val="19"/>
        </w:rPr>
      </w:pPr>
      <w:r>
        <w:rPr>
          <w:rFonts w:ascii="Times New Roman;serif" w:hAnsi="Times New Roman;serif"/>
          <w:b w:val="false"/>
          <w:color w:val="000000"/>
          <w:sz w:val="19"/>
        </w:rPr>
        <w:t>Indicate by check mark whether the registrant is a shell company (as defined in Rule 12b-2 of the Exchange Act).  </w:t>
      </w:r>
    </w:p>
    <w:tbl>
      <w:tblPr>
        <w:tblW w:w="1466" w:type="dxa"/>
        <w:jc w:val="left"/>
        <w:tblInd w:w="0" w:type="dxa"/>
        <w:tblLayout w:type="fixed"/>
        <w:tblCellMar>
          <w:top w:w="28" w:type="dxa"/>
          <w:left w:w="28" w:type="dxa"/>
          <w:bottom w:w="28" w:type="dxa"/>
          <w:right w:w="28" w:type="dxa"/>
        </w:tblCellMar>
      </w:tblPr>
      <w:tblGrid>
        <w:gridCol w:w="152"/>
        <w:gridCol w:w="134"/>
        <w:gridCol w:w="135"/>
        <w:gridCol w:w="109"/>
        <w:gridCol w:w="109"/>
        <w:gridCol w:w="109"/>
        <w:gridCol w:w="115"/>
        <w:gridCol w:w="115"/>
        <w:gridCol w:w="116"/>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00" w:after="283"/>
        <w:jc w:val="both"/>
        <w:rPr>
          <w:rFonts w:ascii="Times New Roman;serif" w:hAnsi="Times New Roman;serif"/>
          <w:b w:val="false"/>
          <w:color w:val="000000"/>
          <w:sz w:val="19"/>
        </w:rPr>
      </w:pPr>
      <w:r>
        <w:rPr>
          <w:rFonts w:ascii="Times New Roman;serif" w:hAnsi="Times New Roman;serif"/>
          <w:b w:val="false"/>
          <w:color w:val="000000"/>
          <w:sz w:val="19"/>
        </w:rPr>
        <w:t>As of August 1, 2025, there were 57,738,577 Common Shares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704265b2e93b451e8b4e7b8608206fef_7">
        <w:r>
          <w:rPr>
            <w:rStyle w:val="InternetLink"/>
            <w:rFonts w:ascii="Times New Roman;serif" w:hAnsi="Times New Roman;serif"/>
            <w:b w:val="false"/>
            <w:color w:val="FFFF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545"/>
        <w:gridCol w:w="477"/>
        <w:gridCol w:w="393"/>
        <w:gridCol w:w="2684"/>
        <w:gridCol w:w="2477"/>
        <w:gridCol w:w="2413"/>
        <w:gridCol w:w="386"/>
        <w:gridCol w:w="386"/>
        <w:gridCol w:w="444"/>
      </w:tblGrid>
      <w:tr>
        <w:trPr/>
        <w:tc>
          <w:tcPr>
            <w:tcW w:w="54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SCOTTS MIRACLE-GRO COMPANY</w:t>
              <w:br/>
              <w:t>INDEX</w:t>
            </w:r>
          </w:p>
        </w:tc>
      </w:tr>
      <w:tr>
        <w:trPr/>
        <w:tc>
          <w:tcPr>
            <w:tcW w:w="14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PAGE NO.</w:t>
            </w:r>
          </w:p>
        </w:tc>
      </w:tr>
      <w:tr>
        <w:trPr/>
        <w:tc>
          <w:tcPr>
            <w:tcW w:w="898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10">
              <w:r>
                <w:rPr>
                  <w:rStyle w:val="InternetLink"/>
                  <w:rFonts w:ascii="Times New Roman;serif" w:hAnsi="Times New Roman;serif"/>
                  <w:b w:val="false"/>
                  <w:strike w:val="false"/>
                  <w:dstrike w:val="false"/>
                  <w:color w:val="0000FF"/>
                  <w:sz w:val="20"/>
                  <w:u w:val="none"/>
                  <w:effect w:val="none"/>
                </w:rPr>
                <w:t>PART I. FINANCIAL INFORMATION:</w:t>
              </w:r>
            </w:hyperlink>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13">
              <w:r>
                <w:rPr>
                  <w:rStyle w:val="InternetLink"/>
                  <w:rFonts w:ascii="Times New Roman;serif" w:hAnsi="Times New Roman;serif"/>
                  <w:b w:val="false"/>
                  <w:strike w:val="false"/>
                  <w:dstrike w:val="false"/>
                  <w:color w:val="0000FF"/>
                  <w:sz w:val="20"/>
                  <w:u w:val="none"/>
                  <w:effect w:val="none"/>
                </w:rPr>
                <w:t>Item 1.</w:t>
              </w:r>
            </w:hyperlink>
          </w:p>
        </w:tc>
        <w:tc>
          <w:tcPr>
            <w:tcW w:w="7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13">
              <w:r>
                <w:rPr>
                  <w:rStyle w:val="InternetLink"/>
                  <w:rFonts w:ascii="Times New Roman;serif" w:hAnsi="Times New Roman;serif"/>
                  <w:b w:val="false"/>
                  <w:color w:val="0000FF"/>
                  <w:sz w:val="20"/>
                  <w:u w:val="single"/>
                </w:rPr>
                <w:t>Financial Statements (Unaudited)</w:t>
              </w:r>
            </w:hyperlink>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16">
              <w:r>
                <w:rPr>
                  <w:rStyle w:val="InternetLink"/>
                  <w:rFonts w:ascii="Times New Roman;serif" w:hAnsi="Times New Roman;serif"/>
                  <w:b w:val="false"/>
                  <w:color w:val="000080"/>
                  <w:sz w:val="20"/>
                  <w:u w:val="single"/>
                </w:rPr>
                <w:t xml:space="preserve">Condensed Consolidated Statements of Operations — Three and </w:t>
              </w:r>
            </w:hyperlink>
            <w:hyperlink w:anchor="i704265b2e93b451e8b4e7b8608206fef_16">
              <w:r>
                <w:rPr>
                  <w:rStyle w:val="InternetLink"/>
                  <w:rFonts w:ascii="Times New Roman;serif" w:hAnsi="Times New Roman;serif"/>
                  <w:b w:val="false"/>
                  <w:color w:val="000080"/>
                  <w:sz w:val="20"/>
                  <w:u w:val="single"/>
                </w:rPr>
                <w:t>nine</w:t>
              </w:r>
            </w:hyperlink>
            <w:hyperlink w:anchor="i704265b2e93b451e8b4e7b8608206fef_16">
              <w:r>
                <w:rPr>
                  <w:rStyle w:val="InternetLink"/>
                  <w:rFonts w:ascii="Times New Roman;serif" w:hAnsi="Times New Roman;serif"/>
                  <w:b w:val="false"/>
                  <w:color w:val="000080"/>
                  <w:sz w:val="20"/>
                  <w:u w:val="single"/>
                </w:rPr>
                <w:t xml:space="preserve"> months ended </w:t>
              </w:r>
            </w:hyperlink>
            <w:hyperlink w:anchor="i704265b2e93b451e8b4e7b8608206fef_16">
              <w:r>
                <w:rPr>
                  <w:rStyle w:val="InternetLink"/>
                  <w:rFonts w:ascii="Times New Roman;serif" w:hAnsi="Times New Roman;serif"/>
                  <w:b w:val="false"/>
                  <w:color w:val="000080"/>
                  <w:sz w:val="20"/>
                  <w:u w:val="single"/>
                </w:rPr>
                <w:t>June 28</w:t>
              </w:r>
            </w:hyperlink>
            <w:hyperlink w:anchor="i704265b2e93b451e8b4e7b8608206fef_16">
              <w:r>
                <w:rPr>
                  <w:rStyle w:val="InternetLink"/>
                  <w:rFonts w:ascii="Times New Roman;serif" w:hAnsi="Times New Roman;serif"/>
                  <w:b w:val="false"/>
                  <w:color w:val="000080"/>
                  <w:sz w:val="20"/>
                  <w:u w:val="single"/>
                </w:rPr>
                <w:t xml:space="preserve">, 2025 and </w:t>
              </w:r>
            </w:hyperlink>
            <w:hyperlink w:anchor="i704265b2e93b451e8b4e7b8608206fef_16">
              <w:r>
                <w:rPr>
                  <w:rStyle w:val="InternetLink"/>
                  <w:rFonts w:ascii="Times New Roman;serif" w:hAnsi="Times New Roman;serif"/>
                  <w:b w:val="false"/>
                  <w:color w:val="000080"/>
                  <w:sz w:val="20"/>
                  <w:u w:val="single"/>
                </w:rPr>
                <w:t>June 29</w:t>
              </w:r>
            </w:hyperlink>
            <w:hyperlink w:anchor="i704265b2e93b451e8b4e7b8608206fef_16">
              <w:r>
                <w:rPr>
                  <w:rStyle w:val="InternetLink"/>
                  <w:rFonts w:ascii="Times New Roman;serif" w:hAnsi="Times New Roman;serif"/>
                  <w:b w:val="false"/>
                  <w:color w:val="000080"/>
                  <w:sz w:val="20"/>
                  <w:u w:val="single"/>
                </w:rPr>
                <w:t>, 2024</w:t>
              </w:r>
            </w:hyperlink>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4265b2e93b451e8b4e7b8608206fef_16">
              <w:r>
                <w:rPr>
                  <w:rStyle w:val="InternetLink"/>
                  <w:rFonts w:ascii="Times New Roman;serif" w:hAnsi="Times New Roman;serif"/>
                  <w:b w:val="false"/>
                  <w:color w:val="0000FF"/>
                  <w:sz w:val="20"/>
                  <w:u w:val="single"/>
                </w:rPr>
                <w:t>3</w:t>
              </w:r>
            </w:hyperlink>
          </w:p>
        </w:tc>
      </w:tr>
      <w:tr>
        <w:trPr/>
        <w:tc>
          <w:tcPr>
            <w:tcW w:w="1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19">
              <w:r>
                <w:rPr>
                  <w:rStyle w:val="InternetLink"/>
                  <w:rFonts w:ascii="Times New Roman;serif" w:hAnsi="Times New Roman;serif"/>
                  <w:b w:val="false"/>
                  <w:color w:val="000080"/>
                  <w:sz w:val="20"/>
                  <w:u w:val="single"/>
                </w:rPr>
                <w:t xml:space="preserve">Condensed Consolidated Statements of Comprehensive Income (Loss) — Three and </w:t>
              </w:r>
            </w:hyperlink>
            <w:hyperlink w:anchor="i704265b2e93b451e8b4e7b8608206fef_19">
              <w:r>
                <w:rPr>
                  <w:rStyle w:val="InternetLink"/>
                  <w:rFonts w:ascii="Times New Roman;serif" w:hAnsi="Times New Roman;serif"/>
                  <w:b w:val="false"/>
                  <w:color w:val="000080"/>
                  <w:sz w:val="20"/>
                  <w:u w:val="single"/>
                </w:rPr>
                <w:t>nine</w:t>
              </w:r>
            </w:hyperlink>
            <w:hyperlink w:anchor="i704265b2e93b451e8b4e7b8608206fef_19">
              <w:r>
                <w:rPr>
                  <w:rStyle w:val="InternetLink"/>
                  <w:rFonts w:ascii="Times New Roman;serif" w:hAnsi="Times New Roman;serif"/>
                  <w:b w:val="false"/>
                  <w:color w:val="000080"/>
                  <w:sz w:val="20"/>
                  <w:u w:val="single"/>
                </w:rPr>
                <w:t xml:space="preserve"> months ended </w:t>
              </w:r>
            </w:hyperlink>
            <w:hyperlink w:anchor="i704265b2e93b451e8b4e7b8608206fef_19">
              <w:r>
                <w:rPr>
                  <w:rStyle w:val="InternetLink"/>
                  <w:rFonts w:ascii="Times New Roman;serif" w:hAnsi="Times New Roman;serif"/>
                  <w:b w:val="false"/>
                  <w:color w:val="000080"/>
                  <w:sz w:val="20"/>
                  <w:u w:val="single"/>
                </w:rPr>
                <w:t>June 28</w:t>
              </w:r>
            </w:hyperlink>
            <w:hyperlink w:anchor="i704265b2e93b451e8b4e7b8608206fef_19">
              <w:r>
                <w:rPr>
                  <w:rStyle w:val="InternetLink"/>
                  <w:rFonts w:ascii="Times New Roman;serif" w:hAnsi="Times New Roman;serif"/>
                  <w:b w:val="false"/>
                  <w:color w:val="000080"/>
                  <w:sz w:val="20"/>
                  <w:u w:val="single"/>
                </w:rPr>
                <w:t xml:space="preserve">, 2025 and </w:t>
              </w:r>
            </w:hyperlink>
            <w:hyperlink w:anchor="i704265b2e93b451e8b4e7b8608206fef_19">
              <w:r>
                <w:rPr>
                  <w:rStyle w:val="InternetLink"/>
                  <w:rFonts w:ascii="Times New Roman;serif" w:hAnsi="Times New Roman;serif"/>
                  <w:b w:val="false"/>
                  <w:color w:val="000080"/>
                  <w:sz w:val="20"/>
                  <w:u w:val="single"/>
                </w:rPr>
                <w:t>June 29</w:t>
              </w:r>
            </w:hyperlink>
            <w:hyperlink w:anchor="i704265b2e93b451e8b4e7b8608206fef_19">
              <w:r>
                <w:rPr>
                  <w:rStyle w:val="InternetLink"/>
                  <w:rFonts w:ascii="Times New Roman;serif" w:hAnsi="Times New Roman;serif"/>
                  <w:b w:val="false"/>
                  <w:color w:val="000080"/>
                  <w:sz w:val="20"/>
                  <w:u w:val="single"/>
                </w:rPr>
                <w:t>, 2024</w:t>
              </w:r>
            </w:hyperlink>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4265b2e93b451e8b4e7b8608206fef_19">
              <w:r>
                <w:rPr>
                  <w:rStyle w:val="InternetLink"/>
                  <w:rFonts w:ascii="Times New Roman;serif" w:hAnsi="Times New Roman;serif"/>
                  <w:b w:val="false"/>
                  <w:color w:val="0000FF"/>
                  <w:sz w:val="20"/>
                  <w:u w:val="single"/>
                </w:rPr>
                <w:t>4</w:t>
              </w:r>
            </w:hyperlink>
          </w:p>
        </w:tc>
      </w:tr>
      <w:tr>
        <w:trPr/>
        <w:tc>
          <w:tcPr>
            <w:tcW w:w="1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25">
              <w:r>
                <w:rPr>
                  <w:rStyle w:val="InternetLink"/>
                  <w:rFonts w:ascii="Times New Roman;serif" w:hAnsi="Times New Roman;serif"/>
                  <w:b w:val="false"/>
                  <w:color w:val="000080"/>
                  <w:sz w:val="20"/>
                  <w:u w:val="single"/>
                </w:rPr>
                <w:t xml:space="preserve">Condensed Consolidated Statements of Cash Flows — </w:t>
              </w:r>
            </w:hyperlink>
            <w:hyperlink w:anchor="i704265b2e93b451e8b4e7b8608206fef_25">
              <w:r>
                <w:rPr>
                  <w:rStyle w:val="InternetLink"/>
                  <w:rFonts w:ascii="Times New Roman;serif" w:hAnsi="Times New Roman;serif"/>
                  <w:b w:val="false"/>
                  <w:color w:val="000080"/>
                  <w:sz w:val="20"/>
                  <w:u w:val="single"/>
                </w:rPr>
                <w:t>Nine</w:t>
              </w:r>
            </w:hyperlink>
            <w:hyperlink w:anchor="i704265b2e93b451e8b4e7b8608206fef_25">
              <w:r>
                <w:rPr>
                  <w:rStyle w:val="InternetLink"/>
                  <w:rFonts w:ascii="Times New Roman;serif" w:hAnsi="Times New Roman;serif"/>
                  <w:b w:val="false"/>
                  <w:color w:val="000080"/>
                  <w:sz w:val="20"/>
                  <w:u w:val="single"/>
                </w:rPr>
                <w:t xml:space="preserve"> months ended</w:t>
              </w:r>
            </w:hyperlink>
            <w:hyperlink w:anchor="i704265b2e93b451e8b4e7b8608206fef_25">
              <w:r>
                <w:rPr>
                  <w:rStyle w:val="InternetLink"/>
                  <w:rFonts w:ascii="Times New Roman;serif" w:hAnsi="Times New Roman;serif"/>
                  <w:b w:val="false"/>
                  <w:color w:val="000080"/>
                  <w:sz w:val="20"/>
                  <w:u w:val="single"/>
                </w:rPr>
                <w:t xml:space="preserve"> J</w:t>
              </w:r>
            </w:hyperlink>
            <w:hyperlink w:anchor="i704265b2e93b451e8b4e7b8608206fef_25">
              <w:r>
                <w:rPr>
                  <w:rStyle w:val="InternetLink"/>
                  <w:rFonts w:ascii="Times New Roman;serif" w:hAnsi="Times New Roman;serif"/>
                  <w:b w:val="false"/>
                  <w:color w:val="000080"/>
                  <w:sz w:val="20"/>
                  <w:u w:val="single"/>
                </w:rPr>
                <w:t>une 28</w:t>
              </w:r>
            </w:hyperlink>
            <w:hyperlink w:anchor="i704265b2e93b451e8b4e7b8608206fef_25">
              <w:r>
                <w:rPr>
                  <w:rStyle w:val="InternetLink"/>
                  <w:rFonts w:ascii="Times New Roman;serif" w:hAnsi="Times New Roman;serif"/>
                  <w:b w:val="false"/>
                  <w:color w:val="000080"/>
                  <w:sz w:val="20"/>
                  <w:u w:val="single"/>
                </w:rPr>
                <w:t xml:space="preserve">, 2025 and </w:t>
              </w:r>
            </w:hyperlink>
            <w:hyperlink w:anchor="i704265b2e93b451e8b4e7b8608206fef_25">
              <w:r>
                <w:rPr>
                  <w:rStyle w:val="InternetLink"/>
                  <w:rFonts w:ascii="Times New Roman;serif" w:hAnsi="Times New Roman;serif"/>
                  <w:b w:val="false"/>
                  <w:color w:val="000080"/>
                  <w:sz w:val="20"/>
                  <w:u w:val="single"/>
                </w:rPr>
                <w:t>June 29</w:t>
              </w:r>
            </w:hyperlink>
            <w:hyperlink w:anchor="i704265b2e93b451e8b4e7b8608206fef_25">
              <w:r>
                <w:rPr>
                  <w:rStyle w:val="InternetLink"/>
                  <w:rFonts w:ascii="Times New Roman;serif" w:hAnsi="Times New Roman;serif"/>
                  <w:b w:val="false"/>
                  <w:color w:val="000080"/>
                  <w:sz w:val="20"/>
                  <w:u w:val="single"/>
                </w:rPr>
                <w:t>, 2024</w:t>
              </w:r>
            </w:hyperlink>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4265b2e93b451e8b4e7b8608206fef_25">
              <w:r>
                <w:rPr>
                  <w:rStyle w:val="InternetLink"/>
                  <w:rFonts w:ascii="Times New Roman;serif" w:hAnsi="Times New Roman;serif"/>
                  <w:b w:val="false"/>
                  <w:color w:val="0000FF"/>
                  <w:sz w:val="20"/>
                  <w:u w:val="single"/>
                </w:rPr>
                <w:t>5</w:t>
              </w:r>
            </w:hyperlink>
          </w:p>
        </w:tc>
      </w:tr>
      <w:tr>
        <w:trPr/>
        <w:tc>
          <w:tcPr>
            <w:tcW w:w="1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28">
              <w:r>
                <w:rPr>
                  <w:rStyle w:val="InternetLink"/>
                  <w:rFonts w:ascii="Times New Roman;serif" w:hAnsi="Times New Roman;serif"/>
                  <w:b w:val="false"/>
                  <w:color w:val="000080"/>
                  <w:sz w:val="20"/>
                  <w:u w:val="single"/>
                </w:rPr>
                <w:t>Condensed Consolidated Balance Sheets —</w:t>
              </w:r>
            </w:hyperlink>
            <w:hyperlink w:anchor="i704265b2e93b451e8b4e7b8608206fef_19">
              <w:r>
                <w:rPr>
                  <w:rStyle w:val="InternetLink"/>
                  <w:rFonts w:ascii="Times New Roman;serif" w:hAnsi="Times New Roman;serif"/>
                  <w:b w:val="false"/>
                  <w:color w:val="000080"/>
                  <w:sz w:val="20"/>
                  <w:u w:val="single"/>
                </w:rPr>
                <w:t xml:space="preserve"> </w:t>
              </w:r>
            </w:hyperlink>
            <w:hyperlink w:anchor="i704265b2e93b451e8b4e7b8608206fef_19">
              <w:r>
                <w:rPr>
                  <w:rStyle w:val="InternetLink"/>
                  <w:rFonts w:ascii="Times New Roman;serif" w:hAnsi="Times New Roman;serif"/>
                  <w:b w:val="false"/>
                  <w:color w:val="000080"/>
                  <w:sz w:val="20"/>
                  <w:u w:val="single"/>
                </w:rPr>
                <w:t>June 28,</w:t>
              </w:r>
            </w:hyperlink>
            <w:hyperlink w:anchor="i704265b2e93b451e8b4e7b8608206fef_19">
              <w:r>
                <w:rPr>
                  <w:rStyle w:val="InternetLink"/>
                  <w:rFonts w:ascii="Times New Roman;serif" w:hAnsi="Times New Roman;serif"/>
                  <w:b w:val="false"/>
                  <w:color w:val="000080"/>
                  <w:sz w:val="20"/>
                  <w:u w:val="single"/>
                </w:rPr>
                <w:t xml:space="preserve">2025, </w:t>
              </w:r>
            </w:hyperlink>
            <w:hyperlink w:anchor="i704265b2e93b451e8b4e7b8608206fef_19">
              <w:r>
                <w:rPr>
                  <w:rStyle w:val="InternetLink"/>
                  <w:rFonts w:ascii="Times New Roman;serif" w:hAnsi="Times New Roman;serif"/>
                  <w:b w:val="false"/>
                  <w:color w:val="000080"/>
                  <w:sz w:val="20"/>
                  <w:u w:val="single"/>
                </w:rPr>
                <w:t>June 29</w:t>
              </w:r>
            </w:hyperlink>
            <w:hyperlink w:anchor="i704265b2e93b451e8b4e7b8608206fef_19">
              <w:r>
                <w:rPr>
                  <w:rStyle w:val="InternetLink"/>
                  <w:rFonts w:ascii="Times New Roman;serif" w:hAnsi="Times New Roman;serif"/>
                  <w:b w:val="false"/>
                  <w:color w:val="000080"/>
                  <w:sz w:val="20"/>
                  <w:u w:val="single"/>
                </w:rPr>
                <w:t xml:space="preserve">, 2024 </w:t>
              </w:r>
            </w:hyperlink>
            <w:hyperlink w:anchor="i704265b2e93b451e8b4e7b8608206fef_28">
              <w:r>
                <w:rPr>
                  <w:rStyle w:val="InternetLink"/>
                  <w:rFonts w:ascii="Times New Roman;serif" w:hAnsi="Times New Roman;serif"/>
                  <w:b w:val="false"/>
                  <w:color w:val="000080"/>
                  <w:sz w:val="20"/>
                  <w:u w:val="single"/>
                </w:rPr>
                <w:t>and September 30, 2024</w:t>
              </w:r>
            </w:hyperlink>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4265b2e93b451e8b4e7b8608206fef_28">
              <w:r>
                <w:rPr>
                  <w:rStyle w:val="InternetLink"/>
                  <w:rFonts w:ascii="Times New Roman;serif" w:hAnsi="Times New Roman;serif"/>
                  <w:b w:val="false"/>
                  <w:color w:val="0000FF"/>
                  <w:sz w:val="20"/>
                  <w:u w:val="single"/>
                </w:rPr>
                <w:t>6</w:t>
              </w:r>
            </w:hyperlink>
          </w:p>
        </w:tc>
      </w:tr>
      <w:tr>
        <w:trPr/>
        <w:tc>
          <w:tcPr>
            <w:tcW w:w="1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34">
              <w:r>
                <w:rPr>
                  <w:rStyle w:val="InternetLink"/>
                  <w:rFonts w:ascii="Times New Roman;serif" w:hAnsi="Times New Roman;serif"/>
                  <w:b w:val="false"/>
                  <w:color w:val="0000FF"/>
                  <w:sz w:val="20"/>
                  <w:u w:val="single"/>
                </w:rPr>
                <w:t>Notes to Condensed Consolidated Financial Statements</w:t>
              </w:r>
            </w:hyperlink>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4265b2e93b451e8b4e7b8608206fef_34">
              <w:r>
                <w:rPr>
                  <w:rStyle w:val="InternetLink"/>
                  <w:rFonts w:ascii="Times New Roman;serif" w:hAnsi="Times New Roman;serif"/>
                  <w:b w:val="false"/>
                  <w:color w:val="0000FF"/>
                  <w:sz w:val="20"/>
                  <w:u w:val="single"/>
                </w:rPr>
                <w:t>7</w:t>
              </w:r>
            </w:hyperlink>
          </w:p>
        </w:tc>
      </w:tr>
      <w:tr>
        <w:trPr/>
        <w:tc>
          <w:tcPr>
            <w:tcW w:w="14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112">
              <w:r>
                <w:rPr>
                  <w:rStyle w:val="InternetLink"/>
                  <w:rFonts w:ascii="Times New Roman;serif" w:hAnsi="Times New Roman;serif"/>
                  <w:b w:val="false"/>
                  <w:strike w:val="false"/>
                  <w:dstrike w:val="false"/>
                  <w:color w:val="0000FF"/>
                  <w:sz w:val="20"/>
                  <w:u w:val="none"/>
                  <w:effect w:val="none"/>
                </w:rPr>
                <w:t>Item 2.</w:t>
              </w:r>
            </w:hyperlink>
          </w:p>
        </w:tc>
        <w:tc>
          <w:tcPr>
            <w:tcW w:w="7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112">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4265b2e93b451e8b4e7b8608206fef_112">
              <w:r>
                <w:rPr>
                  <w:rStyle w:val="InternetLink"/>
                  <w:rFonts w:ascii="Times New Roman;serif" w:hAnsi="Times New Roman;serif"/>
                  <w:b w:val="false"/>
                  <w:color w:val="0000FF"/>
                  <w:sz w:val="20"/>
                  <w:u w:val="single"/>
                </w:rPr>
                <w:t>27</w:t>
              </w:r>
            </w:hyperlink>
          </w:p>
        </w:tc>
      </w:tr>
      <w:tr>
        <w:trPr/>
        <w:tc>
          <w:tcPr>
            <w:tcW w:w="14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133">
              <w:r>
                <w:rPr>
                  <w:rStyle w:val="InternetLink"/>
                  <w:rFonts w:ascii="Times New Roman;serif" w:hAnsi="Times New Roman;serif"/>
                  <w:b w:val="false"/>
                  <w:strike w:val="false"/>
                  <w:dstrike w:val="false"/>
                  <w:color w:val="0000FF"/>
                  <w:sz w:val="20"/>
                  <w:u w:val="none"/>
                  <w:effect w:val="none"/>
                </w:rPr>
                <w:t>Item 3.</w:t>
              </w:r>
            </w:hyperlink>
          </w:p>
        </w:tc>
        <w:tc>
          <w:tcPr>
            <w:tcW w:w="7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133">
              <w:r>
                <w:rPr>
                  <w:rStyle w:val="InternetLink"/>
                  <w:rFonts w:ascii="Times New Roman;serif" w:hAnsi="Times New Roman;serif"/>
                  <w:b w:val="false"/>
                  <w:color w:val="0000FF"/>
                  <w:sz w:val="20"/>
                  <w:u w:val="single"/>
                </w:rPr>
                <w:t>Quantitative and Qualitative Disclosures About Market Risk</w:t>
              </w:r>
            </w:hyperlink>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4265b2e93b451e8b4e7b8608206fef_133">
              <w:r>
                <w:rPr>
                  <w:rStyle w:val="InternetLink"/>
                  <w:rFonts w:ascii="Times New Roman;serif" w:hAnsi="Times New Roman;serif"/>
                  <w:b w:val="false"/>
                  <w:color w:val="0000FF"/>
                  <w:sz w:val="20"/>
                  <w:u w:val="single"/>
                </w:rPr>
                <w:t>42</w:t>
              </w:r>
            </w:hyperlink>
          </w:p>
        </w:tc>
      </w:tr>
      <w:tr>
        <w:trPr/>
        <w:tc>
          <w:tcPr>
            <w:tcW w:w="14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136">
              <w:r>
                <w:rPr>
                  <w:rStyle w:val="InternetLink"/>
                  <w:rFonts w:ascii="Times New Roman;serif" w:hAnsi="Times New Roman;serif"/>
                  <w:b w:val="false"/>
                  <w:strike w:val="false"/>
                  <w:dstrike w:val="false"/>
                  <w:color w:val="0000FF"/>
                  <w:sz w:val="20"/>
                  <w:u w:val="none"/>
                  <w:effect w:val="none"/>
                </w:rPr>
                <w:t>Item 4.</w:t>
              </w:r>
            </w:hyperlink>
          </w:p>
        </w:tc>
        <w:tc>
          <w:tcPr>
            <w:tcW w:w="7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136">
              <w:r>
                <w:rPr>
                  <w:rStyle w:val="InternetLink"/>
                  <w:rFonts w:ascii="Times New Roman;serif" w:hAnsi="Times New Roman;serif"/>
                  <w:b w:val="false"/>
                  <w:color w:val="0000FF"/>
                  <w:sz w:val="20"/>
                  <w:u w:val="single"/>
                </w:rPr>
                <w:t>Controls and Procedures</w:t>
              </w:r>
            </w:hyperlink>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4265b2e93b451e8b4e7b8608206fef_136">
              <w:r>
                <w:rPr>
                  <w:rStyle w:val="InternetLink"/>
                  <w:rFonts w:ascii="Times New Roman;serif" w:hAnsi="Times New Roman;serif"/>
                  <w:b w:val="false"/>
                  <w:color w:val="0000FF"/>
                  <w:sz w:val="20"/>
                  <w:u w:val="single"/>
                </w:rPr>
                <w:t>42</w:t>
              </w:r>
            </w:hyperlink>
          </w:p>
        </w:tc>
      </w:tr>
      <w:tr>
        <w:trPr/>
        <w:tc>
          <w:tcPr>
            <w:tcW w:w="898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8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139">
              <w:r>
                <w:rPr>
                  <w:rStyle w:val="InternetLink"/>
                  <w:rFonts w:ascii="Times New Roman;serif" w:hAnsi="Times New Roman;serif"/>
                  <w:b w:val="false"/>
                  <w:strike w:val="false"/>
                  <w:dstrike w:val="false"/>
                  <w:color w:val="0000FF"/>
                  <w:sz w:val="20"/>
                  <w:u w:val="none"/>
                  <w:effect w:val="none"/>
                </w:rPr>
                <w:t>PART II. OTHER INFORMATION:</w:t>
              </w:r>
            </w:hyperlink>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142">
              <w:r>
                <w:rPr>
                  <w:rStyle w:val="InternetLink"/>
                  <w:rFonts w:ascii="Times New Roman;serif" w:hAnsi="Times New Roman;serif"/>
                  <w:b w:val="false"/>
                  <w:strike w:val="false"/>
                  <w:dstrike w:val="false"/>
                  <w:color w:val="0000FF"/>
                  <w:sz w:val="20"/>
                  <w:u w:val="none"/>
                  <w:effect w:val="none"/>
                </w:rPr>
                <w:t>Item 1.</w:t>
              </w:r>
            </w:hyperlink>
          </w:p>
        </w:tc>
        <w:tc>
          <w:tcPr>
            <w:tcW w:w="7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142">
              <w:r>
                <w:rPr>
                  <w:rStyle w:val="InternetLink"/>
                  <w:rFonts w:ascii="Times New Roman;serif" w:hAnsi="Times New Roman;serif"/>
                  <w:b w:val="false"/>
                  <w:color w:val="0000FF"/>
                  <w:sz w:val="20"/>
                  <w:u w:val="single"/>
                </w:rPr>
                <w:t>Legal Proceedings</w:t>
              </w:r>
            </w:hyperlink>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4265b2e93b451e8b4e7b8608206fef_142">
              <w:r>
                <w:rPr>
                  <w:rStyle w:val="InternetLink"/>
                  <w:rFonts w:ascii="Times New Roman;serif" w:hAnsi="Times New Roman;serif"/>
                  <w:b w:val="false"/>
                  <w:color w:val="0000FF"/>
                  <w:sz w:val="20"/>
                  <w:u w:val="single"/>
                </w:rPr>
                <w:t>43</w:t>
              </w:r>
            </w:hyperlink>
          </w:p>
        </w:tc>
      </w:tr>
      <w:tr>
        <w:trPr/>
        <w:tc>
          <w:tcPr>
            <w:tcW w:w="14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145">
              <w:r>
                <w:rPr>
                  <w:rStyle w:val="InternetLink"/>
                  <w:rFonts w:ascii="Times New Roman;serif" w:hAnsi="Times New Roman;serif"/>
                  <w:b w:val="false"/>
                  <w:strike w:val="false"/>
                  <w:dstrike w:val="false"/>
                  <w:color w:val="0000FF"/>
                  <w:sz w:val="20"/>
                  <w:u w:val="none"/>
                  <w:effect w:val="none"/>
                </w:rPr>
                <w:t>Item 1A.</w:t>
              </w:r>
            </w:hyperlink>
          </w:p>
        </w:tc>
        <w:tc>
          <w:tcPr>
            <w:tcW w:w="7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145">
              <w:r>
                <w:rPr>
                  <w:rStyle w:val="InternetLink"/>
                  <w:rFonts w:ascii="Times New Roman;serif" w:hAnsi="Times New Roman;serif"/>
                  <w:b w:val="false"/>
                  <w:color w:val="0000FF"/>
                  <w:sz w:val="20"/>
                  <w:u w:val="single"/>
                </w:rPr>
                <w:t>Risk Factors</w:t>
              </w:r>
            </w:hyperlink>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4265b2e93b451e8b4e7b8608206fef_145">
              <w:r>
                <w:rPr>
                  <w:rStyle w:val="InternetLink"/>
                  <w:rFonts w:ascii="Times New Roman;serif" w:hAnsi="Times New Roman;serif"/>
                  <w:b w:val="false"/>
                  <w:color w:val="0000FF"/>
                  <w:sz w:val="20"/>
                  <w:u w:val="single"/>
                </w:rPr>
                <w:t>43</w:t>
              </w:r>
            </w:hyperlink>
          </w:p>
        </w:tc>
      </w:tr>
      <w:tr>
        <w:trPr/>
        <w:tc>
          <w:tcPr>
            <w:tcW w:w="14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148">
              <w:r>
                <w:rPr>
                  <w:rStyle w:val="InternetLink"/>
                  <w:rFonts w:ascii="Times New Roman;serif" w:hAnsi="Times New Roman;serif"/>
                  <w:b w:val="false"/>
                  <w:strike w:val="false"/>
                  <w:dstrike w:val="false"/>
                  <w:color w:val="0000FF"/>
                  <w:sz w:val="20"/>
                  <w:u w:val="none"/>
                  <w:effect w:val="none"/>
                </w:rPr>
                <w:t>Item 2.</w:t>
              </w:r>
            </w:hyperlink>
          </w:p>
        </w:tc>
        <w:tc>
          <w:tcPr>
            <w:tcW w:w="7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148">
              <w:r>
                <w:rPr>
                  <w:rStyle w:val="InternetLink"/>
                  <w:rFonts w:ascii="Times New Roman;serif" w:hAnsi="Times New Roman;serif"/>
                  <w:b w:val="false"/>
                  <w:color w:val="0000FF"/>
                  <w:sz w:val="20"/>
                  <w:u w:val="single"/>
                </w:rPr>
                <w:t>Unregistered Sales of Equity Securities and Use of Proceeds</w:t>
              </w:r>
            </w:hyperlink>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4265b2e93b451e8b4e7b8608206fef_151">
              <w:r>
                <w:rPr>
                  <w:rStyle w:val="InternetLink"/>
                  <w:rFonts w:ascii="Times New Roman;serif" w:hAnsi="Times New Roman;serif"/>
                  <w:b w:val="false"/>
                  <w:color w:val="0000FF"/>
                  <w:sz w:val="20"/>
                  <w:u w:val="single"/>
                </w:rPr>
                <w:t>44</w:t>
              </w:r>
            </w:hyperlink>
          </w:p>
        </w:tc>
      </w:tr>
      <w:tr>
        <w:trPr/>
        <w:tc>
          <w:tcPr>
            <w:tcW w:w="14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151">
              <w:r>
                <w:rPr>
                  <w:rStyle w:val="InternetLink"/>
                  <w:rFonts w:ascii="Times New Roman;serif" w:hAnsi="Times New Roman;serif"/>
                  <w:b w:val="false"/>
                  <w:strike w:val="false"/>
                  <w:dstrike w:val="false"/>
                  <w:color w:val="0000FF"/>
                  <w:sz w:val="20"/>
                  <w:u w:val="none"/>
                  <w:effect w:val="none"/>
                </w:rPr>
                <w:t>Item 3.</w:t>
              </w:r>
            </w:hyperlink>
          </w:p>
        </w:tc>
        <w:tc>
          <w:tcPr>
            <w:tcW w:w="7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151">
              <w:r>
                <w:rPr>
                  <w:rStyle w:val="InternetLink"/>
                  <w:rFonts w:ascii="Times New Roman;serif" w:hAnsi="Times New Roman;serif"/>
                  <w:b w:val="false"/>
                  <w:color w:val="0000FF"/>
                  <w:sz w:val="20"/>
                  <w:u w:val="single"/>
                </w:rPr>
                <w:t>Defaults Upon Senior Securities</w:t>
              </w:r>
            </w:hyperlink>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4265b2e93b451e8b4e7b8608206fef_151">
              <w:r>
                <w:rPr>
                  <w:rStyle w:val="InternetLink"/>
                  <w:rFonts w:ascii="Times New Roman;serif" w:hAnsi="Times New Roman;serif"/>
                  <w:b w:val="false"/>
                  <w:color w:val="0000FF"/>
                  <w:sz w:val="20"/>
                  <w:u w:val="single"/>
                </w:rPr>
                <w:t>44</w:t>
              </w:r>
            </w:hyperlink>
          </w:p>
        </w:tc>
      </w:tr>
      <w:tr>
        <w:trPr/>
        <w:tc>
          <w:tcPr>
            <w:tcW w:w="14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154">
              <w:r>
                <w:rPr>
                  <w:rStyle w:val="InternetLink"/>
                  <w:rFonts w:ascii="Times New Roman;serif" w:hAnsi="Times New Roman;serif"/>
                  <w:b w:val="false"/>
                  <w:strike w:val="false"/>
                  <w:dstrike w:val="false"/>
                  <w:color w:val="0000FF"/>
                  <w:sz w:val="20"/>
                  <w:u w:val="none"/>
                  <w:effect w:val="none"/>
                </w:rPr>
                <w:t>Item 4.</w:t>
              </w:r>
            </w:hyperlink>
          </w:p>
        </w:tc>
        <w:tc>
          <w:tcPr>
            <w:tcW w:w="7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154">
              <w:r>
                <w:rPr>
                  <w:rStyle w:val="InternetLink"/>
                  <w:rFonts w:ascii="Times New Roman;serif" w:hAnsi="Times New Roman;serif"/>
                  <w:b w:val="false"/>
                  <w:color w:val="0000FF"/>
                  <w:sz w:val="20"/>
                  <w:u w:val="single"/>
                </w:rPr>
                <w:t>Mine Safety Disclosures</w:t>
              </w:r>
            </w:hyperlink>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4265b2e93b451e8b4e7b8608206fef_154">
              <w:r>
                <w:rPr>
                  <w:rStyle w:val="InternetLink"/>
                  <w:rFonts w:ascii="Times New Roman;serif" w:hAnsi="Times New Roman;serif"/>
                  <w:b w:val="false"/>
                  <w:color w:val="0000FF"/>
                  <w:sz w:val="20"/>
                  <w:u w:val="single"/>
                </w:rPr>
                <w:t>44</w:t>
              </w:r>
            </w:hyperlink>
          </w:p>
        </w:tc>
      </w:tr>
      <w:tr>
        <w:trPr/>
        <w:tc>
          <w:tcPr>
            <w:tcW w:w="14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157">
              <w:r>
                <w:rPr>
                  <w:rStyle w:val="InternetLink"/>
                  <w:rFonts w:ascii="Times New Roman;serif" w:hAnsi="Times New Roman;serif"/>
                  <w:b w:val="false"/>
                  <w:strike w:val="false"/>
                  <w:dstrike w:val="false"/>
                  <w:color w:val="0000FF"/>
                  <w:sz w:val="20"/>
                  <w:u w:val="none"/>
                  <w:effect w:val="none"/>
                </w:rPr>
                <w:t>Item 5.</w:t>
              </w:r>
            </w:hyperlink>
          </w:p>
        </w:tc>
        <w:tc>
          <w:tcPr>
            <w:tcW w:w="7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157">
              <w:r>
                <w:rPr>
                  <w:rStyle w:val="InternetLink"/>
                  <w:rFonts w:ascii="Times New Roman;serif" w:hAnsi="Times New Roman;serif"/>
                  <w:b w:val="false"/>
                  <w:color w:val="0000FF"/>
                  <w:sz w:val="20"/>
                  <w:u w:val="single"/>
                </w:rPr>
                <w:t>Other Information</w:t>
              </w:r>
            </w:hyperlink>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4265b2e93b451e8b4e7b8608206fef_157">
              <w:r>
                <w:rPr>
                  <w:rStyle w:val="InternetLink"/>
                  <w:rFonts w:ascii="Times New Roman;serif" w:hAnsi="Times New Roman;serif"/>
                  <w:b w:val="false"/>
                  <w:color w:val="0000FF"/>
                  <w:sz w:val="20"/>
                  <w:u w:val="single"/>
                </w:rPr>
                <w:t>44</w:t>
              </w:r>
            </w:hyperlink>
          </w:p>
        </w:tc>
      </w:tr>
      <w:tr>
        <w:trPr/>
        <w:tc>
          <w:tcPr>
            <w:tcW w:w="14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163">
              <w:r>
                <w:rPr>
                  <w:rStyle w:val="InternetLink"/>
                  <w:rFonts w:ascii="Times New Roman;serif" w:hAnsi="Times New Roman;serif"/>
                  <w:b w:val="false"/>
                  <w:strike w:val="false"/>
                  <w:dstrike w:val="false"/>
                  <w:color w:val="0000FF"/>
                  <w:sz w:val="20"/>
                  <w:u w:val="none"/>
                  <w:effect w:val="none"/>
                </w:rPr>
                <w:t>Item 6.</w:t>
              </w:r>
            </w:hyperlink>
          </w:p>
        </w:tc>
        <w:tc>
          <w:tcPr>
            <w:tcW w:w="7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163">
              <w:r>
                <w:rPr>
                  <w:rStyle w:val="InternetLink"/>
                  <w:rFonts w:ascii="Times New Roman;serif" w:hAnsi="Times New Roman;serif"/>
                  <w:b w:val="false"/>
                  <w:color w:val="0000FF"/>
                  <w:sz w:val="20"/>
                  <w:u w:val="single"/>
                </w:rPr>
                <w:t>Exhibits</w:t>
              </w:r>
            </w:hyperlink>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4265b2e93b451e8b4e7b8608206fef_163">
              <w:r>
                <w:rPr>
                  <w:rStyle w:val="InternetLink"/>
                  <w:rFonts w:ascii="Times New Roman;serif" w:hAnsi="Times New Roman;serif"/>
                  <w:b w:val="false"/>
                  <w:color w:val="0000FF"/>
                  <w:sz w:val="20"/>
                  <w:u w:val="single"/>
                </w:rPr>
                <w:t>44</w:t>
              </w:r>
            </w:hyperlink>
          </w:p>
        </w:tc>
      </w:tr>
      <w:tr>
        <w:trPr/>
        <w:tc>
          <w:tcPr>
            <w:tcW w:w="898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166">
              <w:r>
                <w:rPr>
                  <w:rStyle w:val="InternetLink"/>
                  <w:rFonts w:ascii="Times New Roman;serif" w:hAnsi="Times New Roman;serif"/>
                  <w:b w:val="false"/>
                  <w:color w:val="0000FF"/>
                  <w:sz w:val="20"/>
                  <w:u w:val="single"/>
                </w:rPr>
                <w:t>Index to Exhibits</w:t>
              </w:r>
            </w:hyperlink>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4265b2e93b451e8b4e7b8608206fef_166">
              <w:r>
                <w:rPr>
                  <w:rStyle w:val="InternetLink"/>
                  <w:rFonts w:ascii="Times New Roman;serif" w:hAnsi="Times New Roman;serif"/>
                  <w:b w:val="false"/>
                  <w:color w:val="0000FF"/>
                  <w:sz w:val="20"/>
                  <w:u w:val="single"/>
                </w:rPr>
                <w:t>45</w:t>
              </w:r>
            </w:hyperlink>
          </w:p>
        </w:tc>
      </w:tr>
      <w:tr>
        <w:trPr/>
        <w:tc>
          <w:tcPr>
            <w:tcW w:w="898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169">
              <w:r>
                <w:rPr>
                  <w:rStyle w:val="InternetLink"/>
                  <w:rFonts w:ascii="Times New Roman;serif" w:hAnsi="Times New Roman;serif"/>
                  <w:b w:val="false"/>
                  <w:color w:val="0000FF"/>
                  <w:sz w:val="20"/>
                  <w:u w:val="single"/>
                </w:rPr>
                <w:t>Signatures</w:t>
              </w:r>
            </w:hyperlink>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4265b2e93b451e8b4e7b8608206fef_169">
              <w:r>
                <w:rPr>
                  <w:rStyle w:val="InternetLink"/>
                  <w:rFonts w:ascii="Times New Roman;serif" w:hAnsi="Times New Roman;serif"/>
                  <w:b w:val="false"/>
                  <w:color w:val="0000FF"/>
                  <w:sz w:val="20"/>
                  <w:u w:val="single"/>
                </w:rPr>
                <w:t>46</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704265b2e93b451e8b4e7b8608206fef_7">
        <w:r>
          <w:rPr>
            <w:rStyle w:val="InternetLink"/>
            <w:rFonts w:ascii="Times New Roman;serif" w:hAnsi="Times New Roman;serif"/>
            <w:b w:val="false"/>
            <w:color w:val="FFFF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SCOTTS MIRACLE-GRO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934"/>
        <w:gridCol w:w="1453"/>
        <w:gridCol w:w="1446"/>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6"/>
      </w:tblGrid>
      <w:tr>
        <w:trPr/>
        <w:tc>
          <w:tcPr>
            <w:tcW w:w="1934"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48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2024</w:t>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3,138.0 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sales—impairment, restructuring and other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restructuring and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(income) loss of unconsolidated affiliates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per common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during the period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during the period plus dilutive potential common shares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704265b2e93b451e8b4e7b8608206fef_7">
        <w:r>
          <w:rPr>
            <w:rStyle w:val="InternetLink"/>
            <w:rFonts w:ascii="Times New Roman;serif" w:hAnsi="Times New Roman;serif"/>
            <w:b w:val="false"/>
            <w:color w:val="FFFFFF"/>
            <w:sz w:val="20"/>
            <w:u w:val="single"/>
          </w:rPr>
          <w:t>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SCOTTS MIRACLE-GRO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829"/>
        <w:gridCol w:w="1577"/>
        <w:gridCol w:w="1591"/>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156"/>
      </w:tblGrid>
      <w:tr>
        <w:trPr/>
        <w:tc>
          <w:tcPr>
            <w:tcW w:w="1829"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499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foreign currency translation adjustment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 (loss) on derivative instruments, net of tax</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net unrealized gain on derivative instruments to net income, net of tax</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 (loss) on securities, net of tax</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other post-retirement benefit adjustments, net of tax</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704265b2e93b451e8b4e7b8608206fef_7">
        <w:r>
          <w:rPr>
            <w:rStyle w:val="InternetLink"/>
            <w:rFonts w:ascii="Times New Roman;serif" w:hAnsi="Times New Roman;serif"/>
            <w:b w:val="false"/>
            <w:color w:val="FFFFFF"/>
            <w:sz w:val="20"/>
            <w:u w:val="single"/>
          </w:rPr>
          <w:t>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SCOTTS MIRACLE-GRO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963" w:type="dxa"/>
        <w:jc w:val="center"/>
        <w:tblInd w:w="0" w:type="dxa"/>
        <w:tblLayout w:type="fixed"/>
        <w:tblCellMar>
          <w:top w:w="28" w:type="dxa"/>
          <w:left w:w="28" w:type="dxa"/>
          <w:bottom w:w="28" w:type="dxa"/>
          <w:right w:w="28" w:type="dxa"/>
        </w:tblCellMar>
      </w:tblPr>
      <w:tblGrid>
        <w:gridCol w:w="2435"/>
        <w:gridCol w:w="2139"/>
        <w:gridCol w:w="2145"/>
        <w:gridCol w:w="211"/>
        <w:gridCol w:w="616"/>
        <w:gridCol w:w="109"/>
        <w:gridCol w:w="109"/>
        <w:gridCol w:w="109"/>
        <w:gridCol w:w="109"/>
        <w:gridCol w:w="211"/>
        <w:gridCol w:w="616"/>
        <w:gridCol w:w="154"/>
      </w:tblGrid>
      <w:tr>
        <w:trPr/>
        <w:tc>
          <w:tcPr>
            <w:tcW w:w="2435"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2024</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restructuring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(income) loss of unconsolidated 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 of acquisitions: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items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property, plant and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affiliates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revolving and bank lines of credit and term loans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under revolving and bank lines of credit and term loans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Common Shares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received from exercise of stock options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704265b2e93b451e8b4e7b8608206fef_7">
        <w:r>
          <w:rPr>
            <w:rStyle w:val="InternetLink"/>
            <w:rFonts w:ascii="Times New Roman;serif" w:hAnsi="Times New Roman;serif"/>
            <w:b w:val="false"/>
            <w:color w:val="FFFFFF"/>
            <w:sz w:val="20"/>
            <w:u w:val="single"/>
          </w:rPr>
          <w:t>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SCOTTS MIRACLE-GRO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millions, except per share data)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378"/>
        <w:gridCol w:w="1941"/>
        <w:gridCol w:w="1898"/>
        <w:gridCol w:w="211"/>
        <w:gridCol w:w="766"/>
        <w:gridCol w:w="109"/>
        <w:gridCol w:w="109"/>
        <w:gridCol w:w="109"/>
        <w:gridCol w:w="109"/>
        <w:gridCol w:w="211"/>
        <w:gridCol w:w="766"/>
        <w:gridCol w:w="109"/>
        <w:gridCol w:w="109"/>
        <w:gridCol w:w="109"/>
        <w:gridCol w:w="109"/>
        <w:gridCol w:w="216"/>
        <w:gridCol w:w="786"/>
        <w:gridCol w:w="160"/>
      </w:tblGrid>
      <w:tr>
        <w:trPr/>
        <w:tc>
          <w:tcPr>
            <w:tcW w:w="2378"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2024</w:t>
            </w:r>
          </w:p>
        </w:tc>
      </w:tr>
      <w:tr>
        <w:trPr/>
        <w:tc>
          <w:tcPr>
            <w:tcW w:w="10205"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less allowances of $17.8, $12.7 and $9.6, respectively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unconsolidated affiliates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 of accumulated depreciation of $842.4, $805.6 and $805.4, respectively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EQUITY (DEFICIT)</w:t>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621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10)</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(deficit):</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shares and capital in excess of $0.01 stated value per share; shares outstanding of 57.7, 56.8 and 57.1, respectively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shares, at cost; 10.4, 11.4 and 11.0 shares, respectively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621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(deficit)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(390.6)</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 (deficit)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2,871.9 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tbl>
      <w:tblPr>
        <w:tblW w:w="8698" w:type="dxa"/>
        <w:jc w:val="left"/>
        <w:tblInd w:w="0" w:type="dxa"/>
        <w:tblLayout w:type="fixed"/>
        <w:tblCellMar>
          <w:top w:w="28" w:type="dxa"/>
          <w:left w:w="28" w:type="dxa"/>
          <w:bottom w:w="28" w:type="dxa"/>
          <w:right w:w="28" w:type="dxa"/>
        </w:tblCellMar>
      </w:tblPr>
      <w:tblGrid>
        <w:gridCol w:w="310"/>
        <w:gridCol w:w="272"/>
        <w:gridCol w:w="274"/>
        <w:gridCol w:w="2488"/>
        <w:gridCol w:w="2488"/>
        <w:gridCol w:w="249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2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7">
              <w:r>
                <w:rPr>
                  <w:rStyle w:val="InternetLink"/>
                  <w:rFonts w:ascii="Times New Roman;serif" w:hAnsi="Times New Roman;serif"/>
                  <w:b w:val="false"/>
                  <w:color w:val="FFFFFF"/>
                  <w:sz w:val="20"/>
                  <w:u w:val="single"/>
                </w:rPr>
                <w:t>Contents</w:t>
              </w:r>
            </w:hyperlink>
          </w:p>
        </w:tc>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NOTES TO CONDENSED CONSOLIDATED FINANCIAL STATEMENTS (UNAUDITED)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 SUMMARY OF SIGNIFICANT ACCOUNTING POLICIES</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Nature of Operations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Scotts Miracle-Gro Company (“Scotts Miracle-Gro”) and its subsidiaries (collectively, with Scotts Miracle-Gro, the “Company”) are engaged in the manufacturing, marketing and sale of products for lawn and garden care and indoor and hydroponic gardening. The Company’s products are sold in North America, Europe and Asia. The Company’s North America consumer lawn and garden business is highly seasonal, with more than 75% of its annual net sales occurring in the second and third fiscal quarters.</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Organization and Basis of Presentation</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unaudited condensed consolidated financial statements for the three and nine months ended June 28, 2025 and June 29, 2024 are presented in accordance with accounting principles generally accepted in the United States of America (“GAAP”). The condensed consolidated financial statements include the accounts of Scotts Miracle-Gro and its consolidated subsidiaries. All intercompany transactions and accounts have been eliminated in consolidation. The Company consolidates all majority-owned subsidiaries and variable interest entities where the Company has been determined to be the primary beneficiary. The results of businesses acquired or disposed of are included in the condensed consolidated financial statements from the date of each acquisition or up to the date of disposal, respectively. In the opinion of management, interim results reflect all normal and recurring adjustments and are not necessarily indicative of results for a full year.</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14, 2025, the Company sold all of the issued and outstanding shares of capital stock of its formerly wholly-owned subsidiary The Hawthorne Collective, Inc. (“THC”) to Bad Dog Holdings LLC (“BDH”) in exchange for a promissory note with a principal amount of $39.0. BDH is a newly formed legal entity owned and controlled by a strategic partner of the Company that is intended to hold and manage the investments held by THC. THC was created during fiscal 2021 as a vehicle to invest in areas of the cannabis industry that are not pursued by the Company’s Hawthorne segment. At the time of the sale, THC held non-voting exchangeable shares of Fluent Corp. (formerly Cansortium Inc.) (“Fluent”) (CSE: FNT.U) (OTCQB: CNTMF), a vertically-integrated, multi-state cannabis company, and other minority non-equity investments with a total book value of $39.0. BDH granted the Company a call option that enables the Company to reacquire all of the issued and outstanding shares of capital stock of THC in exchange for canceling the principal amount of the promissory note and making an additional payment to BDH equal to 5% of any appreciation in the fair value of THC. The Company may exercise the call option in its sole and absolute discretion, until the earlier of (i) March 14, 2035 and (ii) the date of the consummation of a merger, change in control or consolidation of BDH or a sale, lease, transfer, exclusive license or other disposition of all or substantially all of the assets of BDH. The Company also granted BDH a put option providing BDH with the right to cause the Company to reacquire all the issued and outstanding shares of capital stock of THC in exchange for canceling the principal amount of the promissory note. The Company has determined that it has a variable interest in BDH and that BDH is a variable interest entity. Additionally, based on its assessment of the characteristics of its variable interest in BDH, including the involvement of its de facto agents, the Company has determined it is the primary beneficiary of BDH and, as a result, is required to consolidate BDH in its condensed consolidated financial statements. As of June 28, 2025, BDH had assets of $8.8 and $27.5 recorded in the “Investment in unconsolidated affiliates” and “Other assets” lines in the Condensed Consolidated Balance Sheets, respectively, and total liabilities of $39.0 associated with the promissory note due to the Company, which is eliminated in consolidation.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Certain information and footnote disclosures normally included in financial statements prepared in accordance with GAAP have been omitted or condensed pursuant to the rules and regulations of the Securities and Exchange Commission (“SEC”). Accordingly, this Quarterly Report on Form 10-Q for the fiscal quarter ended June 28, 2025 (this “Form 10-Q”) should be read in conjunction with Scotts Miracle-Gro’s Annual Report on Form 10-K for the fiscal year ended September 30, 2024 (the “2024 Annual Report”), which includes a complete set of footnote disclosures, including the Company’s significant accounting policies.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Condensed Consolidated Balance Sheet at September 30, 2024 has been derived from the Company’s audited Consolidated Balance Sheet at that date, but does not include all of the information and footnotes required by GAAP for complete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Accounts Receivable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27, 2023, the Company entered into the Master Receivables Purchase Agreement, under which the Company could sell up to $600.0 of available and eligible outstanding customer accounts receivable generated by sales to four specified customers. On September 1, 2024, the Company amended the Master Receivables Purchase Agreement to permit the Company to sell up to $750.0 of available and eligible outstanding customer accounts receivable generated by sales to five specified customers. The agreement is uncommitted and expires on September 1, 2025. The receivable sales are non-recourse to the Company, other than with respect to (i) repurchase obligations and indemnification obligations for any violations by the Company of its respective representations or obligations as seller or servicer and (ii) certain repurchase and payment obligations arising from any dilution of, or dispute with respect to, any purchased receivables that arise after the sale of such purchased receivables to the purchaser not contemplated in the applicable purchase price of such purchased receivable. The recourse obligations of the Company that may arise from time to time are supported by standby letters of credit of $75.0. Transactions under the Master Receivables Purchase Agreement are accounted for as sales of accounts receivable, and the receivables sold are removed from the Condensed Consolidated Balance Sheets at the time of the sales transaction. Proceeds received from the sales of accounts receivable are classified as operating cash flows and collections of previously sold accounts receivable not yet submitted to the buyer are classified as financing cash flows in the Condensed Consolidated Statements of Cash Flows. The Company records the discount on sales in the “Other expense, net” line in the Condensed Consolidated Statements of Operations. At June 28, 2025, June 29, 2024 and September 30, 2024, net receivables derecognized were $418.8, $477.3 and $186.6, respectively. During the three months ended June 28, 2025 and June 29, 2024, proceeds from the sale of receivables under the Master Receivables Purchase Agreement totaled $686.7 and $724.5, respectively, and the total discount recorded on sales was $7.3 and $8.7, respectively. During the nine months ended June 28, 2025 and June 29, 2024, proceeds from the sale of receivables under the Master Receivables Purchase Agreement totaled $1,708.9 and $1,680.0, respectively, and the total discount recorded on sales was $18.5 and $21.6, respectively. </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Supplier Finance Program</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has an agreement to provide a supplier finance program which facilitates participating suppliers’ ability to finance payment obligations of the Company with a designated third-party financial institution. Participating suppliers may, at their sole discretion, elect to finance payment obligations of the Company prior to their scheduled due dates at a discounted price to the participating financial institution. The Company’s obligations to its suppliers, including amounts due and scheduled payment dates, are not impacted by suppliers’ decisions to finance amounts under this arrangement. The payment terms that the Company negotiates with its suppliers are consistent, regardless of whether a supplier participates in the program. The Company’s current payment terms with a majority of its suppliers generally range from 30 to 60 days, which the Company deems to be commercially reasonable. The Company’s outstanding payment obligations under its supplier finance program were $19.2, $22.8 and $12.5 at June 28, 2025, June 29, 2024 and September 30, 2024, respectively, and are recorded within accounts payable in the Condensed Consolidated Balance Sheets. The associated payments were $212.0 and $218.6 for the nine months ended June 28, 2025 and June 29, 2024, respectively, and are classified as operating activities in the Condensed Consolidated Statements of Cash Flows.</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Long-Lived Assets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had non-cash investing activities of $8.4 and $4.5 during the nine months ended June 28, 2025 and June 29, 2024, respectively, representing unpaid liabilities to acquire property, plant and equipment.</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Statements of Cash Flows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Supplemental cash flow information was as follows: </w:t>
      </w:r>
    </w:p>
    <w:tbl>
      <w:tblPr>
        <w:tblW w:w="4179" w:type="dxa"/>
        <w:jc w:val="left"/>
        <w:tblInd w:w="0" w:type="dxa"/>
        <w:tblLayout w:type="fixed"/>
        <w:tblCellMar>
          <w:top w:w="28" w:type="dxa"/>
          <w:left w:w="28" w:type="dxa"/>
          <w:bottom w:w="28" w:type="dxa"/>
          <w:right w:w="28" w:type="dxa"/>
        </w:tblCellMar>
      </w:tblPr>
      <w:tblGrid>
        <w:gridCol w:w="701"/>
        <w:gridCol w:w="614"/>
        <w:gridCol w:w="620"/>
        <w:gridCol w:w="211"/>
        <w:gridCol w:w="616"/>
        <w:gridCol w:w="109"/>
        <w:gridCol w:w="109"/>
        <w:gridCol w:w="109"/>
        <w:gridCol w:w="109"/>
        <w:gridCol w:w="211"/>
        <w:gridCol w:w="616"/>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2024</w:t>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308" w:type="dxa"/>
            <w:gridSpan w:val="6"/>
            <w:tcBorders/>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June 29, 2024, the Company acquired an additional equity interest in Bonnie Plants, LLC for $21.4, which was classified as an investing activity in the Condensed Consolidated Statements of Cash Flows.</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Recently Issued Accounting Pronouncements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November 2023, the Financial Accounting Standards Board (“FASB”) issued Accounting Standards Update (“ASU”) No. 2023-07, “Segment Reporting (Topic 280): Improvements to Reportable Segment Disclosures.” This ASU requires enhanced disclosures about significant segment expenses regularly provided to the chief operating decision maker that are included within each reported measure of segment profit or loss, and also requires all annual disclosures currently required by Topic 280 to be included in interim periods. ASU No. 2023-07 is to be applied retrospectively for all periods presented in the financial statements and is effective for the Company’s fiscal year beginning October 1, 2024, and for interim periods within the Company’s fiscal year beginning October 1, 2025, with early adoption permitted. The Company is currently evaluating the impact that the adoption of this guidance will have on the Company’s disclosures.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ASU No. 2023-09, “Income Taxes (Topic 740): Improvements to Income Tax Disclosures.” This ASU primarily requires enhanced disclosures and disaggregation of income tax information by jurisdiction in the annual income tax reconciliation and quantitative and qualitative disclosures regarding income taxes paid. ASU No. 2023-09 is to be applied prospectively, with the option to apply the standard retrospectively, effective for fiscal years beginning after December 15, 2024. The Company is currently evaluating the impact that the adoption of this guidance will have on the Company’s disclosures.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2024, the FASB issued ASU No. 2024-03, “Income Statement — Reporting Comprehensive Income — Expense Disaggregation Disclosures (Subtopic 220-40): Disaggregation of Income Statement Expenses.” This ASU requires disaggregated disclosures on an annual and interim basis, in the notes to the financial statements, of certain categories of expenses that are included in expense line items on the face of the statement of operations. ASU No. 2024-03 is to be applied prospectively, with the option to apply the standard retrospectively, effective for fiscal years beginning after December 15, 2026, and interim periods within fiscal years beginning after December 15, 2027. The Company is currently evaluating the impact that the adoption of this guidance will have on the Company’s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2. INVESTMENT IN UNCONSOLIDATED AFFILIATES</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Bonnie Plants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holds a 50% equity interest in Bonnie Plants, LLC, a joint venture with Alabama Farmers Cooperative, Inc. (“AFC”) focused on planting, growing, developing, distributing, marketing and selling live plants. During the three months ended December 31, 2022, the Company and AFC amended the joint venture agreement to allow AFC to make an additional equity contribution to Bonnie Plants, LLC, and, as a result of this contribution by AFC, the Company’s equity interest in Bonnie Plants, LLC was reduced to 45%. On November 7, 2023, the Company purchased an additional 5% equity interest in Bonnie Plants, LLC from AFC for $21.4, which restored its total equity interest back to 50%. The Company’s interest is accounted for using the equity method of accounting, with the Company’s proportionate share of Bonnie Plants, LLC earnings reflected in the Condensed Consolidated Statements of Operations.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and nine months ended June 28, 2025, the Company recorded equity in (income) loss of unconsolidated affiliates associated with Bonnie Plants, LLC of $(27.2) and $(11.4), respectively, compared to $(23.0) and $6.5 during the three and nine months ended June 29, 2024, respectively. The Company recorded a pre-tax impairment charge of $0.0 and $10.4 during the three and nine months ended June 29, 2024, respectively, associated with its investment in Bonnie Plants, LLC in the “Equity in (income) loss of unconsolidated affiliates” line in the Condensed Consolidated Statements of Operations. </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Fluent</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December 19, 2024, Fluent acquired all of the issued and outstanding common shares of RIV Capital Inc. (“RIV Capital”) in exchange for Fluent shares (the “Transaction”). In connection with the Transaction, Fluent and THC entered into an exchange and protection agreement on December 18, 2024, pursuant to which THC exchanged its existing convertible debt investment in RIV Capital for 153.1 million non-voting exchangeable shares of Fluent. On July 18, 2025, THC, which was acquired by BDH in March 2025, converted its non-voting exchangeable shares into 153.1 million common shares of Fluent, which represents approximately 25% of Fluent’s total outstanding common shares. THC and Fluent are also parties to an investor rights agreement which allows THC to nominate up to two members to the Fluent board of directors, and provides THC with certain participation rights in order to maintain its pro rata investment position in Fluent in connection with any offering of Fluent shares.</w:t>
      </w:r>
    </w:p>
    <w:p>
      <w:pPr>
        <w:pStyle w:val="TextBody"/>
        <w:bidi w:val="0"/>
        <w:spacing w:before="160" w:after="283"/>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THC’s convertible debt investment in RIV Capital, which was previously recorded in the “Other assets” line in the Condensed Consolidated Balance Sheets, had a carrying value of $17.7 on December 18, 2024. The exchange of the RIV Capital convertible debt investment for non-voting exchangeable shares of Fluent, a non-cash investing and financing activity, resulted in a loss of $7.0 that was recorded in the “Impairment, restructuring and other” line in the Condensed Consolidated Statements of Operations during the three months ended December 28, 2024.</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THC’s interest in Fluent had an initial fair value of $10.7 and is recorded in the “Investment in unconsolidated affiliates” line in the Condensed Consolidated Balance Sheets. The estimated fair value of the non-voting exchangeable shares of Fluent was determined based upon the quoted market price of Fluent common shares as of the date of the exchange and represents a Level 2 nonrecurring fair value measurement. This investment is accounted for using the equity method of accounting, with THC’s proportionate share of Fluent earnings subsequent to December 18, 2024 reflected in the Condensed Consolidated Statements of Operations on a one quarter lag. During the three and nine months ended June 28, 2025, the Company recorded equity in (income) loss of unconsolidated affiliates associated with Fluent of $1.9.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Refer to “NOTE 1. SUMMARY OF SIGNIFICANT ACCOUNTING POLICIES” for further details related to the Company’s sale of THC to BDH on March 14, 2025. BDH is a variable interest entity that is consolidated by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3. IMPAIRMENT, RESTRUCTURING AND OTHER</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Activity described herein is classified within the “Cost of sales—impairment, restructuring and other” and “Impairment, restructuring and other” lines in the Condensed Consolidated Statements of Operations. The following table details impairment, restructuring and other charges (recoveries) for each of the periods presented:</w:t>
      </w:r>
    </w:p>
    <w:tbl>
      <w:tblPr>
        <w:tblW w:w="9674" w:type="dxa"/>
        <w:jc w:val="left"/>
        <w:tblInd w:w="0" w:type="dxa"/>
        <w:tblLayout w:type="fixed"/>
        <w:tblCellMar>
          <w:top w:w="28" w:type="dxa"/>
          <w:left w:w="28" w:type="dxa"/>
          <w:bottom w:w="28" w:type="dxa"/>
          <w:right w:w="28" w:type="dxa"/>
        </w:tblCellMar>
      </w:tblPr>
      <w:tblGrid>
        <w:gridCol w:w="1978"/>
        <w:gridCol w:w="1738"/>
        <w:gridCol w:w="1743"/>
        <w:gridCol w:w="211"/>
        <w:gridCol w:w="406"/>
        <w:gridCol w:w="109"/>
        <w:gridCol w:w="109"/>
        <w:gridCol w:w="109"/>
        <w:gridCol w:w="109"/>
        <w:gridCol w:w="211"/>
        <w:gridCol w:w="481"/>
        <w:gridCol w:w="109"/>
        <w:gridCol w:w="109"/>
        <w:gridCol w:w="109"/>
        <w:gridCol w:w="109"/>
        <w:gridCol w:w="211"/>
        <w:gridCol w:w="511"/>
        <w:gridCol w:w="109"/>
        <w:gridCol w:w="109"/>
        <w:gridCol w:w="109"/>
        <w:gridCol w:w="109"/>
        <w:gridCol w:w="211"/>
        <w:gridCol w:w="511"/>
        <w:gridCol w:w="154"/>
      </w:tblGrid>
      <w:tr>
        <w:trPr/>
        <w:tc>
          <w:tcPr>
            <w:tcW w:w="1978"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2024</w:t>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489" w:type="dxa"/>
            <w:gridSpan w:val="18"/>
            <w:tcBorders/>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sales—impairment, restructuring and other:</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 (recoveries),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 impairments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impairments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expenses—impairment, restructuring and other:</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 (recoveries), net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exchange of convertible debt investment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impairment, restructuring and other charges (recoveries),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related to liabilities associated with restructuring activities during the nine months ended June 28, 2025:</w:t>
      </w:r>
    </w:p>
    <w:tbl>
      <w:tblPr>
        <w:tblW w:w="4266" w:type="dxa"/>
        <w:jc w:val="left"/>
        <w:tblInd w:w="0" w:type="dxa"/>
        <w:tblLayout w:type="fixed"/>
        <w:tblCellMar>
          <w:top w:w="28" w:type="dxa"/>
          <w:left w:w="28" w:type="dxa"/>
          <w:bottom w:w="28" w:type="dxa"/>
          <w:right w:w="28" w:type="dxa"/>
        </w:tblCellMar>
      </w:tblPr>
      <w:tblGrid>
        <w:gridCol w:w="1226"/>
        <w:gridCol w:w="1080"/>
        <w:gridCol w:w="1084"/>
        <w:gridCol w:w="211"/>
        <w:gridCol w:w="511"/>
        <w:gridCol w:w="154"/>
      </w:tblGrid>
      <w:tr>
        <w:trPr/>
        <w:tc>
          <w:tcPr>
            <w:tcW w:w="122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accrued at September 30,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accrued at June 28,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28, 2025, restructuring accruals include $4.1 that is classified as long-term.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June 28, 2025, the Company incurred employee and executive severance charges of $2.6 and $6.2, respectively, in the “Cost of sales—impairment, restructuring and other” line in the Condensed Consolidated Statements of Operations and $1.4 and $16.2, respectively, in the “Impairment, restructuring and other” line in the Condensed Consolidated Statements of Operations. The Company incurred charges of $2.0 and $5.0 in its U.S. Consumer segment and $0.6 and $1.2 in its Hawthorne segment in the “Cost of sales—impairment, restructuring and other” line in the Condensed Consolidated Statements of Operations during the three and nine months ended June 28, 2025, respectively. The Company incurred charges of $1.9 in its U.S. Consumer segment, $2.7 in its Hawthorne segment and $11.6 at Corporate in the “Impairment, restructuring and other” line in the Condensed Consolidated Statements of Operations during the nine months ended June 28,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June 28, 2025, the Company incurred a non-cash loss of $0.0 and $7.0, respectively, in the “Impairment, restructuring and other” line in the Condensed Consolidated Statements of Operations related to the exchange of its convertible debt investment in RIV Capital for non-voting exchangeable shares of Fluent. Refer to “NOTE 2. INVESTMENT IN UNCONSOLIDATED AFFILIATES” for further details.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fiscal 2022, the Company began implementing a series of Company-wide organizational changes and initiatives intended to create operational and management-level efficiencies. As part of this restructuring initiative, the Company reduced the size of its supply chain network, reduced staffing levels and implemented other cost-reduction initiatives. The Company also accelerated the reduction of certain Hawthorne inventory, primarily lighting, growing environments and hardware products, to reduce on hand inventory to align with the reduced network capacity. During the three months ended June 28, 2025, the Company incurred costs associated with this restructuring initiative that were not material. During the nine months ended June 28, 2025, the Company incurred costs of $3.6 in its U.S. Consumer segment and $6.3 in its Hawthorne segment associated with this restructuring initiative in the “Cost of sales—impairment, restructuring and other” line in the Condensed Consolidated Statements of Operations. During the three months ended June 29, 2024, the Company recorded net recoveries associated with this restructuring initiative that were not material. During the nine months ended June 29, 2024, the Company incurred costs of $69.7 associated with this restructuring initiative primarily related to inventory write-down charges, employee termination benefits, facility closure costs and impairment of right-of-use assets and property, plant and equipment. The Company incurred costs of $3.7 in its U.S. Consumer segment and $62.9 in its Hawthorne segment in the “Cost of sales—impairment, restructuring and other” line in the Condensed Consolidated Statements of Operations during the nine months ended June 29, 2024. The Company recorded recoveries of $1.2 in its U.S. Consumer segment, and incurred costs of $1.0 in its Hawthorne segment, $0.8 in its Other segment and $2.4 at Corporate in the “Impairment, restructuring and other” line in the Condensed Consolidated Statements of Operations during the nine months ended June 29, 2024. Costs incurred since the inception of this restructuring initiative through June 28, 2025 were $303.5 for the Hawthorne segment, $62.0 for the U.S. Consumer segment, $2.9 for the Other segment and $25.1 for Corporate.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June 29, 2024, the Company recorded a gain of $0.0 and $12.1, respectively, in the “Impairment, restructuring and other” line in the Condensed Consolidated Statements of Operations associated with a payment received in resolution of a dispute with the former ownership group of a business that was acquired in fiscal 2022. This payment was classified as an operating activity in the Condensed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4. INVENTORIES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Inventories consisted of the following for each of the periods presented:</w:t>
      </w:r>
    </w:p>
    <w:tbl>
      <w:tblPr>
        <w:tblW w:w="5571" w:type="dxa"/>
        <w:jc w:val="left"/>
        <w:tblInd w:w="0" w:type="dxa"/>
        <w:tblLayout w:type="fixed"/>
        <w:tblCellMar>
          <w:top w:w="28" w:type="dxa"/>
          <w:left w:w="28" w:type="dxa"/>
          <w:bottom w:w="28" w:type="dxa"/>
          <w:right w:w="28" w:type="dxa"/>
        </w:tblCellMar>
      </w:tblPr>
      <w:tblGrid>
        <w:gridCol w:w="714"/>
        <w:gridCol w:w="571"/>
        <w:gridCol w:w="575"/>
        <w:gridCol w:w="211"/>
        <w:gridCol w:w="616"/>
        <w:gridCol w:w="109"/>
        <w:gridCol w:w="109"/>
        <w:gridCol w:w="109"/>
        <w:gridCol w:w="109"/>
        <w:gridCol w:w="211"/>
        <w:gridCol w:w="616"/>
        <w:gridCol w:w="109"/>
        <w:gridCol w:w="109"/>
        <w:gridCol w:w="109"/>
        <w:gridCol w:w="109"/>
        <w:gridCol w:w="255"/>
        <w:gridCol w:w="744"/>
        <w:gridCol w:w="186"/>
      </w:tblGrid>
      <w:tr>
        <w:trPr/>
        <w:tc>
          <w:tcPr>
            <w:tcW w:w="71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2024</w:t>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775" w:type="dxa"/>
            <w:gridSpan w:val="12"/>
            <w:tcBorders/>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587.5 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5. MARKETING AGREEMENT</w:t>
      </w:r>
    </w:p>
    <w:p>
      <w:pPr>
        <w:pStyle w:val="TextBody"/>
        <w:bidi w:val="0"/>
        <w:spacing w:lineRule="auto" w:line="288" w:before="160" w:after="283"/>
        <w:ind w:left="0" w:right="0" w:firstLine="450"/>
        <w:jc w:val="both"/>
        <w:rPr/>
      </w:pPr>
      <w:r>
        <w:rPr>
          <w:rFonts w:ascii="Times New Roman;serif" w:hAnsi="Times New Roman;serif"/>
          <w:b w:val="false"/>
          <w:color w:val="000000"/>
          <w:sz w:val="20"/>
        </w:rPr>
        <w:t>The Scotts Company LLC (“Scotts LLC”) is the exclusive agent of Monsanto Company, a subsidiary of Bayer AG (“Monsanto”), for the marketing and distribution of certain of Monsanto’s consumer 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branded products in the United States and certain other specified countries. The annual commission payable under the Third Amended and Restated Exclusive Agency and Marketing Agreement (the “Third Restated Agreement”) is equal to 50% of the actual earnings before interest and income taxes of Monsanto’s consumer 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business for each program year in the markets covered by the Third Restated Agreement (“Program EBIT”). The Third Restated Agreement also requires the Company to make annual payments of $18.0 to Monsanto as a contribution against the overall expenses of its consumer 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business, subject to reduction pursuant to the Third Restated Agreement for any program year in which the Program EBIT does not equal or exceed $36.0.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Unless Monsanto terminates the Third Restated Agreement due to an event of default by the Company, termination rights under the Third Restated Agreement include the following:</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The Company may terminate the Third Restated Agreement upon the insolvency or bankruptcy of Monsanto;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Monsanto may terminate the Third Restated Agreement in the event that Monsanto decides to decommission the permits, licenses and registrations needed for, and the trademarks, trade names, packages, copyrights and designs used in, the sale of the 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products in the lawn and garden market (a “Brand Decommissioning Termination”);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Each party may terminate the Third Restated Agreement if Program EBIT falls below $50.0 and, in such case, no termination fee would be payable to either party.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termination fee structure requires Monsanto to pay a termination fee to the Company in an amount equal to (i) $375.0 upon a Brand Decommissioning Termination, and (ii) the greater of $175.0 or four times an amount equal to the average of the Program EBIT for the three program years before the year of termination, minus $186.4, if Monsanto or its successor terminates the Third Restated Agreement as a result of a Roundup Sale or Change of Control of Monsanto (each, as defined in the Third Restated Agreement).</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elements of the net commission and reimbursements earned under the Third Restated Agreement and included in the “Net sales” line in the Condensed Consolidated Statements of Operations are as follows:</w:t>
      </w:r>
    </w:p>
    <w:tbl>
      <w:tblPr>
        <w:tblW w:w="10005" w:type="dxa"/>
        <w:jc w:val="left"/>
        <w:tblInd w:w="0" w:type="dxa"/>
        <w:tblLayout w:type="fixed"/>
        <w:tblCellMar>
          <w:top w:w="28" w:type="dxa"/>
          <w:left w:w="28" w:type="dxa"/>
          <w:bottom w:w="28" w:type="dxa"/>
          <w:right w:w="28" w:type="dxa"/>
        </w:tblCellMar>
      </w:tblPr>
      <w:tblGrid>
        <w:gridCol w:w="1973"/>
        <w:gridCol w:w="1732"/>
        <w:gridCol w:w="1740"/>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54"/>
      </w:tblGrid>
      <w:tr>
        <w:trPr/>
        <w:tc>
          <w:tcPr>
            <w:tcW w:w="1973"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54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2024</w:t>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729" w:type="dxa"/>
            <w:gridSpan w:val="18"/>
            <w:tcBorders/>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commission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expenses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commission</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Reimbursements associated with 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marketing agreement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net sales associated with 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marketing agreement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6. DEBT</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components of debt are as follows:</w:t>
      </w:r>
    </w:p>
    <w:tbl>
      <w:tblPr>
        <w:tblW w:w="7146" w:type="dxa"/>
        <w:jc w:val="left"/>
        <w:tblInd w:w="0" w:type="dxa"/>
        <w:tblLayout w:type="fixed"/>
        <w:tblCellMar>
          <w:top w:w="28" w:type="dxa"/>
          <w:left w:w="28" w:type="dxa"/>
          <w:bottom w:w="28" w:type="dxa"/>
          <w:right w:w="28" w:type="dxa"/>
        </w:tblCellMar>
      </w:tblPr>
      <w:tblGrid>
        <w:gridCol w:w="1134"/>
        <w:gridCol w:w="997"/>
        <w:gridCol w:w="1004"/>
        <w:gridCol w:w="211"/>
        <w:gridCol w:w="766"/>
        <w:gridCol w:w="109"/>
        <w:gridCol w:w="109"/>
        <w:gridCol w:w="109"/>
        <w:gridCol w:w="109"/>
        <w:gridCol w:w="211"/>
        <w:gridCol w:w="766"/>
        <w:gridCol w:w="109"/>
        <w:gridCol w:w="109"/>
        <w:gridCol w:w="109"/>
        <w:gridCol w:w="109"/>
        <w:gridCol w:w="221"/>
        <w:gridCol w:w="803"/>
        <w:gridCol w:w="161"/>
      </w:tblGrid>
      <w:tr>
        <w:trPr/>
        <w:tc>
          <w:tcPr>
            <w:tcW w:w="113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2024</w:t>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2925" w:type="dxa"/>
            <w:gridSpan w:val="12"/>
            <w:tcBorders/>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Facilities: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Notes due 2031 – 4.000%</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Notes due 2032 – 4.375%</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Notes due 2029 – 4.500%</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Notes due 2026 – 5.250%</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Credit Facilities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April 8, 2022, the Company entered into a sixth amended and restated credit agreement (the “Sixth A&amp;R Credit Agreement”), providing the Company and certain of its subsidiaries with five-year senior secured loan facilities in the aggregate principal amount of $2,500.0, comprised of a revolving credit facility of $1,500.0 and a term loan in the original principal amount of $1,000.0 (the “Sixth A&amp;R Credit Facilities”). The Sixth A&amp;R Credit Agreement will terminate on April 8, 2027. The Sixth A&amp;R Credit Facilities are available for the issuance of letters of credit of up to $100.0. The terms of the Sixth A&amp;R Credit Agreement include customary representations and warranties, affirmative and negative covenants, financial covenants, and events of default.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terms of the Sixth A&amp;R Credit Agreement, loans bear interest, at the Company’s election, at a rate per annum equal to either (i) the Alternate Base Rate plus the Applicable Spread (all, as defined in the Sixth A&amp;R Credit Agreement) or (ii) the Adjusted Term SOFR Rate for the Interest Period in effect for such borrowing plus the Applicable Spread (all as defined in the Sixth A&amp;R Credit Agreement). Swingline Loans bear interest at the applicable Swingline Rate set forth in the Sixth A&amp;R Credit Agreement. Interest rates for other select non-U.S. dollar borrowings, including borrowings denominated in euro, Pounds Sterling and Canadian dollars, are based on separate interest rate indices, as set forth in the Sixth A&amp;R Credit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June 8, 2022, the Company entered into Amendment No. 1 to the Sixth A&amp;R Credit Agreement (“Amendment No. 1”). Amendment No. 1 increased the maximum permitted leverage ratio for the quarterly leverage covenant until April 1, 2024. Amendment No. 1 also increased the interest rate applicable to borrowings under the revolving credit facility by 35 bps and the term loan facility by 50 bps, and increased the annual facility fee rate on the revolving credit facility by 15 bps, in each case, when the Company’s quarterly-tested leverage ratio exceeded 4.75.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July 31, 2023, the Company entered into Amendment No. 2 to the Sixth A&amp;R Credit Agreement (“Amendment No. 2”). Amendment No. 2 (i) reduces the revolving loan commitments by $250.0; (ii) increases the maximum permitted leverage ratio for the quarterly leverage covenant until the earlier of (a) October 1, 2025 and (b) subject to certain conditions specified in Amendment No. 2, the termination by the Company of such adjustment (such period, the “Leverage Adjustment Period”); (iii) replaces the interest coverage covenant with a fixed charge coverage covenant; (iv) increases the interest rate applicable to borrowings under the revolving credit facility and the term loan facility by 25 bps for each existing pricing tier and adds a pricing tier applicable to periods when the leverage ratio exceeds 6.00; (v) limits the amount of certain incremental investments, loans and advances to $25.0 during the Leverage Adjustment Period; and (vi) adds the Company’s intellectual property (subject to certain exceptions) as collateral to secure its obligations under the Sixth A&amp;R Credit Agreement. Additionally, Amendment No. 2 limits the Company’s ability to declare or pay any discretionary dividends, distributions or other restricted payments during the Leverage Adjustment Period to only the payment of (i) regularly scheduled cash dividends to holders of its Common Shares in an aggregate amount not to exceed $225.0 per fiscal year and (ii) other dividends, distributions or restricted payments in an aggregate amount not to exceed $25.0. Amendment No. 2 also subjects the Company’s ability to make certain investments to pro forma compliance with certain leverage levels specified in Amendment No. 2. Pursuant to Amendment No. 2, the Sixth A&amp;R Credit Agreement is secured by (i) a perfected first priority security interest in all of the accounts receivable, inventory, equipment and intellectual property (subject to certain exceptions) of Scotts Miracle-Gro and certain of its domestic subsidiaries and (ii) the pledge of all of the capital stock of certain of Scotts Miracle-Gro’s domestic subsidiaries and a portion of the capital stock of certain of its foreign subsidiaries.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At June 28, 2025, the Company had letters of credit outstanding in the aggregate principal amount of $83.1, and had $1,166.9 of borrowing availability under the Sixth A&amp;R Credit Agreement. The weighted average interest rates on average borrowings under the credit facilities, excluding the impact of interest rate swaps, were 7.7% and 9.0% for the nine months ended June 28, 2025 and June 29, 2024, respectively.</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Sixth A&amp;R Credit Agreement contains, among other obligations, an affirmative covenant regarding the Company’s leverage ratio determined as of the end of each of its fiscal quarters calculated as average total indebtedness, divided by the Company’s earnings before interest, taxes, depreciation and amortization, as adjusted pursuant to the terms of Amendment No. 2 (“Adjusted EBITDA”). Pursuant to Amendment No. 2, the maximum permitted leverage ratio is (i) 5.00 for the third quarter of fiscal 2025, (ii) 4.75 for the fourth quarter of fiscal 2025 and (iii) 4.50 for the first quarter of fiscal 2026 and thereafter. The Company’s leverage ratio was 4.15 at June 28, 2025. Pursuant to Amendment No. 2, the Sixth A&amp;R Credit Agreement also contains an affirmative covenant regarding the Company’s fixed charge coverage ratio determined as of the end of each of its fiscal quarters, calculated as Adjusted EBITDA minus capital expenditures and expense for taxes paid in cash, divided by the sum of interest expense plus restricted payments, as described in Amendment No. 2. The minimum required fixed charge coverage ratio is 1.00. The Company’s fixed charge coverage ratio was 1.47 for the twelve months ended June 28, 2025.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28, 2025, the Company was in compliance with all applicable covenants in the agreements governing its debt. Based on the Company’s projections of its financial performance for the twelve-month period subsequent to the date of the filing of this Form 10-Q, the Company expects to remain in compliance with the financial covenants under the Sixth A&amp;R Credit Agreement. However, the Company’s assessment of its ability to meet its future obligations is inherently subjective, judgment-based, and susceptible to change based on future events. A covenant violation may result in an event of default. Such a default would allow the lenders under the Sixth A&amp;R Credit Agreement to accelerate the maturity of the indebtedness thereunder and would also implicate cross-default provisions under the Senior Notes, as defined below, and cause the Senior Notes to become due and payable at that time. As of June 28, 2025, the Company’s indebtedness under the Sixth A&amp;R Credit Agreement and Senior Notes was $2,187.5. The Company does not have sufficient cash on hand or available liquidity that can be utilized to repay these outstanding amounts in the event of default.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its contingency planning to address potential future circumstances that could result in noncompliance, the Company has contemplated alternative plans including additional restructuring activities to reduce operating expenses and certain cash management strategies that are within the Company’s control. Additionally, the Company has contemplated alternative plans that are subject to market conditions and not in the Company’s control, including, among others, discussions with its lenders to amend the terms of its financial covenants under the Sixth A&amp;R Credit Agreement and generating cash by completing other financing transactions, which may include issuing equity. There is no assurance that the Company will be successful in implementing these alternative plans.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Senior Notes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15, 2016, Scotts Miracle-Gro issued $250.0 aggregate principal amount of 5.250% Senior Notes due 2026 (the “5.250% Senior Notes”). The 5.250% Senior Notes represent general unsecured senior obligations and rank equal in right of payment with the Company’s existing and future unsecured senior debt. The 5.250% Senior Notes have interest payment dates of June 15 and December 15 of each year. </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22, 2019, Scotts Miracle-Gro issued $450.0 aggregate principal amount of 4.500% Senior Notes due 2029 (the “4.500% Senior Notes”). The 4.500% Senior Notes represent general unsecured senior obligations and rank equal in right of payment with the Company’s existing and future unsecured senior debt. The 4.500% Senior Notes have interest payment dates of April 15 and October 15 of each year.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17, 2021, Scotts Miracle-Gro issued $500.0 aggregate principal amount of 4.000% Senior Notes due 2031 (the “4.000% Senior Notes”). The 4.000% Senior Notes represent general unsecured senior obligations and rank equal in right of payment with the Company’s existing and future unsecured senior debt. The 4.000% Senior Notes have interest payment dates of April 1 and October 1 of each year.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13, 2021, Scotts Miracle-Gro issued $400.0 aggregate principal amount of 4.375% Senior Notes due 2032 (the “4.375% Senior Notes”). The 4.375% Senior Notes represent general unsecured senior obligations and rank equal in right of payment with the Company’s existing and future unsecured senior debt. The 4.375% Senior Notes have interest payment dates of February 1 and August 1 of each year.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Substantially all of Scotts Miracle-Gro’s directly and indirectly owned domestic subsidiaries serve as guarantors of the 5.250% Senior Notes, the 4.500% Senior Notes, the 4.000% Senior Notes and the 4.375% Senior Notes, (collectively, the “Senior Notes”).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Senior Notes contain an affirmative covenant regarding the Company’s interest coverage ratio determined as of the end of each of its fiscal quarters, calculated as Adjusted EBITDA divided by interest expense excluding costs related to refinancings. The minimum required interest coverage ratio is 2.00. The Company’s interest coverage ratio was 4.52 for the twelve months ended June 28, 2025.</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Interest Rate Swap Agreements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enters into interest rate swap agreements with major financial institutions that effectively convert a portion of the Company’s variable-rate debt to a fixed rate. Interest payments made between the effective date and expiration date are hedged by the swap agreements. Swap agreements that were hedging interest payments as of June 28, 2025, June 29, 2024 and September 30, 2024 had a maximum total U.S. dollar equivalent notional amount of $450.0, $500.0 and $450.0, respectively. The notional amount, effective date, expiration date and rate of each of the swap agreements outstanding at June 28, 2025 are shown in the table below:</w:t>
      </w:r>
    </w:p>
    <w:tbl>
      <w:tblPr>
        <w:tblW w:w="4805" w:type="dxa"/>
        <w:jc w:val="left"/>
        <w:tblInd w:w="0" w:type="dxa"/>
        <w:tblLayout w:type="fixed"/>
        <w:tblCellMar>
          <w:top w:w="28" w:type="dxa"/>
          <w:left w:w="28" w:type="dxa"/>
          <w:bottom w:w="28" w:type="dxa"/>
          <w:right w:w="28" w:type="dxa"/>
        </w:tblCellMar>
      </w:tblPr>
      <w:tblGrid>
        <w:gridCol w:w="348"/>
        <w:gridCol w:w="305"/>
        <w:gridCol w:w="307"/>
        <w:gridCol w:w="109"/>
        <w:gridCol w:w="109"/>
        <w:gridCol w:w="109"/>
        <w:gridCol w:w="354"/>
        <w:gridCol w:w="354"/>
        <w:gridCol w:w="356"/>
        <w:gridCol w:w="109"/>
        <w:gridCol w:w="109"/>
        <w:gridCol w:w="109"/>
        <w:gridCol w:w="319"/>
        <w:gridCol w:w="319"/>
        <w:gridCol w:w="321"/>
        <w:gridCol w:w="109"/>
        <w:gridCol w:w="109"/>
        <w:gridCol w:w="109"/>
        <w:gridCol w:w="255"/>
        <w:gridCol w:w="256"/>
        <w:gridCol w:w="330"/>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br/>
              <w:t>Amount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w:t>
              <w:br/>
              <w:t>Date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Expiration</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Fixed</w:t>
              <w:br/>
              <w:t>Rate</w:t>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4"/>
              </w:rPr>
            </w:pPr>
            <w:r>
              <w:rPr>
                <w:rFonts w:ascii="Times New Roman;serif" w:hAnsi="Times New Roman;serif"/>
                <w:b w:val="false"/>
                <w:color w:val="000000"/>
                <w:sz w:val="14"/>
              </w:rPr>
              <w:t>(b)</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4"/>
              </w:rPr>
            </w:pPr>
            <w:r>
              <w:rPr>
                <w:rFonts w:ascii="Times New Roman;serif" w:hAnsi="Times New Roman;serif"/>
                <w:b w:val="false"/>
                <w:color w:val="000000"/>
                <w:sz w:val="14"/>
              </w:rPr>
              <w:t>(b)</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(a)The effective date refers to the date on which interest payments are first hedged by the applicable swap agreement.</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(b)Notional amount adjusts in accordance with a specified seasonal schedule. This represents the maximum notional amount at any point in time.</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Weighted Average Interest Rate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weighted average interest rates on the Company’s debt, including the impact of interest rate swaps, were 5.4% and 5.9% for the nine months ended June 28, 2025 and June 29,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7. EQUITY (DEFICIT)</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a summary of the changes in equity (deficit) for each of the periods indicated:</w:t>
      </w:r>
    </w:p>
    <w:tbl>
      <w:tblPr>
        <w:tblW w:w="10205" w:type="dxa"/>
        <w:jc w:val="left"/>
        <w:tblInd w:w="0" w:type="dxa"/>
        <w:tblLayout w:type="fixed"/>
        <w:tblCellMar>
          <w:top w:w="28" w:type="dxa"/>
          <w:left w:w="28" w:type="dxa"/>
          <w:bottom w:w="28" w:type="dxa"/>
          <w:right w:w="28" w:type="dxa"/>
        </w:tblCellMar>
      </w:tblPr>
      <w:tblGrid>
        <w:gridCol w:w="1112"/>
        <w:gridCol w:w="975"/>
        <w:gridCol w:w="978"/>
        <w:gridCol w:w="239"/>
        <w:gridCol w:w="699"/>
        <w:gridCol w:w="123"/>
        <w:gridCol w:w="109"/>
        <w:gridCol w:w="109"/>
        <w:gridCol w:w="109"/>
        <w:gridCol w:w="211"/>
        <w:gridCol w:w="616"/>
        <w:gridCol w:w="109"/>
        <w:gridCol w:w="109"/>
        <w:gridCol w:w="109"/>
        <w:gridCol w:w="109"/>
        <w:gridCol w:w="211"/>
        <w:gridCol w:w="690"/>
        <w:gridCol w:w="109"/>
        <w:gridCol w:w="109"/>
        <w:gridCol w:w="109"/>
        <w:gridCol w:w="109"/>
        <w:gridCol w:w="290"/>
        <w:gridCol w:w="888"/>
        <w:gridCol w:w="151"/>
        <w:gridCol w:w="109"/>
        <w:gridCol w:w="109"/>
        <w:gridCol w:w="109"/>
        <w:gridCol w:w="109"/>
        <w:gridCol w:w="109"/>
        <w:gridCol w:w="109"/>
        <w:gridCol w:w="109"/>
        <w:gridCol w:w="211"/>
        <w:gridCol w:w="690"/>
        <w:gridCol w:w="159"/>
      </w:tblGrid>
      <w:tr>
        <w:trPr/>
        <w:tc>
          <w:tcPr>
            <w:tcW w:w="111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Shares</w:t>
              <w:br/>
              <w:t>and Capital in</w:t>
              <w:br/>
              <w:t>Excess of Stated</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Equity</w:t>
              <w:br/>
              <w:t>(Deficit)</w:t>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2024</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(390.6)</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($0.66 per share)</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 purchases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 issuances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28, 2024</w:t>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349.1 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($0.66 per share)</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 purchases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 issuances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29, 2025</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($0.66 per share)</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 issuances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28, 2025</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347.3 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16"/>
        </w:rPr>
      </w:pPr>
      <w:r>
        <w:rPr>
          <w:rFonts w:ascii="Times New Roman;serif" w:hAnsi="Times New Roman;serif"/>
          <w:b w:val="false"/>
          <w:color w:val="000000"/>
          <w:sz w:val="16"/>
        </w:rPr>
        <w:t>The sum of the components may not equal due to rounding.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12"/>
        <w:gridCol w:w="975"/>
        <w:gridCol w:w="978"/>
        <w:gridCol w:w="239"/>
        <w:gridCol w:w="699"/>
        <w:gridCol w:w="123"/>
        <w:gridCol w:w="109"/>
        <w:gridCol w:w="109"/>
        <w:gridCol w:w="109"/>
        <w:gridCol w:w="211"/>
        <w:gridCol w:w="616"/>
        <w:gridCol w:w="109"/>
        <w:gridCol w:w="109"/>
        <w:gridCol w:w="109"/>
        <w:gridCol w:w="109"/>
        <w:gridCol w:w="211"/>
        <w:gridCol w:w="690"/>
        <w:gridCol w:w="109"/>
        <w:gridCol w:w="109"/>
        <w:gridCol w:w="109"/>
        <w:gridCol w:w="109"/>
        <w:gridCol w:w="290"/>
        <w:gridCol w:w="888"/>
        <w:gridCol w:w="151"/>
        <w:gridCol w:w="109"/>
        <w:gridCol w:w="109"/>
        <w:gridCol w:w="109"/>
        <w:gridCol w:w="109"/>
        <w:gridCol w:w="109"/>
        <w:gridCol w:w="109"/>
        <w:gridCol w:w="109"/>
        <w:gridCol w:w="211"/>
        <w:gridCol w:w="690"/>
        <w:gridCol w:w="159"/>
      </w:tblGrid>
      <w:tr>
        <w:trPr/>
        <w:tc>
          <w:tcPr>
            <w:tcW w:w="111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Shares</w:t>
              <w:br/>
              <w:t>and Capital in</w:t>
              <w:br/>
              <w:t>Excess of Stated</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Equity</w:t>
              <w:br/>
              <w:t>(Deficit)</w:t>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2023</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($0.66 per share)</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 purchases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 issuances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30, 2023</w:t>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(385.4)</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($0.66 per share)</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 purchases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 issuances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30, 2024</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($0.66 per share)</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 purchases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 issuances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29, 2024</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360.6 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16"/>
        </w:rPr>
      </w:pPr>
      <w:r>
        <w:rPr>
          <w:rFonts w:ascii="Times New Roman;serif" w:hAnsi="Times New Roman;serif"/>
          <w:b w:val="false"/>
          <w:color w:val="000000"/>
          <w:sz w:val="16"/>
        </w:rPr>
        <w:t>The sum of the components may not equal due to rounding.</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i/>
          <w:color w:val="000000"/>
          <w:sz w:val="20"/>
          <w:u w:val="single"/>
        </w:rPr>
      </w:pPr>
      <w:r>
        <w:rPr>
          <w:rFonts w:ascii="Times New Roman;serif" w:hAnsi="Times New Roman;serif"/>
          <w:b/>
          <w:i/>
          <w:color w:val="000000"/>
          <w:sz w:val="20"/>
          <w:u w:val="single"/>
        </w:rPr>
        <w:t>Accumulated Other Comprehensive Loss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Changes in accumulated other comprehensive loss (“AOCL”) by component were as follows for each of the periods indicated:</w:t>
      </w:r>
    </w:p>
    <w:tbl>
      <w:tblPr>
        <w:tblW w:w="10205" w:type="dxa"/>
        <w:jc w:val="left"/>
        <w:tblInd w:w="0" w:type="dxa"/>
        <w:tblLayout w:type="fixed"/>
        <w:tblCellMar>
          <w:top w:w="28" w:type="dxa"/>
          <w:left w:w="28" w:type="dxa"/>
          <w:bottom w:w="28" w:type="dxa"/>
          <w:right w:w="28" w:type="dxa"/>
        </w:tblCellMar>
      </w:tblPr>
      <w:tblGrid>
        <w:gridCol w:w="1083"/>
        <w:gridCol w:w="618"/>
        <w:gridCol w:w="547"/>
        <w:gridCol w:w="109"/>
        <w:gridCol w:w="109"/>
        <w:gridCol w:w="109"/>
        <w:gridCol w:w="285"/>
        <w:gridCol w:w="714"/>
        <w:gridCol w:w="149"/>
        <w:gridCol w:w="109"/>
        <w:gridCol w:w="109"/>
        <w:gridCol w:w="109"/>
        <w:gridCol w:w="289"/>
        <w:gridCol w:w="700"/>
        <w:gridCol w:w="150"/>
        <w:gridCol w:w="109"/>
        <w:gridCol w:w="109"/>
        <w:gridCol w:w="109"/>
        <w:gridCol w:w="255"/>
        <w:gridCol w:w="691"/>
        <w:gridCol w:w="131"/>
        <w:gridCol w:w="109"/>
        <w:gridCol w:w="109"/>
        <w:gridCol w:w="109"/>
        <w:gridCol w:w="377"/>
        <w:gridCol w:w="943"/>
        <w:gridCol w:w="197"/>
        <w:gridCol w:w="109"/>
        <w:gridCol w:w="109"/>
        <w:gridCol w:w="109"/>
        <w:gridCol w:w="303"/>
        <w:gridCol w:w="906"/>
        <w:gridCol w:w="232"/>
      </w:tblGrid>
      <w:tr>
        <w:trPr/>
        <w:tc>
          <w:tcPr>
            <w:tcW w:w="108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2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w:t>
              <w:br/>
              <w:t>Translation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Unrealized Gain (Loss)</w:t>
              <w:br/>
              <w:t>On Derivative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Unrealized Gain (Loss)</w:t>
              <w:br/>
              <w:t>On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and Other Post-Retirement</w:t>
              <w:br/>
              <w:t>Benefit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 Income (Loss)</w:t>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29,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29,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both"/>
        <w:rPr>
          <w:rFonts w:ascii="Times New Roman;serif" w:hAnsi="Times New Roman;serif"/>
          <w:b w:val="false"/>
          <w:color w:val="000000"/>
          <w:sz w:val="16"/>
        </w:rPr>
      </w:pPr>
      <w:r>
        <w:rPr>
          <w:rFonts w:ascii="Times New Roman;serif" w:hAnsi="Times New Roman;serif"/>
          <w:b w:val="false"/>
          <w:color w:val="000000"/>
          <w:sz w:val="16"/>
        </w:rPr>
        <w:t>The sum of the components may not equal due to rounding.</w:t>
      </w:r>
    </w:p>
    <w:tbl>
      <w:tblPr>
        <w:tblW w:w="10205" w:type="dxa"/>
        <w:jc w:val="left"/>
        <w:tblInd w:w="0" w:type="dxa"/>
        <w:tblLayout w:type="fixed"/>
        <w:tblCellMar>
          <w:top w:w="28" w:type="dxa"/>
          <w:left w:w="28" w:type="dxa"/>
          <w:bottom w:w="28" w:type="dxa"/>
          <w:right w:w="28" w:type="dxa"/>
        </w:tblCellMar>
      </w:tblPr>
      <w:tblGrid>
        <w:gridCol w:w="1054"/>
        <w:gridCol w:w="596"/>
        <w:gridCol w:w="598"/>
        <w:gridCol w:w="109"/>
        <w:gridCol w:w="109"/>
        <w:gridCol w:w="109"/>
        <w:gridCol w:w="285"/>
        <w:gridCol w:w="714"/>
        <w:gridCol w:w="149"/>
        <w:gridCol w:w="109"/>
        <w:gridCol w:w="109"/>
        <w:gridCol w:w="109"/>
        <w:gridCol w:w="289"/>
        <w:gridCol w:w="700"/>
        <w:gridCol w:w="150"/>
        <w:gridCol w:w="109"/>
        <w:gridCol w:w="109"/>
        <w:gridCol w:w="109"/>
        <w:gridCol w:w="255"/>
        <w:gridCol w:w="691"/>
        <w:gridCol w:w="131"/>
        <w:gridCol w:w="109"/>
        <w:gridCol w:w="109"/>
        <w:gridCol w:w="109"/>
        <w:gridCol w:w="377"/>
        <w:gridCol w:w="943"/>
        <w:gridCol w:w="197"/>
        <w:gridCol w:w="109"/>
        <w:gridCol w:w="109"/>
        <w:gridCol w:w="109"/>
        <w:gridCol w:w="303"/>
        <w:gridCol w:w="906"/>
        <w:gridCol w:w="232"/>
      </w:tblGrid>
      <w:tr>
        <w:trPr/>
        <w:tc>
          <w:tcPr>
            <w:tcW w:w="105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w:t>
              <w:br/>
              <w:t>Translation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Unrealized Gain (Loss)</w:t>
              <w:br/>
              <w:t>On Derivative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Unrealized Gain (Loss)</w:t>
              <w:br/>
              <w:t>On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and Other Post-Retirement</w:t>
              <w:br/>
              <w:t>Benefit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 Income (Loss)</w:t>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29,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both"/>
        <w:rPr>
          <w:rFonts w:ascii="Times New Roman;serif" w:hAnsi="Times New Roman;serif"/>
          <w:b w:val="false"/>
          <w:color w:val="000000"/>
          <w:sz w:val="16"/>
        </w:rPr>
      </w:pPr>
      <w:r>
        <w:rPr>
          <w:rFonts w:ascii="Times New Roman;serif" w:hAnsi="Times New Roman;serif"/>
          <w:b w:val="false"/>
          <w:color w:val="000000"/>
          <w:sz w:val="16"/>
        </w:rPr>
        <w:t>The sum of the components may not equal due to rounding.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Share-Based Awards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share-based compensation was as follows for each of the periods indicated:</w:t>
      </w:r>
    </w:p>
    <w:tbl>
      <w:tblPr>
        <w:tblW w:w="6960" w:type="dxa"/>
        <w:jc w:val="left"/>
        <w:tblInd w:w="0" w:type="dxa"/>
        <w:tblLayout w:type="fixed"/>
        <w:tblCellMar>
          <w:top w:w="28" w:type="dxa"/>
          <w:left w:w="28" w:type="dxa"/>
          <w:bottom w:w="28" w:type="dxa"/>
          <w:right w:w="28" w:type="dxa"/>
        </w:tblCellMar>
      </w:tblPr>
      <w:tblGrid>
        <w:gridCol w:w="946"/>
        <w:gridCol w:w="830"/>
        <w:gridCol w:w="834"/>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94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2024</w:t>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519" w:type="dxa"/>
            <w:gridSpan w:val="18"/>
            <w:tcBorders/>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tax benefit recognized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Restricted share-based awards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fiscal 2025, the Company is granting short-term equity incentive compensation awards to certain associates in the form of restricted share-based award units in lieu of cash-based annual incentive awards. The program is structured so the fiscal 2025 incentive grant, if any, will be made on or near the incentive payout date, subject to certain performance conditions and a service requirement. The number of restricted share-based award units that are ultimately issued to participating associates will be determined based on the incentive payout amount determined for each associate converted into a variable number of restricted share-based award units based on the fair value of the Common Shares on the grant date. The awards are classified as liability awards and, as of June 28, 2025, the Company had accrued $14.8 in the “Other current liabilities” line in the Condensed Consolidated Balance Sheets associated with these awards. As of June 28, 2025, there was $5.5 of total unrecognized pre-tax compensation cost related to these nonvested restricted share-based awards that is expected to be recognized over the remainder of fiscal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8. EARNINGS PER COMMON SHARE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necessary to calculate basic and diluted net income per common share for the periods indicated:</w:t>
      </w:r>
    </w:p>
    <w:tbl>
      <w:tblPr>
        <w:tblW w:w="10205" w:type="dxa"/>
        <w:jc w:val="left"/>
        <w:tblInd w:w="0" w:type="dxa"/>
        <w:tblLayout w:type="fixed"/>
        <w:tblCellMar>
          <w:top w:w="28" w:type="dxa"/>
          <w:left w:w="28" w:type="dxa"/>
          <w:bottom w:w="28" w:type="dxa"/>
          <w:right w:w="28" w:type="dxa"/>
        </w:tblCellMar>
      </w:tblPr>
      <w:tblGrid>
        <w:gridCol w:w="2216"/>
        <w:gridCol w:w="1603"/>
        <w:gridCol w:w="1615"/>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5"/>
      </w:tblGrid>
      <w:tr>
        <w:trPr/>
        <w:tc>
          <w:tcPr>
            <w:tcW w:w="2216"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5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2024</w:t>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572" w:type="dxa"/>
            <w:gridSpan w:val="12"/>
            <w:tcBorders/>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net income per common share</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during the period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per common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net income per common share</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during the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potential common shares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during the period plus dilutive potential common shares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per common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stock options outstanding</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9. INCOME TAXES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effective tax rates for the nine months ended June 28, 2025 and June 29, 2024 were 27.9% and 27.5%, respectively. The effective tax rate used for interim reporting purposes is based on management’s best estimate of factors impacting the effective tax rate for the full fiscal year and includes the impact of discrete items recognized in the period. There can be no assurance that the effective tax rate estimated for interim financial reporting purposes will approximate the effective tax rate determined at fiscal year-end.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Scotts Miracle-Gro or one of its subsidiaries files income tax returns in the U.S. federal jurisdiction and various state, local and foreign jurisdictions. Subject to the following exceptions, the Company is no longer subject to examination by these tax authorities for fiscal years prior to 2021. There are currently no ongoing audits with respect to the U.S. federal jurisdiction. With respect to foreign jurisdictions, a Canadian audit covering fiscal years 2020 through 2021 and a United Kingdom audit covering fiscal year 2023 are in process. The Company is currently under examination by certain U.S. state and local tax authorities covering various periods from fiscal years 2018 through 2023. In addition to the aforementioned audits, certain other tax deficiency notices and refund claims for previous years remain unresolved.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currently anticipates that few of its open and active audits will be resolved within the next twelve months. The Company is unable to make a reasonably reliable estimate as to when or if cash settlements with taxing authorities may occur. Although the outcomes of such examinations and the timing of any payments required upon the conclusion of such examinations are subject to significant uncertainty, the Company does not anticipate that the resolution of these tax matters or any events related thereto will result in a material change to its consolidated financial position, results of operations or cash flows.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President Trump signed into law the One Big Beautiful Bill Act (“OBBBA”). The OBBBA makes permanent key elements of the Tax Cuts and Jobs Act, including 100% bonus depreciation, domestic research cost expensing and the business interest expense limitations. The legislation has multiple effective dates, with certain provisions effective in fiscal year 2025 and others implemented through fiscal year 2027. As the legislation was signed into law after June 28, 2025, it had no impact on the Company’s operating results for the three and nine months ended June 28, 2025. The Company is currently evaluating the impact of the OBBBA.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10. CONTINGENCIES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regularly evaluates the Company’s contingencies, including various judicial and administrative proceedings and claims arising in the ordinary course of business relating to, among other things, product and general liabilities, workers’ compensation, property losses and other liabilities for which the Company is self-insured or retains a high exposure limit. Self-insurance accruals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the assessment of contingencies is reasonable and related accruals are adequate, both individually and in the aggregate; however, there can be no assurance that final resolution of these matters will not have a material effect on the Company’s financial condition, results of operations or cash flows. </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Regulatory Matters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At June 28, 2025, the Company had recorded liabilities of $2.6 for environmental actions, the majority of which are for site remediation. The Company believes that the amounts accrued are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Other</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The Company has not recorded any accruals in its condensed consolidated financial statements as the likelihood of a loss from these cases is not probable at this time. The Company does not believe a reasonably possible loss would be material to the Company’s financial condition, results of operations or cash flows. In addition, the Company does not believe the ultimate resolution of these cases will have a material adverse effect on the Company’s financial condition, results of operations or cash flows. There can be no assurance that future developments related to pending claims or claims filed in the future, whether as a result of adverse outcomes or as a result of significant defense costs, will not have a material effect on the Company’s financial condition, results of operations or cash flows.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pPr>
      <w:r>
        <w:rPr>
          <w:rFonts w:ascii="Times New Roman;serif" w:hAnsi="Times New Roman;serif"/>
          <w:b w:val="false"/>
          <w:color w:val="000000"/>
          <w:sz w:val="20"/>
        </w:rPr>
        <w:t xml:space="preserve">On June 6, 2024, a purported shareholder filed a lawsuit in the United States District Court for the Southern District of Ohio (Case No. 2:24-cv-03132) on behalf of a proposed class of purchasers of Common Shares between November 3, 2021, and August 1, 2023. On July 26, 2024, another purported shareholder filed a lawsuit in the United States District Court for the Southern District of Ohio (Case No. 2:24-cv-03766) on behalf of a proposed class of purchasers of Common Shares between June 2, 2021, and August 1, 2023. The lawsuits were consolidated by the court as </w:t>
      </w:r>
      <w:r>
        <w:rPr>
          <w:rFonts w:ascii="Times New Roman;serif" w:hAnsi="Times New Roman;serif"/>
          <w:b w:val="false"/>
          <w:i/>
          <w:color w:val="000000"/>
          <w:sz w:val="20"/>
        </w:rPr>
        <w:t>In re The Scotts Miracle-Gro Company Securities Litigation</w:t>
      </w:r>
      <w:r>
        <w:rPr>
          <w:color w:val="000000"/>
        </w:rPr>
        <w:t xml:space="preserve"> </w:t>
      </w:r>
      <w:r>
        <w:rPr>
          <w:rFonts w:ascii="Times New Roman;serif" w:hAnsi="Times New Roman;serif"/>
          <w:b w:val="false"/>
          <w:color w:val="000000"/>
          <w:sz w:val="20"/>
        </w:rPr>
        <w:t>(Case No. 2:24-cv-03132). The amended consolidated complaint was filed on May 9, 2025 on behalf of a proposed class of purchasers of Common Shares between May 5, 2021 and August 1, 2023 and asserts claims under Section 10(b), Rule 10b-5 and Section 20(a) of the Securities Exchange Act against the Company and certain of its current and former officers based on alleged misstatements about the Company’s inventories, sales and business prospects. The action seeks, among other things, unspecified monetary damages, reasonable costs and expenses and equitable/injunctive or other relief as deemed appropriate by the Court. The Company believes that the claims asserted are without merit and intends to vigorously defend the action.</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Beginning in July 2024, purported shareholders filed a series of shareholder derivative lawsuits in state and federal courts in Ohio against certain of the Company’s current and former directors and officers. The lawsuits include allegations that generally mirror those asserted in the securities lawsuits described above and assert claims for breach of fiduciary duties, unjust enrichment, abuse of control, gross mismanagement, and waste of corporate assets. The federal lawsuits also assert claims under the Securities Exchange Act. The actions seek a judgment in favor of the Company for unspecified damages, disgorgement, interest, and costs and expenses, including attorneys’ and experts’ fees.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is involved in other lawsuits and claims which arise in the normal course of business including the initiation and defense of proceedings to protect intellectual property rights, advertising claims, securities matters and employment disputes. These claims individually and in the aggregate are not expected to have a material adverse effect on the Company’s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11. DERIVATIVE INSTRUMENTS AND HEDGING ACTIVITIES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Exchange Rate Risk Management</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currency forward contracts to manage the exchange rate risk associated with intercompany loans and certain other balances denominated in foreign currencies. Currency forward contracts are valued using observable forward rates in commonly quoted intervals for the full term of the contracts. The notional amount of outstanding currency forward contracts was $146.1, $182.6 and $148.4 at June 28, 2025, June 29, 2024 and September 30, 2024, respectively. Contracts outstanding at June 28, 2025 will mature over the next fiscal quarter. </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Interest Rate Risk Management</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enters into interest rate swap agreements as a means to hedge its variable interest rate risk on debt instruments. Net amounts to be received or paid under the swap agreements are reflected as adjustments to interest expense. The Company has outstanding interest rate swap agreements with major financial institutions that effectively convert a portion of the Company’s variable-rate debt to a fixed rate. Interest rate swap agreements are valued based on the present value of the estimated future net cash flows using implied rates in the applicable yield curve as of the valuation date. Swap agreements that were hedging interest payments as of June 28, 2025, June 29, 2024 and September 30, 2024 had a maximum total U.S. dollar equivalent notional amount of $450.0, $500.0 and $450.0, respectively. Refer to “NOTE 6. DEBT” for the terms of the swap agreements outstanding at June 28, 2025. Included in the AOCL balance at June 28, 2025 was a gain of $4.3 related to interest rate swap agreements that is expected to be reclassified to earnings during the next twelve months, consistent with the timing of the underlying hedged transactions.</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Commodity Price Risk Management</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enters into hedging arrangements designed to fix the price of a portion of its projected future urea and diesel requirements. Commodity contracts are valued using observable commodity exchange prices in active markets. Included in the AOCL balance at June 28, 2025 was a gain of $1.6 related to commodity hedges that is expected to be reclassified to earnings during the next twelve months, consistent with the timing of the underlying hedged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had the following outstanding commodity contracts that were entered into to hedge forecasted purchases:</w:t>
      </w:r>
    </w:p>
    <w:tbl>
      <w:tblPr>
        <w:tblW w:w="6512" w:type="dxa"/>
        <w:jc w:val="left"/>
        <w:tblInd w:w="0" w:type="dxa"/>
        <w:tblLayout w:type="fixed"/>
        <w:tblCellMar>
          <w:top w:w="28" w:type="dxa"/>
          <w:left w:w="28" w:type="dxa"/>
          <w:bottom w:w="28" w:type="dxa"/>
          <w:right w:w="28" w:type="dxa"/>
        </w:tblCellMar>
      </w:tblPr>
      <w:tblGrid>
        <w:gridCol w:w="385"/>
        <w:gridCol w:w="339"/>
        <w:gridCol w:w="340"/>
        <w:gridCol w:w="109"/>
        <w:gridCol w:w="109"/>
        <w:gridCol w:w="109"/>
        <w:gridCol w:w="473"/>
        <w:gridCol w:w="473"/>
        <w:gridCol w:w="478"/>
        <w:gridCol w:w="109"/>
        <w:gridCol w:w="109"/>
        <w:gridCol w:w="109"/>
        <w:gridCol w:w="473"/>
        <w:gridCol w:w="473"/>
        <w:gridCol w:w="478"/>
        <w:gridCol w:w="109"/>
        <w:gridCol w:w="109"/>
        <w:gridCol w:w="109"/>
        <w:gridCol w:w="473"/>
        <w:gridCol w:w="473"/>
        <w:gridCol w:w="673"/>
      </w:tblGrid>
      <w:tr>
        <w:trPr/>
        <w:tc>
          <w:tcPr>
            <w:tcW w:w="38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Commodity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2024</w:t>
            </w:r>
          </w:p>
        </w:tc>
      </w:tr>
      <w:tr>
        <w:trPr/>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Urea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34,500 tons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33,000 tons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51,000 tons</w:t>
            </w:r>
          </w:p>
        </w:tc>
      </w:tr>
      <w:tr>
        <w:trPr/>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Diesel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756,000 gallons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462,000 gallons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1,092,000 gallons</w:t>
            </w:r>
          </w:p>
        </w:tc>
      </w:tr>
      <w:tr>
        <w:trPr/>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Heating Oil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84,000 gallons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84,000 gallons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42,000 gallons</w:t>
            </w:r>
          </w:p>
        </w:tc>
      </w:tr>
    </w:tbl>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Fair Values of Derivative Instruments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values of the Company’s derivative instruments, which represent Level 2 fair value measurements, were as follows:</w:t>
      </w:r>
    </w:p>
    <w:tbl>
      <w:tblPr>
        <w:tblW w:w="10205" w:type="dxa"/>
        <w:jc w:val="left"/>
        <w:tblInd w:w="0" w:type="dxa"/>
        <w:tblLayout w:type="fixed"/>
        <w:tblCellMar>
          <w:top w:w="28" w:type="dxa"/>
          <w:left w:w="28" w:type="dxa"/>
          <w:bottom w:w="28" w:type="dxa"/>
          <w:right w:w="28" w:type="dxa"/>
        </w:tblCellMar>
      </w:tblPr>
      <w:tblGrid>
        <w:gridCol w:w="1324"/>
        <w:gridCol w:w="1163"/>
        <w:gridCol w:w="1167"/>
        <w:gridCol w:w="109"/>
        <w:gridCol w:w="109"/>
        <w:gridCol w:w="109"/>
        <w:gridCol w:w="828"/>
        <w:gridCol w:w="828"/>
        <w:gridCol w:w="830"/>
        <w:gridCol w:w="109"/>
        <w:gridCol w:w="109"/>
        <w:gridCol w:w="109"/>
        <w:gridCol w:w="211"/>
        <w:gridCol w:w="469"/>
        <w:gridCol w:w="109"/>
        <w:gridCol w:w="109"/>
        <w:gridCol w:w="109"/>
        <w:gridCol w:w="109"/>
        <w:gridCol w:w="211"/>
        <w:gridCol w:w="511"/>
        <w:gridCol w:w="109"/>
        <w:gridCol w:w="109"/>
        <w:gridCol w:w="109"/>
        <w:gridCol w:w="109"/>
        <w:gridCol w:w="303"/>
        <w:gridCol w:w="606"/>
        <w:gridCol w:w="228"/>
      </w:tblGrid>
      <w:tr>
        <w:trPr/>
        <w:tc>
          <w:tcPr>
            <w:tcW w:w="1324"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6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 / (Liabilities)</w:t>
            </w:r>
          </w:p>
        </w:tc>
      </w:tr>
      <w:tr>
        <w:trPr/>
        <w:tc>
          <w:tcPr>
            <w:tcW w:w="3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Designated as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2024</w:t>
            </w:r>
          </w:p>
        </w:tc>
      </w:tr>
      <w:tr>
        <w:trPr/>
        <w:tc>
          <w:tcPr>
            <w:tcW w:w="3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2622" w:type="dxa"/>
            <w:gridSpan w:val="12"/>
            <w:tcBorders/>
          </w:tcPr>
          <w:p>
            <w:pPr>
              <w:pStyle w:val="TableContents"/>
              <w:bidi w:val="0"/>
              <w:spacing w:before="0" w:after="283"/>
              <w:jc w:val="left"/>
              <w:rPr>
                <w:sz w:val="4"/>
                <w:szCs w:val="4"/>
              </w:rPr>
            </w:pPr>
            <w:r>
              <w:rPr>
                <w:sz w:val="4"/>
                <w:szCs w:val="4"/>
              </w:rPr>
            </w:r>
          </w:p>
        </w:tc>
      </w:tr>
      <w:tr>
        <w:trPr/>
        <w:tc>
          <w:tcPr>
            <w:tcW w:w="36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646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derivatives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Derivatives Not Designated as Hedging Instruments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6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3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646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derivatives 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The effect of derivative instruments on AOCL, net of tax, and the </w:t>
      </w:r>
      <w:r>
        <w:rPr>
          <w:rFonts w:ascii="Times New Roman;serif" w:hAnsi="Times New Roman;serif"/>
          <w:b w:val="false"/>
          <w:color w:val="000000"/>
          <w:sz w:val="20"/>
          <w:shd w:fill="FFFFFF" w:val="clear"/>
        </w:rPr>
        <w:t xml:space="preserve">Condensed </w:t>
      </w:r>
      <w:r>
        <w:rPr>
          <w:rFonts w:ascii="Times New Roman;serif" w:hAnsi="Times New Roman;serif"/>
          <w:b w:val="false"/>
          <w:color w:val="000000"/>
          <w:sz w:val="20"/>
        </w:rPr>
        <w:t>Consolidated Statements of Operations for each of the periods presented was as follows:</w:t>
      </w:r>
    </w:p>
    <w:tbl>
      <w:tblPr>
        <w:tblW w:w="8006" w:type="dxa"/>
        <w:jc w:val="left"/>
        <w:tblInd w:w="0" w:type="dxa"/>
        <w:tblLayout w:type="fixed"/>
        <w:tblCellMar>
          <w:top w:w="28" w:type="dxa"/>
          <w:left w:w="28" w:type="dxa"/>
          <w:bottom w:w="28" w:type="dxa"/>
          <w:right w:w="28" w:type="dxa"/>
        </w:tblCellMar>
      </w:tblPr>
      <w:tblGrid>
        <w:gridCol w:w="1302"/>
        <w:gridCol w:w="1145"/>
        <w:gridCol w:w="1152"/>
        <w:gridCol w:w="109"/>
        <w:gridCol w:w="109"/>
        <w:gridCol w:w="109"/>
        <w:gridCol w:w="211"/>
        <w:gridCol w:w="481"/>
        <w:gridCol w:w="109"/>
        <w:gridCol w:w="109"/>
        <w:gridCol w:w="109"/>
        <w:gridCol w:w="109"/>
        <w:gridCol w:w="211"/>
        <w:gridCol w:w="406"/>
        <w:gridCol w:w="109"/>
        <w:gridCol w:w="109"/>
        <w:gridCol w:w="109"/>
        <w:gridCol w:w="109"/>
        <w:gridCol w:w="211"/>
        <w:gridCol w:w="406"/>
        <w:gridCol w:w="109"/>
        <w:gridCol w:w="109"/>
        <w:gridCol w:w="109"/>
        <w:gridCol w:w="109"/>
        <w:gridCol w:w="211"/>
        <w:gridCol w:w="481"/>
        <w:gridCol w:w="154"/>
      </w:tblGrid>
      <w:tr>
        <w:trPr/>
        <w:tc>
          <w:tcPr>
            <w:tcW w:w="13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in Cash Flow Hedging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 / (Loss) Recognized in AOCL</w:t>
            </w:r>
          </w:p>
        </w:tc>
      </w:tr>
      <w:tr>
        <w:trPr/>
        <w:tc>
          <w:tcPr>
            <w:tcW w:w="35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5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2024</w:t>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9" w:type="dxa"/>
            <w:gridSpan w:val="18"/>
            <w:tcBorders/>
          </w:tcPr>
          <w:p>
            <w:pPr>
              <w:pStyle w:val="TableContents"/>
              <w:bidi w:val="0"/>
              <w:spacing w:before="0" w:after="283"/>
              <w:jc w:val="left"/>
              <w:rPr>
                <w:sz w:val="4"/>
                <w:szCs w:val="4"/>
              </w:rPr>
            </w:pPr>
            <w:r>
              <w:rPr>
                <w:sz w:val="4"/>
                <w:szCs w:val="4"/>
              </w:rPr>
            </w:r>
          </w:p>
        </w:tc>
      </w:tr>
      <w:tr>
        <w:trPr/>
        <w:tc>
          <w:tcPr>
            <w:tcW w:w="35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177" w:type="dxa"/>
        <w:jc w:val="left"/>
        <w:tblInd w:w="0" w:type="dxa"/>
        <w:tblLayout w:type="fixed"/>
        <w:tblCellMar>
          <w:top w:w="28" w:type="dxa"/>
          <w:left w:w="28" w:type="dxa"/>
          <w:bottom w:w="28" w:type="dxa"/>
          <w:right w:w="28" w:type="dxa"/>
        </w:tblCellMar>
      </w:tblPr>
      <w:tblGrid>
        <w:gridCol w:w="1302"/>
        <w:gridCol w:w="1145"/>
        <w:gridCol w:w="1152"/>
        <w:gridCol w:w="109"/>
        <w:gridCol w:w="109"/>
        <w:gridCol w:w="109"/>
        <w:gridCol w:w="629"/>
        <w:gridCol w:w="629"/>
        <w:gridCol w:w="631"/>
        <w:gridCol w:w="109"/>
        <w:gridCol w:w="109"/>
        <w:gridCol w:w="109"/>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211"/>
        <w:gridCol w:w="511"/>
        <w:gridCol w:w="154"/>
      </w:tblGrid>
      <w:tr>
        <w:trPr/>
        <w:tc>
          <w:tcPr>
            <w:tcW w:w="13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in Cash Flow Hedging Relationships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Reclassified from</w:t>
              <w:br/>
              <w:t>AOCL into</w:t>
              <w:br/>
              <w:t>Statement of Operations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 / (Loss)</w:t>
            </w:r>
          </w:p>
        </w:tc>
      </w:tr>
      <w:tr>
        <w:trPr/>
        <w:tc>
          <w:tcPr>
            <w:tcW w:w="35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8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5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8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2024</w:t>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309" w:type="dxa"/>
            <w:gridSpan w:val="18"/>
            <w:tcBorders/>
          </w:tcPr>
          <w:p>
            <w:pPr>
              <w:pStyle w:val="TableContents"/>
              <w:bidi w:val="0"/>
              <w:spacing w:before="0" w:after="283"/>
              <w:jc w:val="left"/>
              <w:rPr>
                <w:sz w:val="4"/>
                <w:szCs w:val="4"/>
              </w:rPr>
            </w:pPr>
            <w:r>
              <w:rPr>
                <w:sz w:val="4"/>
                <w:szCs w:val="4"/>
              </w:rPr>
            </w:r>
          </w:p>
        </w:tc>
      </w:tr>
      <w:tr>
        <w:trPr/>
        <w:tc>
          <w:tcPr>
            <w:tcW w:w="35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09"/>
        <w:gridCol w:w="1044"/>
        <w:gridCol w:w="1047"/>
        <w:gridCol w:w="109"/>
        <w:gridCol w:w="109"/>
        <w:gridCol w:w="109"/>
        <w:gridCol w:w="688"/>
        <w:gridCol w:w="688"/>
        <w:gridCol w:w="690"/>
        <w:gridCol w:w="109"/>
        <w:gridCol w:w="109"/>
        <w:gridCol w:w="109"/>
        <w:gridCol w:w="211"/>
        <w:gridCol w:w="468"/>
        <w:gridCol w:w="109"/>
        <w:gridCol w:w="109"/>
        <w:gridCol w:w="109"/>
        <w:gridCol w:w="109"/>
        <w:gridCol w:w="211"/>
        <w:gridCol w:w="468"/>
        <w:gridCol w:w="109"/>
        <w:gridCol w:w="109"/>
        <w:gridCol w:w="109"/>
        <w:gridCol w:w="109"/>
        <w:gridCol w:w="211"/>
        <w:gridCol w:w="468"/>
        <w:gridCol w:w="109"/>
        <w:gridCol w:w="109"/>
        <w:gridCol w:w="109"/>
        <w:gridCol w:w="109"/>
        <w:gridCol w:w="211"/>
        <w:gridCol w:w="468"/>
        <w:gridCol w:w="161"/>
      </w:tblGrid>
      <w:tr>
        <w:trPr/>
        <w:tc>
          <w:tcPr>
            <w:tcW w:w="120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Not Designated as Hedging Instruments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Recognized in</w:t>
              <w:br/>
              <w:t>Statement of Operations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 / (Loss)</w:t>
            </w:r>
          </w:p>
        </w:tc>
      </w:tr>
      <w:tr>
        <w:trPr/>
        <w:tc>
          <w:tcPr>
            <w:tcW w:w="33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9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3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2024</w:t>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397" w:type="dxa"/>
            <w:gridSpan w:val="18"/>
            <w:tcBorders/>
          </w:tcPr>
          <w:p>
            <w:pPr>
              <w:pStyle w:val="TableContents"/>
              <w:bidi w:val="0"/>
              <w:spacing w:before="0" w:after="283"/>
              <w:jc w:val="left"/>
              <w:rPr>
                <w:sz w:val="4"/>
                <w:szCs w:val="4"/>
              </w:rPr>
            </w:pPr>
            <w:r>
              <w:rPr>
                <w:sz w:val="4"/>
                <w:szCs w:val="4"/>
              </w:rPr>
            </w:r>
          </w:p>
        </w:tc>
      </w:tr>
      <w:tr>
        <w:trPr/>
        <w:tc>
          <w:tcPr>
            <w:tcW w:w="33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12. FAIR VALUE MEASUREMENTS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 of the Company’s assets and liabilities for which disclosure of fair value is required:</w:t>
      </w:r>
    </w:p>
    <w:p>
      <w:pPr>
        <w:pStyle w:val="TextBody"/>
        <w:bidi w:val="0"/>
        <w:spacing w:lineRule="auto" w:line="288" w:before="0" w:after="0"/>
        <w:ind w:left="0" w:right="0" w:firstLine="45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736"/>
        <w:gridCol w:w="530"/>
        <w:gridCol w:w="532"/>
        <w:gridCol w:w="109"/>
        <w:gridCol w:w="109"/>
        <w:gridCol w:w="109"/>
        <w:gridCol w:w="286"/>
        <w:gridCol w:w="286"/>
        <w:gridCol w:w="287"/>
        <w:gridCol w:w="109"/>
        <w:gridCol w:w="109"/>
        <w:gridCol w:w="109"/>
        <w:gridCol w:w="211"/>
        <w:gridCol w:w="511"/>
        <w:gridCol w:w="109"/>
        <w:gridCol w:w="109"/>
        <w:gridCol w:w="109"/>
        <w:gridCol w:w="109"/>
        <w:gridCol w:w="212"/>
        <w:gridCol w:w="515"/>
        <w:gridCol w:w="110"/>
        <w:gridCol w:w="109"/>
        <w:gridCol w:w="109"/>
        <w:gridCol w:w="109"/>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12"/>
        <w:gridCol w:w="515"/>
        <w:gridCol w:w="161"/>
      </w:tblGrid>
      <w:tr>
        <w:trPr/>
        <w:tc>
          <w:tcPr>
            <w:tcW w:w="73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br/>
              <w:t>Hierarchy</w:t>
              <w:b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2024</w:t>
            </w:r>
          </w:p>
        </w:tc>
      </w:tr>
      <w:tr>
        <w:trPr/>
        <w:tc>
          <w:tcPr>
            <w:tcW w:w="1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r>
      <w:tr>
        <w:trPr/>
        <w:tc>
          <w:tcPr>
            <w:tcW w:w="1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r>
      <w:tr>
        <w:trPr/>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r>
      <w:tr>
        <w:trPr/>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r>
      <w:tr>
        <w:trPr/>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r>
      <w:tr>
        <w:trPr/>
        <w:tc>
          <w:tcPr>
            <w:tcW w:w="1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 in non-qualified retirement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r>
      <w:tr>
        <w:trPr/>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r>
      <w:tr>
        <w:trPr/>
        <w:tc>
          <w:tcPr>
            <w:tcW w:w="1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debt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r>
      <w:tr>
        <w:trPr/>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r>
      <w:tr>
        <w:trPr/>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r>
      <w:tr>
        <w:trPr/>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r>
      <w:tr>
        <w:trPr/>
        <w:tc>
          <w:tcPr>
            <w:tcW w:w="1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r>
      <w:tr>
        <w:trPr/>
        <w:tc>
          <w:tcPr>
            <w:tcW w:w="1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facilities – term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Notes due 2031 – 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Notes due 2032 – 4.375%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Notes due 2029 – 4.500%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Notes due 2026 – 5.250%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r>
      <w:tr>
        <w:trPr/>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r>
      <w:tr>
        <w:trPr/>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r>
      <w:tr>
        <w:trPr/>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r>
      <w:tr>
        <w:trPr/>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Changes in the balance of Level 3 convertible debt investments carried at fair value are presented below. There were no transfers into or out of Level 3.</w:t>
      </w:r>
    </w:p>
    <w:tbl>
      <w:tblPr>
        <w:tblW w:w="9734" w:type="dxa"/>
        <w:jc w:val="left"/>
        <w:tblInd w:w="0" w:type="dxa"/>
        <w:tblLayout w:type="fixed"/>
        <w:tblCellMar>
          <w:top w:w="28" w:type="dxa"/>
          <w:left w:w="28" w:type="dxa"/>
          <w:bottom w:w="28" w:type="dxa"/>
          <w:right w:w="28" w:type="dxa"/>
        </w:tblCellMar>
      </w:tblPr>
      <w:tblGrid>
        <w:gridCol w:w="1950"/>
        <w:gridCol w:w="1714"/>
        <w:gridCol w:w="1720"/>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1950"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2024</w:t>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realized / unrealized gains (losses) included in net earnings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realized / unrealized gains (losses) included in OCI</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for non-voting exchangeable shares of Fluent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December 18, 2024, the Company exchanged its convertible debt investment in RIV Capital for non-voting exchangeable shares of Fluent. Refer to “NOTE 2. INVESTMENT IN UNCONSOLIDATED AFFILIATES” for further details.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amortized cost basis of convertible debt investments was $44.4, $226.1 and $62.1 at June 28, 2025, June 29, 2024 and September 30, 2024, respectively. At June 28, 2025, June 29, 2024 and September 30, 2024, gross unrealized losses on convertible debt investments were $16.9, $136.3 and $16.4, respectively, and there were no gross unrealized gains. These investments have been in a continuous unrealized loss position for greater than 12 months as of June 28, 2025. The allowance for expected credit losses was $1.9, $101.3 and $1.9 at June 28, 2025, June 29, 2024 and September 30, 2024, respectively. At June 28, 2025, the weighted-average period until scheduled maturity of the Company’s convertible debt investments was 4.2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13. LEASES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leases certain property and equipment from third parties under various non-cancelable lease agreements, including industrial, commercial and office properties and equipment that support the management, manufacturing, distribution and research and development of products marketed and sold by the Company. The lease agreements generally require that the Company pay taxes, insurance and maintenance expenses related to the leased assets. At June 28, 2025, the Company had entered into operating leases that were yet to commence with a combined total expected lease liability of $25.1. From time to time, the Company will sublease portions of its facilities, resulting in sublease income. Sublease income and the related cash flows were not material to the condensed consolidated financial statements for the three and nine months ended June 28, 2025 and June 29, 2024.</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leases certain vehicles (primarily cars and light trucks) under agreements that are cancellable after the first year, but typically continue on a month-to-month basis until canceled by the Company. The vehicle leases and certain other non-cancelable operating leases contain residual value guarantees that create a contingent obligation on the part of the Company to compensate the lessor if the leased asset cannot be sold for an amount in excess of a specified minimum value at the conclusion of the lease term. If all such vehicle leases had been canceled as of June 28, 2025, the Company’s residual value guarantee would have approximated $6.3.</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the Company’s leases was as follows:</w:t>
      </w:r>
    </w:p>
    <w:tbl>
      <w:tblPr>
        <w:tblW w:w="9317" w:type="dxa"/>
        <w:jc w:val="left"/>
        <w:tblInd w:w="0" w:type="dxa"/>
        <w:tblLayout w:type="fixed"/>
        <w:tblCellMar>
          <w:top w:w="28" w:type="dxa"/>
          <w:left w:w="28" w:type="dxa"/>
          <w:bottom w:w="28" w:type="dxa"/>
          <w:right w:w="28" w:type="dxa"/>
        </w:tblCellMar>
      </w:tblPr>
      <w:tblGrid>
        <w:gridCol w:w="859"/>
        <w:gridCol w:w="753"/>
        <w:gridCol w:w="757"/>
        <w:gridCol w:w="969"/>
        <w:gridCol w:w="969"/>
        <w:gridCol w:w="972"/>
        <w:gridCol w:w="109"/>
        <w:gridCol w:w="109"/>
        <w:gridCol w:w="109"/>
        <w:gridCol w:w="211"/>
        <w:gridCol w:w="616"/>
        <w:gridCol w:w="109"/>
        <w:gridCol w:w="109"/>
        <w:gridCol w:w="109"/>
        <w:gridCol w:w="109"/>
        <w:gridCol w:w="211"/>
        <w:gridCol w:w="616"/>
        <w:gridCol w:w="109"/>
        <w:gridCol w:w="109"/>
        <w:gridCol w:w="109"/>
        <w:gridCol w:w="109"/>
        <w:gridCol w:w="255"/>
        <w:gridCol w:w="744"/>
        <w:gridCol w:w="186"/>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2024</w:t>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775" w:type="dxa"/>
            <w:gridSpan w:val="12"/>
            <w:tcBorders/>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leases:</w:t>
            </w:r>
          </w:p>
        </w:tc>
        <w:tc>
          <w:tcPr>
            <w:tcW w:w="2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liabilities</w:t>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lease liabilities</w:t>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291.1 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leases:</w:t>
            </w:r>
          </w:p>
        </w:tc>
        <w:tc>
          <w:tcPr>
            <w:tcW w:w="2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liabilities</w:t>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lease liabilities</w:t>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Components of lease cost were as follows:</w:t>
      </w:r>
    </w:p>
    <w:tbl>
      <w:tblPr>
        <w:tblW w:w="7259" w:type="dxa"/>
        <w:jc w:val="left"/>
        <w:tblInd w:w="0" w:type="dxa"/>
        <w:tblLayout w:type="fixed"/>
        <w:tblCellMar>
          <w:top w:w="28" w:type="dxa"/>
          <w:left w:w="28" w:type="dxa"/>
          <w:bottom w:w="28" w:type="dxa"/>
          <w:right w:w="28" w:type="dxa"/>
        </w:tblCellMar>
      </w:tblPr>
      <w:tblGrid>
        <w:gridCol w:w="1053"/>
        <w:gridCol w:w="925"/>
        <w:gridCol w:w="931"/>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2024</w:t>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2361" w:type="dxa"/>
            <w:gridSpan w:val="12"/>
            <w:tcBorders/>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lease cost </w:t>
            </w:r>
            <w:r>
              <w:rPr>
                <w:rFonts w:ascii="Times New Roman;serif" w:hAnsi="Times New Roman;serif"/>
                <w:b w:val="false"/>
                <w:color w:val="000000"/>
                <w:sz w:val="13"/>
              </w:rPr>
              <w:t>(a)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(a)Operating lease cost includes amortization of right-of-use assets of $17.5 and $51.9 for the three and nine months ended June 28, 2025, respectively, and $17.5 and $52.2 for the three and nine months ended June 29, 2024, respectively. Short-term lease expense is excluded from operating lease cost and is not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and non-cash activity related to the Company’s leases were as follows:</w:t>
      </w:r>
    </w:p>
    <w:tbl>
      <w:tblPr>
        <w:tblW w:w="8994" w:type="dxa"/>
        <w:jc w:val="left"/>
        <w:tblInd w:w="0" w:type="dxa"/>
        <w:tblLayout w:type="fixed"/>
        <w:tblCellMar>
          <w:top w:w="28" w:type="dxa"/>
          <w:left w:w="28" w:type="dxa"/>
          <w:bottom w:w="28" w:type="dxa"/>
          <w:right w:w="28" w:type="dxa"/>
        </w:tblCellMar>
      </w:tblPr>
      <w:tblGrid>
        <w:gridCol w:w="2196"/>
        <w:gridCol w:w="1927"/>
        <w:gridCol w:w="1937"/>
        <w:gridCol w:w="109"/>
        <w:gridCol w:w="109"/>
        <w:gridCol w:w="130"/>
        <w:gridCol w:w="130"/>
        <w:gridCol w:w="130"/>
        <w:gridCol w:w="130"/>
        <w:gridCol w:w="252"/>
        <w:gridCol w:w="611"/>
        <w:gridCol w:w="130"/>
        <w:gridCol w:w="109"/>
        <w:gridCol w:w="109"/>
        <w:gridCol w:w="109"/>
        <w:gridCol w:w="211"/>
        <w:gridCol w:w="511"/>
        <w:gridCol w:w="154"/>
      </w:tblGrid>
      <w:tr>
        <w:trPr/>
        <w:tc>
          <w:tcPr>
            <w:tcW w:w="2196"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1203" w:type="dxa"/>
            <w:gridSpan w:val="6"/>
            <w:tcBorders/>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2024</w:t>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paid for amounts included in the measurement of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from 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Right-of-use assets obtained in exchange for lease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Weighted-average remaining lease term and discount rate for the Company’s leases were as follows:</w:t>
      </w:r>
    </w:p>
    <w:tbl>
      <w:tblPr>
        <w:tblW w:w="7872" w:type="dxa"/>
        <w:jc w:val="left"/>
        <w:tblInd w:w="0" w:type="dxa"/>
        <w:tblLayout w:type="fixed"/>
        <w:tblCellMar>
          <w:top w:w="28" w:type="dxa"/>
          <w:left w:w="28" w:type="dxa"/>
          <w:bottom w:w="28" w:type="dxa"/>
          <w:right w:w="28" w:type="dxa"/>
        </w:tblCellMar>
      </w:tblPr>
      <w:tblGrid>
        <w:gridCol w:w="1603"/>
        <w:gridCol w:w="1408"/>
        <w:gridCol w:w="1413"/>
        <w:gridCol w:w="203"/>
        <w:gridCol w:w="203"/>
        <w:gridCol w:w="399"/>
        <w:gridCol w:w="109"/>
        <w:gridCol w:w="109"/>
        <w:gridCol w:w="109"/>
        <w:gridCol w:w="203"/>
        <w:gridCol w:w="203"/>
        <w:gridCol w:w="399"/>
        <w:gridCol w:w="109"/>
        <w:gridCol w:w="109"/>
        <w:gridCol w:w="109"/>
        <w:gridCol w:w="240"/>
        <w:gridCol w:w="240"/>
        <w:gridCol w:w="704"/>
      </w:tblGrid>
      <w:tr>
        <w:trPr/>
        <w:tc>
          <w:tcPr>
            <w:tcW w:w="16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2024</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remaining lease term (in years):</w:t>
            </w:r>
          </w:p>
        </w:tc>
        <w:tc>
          <w:tcPr>
            <w:tcW w:w="8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leases </w:t>
            </w:r>
          </w:p>
        </w:tc>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discount rate:</w:t>
            </w:r>
          </w:p>
        </w:tc>
        <w:tc>
          <w:tcPr>
            <w:tcW w:w="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Maturities of lease liabilities by fiscal year for the Company’s leases as of June 28, 2025 were as follows:</w:t>
      </w:r>
    </w:p>
    <w:tbl>
      <w:tblPr>
        <w:tblW w:w="5662" w:type="dxa"/>
        <w:jc w:val="left"/>
        <w:tblInd w:w="0" w:type="dxa"/>
        <w:tblLayout w:type="fixed"/>
        <w:tblCellMar>
          <w:top w:w="28" w:type="dxa"/>
          <w:left w:w="28" w:type="dxa"/>
          <w:bottom w:w="28" w:type="dxa"/>
          <w:right w:w="28" w:type="dxa"/>
        </w:tblCellMar>
      </w:tblPr>
      <w:tblGrid>
        <w:gridCol w:w="872"/>
        <w:gridCol w:w="767"/>
        <w:gridCol w:w="775"/>
        <w:gridCol w:w="109"/>
        <w:gridCol w:w="109"/>
        <w:gridCol w:w="109"/>
        <w:gridCol w:w="307"/>
        <w:gridCol w:w="898"/>
        <w:gridCol w:w="159"/>
        <w:gridCol w:w="109"/>
        <w:gridCol w:w="109"/>
        <w:gridCol w:w="109"/>
        <w:gridCol w:w="296"/>
        <w:gridCol w:w="718"/>
        <w:gridCol w:w="216"/>
      </w:tblGrid>
      <w:tr>
        <w:trPr/>
        <w:tc>
          <w:tcPr>
            <w:tcW w:w="87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Finance Leases</w:t>
            </w:r>
          </w:p>
        </w:tc>
      </w:tr>
      <w:tr>
        <w:trPr/>
        <w:tc>
          <w:tcPr>
            <w:tcW w:w="2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(remainder of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NOTE 14. SEGMENT INFORMATION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divides its operations into three reportable segments: U.S. Consumer, Hawthorne and Other. U.S. Consumer consists of the Company’s consumer lawn and garden business in the United States. Hawthorne consists of the Company’s indoor and hydroponic gardening business. Other primarily consists of the Company’s consumer lawn and garden business in Canada. This identification of reportable segments is consistent with how the segments report to and are managed by the chief operating decision maker of the Company. In addition, Corporate consists of general and administrative expenses and certain other income and expense items not allocated to the reportable business segments.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performance of each reportable segment is evaluated based on several factors, including income (loss) before income taxes, amortization, impairment, restructuring and other charges (“Segment Profit (Loss)”). Senior management uses Segment Profit (Loss) to evaluate segment performance because the Company believes this measure is indicative of performance trends and the overall earnings potential of each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financial information for the Company’s reportable segments for the periods indicated:</w:t>
      </w:r>
    </w:p>
    <w:tbl>
      <w:tblPr>
        <w:tblW w:w="9645" w:type="dxa"/>
        <w:jc w:val="left"/>
        <w:tblInd w:w="0" w:type="dxa"/>
        <w:tblLayout w:type="fixed"/>
        <w:tblCellMar>
          <w:top w:w="28" w:type="dxa"/>
          <w:left w:w="28" w:type="dxa"/>
          <w:bottom w:w="28" w:type="dxa"/>
          <w:right w:w="28" w:type="dxa"/>
        </w:tblCellMar>
      </w:tblPr>
      <w:tblGrid>
        <w:gridCol w:w="1546"/>
        <w:gridCol w:w="1354"/>
        <w:gridCol w:w="1375"/>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546"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2024</w:t>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284" w:type="dxa"/>
            <w:gridSpan w:val="18"/>
            <w:tcBorders/>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Consumer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Hawthorne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Profit (Loss):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Consumer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Hawthorne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Profit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restructuring and 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income (loss) of unconsolidated affiliates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expense,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net sales by product category for the periods indicated:</w:t>
      </w:r>
    </w:p>
    <w:tbl>
      <w:tblPr>
        <w:tblW w:w="9704" w:type="dxa"/>
        <w:jc w:val="left"/>
        <w:tblInd w:w="0" w:type="dxa"/>
        <w:tblLayout w:type="fixed"/>
        <w:tblCellMar>
          <w:top w:w="28" w:type="dxa"/>
          <w:left w:w="28" w:type="dxa"/>
          <w:bottom w:w="28" w:type="dxa"/>
          <w:right w:w="28" w:type="dxa"/>
        </w:tblCellMar>
      </w:tblPr>
      <w:tblGrid>
        <w:gridCol w:w="1567"/>
        <w:gridCol w:w="1379"/>
        <w:gridCol w:w="1388"/>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567"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2024</w:t>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284" w:type="dxa"/>
            <w:gridSpan w:val="18"/>
            <w:tcBorders/>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Consumer:</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Growing media and mulch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Lawn care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marketing agreement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primarily gardening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Hawthorne: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Nutrients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Lighting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Growing media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primarily hardware and growing environment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Growing media</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Lawn care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primarily gardening and controls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3,138.0 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net sales by geographic area for the periods indicated:</w:t>
      </w:r>
    </w:p>
    <w:tbl>
      <w:tblPr>
        <w:tblW w:w="6570" w:type="dxa"/>
        <w:jc w:val="left"/>
        <w:tblInd w:w="0" w:type="dxa"/>
        <w:tblLayout w:type="fixed"/>
        <w:tblCellMar>
          <w:top w:w="28" w:type="dxa"/>
          <w:left w:w="28" w:type="dxa"/>
          <w:bottom w:w="28" w:type="dxa"/>
          <w:right w:w="28" w:type="dxa"/>
        </w:tblCellMar>
      </w:tblPr>
      <w:tblGrid>
        <w:gridCol w:w="435"/>
        <w:gridCol w:w="380"/>
        <w:gridCol w:w="385"/>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2024</w:t>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284" w:type="dxa"/>
            <w:gridSpan w:val="18"/>
            <w:tcBorders/>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3,138.0 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purpose of this Management’s Discussion and Analysis of Financial Condition and Results of Operations (“MD&amp;A”) is to provide an understanding of our financial condition and results of operations by focusing on changes in certain key measures from year-to-year. This MD&amp;A includes the following sections: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Executive summary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Results of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Segment results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Liquidity and capital resources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Regulatory matters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Critical accounting estimates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This MD&amp;A should be read in conjunction with “Management’s Discussion and Analysis of Financial Condition and Results of Operations” included in Scotts Miracle-Gro’s Annual Report on Form 10-K for the fiscal year ended September 30, 2024 (the “2024 Annual Report”) and our condensed consolidated financial statements included in this Form 10-Q.</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operations are divided into three reportable segments: U.S. Consumer, Hawthorne and Other. U.S. Consumer consists of our consumer lawn and garden business in the United States. Hawthorne consists of our indoor and hydroponic gardening business. Other primarily consists of our consumer lawn and garden business in Canada. This division of reportable segments is consistent with how the segments report to and are managed by our chief operating decision maker. In addition, Corporate consists of general and administrative expenses and certain other income and expense items not allocated to the business segments. See “SEGMENT RESULTS” below for additional information regarding our evaluation of segment performance. </w:t>
      </w:r>
    </w:p>
    <w:p>
      <w:pPr>
        <w:pStyle w:val="TextBody"/>
        <w:bidi w:val="0"/>
        <w:spacing w:lineRule="auto" w:line="288" w:before="100" w:after="283"/>
        <w:ind w:left="0" w:right="0" w:firstLine="495"/>
        <w:jc w:val="both"/>
        <w:rPr/>
      </w:pPr>
      <w:r>
        <w:rPr>
          <w:rFonts w:ascii="Times New Roman;serif" w:hAnsi="Times New Roman;serif"/>
          <w:b w:val="false"/>
          <w:color w:val="000000"/>
          <w:sz w:val="20"/>
        </w:rPr>
        <w:t>Through our U.S. Consumer and Other segments, we are the leading manufacturer and marketer of branded consumer lawn and garden products in North America. Our products are marketed under some of the most recognized brand names in the industry. Our key consumer lawn and garden brands include Scotts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Turf Builder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lawn fertilizer and Scotts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grass seed products; Miracle-Gro</w:t>
      </w:r>
      <w:r>
        <w:rPr>
          <w:rFonts w:ascii="Times New Roman;serif" w:hAnsi="Times New Roman;serif"/>
          <w:b w:val="false"/>
          <w:color w:val="000000"/>
          <w:sz w:val="13"/>
        </w:rPr>
        <w:t xml:space="preserve">® </w:t>
      </w:r>
      <w:r>
        <w:rPr>
          <w:rFonts w:ascii="Times New Roman;serif" w:hAnsi="Times New Roman;serif"/>
          <w:b w:val="false"/>
          <w:color w:val="000000"/>
          <w:sz w:val="20"/>
        </w:rPr>
        <w:t>soil, plant food and gardening products; Ortho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herbicide and pesticide products; and Tomcat</w:t>
      </w:r>
      <w:r>
        <w:rPr>
          <w:rFonts w:ascii="Times New Roman;serif" w:hAnsi="Times New Roman;serif"/>
          <w:b w:val="false"/>
          <w:color w:val="000000"/>
          <w:sz w:val="13"/>
        </w:rPr>
        <w:t xml:space="preserve">® </w:t>
      </w:r>
      <w:r>
        <w:rPr>
          <w:rFonts w:ascii="Times New Roman;serif" w:hAnsi="Times New Roman;serif"/>
          <w:b w:val="false"/>
          <w:color w:val="000000"/>
          <w:sz w:val="20"/>
        </w:rPr>
        <w:t>rodent control and animal repellent products. We are the exclusive agent of Monsanto for the marketing and distribution of certain of Monsanto’s consumer 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branded products within the United States and certain other specified countries. In addition, we have an equity interest in Bonnie Plants, LLC, a joint venture with AFC focused on planting, growing, developing, distributing, marketing and selling live plants. </w:t>
      </w:r>
    </w:p>
    <w:p>
      <w:pPr>
        <w:pStyle w:val="TextBody"/>
        <w:bidi w:val="0"/>
        <w:spacing w:lineRule="auto" w:line="288" w:before="100" w:after="283"/>
        <w:ind w:left="0" w:right="0" w:firstLine="495"/>
        <w:jc w:val="both"/>
        <w:rPr/>
      </w:pPr>
      <w:r>
        <w:rPr>
          <w:rFonts w:ascii="Times New Roman;serif" w:hAnsi="Times New Roman;serif"/>
          <w:b w:val="false"/>
          <w:color w:val="000000"/>
          <w:sz w:val="20"/>
        </w:rPr>
        <w:t>Through our Hawthorne segment, we are a leading provider of nutrients, lighting and other materials used for indoor and hydroponic gardening in North America. Our Signature brands include General Hydroponics</w:t>
      </w:r>
      <w:r>
        <w:rPr>
          <w:rFonts w:ascii="Times New Roman;serif" w:hAnsi="Times New Roman;serif"/>
          <w:b w:val="false"/>
          <w:color w:val="000000"/>
          <w:sz w:val="13"/>
        </w:rPr>
        <w:t>®</w:t>
      </w:r>
      <w:r>
        <w:rPr>
          <w:rFonts w:ascii="Times New Roman;serif" w:hAnsi="Times New Roman;serif"/>
          <w:b w:val="false"/>
          <w:color w:val="000000"/>
          <w:sz w:val="20"/>
        </w:rPr>
        <w:t>, Gavita</w:t>
      </w:r>
      <w:r>
        <w:rPr>
          <w:rFonts w:ascii="Times New Roman;serif" w:hAnsi="Times New Roman;serif"/>
          <w:b w:val="false"/>
          <w:color w:val="000000"/>
          <w:sz w:val="13"/>
        </w:rPr>
        <w:t>®</w:t>
      </w:r>
      <w:r>
        <w:rPr>
          <w:rFonts w:ascii="Times New Roman;serif" w:hAnsi="Times New Roman;serif"/>
          <w:b w:val="false"/>
          <w:color w:val="000000"/>
          <w:sz w:val="20"/>
        </w:rPr>
        <w:t>, Botanicare</w:t>
      </w:r>
      <w:r>
        <w:rPr>
          <w:rFonts w:ascii="Times New Roman;serif" w:hAnsi="Times New Roman;serif"/>
          <w:b w:val="false"/>
          <w:color w:val="000000"/>
          <w:sz w:val="13"/>
        </w:rPr>
        <w:t>®</w:t>
      </w:r>
      <w:r>
        <w:rPr>
          <w:rFonts w:ascii="Times New Roman;serif" w:hAnsi="Times New Roman;serif"/>
          <w:b w:val="false"/>
          <w:color w:val="000000"/>
          <w:sz w:val="20"/>
        </w:rPr>
        <w:t>, Agrolux</w:t>
      </w:r>
      <w:r>
        <w:rPr>
          <w:rFonts w:ascii="Times New Roman;serif" w:hAnsi="Times New Roman;serif"/>
          <w:b w:val="false"/>
          <w:color w:val="000000"/>
          <w:sz w:val="13"/>
        </w:rPr>
        <w:t>®</w:t>
      </w:r>
      <w:r>
        <w:rPr>
          <w:rFonts w:ascii="Times New Roman;serif" w:hAnsi="Times New Roman;serif"/>
          <w:b w:val="false"/>
          <w:color w:val="000000"/>
          <w:sz w:val="20"/>
        </w:rPr>
        <w:t>, Gro Pro</w:t>
      </w:r>
      <w:r>
        <w:rPr>
          <w:rFonts w:ascii="Times New Roman;serif" w:hAnsi="Times New Roman;serif"/>
          <w:b w:val="false"/>
          <w:color w:val="000000"/>
          <w:sz w:val="13"/>
        </w:rPr>
        <w:t>®</w:t>
      </w:r>
      <w:r>
        <w:rPr>
          <w:rFonts w:ascii="Times New Roman;serif" w:hAnsi="Times New Roman;serif"/>
          <w:b w:val="false"/>
          <w:color w:val="000000"/>
          <w:sz w:val="20"/>
        </w:rPr>
        <w:t>, Mother Earth</w:t>
      </w:r>
      <w:r>
        <w:rPr>
          <w:rFonts w:ascii="Times New Roman;serif" w:hAnsi="Times New Roman;serif"/>
          <w:b w:val="false"/>
          <w:color w:val="000000"/>
          <w:sz w:val="13"/>
        </w:rPr>
        <w:t>®</w:t>
      </w:r>
      <w:r>
        <w:rPr>
          <w:rFonts w:ascii="Times New Roman;serif" w:hAnsi="Times New Roman;serif"/>
          <w:b w:val="false"/>
          <w:color w:val="000000"/>
          <w:sz w:val="20"/>
        </w:rPr>
        <w:t>, Grower’s Edge</w:t>
      </w:r>
      <w:r>
        <w:rPr>
          <w:rFonts w:ascii="Times New Roman;serif" w:hAnsi="Times New Roman;serif"/>
          <w:b w:val="false"/>
          <w:color w:val="000000"/>
          <w:sz w:val="13"/>
        </w:rPr>
        <w:t>®</w:t>
      </w:r>
      <w:r>
        <w:rPr>
          <w:rFonts w:ascii="Times New Roman;serif" w:hAnsi="Times New Roman;serif"/>
          <w:b w:val="false"/>
          <w:color w:val="000000"/>
          <w:sz w:val="20"/>
        </w:rPr>
        <w:t>, HydroLogic Purification System</w:t>
      </w:r>
      <w:r>
        <w:rPr>
          <w:rFonts w:ascii="Times New Roman;serif" w:hAnsi="Times New Roman;serif"/>
          <w:b w:val="false"/>
          <w:color w:val="000000"/>
          <w:sz w:val="13"/>
        </w:rPr>
        <w:t xml:space="preserve">® </w:t>
      </w:r>
      <w:r>
        <w:rPr>
          <w:rFonts w:ascii="Times New Roman;serif" w:hAnsi="Times New Roman;serif"/>
          <w:b w:val="false"/>
          <w:color w:val="000000"/>
          <w:sz w:val="20"/>
        </w:rPr>
        <w:t>and CYCO</w:t>
      </w:r>
      <w:r>
        <w:rPr>
          <w:rFonts w:ascii="Times New Roman;serif" w:hAnsi="Times New Roman;serif"/>
          <w:b w:val="false"/>
          <w:color w:val="000000"/>
          <w:sz w:val="13"/>
        </w:rPr>
        <w:t>®</w:t>
      </w:r>
      <w:r>
        <w:rPr>
          <w:rFonts w:ascii="Times New Roman;serif" w:hAnsi="Times New Roman;serif"/>
          <w:b w:val="false"/>
          <w:color w:val="000000"/>
          <w:sz w:val="20"/>
        </w:rPr>
        <w:t>.</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Due to the seasonal nature of the consumer lawn and garden business, significant portions of our U.S. Consumer and Other segment net sales ship to our retail customers during our second and third fiscal quarters, as noted in the following table. Our annual net sales are further concentrated in the second and third fiscal quarters by retailers who rely on our ability to deliver products closer to when consumers buy our products.</w:t>
      </w:r>
    </w:p>
    <w:tbl>
      <w:tblPr>
        <w:tblW w:w="4620" w:type="dxa"/>
        <w:jc w:val="left"/>
        <w:tblInd w:w="0" w:type="dxa"/>
        <w:tblLayout w:type="fixed"/>
        <w:tblCellMar>
          <w:top w:w="28" w:type="dxa"/>
          <w:left w:w="28" w:type="dxa"/>
          <w:bottom w:w="28" w:type="dxa"/>
          <w:right w:w="28" w:type="dxa"/>
        </w:tblCellMar>
      </w:tblPr>
      <w:tblGrid>
        <w:gridCol w:w="494"/>
        <w:gridCol w:w="433"/>
        <w:gridCol w:w="437"/>
        <w:gridCol w:w="255"/>
        <w:gridCol w:w="256"/>
        <w:gridCol w:w="309"/>
        <w:gridCol w:w="124"/>
        <w:gridCol w:w="124"/>
        <w:gridCol w:w="124"/>
        <w:gridCol w:w="255"/>
        <w:gridCol w:w="256"/>
        <w:gridCol w:w="309"/>
        <w:gridCol w:w="124"/>
        <w:gridCol w:w="124"/>
        <w:gridCol w:w="124"/>
        <w:gridCol w:w="255"/>
        <w:gridCol w:w="256"/>
        <w:gridCol w:w="361"/>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of Net Sales by Quarter</w:t>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Fourth Quarter</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283"/>
        <w:jc w:val="both"/>
        <w:rPr>
          <w:rFonts w:ascii="Times New Roman;serif" w:hAnsi="Times New Roman;serif"/>
          <w:b/>
          <w:i/>
          <w:color w:val="000000"/>
          <w:sz w:val="20"/>
        </w:rPr>
      </w:pPr>
      <w:r>
        <w:rPr>
          <w:rFonts w:ascii="Times New Roman;serif" w:hAnsi="Times New Roman;serif"/>
          <w:b/>
          <w:i/>
          <w:color w:val="000000"/>
          <w:sz w:val="20"/>
        </w:rPr>
        <w:t xml:space="preserve">Recent Events </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June 28, 2025, our Hawthorne segment continued to experience decreased sales volume. This was partially attributable to an oversupply of cannabis, which has led to a prolonged period of lower cannabis wholesale prices and reduced indoor and outdoor cannabis cultivation. The oversupply has been driven by increased licensing activity across the U.S. and significant capital investment in the cannabis production marketplace over the past several years, as well as inconsistent enforcement of regulations. We expect that the oversupply of cannabis will continue to adversely impact our Hawthorne segment. If the oversupply of cannabis persists longer, or is more significant than we expect, our results of operations could be materially and adversely impacted for a longer period and to a greater extent than we currently anticipate.</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fiscal 2024, our Hawthorne segment discontinued distribution of other companies’ products in order to shift its focus solely to marketing, innovating and supporting its portfolio of Signature brands. The discontinuation of sales of other companies’ products has resulted in lower sales volume when compared to historical periods, but has enabled continued optimization of Hawthorne’s operations and improvement of its profitability.</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continue to monitor the impacts of macroeconomic conditions, including elevated interest rates and the impact of inflationary pressures on input costs and consumer behavior; as well as geopolitical uncertainty, including the duration and resolution of ongoing conflicts, potential escalation of tensions and global supply chain disruptions. We are also continuing to monitor ongoing changes to global trade policies, including the imposition of tariffs. The impact that these events and conditions will have on our operational and financial performance will depend on future developments, which are difficult to predict. For more information about factors that could impact our business, refer to “ITEM 1A. RISK FACTORS” in the 2024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earnings as a percentage of net sales for the three months ended June 28, 2025 and June 29, 2024:</w:t>
      </w:r>
    </w:p>
    <w:tbl>
      <w:tblPr>
        <w:tblW w:w="9568" w:type="dxa"/>
        <w:jc w:val="left"/>
        <w:tblInd w:w="0" w:type="dxa"/>
        <w:tblLayout w:type="fixed"/>
        <w:tblCellMar>
          <w:top w:w="28" w:type="dxa"/>
          <w:left w:w="28" w:type="dxa"/>
          <w:bottom w:w="28" w:type="dxa"/>
          <w:right w:w="28" w:type="dxa"/>
        </w:tblCellMar>
      </w:tblPr>
      <w:tblGrid>
        <w:gridCol w:w="1550"/>
        <w:gridCol w:w="1355"/>
        <w:gridCol w:w="1370"/>
        <w:gridCol w:w="211"/>
        <w:gridCol w:w="766"/>
        <w:gridCol w:w="109"/>
        <w:gridCol w:w="109"/>
        <w:gridCol w:w="109"/>
        <w:gridCol w:w="109"/>
        <w:gridCol w:w="308"/>
        <w:gridCol w:w="308"/>
        <w:gridCol w:w="427"/>
        <w:gridCol w:w="109"/>
        <w:gridCol w:w="109"/>
        <w:gridCol w:w="109"/>
        <w:gridCol w:w="211"/>
        <w:gridCol w:w="766"/>
        <w:gridCol w:w="109"/>
        <w:gridCol w:w="109"/>
        <w:gridCol w:w="109"/>
        <w:gridCol w:w="109"/>
        <w:gridCol w:w="308"/>
        <w:gridCol w:w="308"/>
        <w:gridCol w:w="481"/>
      </w:tblGrid>
      <w:tr>
        <w:trPr/>
        <w:tc>
          <w:tcPr>
            <w:tcW w:w="155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Net Sales</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sales—impairment, restructuring and other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restructuring and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(income) loss of unconsolidated affiliates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The sum of the components may not equal due to rounding.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earnings as a percentage of net sales for the nine months ended June 28, 2025 and June 29, 2024:</w:t>
      </w:r>
    </w:p>
    <w:tbl>
      <w:tblPr>
        <w:tblW w:w="9568" w:type="dxa"/>
        <w:jc w:val="left"/>
        <w:tblInd w:w="0" w:type="dxa"/>
        <w:tblLayout w:type="fixed"/>
        <w:tblCellMar>
          <w:top w:w="28" w:type="dxa"/>
          <w:left w:w="28" w:type="dxa"/>
          <w:bottom w:w="28" w:type="dxa"/>
          <w:right w:w="28" w:type="dxa"/>
        </w:tblCellMar>
      </w:tblPr>
      <w:tblGrid>
        <w:gridCol w:w="1550"/>
        <w:gridCol w:w="1355"/>
        <w:gridCol w:w="1370"/>
        <w:gridCol w:w="211"/>
        <w:gridCol w:w="766"/>
        <w:gridCol w:w="109"/>
        <w:gridCol w:w="109"/>
        <w:gridCol w:w="109"/>
        <w:gridCol w:w="109"/>
        <w:gridCol w:w="308"/>
        <w:gridCol w:w="308"/>
        <w:gridCol w:w="427"/>
        <w:gridCol w:w="109"/>
        <w:gridCol w:w="109"/>
        <w:gridCol w:w="109"/>
        <w:gridCol w:w="211"/>
        <w:gridCol w:w="766"/>
        <w:gridCol w:w="109"/>
        <w:gridCol w:w="109"/>
        <w:gridCol w:w="109"/>
        <w:gridCol w:w="109"/>
        <w:gridCol w:w="308"/>
        <w:gridCol w:w="308"/>
        <w:gridCol w:w="481"/>
      </w:tblGrid>
      <w:tr>
        <w:trPr/>
        <w:tc>
          <w:tcPr>
            <w:tcW w:w="155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Net Sales</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sales—impairment, restructuring and other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restructuring and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(income) loss of unconsolidated affiliates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The sum of the components may not equal due to rounding.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sales for the three months ended June 28, 2025 were $1,188.0, a decrease of 1.2% from net sales of $1,202.2 for the three months ended June 29, 2024. Net sales for the nine months ended June 28, 2025 were $3,025.8, a decrease of 3.6% from net sales of $3,138.0 for the nine months ended June 29, 2024. Factors contributing to the change in net sales are outlined in the following table:</w:t>
      </w:r>
    </w:p>
    <w:tbl>
      <w:tblPr>
        <w:tblW w:w="5484" w:type="dxa"/>
        <w:jc w:val="left"/>
        <w:tblInd w:w="0" w:type="dxa"/>
        <w:tblLayout w:type="fixed"/>
        <w:tblCellMar>
          <w:top w:w="28" w:type="dxa"/>
          <w:left w:w="28" w:type="dxa"/>
          <w:bottom w:w="28" w:type="dxa"/>
          <w:right w:w="28" w:type="dxa"/>
        </w:tblCellMar>
      </w:tblPr>
      <w:tblGrid>
        <w:gridCol w:w="721"/>
        <w:gridCol w:w="635"/>
        <w:gridCol w:w="638"/>
        <w:gridCol w:w="355"/>
        <w:gridCol w:w="355"/>
        <w:gridCol w:w="894"/>
        <w:gridCol w:w="109"/>
        <w:gridCol w:w="109"/>
        <w:gridCol w:w="109"/>
        <w:gridCol w:w="318"/>
        <w:gridCol w:w="318"/>
        <w:gridCol w:w="923"/>
      </w:tblGrid>
      <w:tr>
        <w:trPr/>
        <w:tc>
          <w:tcPr>
            <w:tcW w:w="72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Volume and mix</w:t>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Pricing</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rates</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8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9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net sales</w:t>
            </w:r>
          </w:p>
        </w:tc>
        <w:tc>
          <w:tcPr>
            <w:tcW w:w="7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9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decrease in net sales for the three months ended June 28, 2025 as compared to the three months ended June 29, 2024 was primarily driven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decreased net sales of 1.4% included within “volume and mix” related to nonrecurring fiscal 2024 sales of bulk raw materials and AeroGarden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products in our U.S. Consumer segment and the discontinuation of sales of other companies’ products in our Hawthorne segment;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decreased net sales associated with the 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marketing agreement;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partially offset by increased sales volume of 0.5%, comprised of the net impact of higher volume in our U.S. Consumer segment driven by soils and grass seed products, partially offset by lower volume in our Hawthorne segment driven by all product categories.</w:t>
      </w:r>
    </w:p>
    <w:p>
      <w:pPr>
        <w:pStyle w:val="TextBody"/>
        <w:bidi w:val="0"/>
        <w:spacing w:before="160" w:after="283"/>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decrease in net sales for the nine months ended June 28, 2025 as compared to the nine months ended June 29, 2024 was primarily driven by:</w:t>
      </w:r>
    </w:p>
    <w:p>
      <w:pPr>
        <w:pStyle w:val="TextBody"/>
        <w:bidi w:val="0"/>
        <w:spacing w:lineRule="auto" w:line="288" w:before="120" w:after="283"/>
        <w:ind w:left="0" w:right="0" w:hanging="360"/>
        <w:jc w:val="both"/>
        <w:rPr/>
      </w:pPr>
      <w:r>
        <w:rPr>
          <w:color w:val="333333"/>
        </w:rPr>
        <w:t>•</w:t>
      </w:r>
      <w:r>
        <w:rPr>
          <w:rFonts w:ascii="Times New Roman;serif" w:hAnsi="Times New Roman;serif"/>
          <w:b w:val="false"/>
          <w:color w:val="000000"/>
          <w:sz w:val="20"/>
        </w:rPr>
        <w:t>decreased net sales of 2.1% included within “volume and mix” related to nonrecurring fiscal 2024 sales of bulk raw materials and AeroGarden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products in our U.S. Consumer segment and the discontinuation of sales of other companies’ products in our Hawthorne segment;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decreased sales volume of 0.7%, comprised of the net impact of lower volume in our Hawthorne segment driven by all product categories, partially offset by higher volume in our U.S. Consumer segment driven by soils, mulch and grass seed products;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decreased net sales associated with the 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marketing agreement; and</w:t>
      </w:r>
    </w:p>
    <w:p>
      <w:pPr>
        <w:pStyle w:val="TextBody"/>
        <w:bidi w:val="0"/>
        <w:spacing w:lineRule="auto" w:line="288" w:before="120" w:after="283"/>
        <w:ind w:left="0" w:right="0" w:hanging="360"/>
        <w:jc w:val="both"/>
        <w:rPr/>
      </w:pPr>
      <w:r>
        <w:rPr>
          <w:color w:val="333333"/>
        </w:rPr>
        <w:t>•</w:t>
      </w:r>
      <w:r>
        <w:rPr>
          <w:rFonts w:ascii="Times New Roman;serif" w:hAnsi="Times New Roman;serif"/>
          <w:b w:val="false"/>
          <w:color w:val="000000"/>
          <w:sz w:val="20"/>
        </w:rPr>
        <w:t>decreased pricing, primarily driven by additional investments in consumer activation activities in our U.S. Consumer segment.</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major components of cost of sales:</w:t>
      </w:r>
    </w:p>
    <w:tbl>
      <w:tblPr>
        <w:tblW w:w="9615" w:type="dxa"/>
        <w:jc w:val="left"/>
        <w:tblInd w:w="0" w:type="dxa"/>
        <w:tblLayout w:type="fixed"/>
        <w:tblCellMar>
          <w:top w:w="28" w:type="dxa"/>
          <w:left w:w="28" w:type="dxa"/>
          <w:bottom w:w="28" w:type="dxa"/>
          <w:right w:w="28" w:type="dxa"/>
        </w:tblCellMar>
      </w:tblPr>
      <w:tblGrid>
        <w:gridCol w:w="1647"/>
        <w:gridCol w:w="1446"/>
        <w:gridCol w:w="1452"/>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4"/>
      </w:tblGrid>
      <w:tr>
        <w:trPr/>
        <w:tc>
          <w:tcPr>
            <w:tcW w:w="1647"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2024</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labor and overhead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and warehousing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Costs associated with 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marketing agreement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sales—impairment, restructuring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Factors contributing to the change in cost of sales are outlined in the following table:</w:t>
      </w:r>
    </w:p>
    <w:tbl>
      <w:tblPr>
        <w:tblW w:w="8036" w:type="dxa"/>
        <w:jc w:val="left"/>
        <w:tblInd w:w="0" w:type="dxa"/>
        <w:tblLayout w:type="fixed"/>
        <w:tblCellMar>
          <w:top w:w="28" w:type="dxa"/>
          <w:left w:w="28" w:type="dxa"/>
          <w:bottom w:w="28" w:type="dxa"/>
          <w:right w:w="28" w:type="dxa"/>
        </w:tblCellMar>
      </w:tblPr>
      <w:tblGrid>
        <w:gridCol w:w="1648"/>
        <w:gridCol w:w="1446"/>
        <w:gridCol w:w="1451"/>
        <w:gridCol w:w="374"/>
        <w:gridCol w:w="1038"/>
        <w:gridCol w:w="193"/>
        <w:gridCol w:w="109"/>
        <w:gridCol w:w="109"/>
        <w:gridCol w:w="109"/>
        <w:gridCol w:w="311"/>
        <w:gridCol w:w="1021"/>
        <w:gridCol w:w="227"/>
      </w:tblGrid>
      <w:tr>
        <w:trPr/>
        <w:tc>
          <w:tcPr>
            <w:tcW w:w="1648"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Volume, mix and other</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 cost changes</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Costs associated with 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marketing agreement</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rates</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restructuring and other</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cost of sales</w:t>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pPr>
      <w:r>
        <w:rPr>
          <w:rFonts w:ascii="Times New Roman;serif" w:hAnsi="Times New Roman;serif"/>
          <w:b w:val="false"/>
          <w:color w:val="000000"/>
          <w:sz w:val="20"/>
        </w:rPr>
        <w:t>The decrease in cost of sales for the three months ended June 28, 2025 as compared to the three months ended June 29, 2024 was primarily driven by:</w:t>
      </w:r>
      <w:r>
        <w:rPr>
          <w:color w:val="000000"/>
        </w:rPr>
        <w:t> </w:t>
      </w:r>
    </w:p>
    <w:p>
      <w:pPr>
        <w:pStyle w:val="TextBody"/>
        <w:bidi w:val="0"/>
        <w:spacing w:lineRule="auto" w:line="288" w:before="120" w:after="283"/>
        <w:ind w:left="0" w:right="0" w:hanging="360"/>
        <w:jc w:val="both"/>
        <w:rPr/>
      </w:pPr>
      <w:r>
        <w:rPr>
          <w:color w:val="333333"/>
        </w:rPr>
        <w:t>•</w:t>
      </w:r>
      <w:r>
        <w:rPr>
          <w:rFonts w:ascii="Times New Roman;serif" w:hAnsi="Times New Roman;serif"/>
          <w:b w:val="false"/>
          <w:color w:val="000000"/>
          <w:sz w:val="20"/>
        </w:rPr>
        <w:t xml:space="preserve">lower material costs in our U.S. Consumer segment;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sales volume in our Hawthorne segment;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nonrecurring fiscal 2024 sales of bulk raw materials and AeroGarden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products in our U.S. Consumer segment and the discontinuation of sales of other companies’ products in our Hawthorne segment;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warehousing and transportation costs included within “volume, mix and other” in our U.S. Consumer and Hawthorne segments;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manufacturing costs included within “volume, mix and other” in our U.S. Consumer segment;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partially offset by higher sales volume in our U.S. Consumer segment;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in impairment, restructuring and other charges.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pPr>
      <w:r>
        <w:rPr>
          <w:rFonts w:ascii="Times New Roman;serif" w:hAnsi="Times New Roman;serif"/>
          <w:b w:val="false"/>
          <w:color w:val="000000"/>
          <w:sz w:val="20"/>
        </w:rPr>
        <w:t>The decrease in cost of sales for the nine months ended June 28, 2025 as compared to the nine months ended June 29, 2024 was primarily driven by:</w:t>
      </w:r>
      <w:r>
        <w:rPr>
          <w:color w:val="000000"/>
        </w:rPr>
        <w:t> </w:t>
      </w:r>
    </w:p>
    <w:p>
      <w:pPr>
        <w:pStyle w:val="TextBody"/>
        <w:bidi w:val="0"/>
        <w:spacing w:lineRule="auto" w:line="288" w:before="120" w:after="283"/>
        <w:ind w:left="0" w:right="0" w:hanging="360"/>
        <w:jc w:val="both"/>
        <w:rPr/>
      </w:pPr>
      <w:r>
        <w:rPr>
          <w:color w:val="333333"/>
        </w:rPr>
        <w:t>•</w:t>
      </w:r>
      <w:r>
        <w:rPr>
          <w:rFonts w:ascii="Times New Roman;serif" w:hAnsi="Times New Roman;serif"/>
          <w:b w:val="false"/>
          <w:color w:val="000000"/>
          <w:sz w:val="20"/>
        </w:rPr>
        <w:t>lower material costs in our U.S. Consumer segment;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lower sales volume in our Hawthorne segment;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nonrecurring fiscal 2024 sales of bulk raw materials and AeroGarden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products in our U.S. Consumer segment and the discontinuation of sales of other companies’ products in our Hawthorne segment;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warehousing and transportation costs included within “volume, mix and other” in our U.S. Consumer and Hawthorne segments;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lower manufacturing costs included within “volume, mix and other” in our U.S. Consumer, Hawthorne and Other segments; and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decrease in impairment, restructuring and other charges;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partially offset by higher sales volume in our U.S. Consumer segment.</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Gross Margin</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percentage of net sales, our gross margin rate was 31.8% and 29.5% for the three months ended June 28, 2025 and June 29, 2024, respectively, and was 33.7% and 28.0% for the nine months ended June 28, 2025 and June 29, 2024, respectively. Factors contributing to the change in gross margin rate are outlined in the following table:</w:t>
      </w:r>
    </w:p>
    <w:tbl>
      <w:tblPr>
        <w:tblW w:w="7255" w:type="dxa"/>
        <w:jc w:val="left"/>
        <w:tblInd w:w="0" w:type="dxa"/>
        <w:tblLayout w:type="fixed"/>
        <w:tblCellMar>
          <w:top w:w="28" w:type="dxa"/>
          <w:left w:w="28" w:type="dxa"/>
          <w:bottom w:w="28" w:type="dxa"/>
          <w:right w:w="28" w:type="dxa"/>
        </w:tblCellMar>
      </w:tblPr>
      <w:tblGrid>
        <w:gridCol w:w="1365"/>
        <w:gridCol w:w="1198"/>
        <w:gridCol w:w="1202"/>
        <w:gridCol w:w="355"/>
        <w:gridCol w:w="355"/>
        <w:gridCol w:w="894"/>
        <w:gridCol w:w="109"/>
        <w:gridCol w:w="109"/>
        <w:gridCol w:w="109"/>
        <w:gridCol w:w="318"/>
        <w:gridCol w:w="318"/>
        <w:gridCol w:w="923"/>
      </w:tblGrid>
      <w:tr>
        <w:trPr/>
        <w:tc>
          <w:tcPr>
            <w:tcW w:w="1365"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Volume, mix and other</w:t>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 costs</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commissions and reimbursements</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8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9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Pricing</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restructuring and other</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gross margin rate</w:t>
            </w:r>
          </w:p>
        </w:tc>
        <w:tc>
          <w:tcPr>
            <w:tcW w:w="7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450"/>
        <w:jc w:val="both"/>
        <w:rPr/>
      </w:pPr>
      <w:r>
        <w:rPr>
          <w:rFonts w:ascii="Times New Roman;serif" w:hAnsi="Times New Roman;serif"/>
          <w:b w:val="false"/>
          <w:color w:val="000000"/>
          <w:sz w:val="20"/>
        </w:rPr>
        <w:t>The increase in gross margin rate for the three months ended June 28, 2025 as compared to the three months ended June 29, 2024 was primarily driven by:</w:t>
      </w:r>
      <w:r>
        <w:rPr>
          <w:color w:val="000000"/>
        </w:rPr>
        <w: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lower material costs in our U.S. Consumer segment;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favorable mix associated with our U.S. Consumer and Hawthorne segments;</w:t>
      </w:r>
    </w:p>
    <w:p>
      <w:pPr>
        <w:pStyle w:val="TextBody"/>
        <w:bidi w:val="0"/>
        <w:spacing w:lineRule="auto" w:line="288" w:before="120" w:after="283"/>
        <w:ind w:left="0" w:right="0" w:hanging="360"/>
        <w:jc w:val="both"/>
        <w:rPr/>
      </w:pPr>
      <w:r>
        <w:rPr>
          <w:color w:val="333333"/>
        </w:rPr>
        <w:t>•</w:t>
      </w:r>
      <w:r>
        <w:rPr>
          <w:rFonts w:ascii="Times New Roman;serif" w:hAnsi="Times New Roman;serif"/>
          <w:b w:val="false"/>
          <w:color w:val="000000"/>
          <w:sz w:val="20"/>
        </w:rPr>
        <w:t>lower warehousing and transportation costs included within “volume, mix and other” in our U.S. Consumer and Hawthorne segments;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manufacturing costs included within “volume, mix and other” in our U.S. Consumer segment;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partially offset by an increase in impairment, restructuring and other charges.</w:t>
      </w:r>
    </w:p>
    <w:p>
      <w:pPr>
        <w:pStyle w:val="TextBody"/>
        <w:bidi w:val="0"/>
        <w:spacing w:before="160" w:after="283"/>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 in gross margin rate for the nine months ended June 28, 2025 as compared to the nine months ended June 29, 2024 was primarily driven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lower material costs in our U.S. Consumer segment;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favorable mix associated with our U.S. Consumer and Hawthorne segments;</w:t>
      </w:r>
    </w:p>
    <w:p>
      <w:pPr>
        <w:pStyle w:val="TextBody"/>
        <w:bidi w:val="0"/>
        <w:spacing w:lineRule="auto" w:line="288" w:before="120" w:after="283"/>
        <w:ind w:left="0" w:right="0" w:hanging="360"/>
        <w:jc w:val="both"/>
        <w:rPr/>
      </w:pPr>
      <w:r>
        <w:rPr>
          <w:color w:val="333333"/>
        </w:rPr>
        <w:t>•</w:t>
      </w:r>
      <w:r>
        <w:rPr>
          <w:rFonts w:ascii="Times New Roman;serif" w:hAnsi="Times New Roman;serif"/>
          <w:b w:val="false"/>
          <w:color w:val="000000"/>
          <w:sz w:val="20"/>
        </w:rPr>
        <w:t xml:space="preserve">lower warehousing and transportation costs included within “volume, mix and other” in our U.S. Consumer and Hawthorne segments;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manufacturing costs included within “volume, mix and other” in our U.S. Consumer, Hawthorne and Other segments;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decrease in impairment, restructuring, and other charges;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partially offset by decreased pricing, primarily driven by additional investments in consumer activation activities in our U.S. Consumer segment;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unfavorable leverage of fixed costs, included within “volume, mix and other” driven by lower sales volume in our Hawthorne segment.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selling, general and administrative expenses (“SG&amp;A”):</w:t>
      </w:r>
    </w:p>
    <w:tbl>
      <w:tblPr>
        <w:tblW w:w="8190" w:type="dxa"/>
        <w:jc w:val="left"/>
        <w:tblInd w:w="0" w:type="dxa"/>
        <w:tblLayout w:type="fixed"/>
        <w:tblCellMar>
          <w:top w:w="28" w:type="dxa"/>
          <w:left w:w="28" w:type="dxa"/>
          <w:bottom w:w="28" w:type="dxa"/>
          <w:right w:w="28" w:type="dxa"/>
        </w:tblCellMar>
      </w:tblPr>
      <w:tblGrid>
        <w:gridCol w:w="1237"/>
        <w:gridCol w:w="1088"/>
        <w:gridCol w:w="1095"/>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237"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2024</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selling, 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SG&amp;A increased $5.5, or 3.7%, during the three months ended June 28, 2025 compared to the three months ended June 29, 2024. Advertising expense increased $3.4, or 7.3%, due to higher media spending in our U.S. Consumer segment. Share-based compensation expense, which excludes certain advertising expenses paid for in Common Shares, decreased $3.4, or 25.0%, primarily due to lower long-term incentive compensation expense. Other SG&amp;A increased $5.6, or 7.4%, driven by higher short-term variable cash incentive compensation expense and other associate-related costs.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SG&amp;A increased $25.1, or 5.7%, during the nine months ended June 28, 2025 compared to the nine months ended June 29, 2024. Advertising expense increased $4.0, or 3.2%, due to higher media spending in our U.S. Consumer segment. Share-based compensation expense, which excludes certain advertising expenses paid for in Common Shares, decreased $8.9, or 19.7%, primarily due to lower long-term incentive compensation expense. Other SG&amp;A increased $31.0, or 13.2%, driven by higher short-term variable cash incentive compensation expense and other associate-related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Impairment, Restructuring and Other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Activity described herein is classified within the “Cost of sales—impairment, restructuring and other” and “Impairment, restructuring and other” lines in the Condensed Consolidated Statements of Operations. The following table details impairment, restructuring and other charges (recoveries) for each of the periods presented:</w:t>
      </w:r>
    </w:p>
    <w:tbl>
      <w:tblPr>
        <w:tblW w:w="9674" w:type="dxa"/>
        <w:jc w:val="left"/>
        <w:tblInd w:w="0" w:type="dxa"/>
        <w:tblLayout w:type="fixed"/>
        <w:tblCellMar>
          <w:top w:w="28" w:type="dxa"/>
          <w:left w:w="28" w:type="dxa"/>
          <w:bottom w:w="28" w:type="dxa"/>
          <w:right w:w="28" w:type="dxa"/>
        </w:tblCellMar>
      </w:tblPr>
      <w:tblGrid>
        <w:gridCol w:w="1978"/>
        <w:gridCol w:w="1738"/>
        <w:gridCol w:w="1743"/>
        <w:gridCol w:w="211"/>
        <w:gridCol w:w="406"/>
        <w:gridCol w:w="109"/>
        <w:gridCol w:w="109"/>
        <w:gridCol w:w="109"/>
        <w:gridCol w:w="109"/>
        <w:gridCol w:w="211"/>
        <w:gridCol w:w="481"/>
        <w:gridCol w:w="109"/>
        <w:gridCol w:w="109"/>
        <w:gridCol w:w="109"/>
        <w:gridCol w:w="109"/>
        <w:gridCol w:w="211"/>
        <w:gridCol w:w="511"/>
        <w:gridCol w:w="109"/>
        <w:gridCol w:w="109"/>
        <w:gridCol w:w="109"/>
        <w:gridCol w:w="109"/>
        <w:gridCol w:w="211"/>
        <w:gridCol w:w="511"/>
        <w:gridCol w:w="154"/>
      </w:tblGrid>
      <w:tr>
        <w:trPr/>
        <w:tc>
          <w:tcPr>
            <w:tcW w:w="1978"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2024</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sales—impairment, restructuring and other:</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 (recoveries),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 impairments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impairments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expenses—impairment, restructuring and other:</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 (recoveries), net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exchange of convertible debt investment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impairment, restructuring and other charges (recoveries),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June 28, 2025, we incurred employee and executive severance charges of $2.6 and $6.2, respectively, in the “Cost of sales—impairment, restructuring and other” line in the Condensed Consolidated Statements of Operations and $1.4 and $16.2, respectively, in the “Impairment, restructuring and other” line in the Condensed Consolidated Statements of Operations. We incurred charges of $2.0 and $5.0 in our U.S. Consumer segment and $0.6 and $1.2 in our Hawthorne segment in the “Cost of sales—impairment, restructuring and other” line in the Condensed Consolidated Statements of Operations during the three and nine months ended June 28, 2025, respectively. We incurred charges of $1.9 in our U.S. Consumer segment, $2.7 in our Hawthorne segment and $11.6 at Corporate in the “Impairment, restructuring and other” line in the Condensed Consolidated Statements of Operations during the nine months ended June 28, 2025.</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June 28, 2025, we incurred a non-cash loss of $0.0 and $7.0, respectively, in the “Impairment, restructuring and other” line in the Condensed Consolidated Statements of Operations related to the exchange of our convertible debt investment in RIV Capital for non-voting exchangeable shares of Fluent. Refer to “NOTE 2. INVESTMENT IN UNCONSOLIDATED AFFILIATES” for further details.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fiscal 2022, we began implementing a series of Company-wide organizational changes and initiatives intended to create operational and management-level efficiencies. As part of this restructuring initiative, we reduced the size of our supply chain network, reduced staffing levels and implemented other cost-reduction initiatives. We also accelerated the reduction of certain Hawthorne inventory, primarily lighting, growing environments and hardware products, to reduce on hand inventory to align with the reduced network capacity. During the three months ended June 28, 2025, we incurred costs associated with this restructuring initiative that were not material. During the nine months ended June 28, 2025, we incurred costs of $3.6 in our U.S. Consumer segment and $6.3 in our Hawthorne segment associated with this restructuring initiative in the “Cost of sales—impairment, restructuring and other” line in the Condensed Consolidated Statements of Operations. During the three months ended June 29, 2024, we recorded net recoveries associated with this restructuring initiative that were not material. During the nine months ended June 29, 2024, we incurred costs of $69.7 associated with this restructuring initiative primarily related to inventory write-down charges, employee termination benefits, facility closure costs and impairment of right-of-use assets and property, plant and equipment. We incurred costs of $3.7 in our U.S. Consumer segment and $62.9 in our Hawthorne segment in the “Cost of sales—impairment, restructuring and other” line in the Condensed Consolidated Statements of Operations during the nine months ended June 29, 2024. We recorded recoveries of $1.2 in our U.S. Consumer segment, and incurred costs of $1.0 in our Hawthorne segment, $0.8 in our Other segment and $2.4 at Corporate in the “Impairment, restructuring and other” line in the Condensed Consolidated Statements of Operations during the nine months ended June 29, 2024. Costs incurred since the inception of this restructuring initiative through June 28, 2025 were $303.5 for our Hawthorne segment, $62.0 for our U.S. Consumer segment, $2.9 for our Other segment and $25.1 for Corporate.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June 29, 2024, we recorded a gain of $0.0 and $12.1, respectively, in the “Impairment, restructuring and other” line in the Condensed Consolidated Statements of Operations associated with a payment received in resolution of a dispute with the former ownership group of a business that was acquired in fiscal 2022. This payment was classified as an operating activity in the Condensed Consolidated Statements of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Other Expense, net</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Other expense is comprised of activities such as the discount on sales of accounts receivable under the Master Receivables Purchase Agreement, royalty income from the licensing of certain of our brand names and foreign exchange transaction gains and losses. Other expense was $7.2 and $6.9 for the three months ended June 28, 2025 and June 29, 2024, respectively; and was $15.9 and $19.6 for the nine months ended June 28, 2025 and June 29, 2024, respectively. The decrease in other expense for the nine months ended June 28, 2025 is primarily due to lower discount on sales of accounts receivable under the Master Receivables Purchase Agreement.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Income from Operations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Income from operations was $215.0 for the three months ended June 28, 2025, an increase of 7.4% compared to $200.1 for the three months ended June 29, 2024; and was $508.7 for the nine months ended June 28, 2025, an increase of 19.7% compared to $424.9 for the nine months ended June 29, 2024. For the three months ended June 28, 2025, the increase was primarily driven by a higher gross margin rate, partially offset by lower net sales, higher SG&amp;A and higher impairment, restructuring and other charges. For the nine months ended June 28, 2025, the increase was primarily driven by a higher gross margin rate, lower other expense and lower impairment, restructuring, and other charges, partially offset by lower net sales and higher SG&amp;A. </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Equity in (Income) Loss of Unconsolidated Affiliates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Equity in (income) loss of unconsolidated affiliates was $(25.3) and $(23.0) for the three months ended June 28, 2025 and June 29, 2024, respectively; and was $(9.5) and $6.5 for the nine months ended June 28, 2025 and June 29, 2024, respectively. Equity in (income) loss of unconsolidated affiliates associated with Bonnie Plants, LLC was $(27.2) and $(11.4) during the three and nine months ended June 28, 2025, respectively, compared to $(23.0) and $6.5 during the three and nine months ended June 29, 2024, respectively. We recorded a pre-tax impairment charge of $0.0 and $10.4 during the three and nine months ended June 29, 2024, respectively, associated with our investment in Bonnie Plants, LLC. Equity in (income) loss of unconsolidated affiliates associated with Fluent was $1.9 for the three and nine months ended June 28, 2025.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was $31.8 for the three months ended June 28, 2025, a decrease of 18.0% compared to $38.8 for the three months ended June 29, 2024; and was $102.0 for the nine months ended June 28, 2025, a decrease of 18.8% compared to $125.6 for the nine months ended June 29, 2024. For the three months ended June 28, 2025, the decrease was driven by lower average borrowings of $287.6 and a decrease in our weighted average interest rate, net of the impact of interest rate swaps, of 50 basis points. For the nine months ended June 28, 2025, the decrease was driven by lower average borrowings of $341.7 and a decrease in our weighted average interest rate, net of the impact of interest rate swaps, of 50 basis points. The decrease in average borrowings was driven by our focus on using available cash flow to reduce our debt. The decrease in our weighted average interest rate was primarily driven by lower borrowing rates under the Sixth A&amp;R Credit Agreement. </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effective tax rates for the nine months ended June 28, 2025 and June 29, 2024 were 27.9% and 27.5%, respectively. The effective tax rate used for interim purposes is based on our best estimate of factors impacting the effective tax rate for the full fiscal year. Factors affecting the estimated effective tax rate include assumptions as to income by jurisdiction (domestic and foreign), the availability and utilization of tax credits and the existence of elements of income and expense that may not be taxable or deductible. The estimated effective tax rate is subject to revision in later interim periods and at fiscal year-end as facts and circumstances change during the course of the fiscal year. There can be no assurance that the effective tax rate estimated for interim financial reporting purposes will approximate the effective tax rate determined at fiscal year-end.</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 xml:space="preserve">Net Income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income was $149.1, or $2.54 per diluted share, for the three months ended June 28, 2025 compared to $132.1, or $2.28 per diluted share, for the three months ended June 29, 2024. The increase was driven by a higher gross margin rate and lower interest expense, partially offset by lower net sales, higher SG&amp;A, higher impairment, restructuring and other charges and higher income tax expense.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Diluted average Common Shares used in the diluted net income per common share calculation for the three months ended June 28, 2025 and June 29, 2024 were 58.6 million and 58.0 million, respectively, which included dilutive potential Common Shares of 0.9 million and 1.2 million, respectively. The increase in diluted average Common Shares was primarily the result of the exercise and issuance of share-based compensation awards.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income was $297.1, or $5.07 per diluted share, for the nine months ended June 28, 2025 compared to $209.1, or $3.64 per diluted share, for the nine months ended June 29, 2024. The increase was driven by a higher gross margin rate, lower impairment, restructuring and other charges, lower other expense, lower interest expense and higher equity in income of unconsolidated affiliates, partially offset by lower net sales, higher SG&amp;A and higher income tax expense.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Diluted average Common Shares used in the diluted net income per common share calculation for the nine months ended June 28, 2025 and June 29, 2024 were 58.6 million and 57.5 million, respectively, which included dilutive potential Common Shares of 1.1 million and 0.8 million, respectively. The increase in diluted average Common Shares was primarily the result of the exercise and issuance of share-based compensation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SEGMENT RESULTS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performance of each reportable segment is evaluated based on several factors, including income (loss) before income taxes, amortization, impairment, restructuring and other charges (“Segment Profit (Loss)”), which is a non-GAAP financial measure. Senior management uses Segment Profit (Loss) to evaluate segment performance because they believe this measure is indicative of performance trends and the overall earnings potential of each segment.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net sales by segment:</w:t>
      </w:r>
    </w:p>
    <w:tbl>
      <w:tblPr>
        <w:tblW w:w="6690" w:type="dxa"/>
        <w:jc w:val="left"/>
        <w:tblInd w:w="0" w:type="dxa"/>
        <w:tblLayout w:type="fixed"/>
        <w:tblCellMar>
          <w:top w:w="28" w:type="dxa"/>
          <w:left w:w="28" w:type="dxa"/>
          <w:bottom w:w="28" w:type="dxa"/>
          <w:right w:w="28" w:type="dxa"/>
        </w:tblCellMar>
      </w:tblPr>
      <w:tblGrid>
        <w:gridCol w:w="477"/>
        <w:gridCol w:w="420"/>
        <w:gridCol w:w="423"/>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2024</w:t>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Consumer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Hawthorne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3,138.0 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Segment Profit (Loss) as well as a reconciliation to income before income taxes, the most directly comparable GAAP measure:</w:t>
      </w:r>
    </w:p>
    <w:tbl>
      <w:tblPr>
        <w:tblW w:w="9044" w:type="dxa"/>
        <w:jc w:val="left"/>
        <w:tblInd w:w="0" w:type="dxa"/>
        <w:tblLayout w:type="fixed"/>
        <w:tblCellMar>
          <w:top w:w="28" w:type="dxa"/>
          <w:left w:w="28" w:type="dxa"/>
          <w:bottom w:w="28" w:type="dxa"/>
          <w:right w:w="28" w:type="dxa"/>
        </w:tblCellMar>
      </w:tblPr>
      <w:tblGrid>
        <w:gridCol w:w="1546"/>
        <w:gridCol w:w="1359"/>
        <w:gridCol w:w="136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546"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2024</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Consumer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Hawthorne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Profit (Non-GAAP)</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restructuring and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income (loss) of unconsolidated affiliates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 (GAAP)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U.S. Consumer</w:t>
      </w:r>
    </w:p>
    <w:p>
      <w:pPr>
        <w:pStyle w:val="TextBody"/>
        <w:bidi w:val="0"/>
        <w:spacing w:lineRule="auto" w:line="288" w:before="160" w:after="283"/>
        <w:ind w:left="0" w:right="0" w:firstLine="450"/>
        <w:jc w:val="both"/>
        <w:rPr/>
      </w:pPr>
      <w:r>
        <w:rPr>
          <w:rFonts w:ascii="Times New Roman;serif" w:hAnsi="Times New Roman;serif"/>
          <w:b w:val="false"/>
          <w:color w:val="000000"/>
          <w:sz w:val="20"/>
        </w:rPr>
        <w:t>U.S. Consumer segment net sales were $1,030.2 in the third quarter of fiscal 2025, an increase of 1.2% from third quarter of fiscal 2024 net sales of $1,017.5; and were $2,682.6 for the first nine months of fiscal 2025, a decrease of 0.8% from the first nine months of fiscal 2024 net sales of $2,704.0. For the third quarter of fiscal 2025, the increase was driven by higher sales volume of 2.2%, partially offset by a decrease of 1.0% due to nonrecurring fiscal 2024 sales of bulk raw materials and AeroGarden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products. For the nine months ended June 28, 2025, the decrease was driven by nonrecurring fiscal 2024 sales of bulk raw materials and AeroGarden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products of 1.3% and decreased pricing of 0.6%, partially offset by higher sales volume of 1.1%. The increase in sales volume for the third quarter of fiscal 2025 was driven by soils and grass seed products. The increase in sales volume for the nine months ended June 28, 2025 was driven by soils, mulch and grass seed products. Decreased pricing for the nine months ended June 28, 2025 was due to additional investments in consumer activation activities.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U.S. Consumer Segment Profit was $235.5 in the third quarter of fiscal 2025, an increase of 12.0% from third quarter of fiscal 2024 Segment Profit of $210.3; and U.S Consumer Segment Profit was $638.1 for the first nine months of fiscal 2025, an increase of 9.9% from the first nine months of fiscal 2024 Segment Profit of $580.5. For the third quarter of fiscal 2025, the increase was primarily due to higher net sales and a higher gross margin rate, partially offset by higher SG&amp;A. For the nine months ended June 28, 2025, the increase was primarily due to a higher gross margin rate and lower other expense, partially offset by lower net sales and higher SG&amp;A. </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Hawthorne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Hawthorne segment net sales were $31.2 in the third quarter of fiscal 2025, a decrease of 53.9% from third quarter of fiscal 2024 net sales of $67.7; and were $115.9 for the first nine months of fiscal 2025, a decrease of 45.9% from the first nine months of fiscal 2024 net sales of $214.2. For the third quarter of fiscal 2025, the decrease was driven by lower sales volume of 42.0%, the discontinuation of sales of other companies’ products of 8.8% and decreased pricing of 3.1%. For the nine months ended June 28, 2025, the decrease was driven by lower sales volume of 30.7%, the discontinuation of sales of other companies’ products of 13.6% and decreased pricing of 1.6%.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Hawthorne Segment Profit was $0.0 in the third quarter of fiscal 2025 compared to Segment Profit of $3.8 for the third quarter of fiscal 2024; and Hawthorne Segment Profit was $0.7 for the first nine months of fiscal 2025 compared to Segment Loss of $9.2 for the first nine months of fiscal 2024. For the third quarter of fiscal 2025, the decrease was driven by lower net sales, partially offset by a higher gross margin rate and lower SG&amp;A. For the nine months ended June 28, 2025, the improvement was driven by a higher gross margin rate and lower SG&amp;A, partially offset by lower net sales.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Other</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segment net sales were $126.6 in the third quarter of fiscal 2025, an increase of 8.2% from third quarter of fiscal 2024 net sales of $117.0; and were $227.3 for the first nine months of fiscal 2025, an increase of 3.4% from the first nine months of fiscal 2024 net sales of $219.8. For the third quarter of fiscal 2025, the increase was driven by higher sales volume of 8.8% and increased pricing of 0.2%, partially offset by unfavorable foreign exchange rates of 0.8%. For the nine months ended June 28, 2025, the increase was driven by higher sales volume of 5.8% and increased pricing of 0.2%, partially offset by unfavorable foreign exchange rates of 2.6%.</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Segment Profit was $16.8 in the third quarter of fiscal 2025, an increase of 43.6% from third quarter of fiscal 2024 Segment Profit of $11.7; and Other Segment Profit was $22.7 for the first nine months of fiscal 2025, an increase of 74.6% from the first nine months of fiscal 2024 Segment Profit of $13.0. For the three and nine months ended June 28, 2025, the increase was driven by higher net sales and a higher gross margin rate.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Corporate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Corporate expenses were $28.0 in the third quarter of fiscal 2025 compared to $25.1 for the third quarter of fiscal 2024; and were $97.6 for the first nine months of fiscal 2025, an increase of 12.4% from the first nine months of fiscal 2024 expenses of $86.8. For the three and nine months ended June 28, 2025, the increase was primarily driven by higher short-term variable incentive compensation expense and other associate-related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cash activities:</w:t>
      </w:r>
    </w:p>
    <w:tbl>
      <w:tblPr>
        <w:tblW w:w="5709" w:type="dxa"/>
        <w:jc w:val="left"/>
        <w:tblInd w:w="0" w:type="dxa"/>
        <w:tblLayout w:type="fixed"/>
        <w:tblCellMar>
          <w:top w:w="28" w:type="dxa"/>
          <w:left w:w="28" w:type="dxa"/>
          <w:bottom w:w="28" w:type="dxa"/>
          <w:right w:w="28" w:type="dxa"/>
        </w:tblCellMar>
      </w:tblPr>
      <w:tblGrid>
        <w:gridCol w:w="1254"/>
        <w:gridCol w:w="1104"/>
        <w:gridCol w:w="1107"/>
        <w:gridCol w:w="211"/>
        <w:gridCol w:w="616"/>
        <w:gridCol w:w="109"/>
        <w:gridCol w:w="109"/>
        <w:gridCol w:w="109"/>
        <w:gridCol w:w="109"/>
        <w:gridCol w:w="211"/>
        <w:gridCol w:w="616"/>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2024</w:t>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308" w:type="dxa"/>
            <w:gridSpan w:val="6"/>
            <w:tcBorders/>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Cash provided by operating activities totaled $197.2 for the nine months ended June 28, 2025 compared to $549.0 for the nine months ended June 29, 2024. The decrease was driven by higher inventory production, the timing of accounts receivable sales, higher short-term variable cash incentive compensation payments and higher SG&amp;A, partially offset by higher gross margin and lower interest payments. Accounts receivable sale timing was driven by our entry into the Master Receivable Purchasing Agreement during the nine months ended June 29,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Cash used in investing activities totaled $60.0 for the nine months ended June 28, 2025 compared to $80.0 for the nine months ended June 29, 2024. Cash used for investments in property, plant and equipment during the first nine months of fiscal 2025 and 2024 was $54.5 and $67.4, respectively, driven by the timing of spending on capital projects. During the nine months ended June 28, 2025 and June 29, 2024, we had other investing cash (outflows) inflows of $(5.5) and $8.8, respectively, primarily associated with currency forward contracts. During the nine months ended June 29, 2024, we acquired an additional equity interest in Bonnie Plants, LLC for $21.4. </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Cash used in financing activities totaled $158.2 for the nine months ended June 28, 2025 compared to $221.1 for the nine months ended June 29, 2024. During the nine months ended June 28, 2025, we had net repayments under our credit facilities of $39.3, paid dividends of $116.2 and received cash from the exercise of stock options of $11.2 (which also includes amounts received from employee purchases under the employee stock purchase plan). During the nine months ended June 29, 2024, we had net repayments under our credit facilities of $127.9 and paid dividends of $113.7. During the nine months ended June 28, 2025 and June 29, 2024, we repurchased Common Shares for $18.4 and $5.0, respectively (which includes cash paid to tax authorities to satisfy statutory income tax withholding obligations related to share-based compensation). In addition, during the nine months ended June 28, 2025 and June 29, 2024, we had other financing cash inflows of $4.5 and $23.1, respectively, primarily related to collections of previously sold accounts receivable not yet submitted to the buyer.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Accounts Receivable Sales</w:t>
      </w:r>
    </w:p>
    <w:p>
      <w:pPr>
        <w:pStyle w:val="TextBody"/>
        <w:bidi w:val="0"/>
        <w:spacing w:lineRule="auto" w:line="288" w:before="160" w:after="283"/>
        <w:ind w:left="0" w:right="0" w:firstLine="450"/>
        <w:jc w:val="both"/>
        <w:rPr/>
      </w:pPr>
      <w:r>
        <w:rPr>
          <w:rFonts w:ascii="Times New Roman;serif" w:hAnsi="Times New Roman;serif"/>
          <w:b w:val="false"/>
          <w:color w:val="000000"/>
          <w:sz w:val="20"/>
        </w:rPr>
        <w:t>On October 27, 2023, we entered into the Master Receivables Purchase Agreement, under which we could sell up to $600.0 of available and eligible outstanding customer accounts receivable generated by sales to four specified customers.</w:t>
      </w:r>
      <w:r>
        <w:rPr>
          <w:color w:val="000000"/>
        </w:rPr>
        <w:t xml:space="preserve"> </w:t>
      </w:r>
      <w:r>
        <w:rPr>
          <w:rFonts w:ascii="Times New Roman;serif" w:hAnsi="Times New Roman;serif"/>
          <w:b w:val="false"/>
          <w:color w:val="000000"/>
          <w:sz w:val="20"/>
        </w:rPr>
        <w:t xml:space="preserve">On September 1, 2024, we amended the Master Receivables Purchase Agreement to permit us to sell up to $750.0 of available and eligible outstanding customer accounts receivable generated by sales to five specified customers. The agreement is uncommitted and expires on September 1, 2025. Transactions under the Master Receivables Purchase Agreement are accounted for as sales of accounts receivable, and the receivables sold are removed from the Condensed Consolidated Balance Sheets at the time of the sales transaction. Proceeds received from the sales of accounts receivable are classified as operating cash flows and collections of previously sold accounts receivable not yet submitted to the buyer are classified as financing cash flows in the Condensed Consolidated Statements of Cash Flows. We record the discount on sales in the “Other expense, net” line in the Condensed Consolidated Statements of Operations. At June 28, 2025, June 29, 2024 and September 30, 2024, net receivables derecognized were $418.8, $477.3 and $186.6, respectively. During the three months ended June 28, 2025 and June 29, 2024, proceeds from the sale of receivables under the Master Receivables Purchase Agreement totaled $686.7 and $724.5, respectively, and the total discount recorded on sales was $7.3 and $8.7, respectively. During the nine months ended June 28, 2025 and June 29, 2024, proceeds from the sale of receivables under the Master Receivables Purchase Agreement totaled $1,708.9 and $1,680.0, respectively, and the total discount recorded on sales was $18.5 and $21.6, respectively.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Supplier Finance Program</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an agreement to provide a supplier finance program which facilitates participating suppliers’ ability to finance our payment obligations with a designated third-party financial institution. Participating suppliers may, at their sole discretion, elect to finance our payment obligations prior to their scheduled due dates at a discounted price to the participating financial institution. Our obligations to our suppliers, including amounts due and scheduled payment dates, are not impacted by suppliers’ decisions to finance amounts under this arrangement. The payment terms that we negotiate with our suppliers are consistent, regardless of whether a supplier participates in the program. Our current payment terms with a majority of our suppliers generally range from 30 to 60 days, which we deem to be commercially reasonable. Our outstanding payment obligations under our supplier finance program were $19.2, $22.8 and $12.5 at June 28, 2025, June 29, 2024 and September 30, 2024, respectively, and are recorded within accounts payable in the Condensed Consolidated Balance Sheets. The associated payments were $212.0 and $218.6 for the nine months ended June 28, 2025 and June 29, 2024, respectively, and are classified as operating activities in the Condensed Consolidated Statements of Cash Flows.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cash and cash equivalents were held in cash depository accounts with major financial institutions around the world or invested in high-quality, short-term liquid investments having original maturities of three months or less. The cash and cash equivalents balances of $51.1, $279.9 and $71.6 as of June 28, 2025, June 29, 2024 and September 30, 2024, respectively, included $20.1, $30.4 and $15.9, respectively, held by controlled foreign corporations. As of June 28, 2025, we maintain our assertion of indefinite reinvestment of the earnings of all material foreign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Borrowing Agreements</w:t>
      </w:r>
    </w:p>
    <w:p>
      <w:pPr>
        <w:pStyle w:val="TextBody"/>
        <w:bidi w:val="0"/>
        <w:spacing w:lineRule="auto" w:line="288" w:before="160" w:after="283"/>
        <w:ind w:left="0" w:right="0" w:firstLine="180"/>
        <w:jc w:val="left"/>
        <w:rPr>
          <w:rFonts w:ascii="Times New Roman;serif" w:hAnsi="Times New Roman;serif"/>
          <w:b/>
          <w:i/>
          <w:color w:val="000000"/>
          <w:sz w:val="20"/>
          <w:u w:val="single"/>
        </w:rPr>
      </w:pPr>
      <w:r>
        <w:rPr>
          <w:rFonts w:ascii="Times New Roman;serif" w:hAnsi="Times New Roman;serif"/>
          <w:b/>
          <w:i/>
          <w:color w:val="000000"/>
          <w:sz w:val="20"/>
          <w:u w:val="single"/>
        </w:rPr>
        <w:t>Credit Facilities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sources of liquidity are cash generated by operations and borrowings under our credit facilities, which are guaranteed by substantially all of Scotts Miracle-Gro’s domestic subsidiaries. On April 8, 2022, we entered into the Sixth A&amp;R Credit Agreement, providing the Company and certain of its subsidiaries with five-year senior secured loan facilities in the aggregate principal amount of $2,500.0, comprised of a revolving credit facility of $1,500.0 and a term loan in the original principal amount of $1,000.0. The Sixth A&amp;R Credit Agreement will terminate on April 8, 2027. The Sixth A&amp;R Credit Facilities are available for the issuance of letters of credit of up to $100.0. The terms of the Sixth A&amp;R Credit Agreement include customary representations and warranties, affirmative and negative covenants, financial covenants, and events of default.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terms of the Sixth A&amp;R Credit Agreement, loans bear interest, at our election, at a rate per annum equal to either (i) the Alternate Base Rate plus the Applicable Spread (all, as defined in the Sixth A&amp;R Credit Agreement) or (ii) the Adjusted Term SOFR Rate for the Interest Period in effect for such borrowing plus the Applicable Spread (all as defined in the Sixth A&amp;R Credit Agreement). Swingline Loans bear interest at the applicable Swingline Rate set forth in the Sixth A&amp;R Credit Agreement. Interest rates for other select non-U.S. dollar borrowings, including borrowings denominated in euro, Pounds Sterling and Canadian dollars, are based on separate interest rate indices, as set forth in the Sixth A&amp;R Credit Agreement.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June 8, 2022, we entered into Amendment No. 1 to the Sixth A&amp;R Credit Agreement. Amendment No. 1 increased the maximum permitted leverage ratio for the quarterly leverage covenant until April 1, 2024. Amendment No. 1 also increased the interest rate applicable to borrowings under the revolving credit facility by 35 bps and the term loan facility by 50 bps, and increased the annual facility fee rate on the revolving credit facility by 15 bps, in each case, when our quarterly-tested leverage ratio exceeded 4.75.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July 31, 2023, we entered into Amendment No. 2 to the Sixth A&amp;R Credit Agreement. Amendment No. 2 (i) reduces the revolving loan commitments by $250.0; (ii) increases the maximum permitted leverage ratio for the quarterly leverage covenant during the Leverage Adjustment Period; (iii) replaces the interest coverage covenant with a fixed charge coverage covenant; (iv) increases the interest rate applicable to borrowings under the revolving credit facility and the term loan facility by 25 bps for each existing pricing tier and adds a pricing tier applicable to periods when the leverage ratio exceeds 6.00; (v) limits the amount of certain incremental investments, loans and advances to $25.0 during the Leverage Adjustment Period; and (vi) adds our intellectual property (subject to certain exceptions) as collateral to secure our obligations under the Sixth A&amp;R Credit Agreement. Additionally, Amendment No. 2 limits our ability to declare or pay any discretionary dividends, distributions or other restricted payments during the Leverage Adjustment Period to only the payment of (i) regularly scheduled cash dividends to holders of our Common Shares in an aggregate amount not to exceed $225.0 per fiscal year and (ii) other dividends, distributions or restricted payments in an aggregate amount not to exceed $25.0. Amendment No. 2 also subjects our ability to make certain investments to pro forma compliance with certain leverage levels specified in Amendment No. 2. Pursuant to Amendment No. 2, the Sixth A&amp;R Credit Agreement is secured by (i) a perfected first priority security interest in all of the accounts receivable, inventory, equipment and intellectual property (subject to certain exceptions) of Scotts Miracle-Gro and certain of its domestic subsidiaries and (ii) the pledge of all of the capital stock of certain of Scotts Miracle-Gro’s domestic subsidiaries and a portion of the capital stock of certain of its foreign subsidiaries.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At June 28, 2025, we had letters of credit outstanding in the aggregate principal amount of $83.1, and had $1,166.9 of borrowing availability under the Sixth A&amp;R Credit Agreement. The weighted average interest rates on average borrowings under the credit facilities, excluding the impact of interest rate swaps, were 7.7% and 9.0% for the nine months ended June 28, 2025 and June 29, 2024, respectively.</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Sixth A&amp;R Credit Agreement contains, among other obligations, an affirmative covenant regarding our leverage ratio determined as of the end of each of our fiscal quarters calculated as average total indebtedness, divided by our Adjusted EBITDA. Pursuant to Amendment No. 2, the maximum permitted leverage ratio is (i) 5.00 for the third quarter of fiscal 2025, (ii) 4.75 for the fourth quarter of fiscal 2025 and (iii) 4.50 for the first quarter of fiscal 2026 and thereafter. Our leverage ratio was 4.15 at June 28, 2025. Pursuant to Amendment No. 2, the Sixth A&amp;R Credit Agreement also contains an affirmative covenant regarding our fixed charge coverage ratio determined as of the end of each of our fiscal quarters, calculated as Adjusted EBITDA minus capital expenditures and expense for taxes paid in cash, divided by the sum of interest expense plus restricted payments, as described in Amendment No. 2. The minimum required fixed charge coverage ratio is 1.00. Our fixed charge coverage ratio was 1.47 for the twelve months ended June 28,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28, 2025, we were in compliance with all applicable covenants in the agreements governing our debt. Based on our projections of financial performance for the twelve-month period subsequent to the date of the filing of this Form 10-Q, we expect to remain in compliance with the financial covenants under the Sixth A&amp;R Credit Agreement. However, our assessment of our ability to meet our future obligations is inherently subjective, judgment-based, and susceptible to change based on future events. A covenant violation may result in an event of default. Such a default would allow the lenders under the Sixth A&amp;R Credit Agreement to accelerate the maturity of the indebtedness thereunder and would also implicate cross-default provisions under the Senior Notes and cause the Senior Notes to become due and payable at that time. As of June 28, 2025, our indebtedness under the Sixth A&amp;R Credit Agreement and Senior Notes was $2,187.5. We do not have sufficient cash on hand or available liquidity that can be utilized to repay these outstanding amounts in the event of default.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part of our contingency planning to address potential future circumstances that could result in noncompliance, we have contemplated alternative plans including additional restructuring activities to reduce operating expenses and certain cash management strategies that are within our control. Additionally, we have contemplated alternative plans that are subject to market conditions and not in our control, including, among others, discussions with our lenders to amend the terms of our financial covenants under the Sixth A&amp;R Credit Agreement and generating cash by completing other financing transactions, which may include issuing equity. There is no assurance that we will be successful in implementing these alternative plans.</w:t>
      </w:r>
    </w:p>
    <w:p>
      <w:pPr>
        <w:pStyle w:val="TextBody"/>
        <w:bidi w:val="0"/>
        <w:spacing w:lineRule="auto" w:line="288" w:before="160" w:after="283"/>
        <w:ind w:left="0" w:right="0" w:firstLine="180"/>
        <w:jc w:val="left"/>
        <w:rPr>
          <w:rFonts w:ascii="Times New Roman;serif" w:hAnsi="Times New Roman;serif"/>
          <w:b/>
          <w:i/>
          <w:color w:val="000000"/>
          <w:sz w:val="20"/>
          <w:u w:val="single"/>
        </w:rPr>
      </w:pPr>
      <w:r>
        <w:rPr>
          <w:rFonts w:ascii="Times New Roman;serif" w:hAnsi="Times New Roman;serif"/>
          <w:b/>
          <w:i/>
          <w:color w:val="000000"/>
          <w:sz w:val="20"/>
          <w:u w:val="single"/>
        </w:rPr>
        <w:t>Senior Notes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15, 2016, Scotts Miracle-Gro issued $250.0 aggregate principal amount of 5.250% Senior Notes due 2026. The 5.250% Senior Notes represent general unsecured senior obligations and rank equal in right of payment with our existing and future unsecured senior debt. The 5.250% Senior Notes have interest payment dates of June 15 and December 15 of each year.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22, 2019, Scotts Miracle-Gro issued $450.0 aggregate principal amount of 4.500% Senior Notes due 2029. The 4.500% Senior Notes represent general unsecured senior obligations and rank equal in right of payment with our existing and future unsecured senior debt. The 4.500% Senior Notes have interest payment dates of April 15 and October 15 of each year.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17, 2021, Scotts Miracle-Gro issued $500.0 aggregate principal amount of 4.000% Senior Notes due 2031. The 4.000% Senior Notes represent general unsecured senior obligations and rank equal in right of payment with our existing and future unsecured senior debt. The 4.000% Senior Notes have interest payment dates of April 1 and October 1 of each year.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13, 2021, Scotts Miracle-Gro issued $400.0 aggregate principal amount of 4.375% Senior Notes due 2032. The 4.375% Senior Notes represent general unsecured senior obligations and rank equal in right of payment with our existing and future unsecured senior debt. The 4.375% Senior Notes have interest payment dates of February 1 and August 1 of each year.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Substantially all of Scotts Miracle-Gro’s directly and indirectly owned domestic subsidiaries serve as guarantors of the 5.250% Senior Notes, the 4.500% Senior Notes, the 4.000% Senior Notes and the 4.375% Senior Notes.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Senior Notes contain an affirmative covenant regarding our interest coverage ratio determined as of the end of each of our fiscal quarters, calculated as Adjusted EBITDA divided by interest expense excluding costs related to refinancings. The minimum required interest coverage ratio is 2.00. Our interest coverage ratio was 4.52 for the twelve months ended June 28, 2025.</w:t>
      </w:r>
    </w:p>
    <w:p>
      <w:pPr>
        <w:pStyle w:val="TextBody"/>
        <w:bidi w:val="0"/>
        <w:spacing w:lineRule="auto" w:line="288" w:before="160" w:after="283"/>
        <w:ind w:left="0" w:right="0" w:firstLine="180"/>
        <w:jc w:val="both"/>
        <w:rPr>
          <w:rFonts w:ascii="Times New Roman;serif" w:hAnsi="Times New Roman;serif"/>
          <w:b/>
          <w:i/>
          <w:color w:val="000000"/>
          <w:sz w:val="20"/>
          <w:u w:val="single"/>
        </w:rPr>
      </w:pPr>
      <w:r>
        <w:rPr>
          <w:rFonts w:ascii="Times New Roman;serif" w:hAnsi="Times New Roman;serif"/>
          <w:b/>
          <w:i/>
          <w:color w:val="000000"/>
          <w:sz w:val="20"/>
          <w:u w:val="single"/>
        </w:rPr>
        <w:t>Interest Rate Swap Agreements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enter into interest rate swap agreements with major financial institutions that effectively convert a portion of our variable-rate debt to a fixed rate. Interest payments made between the effective date and expiration date are hedged by the swap agreements. Swap agreements that were hedging interest payments as of June 28, 2025, June 29, 2024 and September 30, 2024 had a maximum total U.S. dollar equivalent notional amount of $450.0, $500.0 and $450.0, respectively. The notional amount, effective date, expiration date and rate of each of the swap agreements outstanding at June 28, 2025 are shown in the table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805" w:type="dxa"/>
        <w:jc w:val="left"/>
        <w:tblInd w:w="0" w:type="dxa"/>
        <w:tblLayout w:type="fixed"/>
        <w:tblCellMar>
          <w:top w:w="28" w:type="dxa"/>
          <w:left w:w="28" w:type="dxa"/>
          <w:bottom w:w="28" w:type="dxa"/>
          <w:right w:w="28" w:type="dxa"/>
        </w:tblCellMar>
      </w:tblPr>
      <w:tblGrid>
        <w:gridCol w:w="348"/>
        <w:gridCol w:w="305"/>
        <w:gridCol w:w="307"/>
        <w:gridCol w:w="109"/>
        <w:gridCol w:w="109"/>
        <w:gridCol w:w="109"/>
        <w:gridCol w:w="354"/>
        <w:gridCol w:w="354"/>
        <w:gridCol w:w="356"/>
        <w:gridCol w:w="109"/>
        <w:gridCol w:w="109"/>
        <w:gridCol w:w="109"/>
        <w:gridCol w:w="319"/>
        <w:gridCol w:w="319"/>
        <w:gridCol w:w="321"/>
        <w:gridCol w:w="109"/>
        <w:gridCol w:w="109"/>
        <w:gridCol w:w="109"/>
        <w:gridCol w:w="255"/>
        <w:gridCol w:w="256"/>
        <w:gridCol w:w="330"/>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br/>
              <w:t>Amount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w:t>
              <w:br/>
              <w:t>Date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Expiration</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Fixed</w:t>
              <w:br/>
              <w:t>Rate</w:t>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4"/>
              </w:rPr>
            </w:pPr>
            <w:r>
              <w:rPr>
                <w:rFonts w:ascii="Times New Roman;serif" w:hAnsi="Times New Roman;serif"/>
                <w:b w:val="false"/>
                <w:color w:val="000000"/>
                <w:sz w:val="14"/>
              </w:rPr>
              <w:t>(b)</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4"/>
              </w:rPr>
            </w:pPr>
            <w:r>
              <w:rPr>
                <w:rFonts w:ascii="Times New Roman;serif" w:hAnsi="Times New Roman;serif"/>
                <w:b w:val="false"/>
                <w:color w:val="000000"/>
                <w:sz w:val="14"/>
              </w:rPr>
              <w:t>(b)</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(a)The effective date refers to the date on which interest payments are first hedged by the applicable swap agreement.</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(b)Notional amount adjusts in accordance with a specified seasonal schedule. This represents the maximum notional amount at any point in time.</w:t>
      </w:r>
    </w:p>
    <w:p>
      <w:pPr>
        <w:pStyle w:val="TextBody"/>
        <w:bidi w:val="0"/>
        <w:spacing w:lineRule="auto" w:line="288" w:before="160" w:after="283"/>
        <w:ind w:left="0" w:right="0" w:firstLine="180"/>
        <w:jc w:val="both"/>
        <w:rPr>
          <w:rFonts w:ascii="Times New Roman;serif" w:hAnsi="Times New Roman;serif"/>
          <w:b/>
          <w:i/>
          <w:color w:val="000000"/>
          <w:sz w:val="20"/>
          <w:u w:val="single"/>
        </w:rPr>
      </w:pPr>
      <w:r>
        <w:rPr>
          <w:rFonts w:ascii="Times New Roman;serif" w:hAnsi="Times New Roman;serif"/>
          <w:b/>
          <w:i/>
          <w:color w:val="000000"/>
          <w:sz w:val="20"/>
          <w:u w:val="single"/>
        </w:rPr>
        <w:t>Availability and Use of Cash</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our cash flows from operations and borrowings under our agreements described herein will be sufficient to meet debt service, capital expenditures and working capital needs for the foreseeable future. However, we cannot ensure that our business will generate sufficient cash flow from operations or that future borrowings will be available under our borrowing agreements in amounts sufficient to pay indebtedness or fund other liquidity needs. Actual results of operations will depend on numerous factors, many of which are beyond our control as further discussed in the 2024 Annual Report, under “ITEM 1A. RISK FACTORS — Risks Related to Our M&amp;A, Lending and Financing Activities — Our indebtedness could limit our flexibility and adversely affect our financial condition.”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firstLine="180"/>
        <w:jc w:val="left"/>
        <w:rPr>
          <w:rFonts w:ascii="Times New Roman;serif" w:hAnsi="Times New Roman;serif"/>
          <w:b/>
          <w:i/>
          <w:color w:val="000000"/>
          <w:sz w:val="20"/>
          <w:u w:val="single"/>
        </w:rPr>
      </w:pPr>
      <w:r>
        <w:rPr>
          <w:rFonts w:ascii="Times New Roman;serif" w:hAnsi="Times New Roman;serif"/>
          <w:b/>
          <w:i/>
          <w:color w:val="000000"/>
          <w:sz w:val="20"/>
          <w:u w:val="single"/>
        </w:rPr>
        <w:t>Financial Disclosures About Guarantors and Issuers of Guaranteed Securities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5.250% Senior Notes, 4.500% Senior Notes, 4.000% Senior Notes and 4.375% Senior Notes were issued by Scotts Miracle-Gro on December 15, 2016, October 22, 2019, March 17, 2021 and August 13, 2021, respectively. The Senior Notes are guaranteed by certain consolidated domestic subsidiaries of Scotts Miracle-Gro (collectively, the “Guarantors”) and, therefore, we report summarized financial information in accordance with SEC Regulation S-X, Rule 13-01, “Guarantors and Issuers of Guaranteed Securities Registered or Being Registered.”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guarantees are “full and unconditional,” as those terms are used in Regulation S-X, Rule 3-10(b)(3), except that a Guarantor’s guarantee will be released in certain circumstances set forth in the indentures governing the Senior Notes, such as: (i) upon any sale or other disposition of all or substantially all of the assets of the Guarantor (including by way of merger or consolidation) to any person other than Scotts Miracle-Gro or any “restricted subsidiary” under the applicable indenture; (ii) if the Guarantor merges with and into Scotts Miracle-Gro, with Scotts Miracle-Gro surviving such merger; (iii) if the Guarantor is designated an “unrestricted subsidiary” in accordance with the applicable indenture or otherwise ceases to be a “restricted subsidiary” (including by way of liquidation or dissolution) in a transaction permitted by such indenture; (iv) upon legal or covenant defeasance; (v) at the election of Scotts Miracle-Gro following the Guarantor’s release as a guarantor under the Sixth A&amp;R Credit Agreement, except a release by or as a result of the repayment of the Sixth A&amp;R Credit Agreement; or (vi) if the Guarantor ceases to be a “restricted subsidiary” and the Guarantor is not otherwise required to provide a guarantee of the Senior Notes pursuant to the applicable indenture.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foreign subsidiaries and certain of our domestic subsidiaries are not guarantors (collectively, the “Non-Guarantors”) of the Senior Notes. Payments on the Senior Notes are only required to be made by Scotts Miracle-Gro and the Guarantors. As a result, no payments are required to be made from the assets of the Non-Guarantors, unless those assets are transferred by dividend or otherwise to Scotts Miracle-Gro or a Guarantor. In the event of a bankruptcy, insolvency, liquidation or reorganization of any of the Non-Guarantors, holders of their indebtedness, including their trade creditors and other obligations, will be entitled to payment of their claims from the assets of the Non-Guarantors before any assets are made available for distribution to Scotts Miracle-Gro or the Guarantors. As a result, the Senior Notes are effectively subordinated to all the liabilities of the Non-Guarantors.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guarantees may be subject to review under federal bankruptcy laws or relevant state fraudulent conveyance or fraudulent transfer laws. In certain circumstances, the court could void the guarantee, subordinate the amounts owing under the guarantee, or take other actions detrimental to the holders of the Senior Notes.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general matter, value is given for a transfer or an obligation if, in exchange for the transfer or obligation, property is transferred or a valid antecedent debt is satisfied. A court would likely find that a Guarantor did not receive reasonably equivalent value or fair consideration for its guarantee to the extent such Guarantor did not obtain a reasonably equivalent benefit from the issuance of the Senior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measure of insolvency varies depending upon the law of the jurisdiction that is being applied. Regardless of the measure being applied, a court could determine that a Guarantor was insolvent on the date the guarantee was issued, so that payments to the holders of the Senior Notes would constitute a preference, fraudulent transfer or conveyances on other grounds. If a guarantee is voided as a fraudulent conveyance or is found to be unenforceable for any other reason, the holders of the Senior Notes will not have a claim against the Guarantor.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Each guarantee contains a provision intended to limit the Guarantor’s liability to the maximum amount that it could incur without causing the incurrence of obligations under its guarantee to be a fraudulent conveyance. However, there can be no assurance as to what standard a court will apply in making a determination of the maximum liability of each Guarantor. Moreover, this provision may not be effective to protect the guarantees from being voided under fraudulent conveyance laws. There is a possibility that the entire guarantee may be set aside, in which case the entire liability may be extinguished.</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summarized financial information on a combined basis for Scotts Miracle-Gro and the Guarantors. Transactions between Scotts Miracle-Gro and the Guarantors have been eliminated and the summarized financial information does not reflect investments of the Scotts Miracle-Gro and the Guarantors in the Non-Guarantor subsidiaries.</w:t>
      </w:r>
    </w:p>
    <w:tbl>
      <w:tblPr>
        <w:tblW w:w="4780" w:type="dxa"/>
        <w:jc w:val="left"/>
        <w:tblInd w:w="0" w:type="dxa"/>
        <w:tblLayout w:type="fixed"/>
        <w:tblCellMar>
          <w:top w:w="28" w:type="dxa"/>
          <w:left w:w="28" w:type="dxa"/>
          <w:bottom w:w="28" w:type="dxa"/>
          <w:right w:w="28" w:type="dxa"/>
        </w:tblCellMar>
      </w:tblPr>
      <w:tblGrid>
        <w:gridCol w:w="710"/>
        <w:gridCol w:w="625"/>
        <w:gridCol w:w="630"/>
        <w:gridCol w:w="211"/>
        <w:gridCol w:w="766"/>
        <w:gridCol w:w="109"/>
        <w:gridCol w:w="109"/>
        <w:gridCol w:w="109"/>
        <w:gridCol w:w="109"/>
        <w:gridCol w:w="257"/>
        <w:gridCol w:w="750"/>
        <w:gridCol w:w="132"/>
        <w:gridCol w:w="109"/>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Non-current assets </w:t>
            </w:r>
            <w:r>
              <w:rPr>
                <w:rFonts w:ascii="Times New Roman;serif" w:hAnsi="Times New Roman;serif"/>
                <w:b w:val="false"/>
                <w:color w:val="000000"/>
                <w:sz w:val="13"/>
              </w:rPr>
              <w:t>(a)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Non-current liabilities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(a)Includes amounts due from Non-Guarantor subsidiaries of $68.2 and $49.5, respectively.</w:t>
      </w:r>
    </w:p>
    <w:tbl>
      <w:tblPr>
        <w:tblW w:w="4751" w:type="dxa"/>
        <w:jc w:val="left"/>
        <w:tblInd w:w="0" w:type="dxa"/>
        <w:tblLayout w:type="fixed"/>
        <w:tblCellMar>
          <w:top w:w="28" w:type="dxa"/>
          <w:left w:w="28" w:type="dxa"/>
          <w:bottom w:w="28" w:type="dxa"/>
          <w:right w:w="28" w:type="dxa"/>
        </w:tblCellMar>
      </w:tblPr>
      <w:tblGrid>
        <w:gridCol w:w="624"/>
        <w:gridCol w:w="547"/>
        <w:gridCol w:w="553"/>
        <w:gridCol w:w="294"/>
        <w:gridCol w:w="1069"/>
        <w:gridCol w:w="152"/>
        <w:gridCol w:w="109"/>
        <w:gridCol w:w="109"/>
        <w:gridCol w:w="109"/>
        <w:gridCol w:w="221"/>
        <w:gridCol w:w="803"/>
        <w:gridCol w:w="161"/>
      </w:tblGrid>
      <w:tr>
        <w:trPr/>
        <w:tc>
          <w:tcPr>
            <w:tcW w:w="62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2024</w:t>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1512" w:type="dxa"/>
            <w:gridSpan w:val="6"/>
            <w:tcBorders/>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2,787.3 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3,248.6 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income (loss) </w:t>
            </w:r>
            <w:r>
              <w:rPr>
                <w:rFonts w:ascii="Times New Roman;serif" w:hAnsi="Times New Roman;serif"/>
                <w:b w:val="false"/>
                <w:color w:val="000000"/>
                <w:sz w:val="13"/>
              </w:rPr>
              <w:t>(a)</w:t>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(a)Includes intercompany income from Non-Guarantor subsidiaries of $11.2 and $12.5,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Judicial and Administrative Proceedings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party to various pending judicial and administrative proceedings and claims arising in the ordinary course of business relating to, among other things, product and general liabilities, workers’ compensation, property losses and other liabilities for which we are self-insured or retain a high exposure limit. We have reviewed these pending judicial and administrative proceedings, including the probable outcomes, reasonably anticipated costs and expenses, and the availability and limits of our insurance coverage, and have established what we believe to be appropriate accruals. We believe that our assessment of contingencies is reasonable and related accruals are adequate, both individually and in the aggregate; however, there can be no assurance that final resolution of these matters will not have a material effect on our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REGULATORY MATTERS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subject to local, state, federal and foreign environmental protection laws and regulations with respect to our business operations and believe we are operating in substantial compliance, or taking actions aimed at ensuring compliance, with such laws and regulations.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accruals, is not expected to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the 2024 Annual Report, under “ITEM 1. BUSINESS — Regulatory Considerations” and “ITEM 3. LEGAL PROCEEDINGS.”</w:t>
      </w:r>
    </w:p>
    <w:p>
      <w:pPr>
        <w:pStyle w:val="TextBody"/>
        <w:bidi w:val="0"/>
        <w:spacing w:before="1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4265b2e93b451e8b4e7b8608206fef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unaudited condensed consolidated financial statements have been prepared in accordance with GAAP. The preparation of financial statements and related disclosures in accordance with GAAP requires management to use judgment and make estimates that affect the reported amounts of assets, liabilities, revenues and expenses and related disclosures of contingent assets and liabilities. We evaluate our estimates on an ongoing basis. By their nature, these judgments are subject to uncertainty. We base our estimates on historical experience, current trends and other factors that we believe to be relevant under the circumstances at the time the estimate was made. Certain accounting estimates are particularly significant, including those related to revenue recognition and promotional allowances, income taxes and goodwill and indefinite-lived intangible assets.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that our estimates, assumptions, and judgments are reasonable in that they were based on information available when the estimates, assumptions and judgments were made. However, because future events and their effects cannot be determined with certainty, actual results could differ materially from those implied by our assumptions and estimates.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Audit Committee of the Board of Directors of Scotts Miracle-Gro reviews our critical accounting estimates on an ongoing basis, including those related to revenue recognition and promotional allowances, income taxes and goodwill and indefinite-lived intangible assets. Our critical accounting estimates have not changed materially from those disclosed in the 2024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Management believes that there are no material changes to our quantitative and qualitative disclosures about market risks during the three months ended June 28, 2025 compared to those disclosed in the 2024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Scotts Miracle-Gro Company (the “Registrant”) maintains “disclosure controls and procedures,” as such term is defined under Securities Exchange Act Rule 13a-15(e), that are designed to ensure that information required to be disclosed in the Registrant’s Securities Exchange Act reports is recorded, processed, summarized and reported within the time periods specified in the SEC’s rules and forms, and that such information is accumulated and communicated to the Registrant’s management, including its principal executive officer and its principal financial officer, as appropriate, to allow timely decisions regarding required disclosure.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With the participation of the principal executive officer and the principal financial officer of the Registrant, the Registrant’s management has evaluated the effectiveness of the Registrant’s disclosure controls and procedures (as defined in Rule 13a-15(e) under the Securities Exchange Act of 1934), as of the end of the fiscal quarter covered by this Form 10-Q. Based upon that evaluation, the Registrant’s principal executive officer and principal financial officer have concluded that the Registrant’s disclosure controls and procedures were effective as of June 28, 2025.</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 changes in the Registrant’s internal control over financial reporting (as defined in Rule 13a-15(f) under the Securities Exchange Act of 1934) occurred during the Registrant’s fiscal quarter ended June 28, 2025 that have materially affected, or are reasonably likely to materially affect, the Registrant’s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704265b2e93b451e8b4e7b8608206fef_7">
        <w:r>
          <w:rPr>
            <w:rStyle w:val="InternetLink"/>
            <w:rFonts w:ascii="Times New Roman;serif" w:hAnsi="Times New Roman;serif"/>
            <w:b w:val="false"/>
            <w:color w:val="FFFFFF"/>
            <w:sz w:val="20"/>
            <w:u w:val="single"/>
          </w:rPr>
          <w:t>Contents</w:t>
        </w:r>
      </w:hyperlink>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Reference is made to the legal proceedings that have been previously disclosed in Part I, Item 3 of the 2024 Annual Report. There have been no material developments to the pending legal proceedings set forth therein.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involved in other lawsuits and claims which arise in the normal course of our business including the initiation and defense of proceedings to protect intellectual property rights, advertising claims, securities matters and employment disputes. In our opinion, these claims individually and in the aggregate are not expected to have a material adverse effect on our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risk factors, as of June 28, 2025, have not materially changed from those described in Part I, Item 1A of the 2024 Annual Report.</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This Form 10-Q, including the exhibits hereto and the information incorporated by reference herein, contains “forward-looking statements” within the meaning of Section 27A of the Securities Act of 1933, as amended, and Section 21E of the Securities Exchange Act, which are subject to risks and uncertainties.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dividends and repurchases of our Common Shares or other uses of cash flows.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Forward-looking statements in this Form 10-Q are predictions only and actual results could differ materially from management’s expectations due to a variety of factors, including those described in “ITEM 1A. RISK FACTORS” in the 2024 Annual Report. All forward-looking statements attributable to us or persons working on our behalf are expressly qualified in their entirety by such risk factors and other cautionary statements that we make from time to time in our other SEC filings and public communications.</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You should evaluate forward-looking statements in the context of these risks and uncertainties and are cautioned not to place undue reliance on such statements. These factors may not contain all of the factors that are important to you. We cannot assure you that we will realize the results or developments we expect or anticipate or, even if substantially realized, that they will result in the consequences or affect us or our operations in the way we expect. The forward-looking statements that we make in this Form 10-Q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704265b2e93b451e8b4e7b8608206fef_7">
        <w:r>
          <w:rPr>
            <w:rStyle w:val="InternetLink"/>
            <w:rFonts w:ascii="Times New Roman;serif" w:hAnsi="Times New Roman;serif"/>
            <w:b w:val="false"/>
            <w:color w:val="FFFFFF"/>
            <w:sz w:val="20"/>
            <w:u w:val="single"/>
          </w:rPr>
          <w:t>Contents</w:t>
        </w:r>
      </w:hyperlink>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Amendment No. 2 to the Sixth A&amp;R Credit Agreement limits the Company’s ability to declare or pay any discretionary dividends, distributions or other restricted payments to only the payment of (i) regularly scheduled cash dividends to holders of its Common Shares in an aggregate amount not to exceed $225.0 million per fiscal year and (ii) other dividends, distributions or restricted payments in an aggregate amount not to exceed $25.0 million. </w:t>
      </w:r>
    </w:p>
    <w:p>
      <w:pPr>
        <w:pStyle w:val="TextBody"/>
        <w:bidi w:val="0"/>
        <w:spacing w:lineRule="auto" w:line="288" w:before="160" w:after="283"/>
        <w:ind w:left="0" w:right="0" w:firstLine="450"/>
        <w:jc w:val="both"/>
        <w:rPr/>
      </w:pPr>
      <w:r>
        <w:rPr>
          <w:rFonts w:ascii="Times New Roman;serif" w:hAnsi="Times New Roman;serif"/>
          <w:b w:val="false"/>
          <w:color w:val="000000"/>
          <w:sz w:val="20"/>
        </w:rPr>
        <w:t>The following table shows the purchases of Common Shares made by or on behalf of Scotts Miracle-Gro or any “affiliated purchaser” (as defined in Rule 10b-18(a)(3) under the Securities Exchange Act) of Scotts Miracle-Gro for each of the three fiscal months in the quarter ended June 28, 2025:</w:t>
      </w:r>
      <w:r>
        <w:rPr>
          <w:color w:val="000000"/>
        </w:rPr>
        <w:t> </w:t>
      </w:r>
    </w:p>
    <w:tbl>
      <w:tblPr>
        <w:tblW w:w="10205" w:type="dxa"/>
        <w:jc w:val="left"/>
        <w:tblInd w:w="0" w:type="dxa"/>
        <w:tblLayout w:type="fixed"/>
        <w:tblCellMar>
          <w:top w:w="28" w:type="dxa"/>
          <w:left w:w="28" w:type="dxa"/>
          <w:bottom w:w="28" w:type="dxa"/>
          <w:right w:w="28" w:type="dxa"/>
        </w:tblCellMar>
      </w:tblPr>
      <w:tblGrid>
        <w:gridCol w:w="1040"/>
        <w:gridCol w:w="912"/>
        <w:gridCol w:w="929"/>
        <w:gridCol w:w="440"/>
        <w:gridCol w:w="440"/>
        <w:gridCol w:w="441"/>
        <w:gridCol w:w="109"/>
        <w:gridCol w:w="109"/>
        <w:gridCol w:w="109"/>
        <w:gridCol w:w="336"/>
        <w:gridCol w:w="952"/>
        <w:gridCol w:w="187"/>
        <w:gridCol w:w="109"/>
        <w:gridCol w:w="109"/>
        <w:gridCol w:w="109"/>
        <w:gridCol w:w="520"/>
        <w:gridCol w:w="520"/>
        <w:gridCol w:w="521"/>
        <w:gridCol w:w="109"/>
        <w:gridCol w:w="109"/>
        <w:gridCol w:w="109"/>
        <w:gridCol w:w="579"/>
        <w:gridCol w:w="579"/>
        <w:gridCol w:w="828"/>
      </w:tblGrid>
      <w:tr>
        <w:trPr/>
        <w:tc>
          <w:tcPr>
            <w:tcW w:w="1040"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2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w:t>
              <w:br/>
              <w:t>Common Shares</w:t>
              <w:br/>
              <w:t>Purchased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w:t>
              <w:br/>
              <w:t>Paid per </w:t>
              <w:br/>
              <w:t>Common Share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w:t>
              <w:br/>
              <w:t>Common Shares</w:t>
              <w:br/>
              <w:t>Purchased as</w:t>
              <w:br/>
              <w:t>Part of Publicly</w:t>
              <w:br/>
              <w:t>Announced Plans or</w:t>
              <w:br/>
              <w:t>Programs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Dollar</w:t>
              <w:br/>
              <w:t>Value of Common Shares</w:t>
              <w:br/>
              <w:t>That May Yet be</w:t>
              <w:br/>
              <w:t>Purchased Under the</w:t>
              <w:br/>
              <w:t>Plans or Programs (3)</w:t>
            </w:r>
          </w:p>
        </w:tc>
      </w:tr>
      <w:tr>
        <w:trPr/>
        <w:tc>
          <w:tcPr>
            <w:tcW w:w="2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30, 2025 through April 26, 2025</w:t>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2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April 27, 2025 through May 24, 2025</w:t>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1,533 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55.09 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2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25, 2025 through June 28, 2025</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2,916 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2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88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4,449 </w:t>
            </w:r>
          </w:p>
        </w:tc>
        <w:tc>
          <w:tcPr>
            <w:tcW w:w="4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60.14 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(1)All of the Common Shares purchased during the third quarter of fiscal 2025 were purchased in open market transactions. The Common Shares purchased during the quarter consisted of 4,449 Common Shares purchased by the trustee of the rabbi trust established by the Company as permitted pursuant to the terms of The Scotts Company LLC Executive Retirement Plan.</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average price paid per Common Share is calculated on a settlement basis and includes commissions.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333333"/>
          <w:sz w:val="20"/>
        </w:rPr>
      </w:pPr>
      <w:r>
        <w:rPr>
          <w:rFonts w:ascii="Times New Roman;serif" w:hAnsi="Times New Roman;serif"/>
          <w:b w:val="false"/>
          <w:color w:val="333333"/>
          <w:sz w:val="20"/>
        </w:rPr>
        <w:t>(3)The Company does not have an active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28, 2025, no director or officer (as defined under Rule 16a-1 of the Securities Exchange Act) adopted, modified or terminated any Rule 10b5-1 trading arrangement or non Rule 10b5-1 trading arrangement (in each case, as defined in Item 408).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Index to Exhibits at page 45 for a list of the exhibits included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704265b2e93b451e8b4e7b8608206fef_7">
        <w:r>
          <w:rPr>
            <w:rStyle w:val="InternetLink"/>
            <w:rFonts w:ascii="Times New Roman;serif" w:hAnsi="Times New Roman;serif"/>
            <w:b w:val="false"/>
            <w:color w:val="FFFFFF"/>
            <w:sz w:val="20"/>
            <w:u w:val="single"/>
          </w:rPr>
          <w:t>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SCOTTS MIRACLE-GRO COMPANY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QUARTERLY REPORT ON 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FOR THE QUARTERLY PERIOD ENDED JUNE 28, 2025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INDEX TO EXHIBITS</w:t>
      </w:r>
    </w:p>
    <w:tbl>
      <w:tblPr>
        <w:tblW w:w="10205" w:type="dxa"/>
        <w:jc w:val="center"/>
        <w:tblInd w:w="0" w:type="dxa"/>
        <w:tblLayout w:type="fixed"/>
        <w:tblCellMar>
          <w:top w:w="28" w:type="dxa"/>
          <w:left w:w="28" w:type="dxa"/>
          <w:bottom w:w="28" w:type="dxa"/>
          <w:right w:w="28" w:type="dxa"/>
        </w:tblCellMar>
      </w:tblPr>
      <w:tblGrid>
        <w:gridCol w:w="290"/>
        <w:gridCol w:w="255"/>
        <w:gridCol w:w="257"/>
        <w:gridCol w:w="109"/>
        <w:gridCol w:w="109"/>
        <w:gridCol w:w="109"/>
        <w:gridCol w:w="1493"/>
        <w:gridCol w:w="1434"/>
        <w:gridCol w:w="1450"/>
        <w:gridCol w:w="109"/>
        <w:gridCol w:w="109"/>
        <w:gridCol w:w="109"/>
        <w:gridCol w:w="175"/>
        <w:gridCol w:w="175"/>
        <w:gridCol w:w="176"/>
        <w:gridCol w:w="142"/>
        <w:gridCol w:w="142"/>
        <w:gridCol w:w="142"/>
        <w:gridCol w:w="240"/>
        <w:gridCol w:w="240"/>
        <w:gridCol w:w="241"/>
        <w:gridCol w:w="142"/>
        <w:gridCol w:w="142"/>
        <w:gridCol w:w="142"/>
        <w:gridCol w:w="270"/>
        <w:gridCol w:w="270"/>
        <w:gridCol w:w="272"/>
        <w:gridCol w:w="109"/>
        <w:gridCol w:w="109"/>
        <w:gridCol w:w="109"/>
        <w:gridCol w:w="327"/>
        <w:gridCol w:w="327"/>
        <w:gridCol w:w="480"/>
      </w:tblGrid>
      <w:tr>
        <w:trPr/>
        <w:tc>
          <w:tcPr>
            <w:tcW w:w="29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gridSpan w:val="15"/>
            <w:tcBorders/>
            <w:tcMar>
              <w:top w:w="0" w:type="dxa"/>
              <w:left w:w="0" w:type="dxa"/>
              <w:bottom w:w="0" w:type="dxa"/>
              <w:right w:w="0" w:type="dxa"/>
            </w:tcMar>
            <w:vAlign w:val="center"/>
          </w:tcPr>
          <w:p>
            <w:pPr>
              <w:pStyle w:val="TableContents"/>
              <w:bidi w:val="0"/>
              <w:spacing w:before="0" w:after="283"/>
              <w:jc w:val="center"/>
              <w:rPr/>
            </w:pPr>
            <w:r>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Exhibit</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Form</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exhibit21smg06282025.htm">
              <w:r>
                <w:rPr>
                  <w:rStyle w:val="InternetLink"/>
                  <w:rFonts w:ascii="Times New Roman;serif" w:hAnsi="Times New Roman;serif"/>
                  <w:b w:val="false"/>
                  <w:color w:val="0000FF"/>
                  <w:sz w:val="20"/>
                  <w:u w:val="single"/>
                </w:rPr>
                <w:t>Subsidiaries of The Scotts Miracle-Gro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22smg06282025.htm">
              <w:r>
                <w:rPr>
                  <w:rStyle w:val="InternetLink"/>
                  <w:rFonts w:ascii="Times New Roman;serif" w:hAnsi="Times New Roman;serif"/>
                  <w:b w:val="false"/>
                  <w:color w:val="0000FF"/>
                  <w:sz w:val="20"/>
                  <w:u w:val="single"/>
                </w:rPr>
                <w:t>Guarantor Subsidiaries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1smg06282025.htm">
              <w:r>
                <w:rPr>
                  <w:rStyle w:val="InternetLink"/>
                  <w:rFonts w:ascii="Times New Roman;serif" w:hAnsi="Times New Roman;serif"/>
                  <w:b w:val="false"/>
                  <w:color w:val="0000FF"/>
                  <w:sz w:val="20"/>
                  <w:u w:val="single"/>
                </w:rPr>
                <w:t>Rule 13a-14(a)/15d-14(a) Certifications (Principal Executive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2smg06282025.htm">
              <w:r>
                <w:rPr>
                  <w:rStyle w:val="InternetLink"/>
                  <w:rFonts w:ascii="Times New Roman;serif" w:hAnsi="Times New Roman;serif"/>
                  <w:b w:val="false"/>
                  <w:color w:val="0000FF"/>
                  <w:sz w:val="20"/>
                  <w:u w:val="single"/>
                </w:rPr>
                <w:t>Rule 13a-14(a)/15d-14(a) Certifications (Principal Financial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2smg06282025.htm">
              <w:r>
                <w:rPr>
                  <w:rStyle w:val="InternetLink"/>
                  <w:rFonts w:ascii="Times New Roman;serif" w:hAnsi="Times New Roman;serif"/>
                  <w:b w:val="false"/>
                  <w:color w:val="0000FF"/>
                  <w:sz w:val="20"/>
                  <w:u w:val="single"/>
                </w:rPr>
                <w:t>Section 1350 Certifications (Principal Executive Officer and Principal Financial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704265b2e93b451e8b4e7b8608206fef_7">
        <w:r>
          <w:rPr>
            <w:rStyle w:val="InternetLink"/>
            <w:rFonts w:ascii="Times New Roman;serif" w:hAnsi="Times New Roman;serif"/>
            <w:b w:val="false"/>
            <w:color w:val="FFFFFF"/>
            <w:sz w:val="20"/>
            <w:u w:val="single"/>
          </w:rPr>
          <w:t>Contents</w:t>
        </w:r>
      </w:hyperlink>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SIGNATURES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9101"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2027"/>
        <w:gridCol w:w="2027"/>
        <w:gridCol w:w="287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SCOTTS MIRACLE-GRO COMPANY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MARK J. SCHEIWER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Printed Name: Mark J. Scheiwer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Title: Executive Vice President, Chief Financial Officer &amp; Chief Accounting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DIRECT AND INDIRECT SUBSIDIARIES OF</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SCOTTS MIRACLE-GRO COMPANY</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Directly owned subsidiaries, as of June 28, 2025, are located at the left margin, each subsidiary tier thereunder is indented. Subsidiaries are listed under the names of their respective parent entities. Unless otherwise noted, the subsidiaries are wholly-owned.</w:t>
      </w:r>
    </w:p>
    <w:tbl>
      <w:tblPr>
        <w:tblW w:w="8247" w:type="dxa"/>
        <w:jc w:val="left"/>
        <w:tblInd w:w="0" w:type="dxa"/>
        <w:tblLayout w:type="fixed"/>
        <w:tblCellMar>
          <w:top w:w="28" w:type="dxa"/>
          <w:left w:w="28" w:type="dxa"/>
          <w:bottom w:w="28" w:type="dxa"/>
          <w:right w:w="28" w:type="dxa"/>
        </w:tblCellMar>
      </w:tblPr>
      <w:tblGrid>
        <w:gridCol w:w="1731"/>
        <w:gridCol w:w="1526"/>
        <w:gridCol w:w="1543"/>
        <w:gridCol w:w="109"/>
        <w:gridCol w:w="109"/>
        <w:gridCol w:w="109"/>
        <w:gridCol w:w="912"/>
        <w:gridCol w:w="912"/>
        <w:gridCol w:w="1296"/>
      </w:tblGrid>
      <w:tr>
        <w:trPr/>
        <w:tc>
          <w:tcPr>
            <w:tcW w:w="1731"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JURISDICTION OF FORMATION</w:t>
            </w:r>
          </w:p>
        </w:tc>
      </w:tr>
      <w:tr>
        <w:trPr/>
        <w:tc>
          <w:tcPr>
            <w:tcW w:w="4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GenSource,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OMS Investments,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Scotts Temecula Operations,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Sanford Scientific,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Scotts Global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Scotts Live Goods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rPr>
              <w:t>Bonnie Plants, LLC</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Scotts Manufacturing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Miracle-Gro Lawn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Scotts Oregon Research Station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Scotts Products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rPr>
              <w:t>Scotts Servicios, S.A. de C.V.</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rPr>
              <w:t>Miracle-Gro Tecnología &amp; Servicios, S de R.L. de C.V.</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Scotts Professional Products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rPr>
              <w:t>Scotts Servicios, S.A. de C.V.2</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rPr>
              <w:t>Miracle-Gro Tecnología &amp; Servicios, S de R.L. de C.V.</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SMG Growing Media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AeroGrow International,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Hyponex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Rod McLellan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The Hawthorne Gardening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Hawthorne Hydroponics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Hawthorne Gardening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Gavita International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Agrolux Canada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Hawthorne Canada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HGCI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6839" w:type="dxa"/>
        <w:jc w:val="left"/>
        <w:tblInd w:w="0" w:type="dxa"/>
        <w:tblLayout w:type="fixed"/>
        <w:tblCellMar>
          <w:top w:w="28" w:type="dxa"/>
          <w:left w:w="28" w:type="dxa"/>
          <w:bottom w:w="28" w:type="dxa"/>
          <w:right w:w="28" w:type="dxa"/>
        </w:tblCellMar>
      </w:tblPr>
      <w:tblGrid>
        <w:gridCol w:w="2191"/>
        <w:gridCol w:w="1926"/>
        <w:gridCol w:w="2722"/>
      </w:tblGrid>
      <w:tr>
        <w:trPr/>
        <w:tc>
          <w:tcPr>
            <w:tcW w:w="2191"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tc>
      </w:tr>
      <w:tr>
        <w:trPr/>
        <w:tc>
          <w:tcPr>
            <w:tcW w:w="683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Scotts Live Goods Holdings, Inc.’s ownership is 50.0%.</w:t>
            </w:r>
          </w:p>
          <w:p>
            <w:pPr>
              <w:pStyle w:val="TableContents"/>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Scotts Professional Products Co. owns 50% and Scotts Products Co. owns 50.0%.</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097" w:type="dxa"/>
        <w:jc w:val="center"/>
        <w:tblInd w:w="0" w:type="dxa"/>
        <w:tblLayout w:type="fixed"/>
        <w:tblCellMar>
          <w:top w:w="28" w:type="dxa"/>
          <w:left w:w="28" w:type="dxa"/>
          <w:bottom w:w="28" w:type="dxa"/>
          <w:right w:w="28" w:type="dxa"/>
        </w:tblCellMar>
      </w:tblPr>
      <w:tblGrid>
        <w:gridCol w:w="1178"/>
        <w:gridCol w:w="1032"/>
        <w:gridCol w:w="1045"/>
        <w:gridCol w:w="109"/>
        <w:gridCol w:w="109"/>
        <w:gridCol w:w="109"/>
        <w:gridCol w:w="440"/>
        <w:gridCol w:w="440"/>
        <w:gridCol w:w="635"/>
      </w:tblGrid>
      <w:tr>
        <w:trPr/>
        <w:tc>
          <w:tcPr>
            <w:tcW w:w="1178"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SMGM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Scotts-Sierra Investments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0"/>
              <w:ind w:left="0" w:right="0" w:hanging="2565"/>
              <w:jc w:val="left"/>
              <w:rPr>
                <w:color w:val="000000"/>
              </w:rPr>
            </w:pPr>
            <w:r>
              <w:rPr>
                <w:color w:val="000000"/>
              </w:rPr>
              <w:t>     </w:t>
            </w:r>
            <w:r>
              <w:rPr>
                <w:rFonts w:ascii="Times New Roman;serif" w:hAnsi="Times New Roman;serif"/>
                <w:b w:val="false"/>
                <w:color w:val="000000"/>
                <w:sz w:val="20"/>
              </w:rPr>
              <w:t>Scotts Sierra (China)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Scotts Canada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rPr>
              <w:t>Laketon Peat Moss Inc.</w:t>
            </w: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rPr>
              <w:t>Scotts de Mexico SA de CV</w:t>
            </w:r>
            <w:r>
              <w:rPr>
                <w:rFonts w:ascii="Times New Roman;serif" w:hAnsi="Times New Roman;serif"/>
                <w:b w:val="false"/>
                <w:color w:val="000000"/>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SMG Germany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SMG Gardening (UK)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Swiss Farms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Scotts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rPr>
              <w:t>The Scotts Miracle-Gro Foundation</w:t>
            </w:r>
            <w:r>
              <w:rPr>
                <w:rFonts w:ascii="Times New Roman;serif" w:hAnsi="Times New Roman;serif"/>
                <w:b w:val="false"/>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8444" w:type="dxa"/>
        <w:jc w:val="left"/>
        <w:tblInd w:w="0" w:type="dxa"/>
        <w:tblLayout w:type="fixed"/>
        <w:tblCellMar>
          <w:top w:w="28" w:type="dxa"/>
          <w:left w:w="28" w:type="dxa"/>
          <w:bottom w:w="28" w:type="dxa"/>
          <w:right w:w="28" w:type="dxa"/>
        </w:tblCellMar>
      </w:tblPr>
      <w:tblGrid>
        <w:gridCol w:w="2706"/>
        <w:gridCol w:w="2378"/>
        <w:gridCol w:w="3360"/>
      </w:tblGrid>
      <w:tr>
        <w:trPr/>
        <w:tc>
          <w:tcPr>
            <w:tcW w:w="2706"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c>
          <w:tcPr>
            <w:tcW w:w="3360" w:type="dxa"/>
            <w:tcBorders/>
            <w:vAlign w:val="center"/>
          </w:tcPr>
          <w:p>
            <w:pPr>
              <w:pStyle w:val="TableContents"/>
              <w:bidi w:val="0"/>
              <w:spacing w:before="0" w:after="283"/>
              <w:jc w:val="left"/>
              <w:rPr>
                <w:sz w:val="4"/>
                <w:szCs w:val="4"/>
              </w:rPr>
            </w:pPr>
            <w:r>
              <w:rPr>
                <w:sz w:val="4"/>
                <w:szCs w:val="4"/>
              </w:rPr>
            </w:r>
          </w:p>
        </w:tc>
      </w:tr>
      <w:tr>
        <w:trPr/>
        <w:tc>
          <w:tcPr>
            <w:tcW w:w="8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tc>
      </w:tr>
      <w:tr>
        <w:trPr/>
        <w:tc>
          <w:tcPr>
            <w:tcW w:w="84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Scotts Canada Ltd.'s ownership is 50.0%.</w:t>
            </w:r>
          </w:p>
          <w:p>
            <w:pPr>
              <w:pStyle w:val="TableContents"/>
              <w:bidi w:val="0"/>
              <w:spacing w:lineRule="auto" w:line="288" w:before="0" w:after="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The Scotts Company LLC owns 0.5% and Scotts-Sierra Investments LLC owns the remaining 99.5%.</w:t>
            </w:r>
          </w:p>
          <w:p>
            <w:pPr>
              <w:pStyle w:val="TableContents"/>
              <w:bidi w:val="0"/>
              <w:spacing w:lineRule="auto" w:line="288" w:before="0" w:after="0"/>
              <w:jc w:val="left"/>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The Scotts Miracle-Gro Foundation is a 501(c)(3) corporation.</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22</w:t>
      </w:r>
    </w:p>
    <w:p>
      <w:pPr>
        <w:pStyle w:val="TextBody"/>
        <w:bidi w:val="0"/>
        <w:spacing w:before="0" w:after="200"/>
        <w:jc w:val="right"/>
        <w:rPr/>
      </w:pPr>
      <w:r>
        <w:rPr/>
      </w:r>
    </w:p>
    <w:p>
      <w:pPr>
        <w:pStyle w:val="TextBody"/>
        <w:bidi w:val="0"/>
        <w:spacing w:lineRule="auto" w:line="288" w:before="0" w:after="0"/>
        <w:jc w:val="center"/>
        <w:rPr>
          <w:rFonts w:ascii="Times New Roman;serif" w:hAnsi="Times New Roman;serif"/>
          <w:b w:val="false"/>
          <w:color w:val="333333"/>
          <w:sz w:val="20"/>
          <w:shd w:fill="FFFFFF" w:val="clear"/>
        </w:rPr>
      </w:pPr>
      <w:r>
        <w:rPr>
          <w:rFonts w:ascii="Times New Roman;serif" w:hAnsi="Times New Roman;serif"/>
          <w:b w:val="false"/>
          <w:color w:val="333333"/>
          <w:sz w:val="20"/>
          <w:shd w:fill="FFFFFF" w:val="clear"/>
        </w:rPr>
        <w:t>LIST OF GUARANTOR SUBSIDIARIES</w:t>
      </w:r>
    </w:p>
    <w:p>
      <w:pPr>
        <w:pStyle w:val="TextBody"/>
        <w:bidi w:val="0"/>
        <w:spacing w:before="0" w:after="200"/>
        <w:jc w:val="center"/>
        <w:rPr/>
      </w:pPr>
      <w:r>
        <w:rPr/>
      </w:r>
    </w:p>
    <w:p>
      <w:pPr>
        <w:pStyle w:val="TextBody"/>
        <w:bidi w:val="0"/>
        <w:spacing w:lineRule="auto" w:line="288" w:before="0" w:after="200"/>
        <w:jc w:val="left"/>
        <w:rPr>
          <w:rFonts w:ascii="Times New Roman;serif" w:hAnsi="Times New Roman;serif"/>
          <w:b w:val="false"/>
          <w:color w:val="333333"/>
          <w:sz w:val="20"/>
        </w:rPr>
      </w:pPr>
      <w:r>
        <w:rPr>
          <w:rFonts w:ascii="Times New Roman;serif" w:hAnsi="Times New Roman;serif"/>
          <w:b w:val="false"/>
          <w:color w:val="333333"/>
          <w:sz w:val="20"/>
        </w:rPr>
        <w:t>The following subsidiaries of The Scotts Miracle-Gro Company (the "Company") were, as of June 28, 2025, guarantors of the Company's 5.250% Senior Notes due 2026, 4.500% Senior Notes due 2029, 4.000% Senior Notes due 2031 and 4.375% Senior Notes due 2032:</w:t>
      </w:r>
    </w:p>
    <w:tbl>
      <w:tblPr>
        <w:tblW w:w="6971" w:type="dxa"/>
        <w:jc w:val="left"/>
        <w:tblInd w:w="0" w:type="dxa"/>
        <w:tblLayout w:type="fixed"/>
        <w:tblCellMar>
          <w:top w:w="28" w:type="dxa"/>
          <w:left w:w="28" w:type="dxa"/>
          <w:bottom w:w="28" w:type="dxa"/>
          <w:right w:w="28" w:type="dxa"/>
        </w:tblCellMar>
      </w:tblPr>
      <w:tblGrid>
        <w:gridCol w:w="1277"/>
        <w:gridCol w:w="1122"/>
        <w:gridCol w:w="1125"/>
        <w:gridCol w:w="109"/>
        <w:gridCol w:w="109"/>
        <w:gridCol w:w="109"/>
        <w:gridCol w:w="912"/>
        <w:gridCol w:w="912"/>
        <w:gridCol w:w="1296"/>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NAME OF GUARANTOR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JURISDICTION OF FORMATION</w:t>
            </w:r>
          </w:p>
        </w:tc>
      </w:tr>
      <w:tr>
        <w:trPr/>
        <w:tc>
          <w:tcPr>
            <w:tcW w:w="3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AeroGrow International,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GenSource,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Hawthorne Hydroponics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HGCI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Hyponex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Miracle-Gro Lawn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OMS Investments,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Rod McLellan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Sanford Scientific,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Scotts Live Goods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Scotts Manufacturing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Scotts Products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Scotts Professional Products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Scotts-Sierra Investments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Scotts Temecula Operations,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SMG Growing Media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SMGM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Swiss Farms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Hawthorne Gardening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Scotts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bl>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13a-14(a)/15d-14(a) Certifications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(Principal Executive Officer)</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CERTIFICATIONS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James Hagedorn,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The Scotts Miracle-Gro Company for the fiscal quarter ended June 28, 2025;</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tbl>
      <w:tblPr>
        <w:tblW w:w="7551"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34"/>
        <w:gridCol w:w="134"/>
        <w:gridCol w:w="136"/>
        <w:gridCol w:w="109"/>
        <w:gridCol w:w="109"/>
        <w:gridCol w:w="109"/>
        <w:gridCol w:w="1360"/>
        <w:gridCol w:w="1360"/>
        <w:gridCol w:w="192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HAGEDORN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Printed Name: James Hagedorn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Chairman of the Board &amp;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13a-14(a)/15d-14(a) Certifications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(Principal Financial Officer)</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CERTIFICATIONS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Mark J. Scheiwer,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The Scotts Miracle-Gro Company for the fiscal quarter ended June 28, 2025;</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tbl>
      <w:tblPr>
        <w:tblW w:w="9831"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34"/>
        <w:gridCol w:w="134"/>
        <w:gridCol w:w="136"/>
        <w:gridCol w:w="109"/>
        <w:gridCol w:w="109"/>
        <w:gridCol w:w="109"/>
        <w:gridCol w:w="2026"/>
        <w:gridCol w:w="2026"/>
        <w:gridCol w:w="287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MARK J. SCHEIWER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Printed Name: Mark J. Scheiwer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Executive Vice President, Chief Financial Officer &amp; Chief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1350 CERTIFICATIONS*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The Scotts Miracle-Gro Company (the “Company”) for the fiscal quarter ended June 28, 2025 as filed with the Securities and Exchange Commission on the date hereof (the “Report”), the undersigned James Hagedorn, Chairman of the Board &amp; Chief Executive Officer of the Company, and Mark J. Scheiwer, Executive Vice President, Chief Financial Officer &amp; Chief Accounting Officer of the Company, certify, pursuant to Section 1350 of Chapter 63 of Title 18 of the United States Code, as adopted pursuant to Section 906 of the Sarbanes-Oxley Act of 2002, that, to the best of their knowledge: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of the Securities Exchange Act of 1934; and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consolidated financial condition and results of operations of the Company and its subsidiaries.</w:t>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244"/>
        <w:gridCol w:w="1244"/>
        <w:gridCol w:w="1248"/>
        <w:gridCol w:w="109"/>
        <w:gridCol w:w="109"/>
        <w:gridCol w:w="109"/>
        <w:gridCol w:w="109"/>
        <w:gridCol w:w="109"/>
        <w:gridCol w:w="109"/>
        <w:gridCol w:w="1599"/>
        <w:gridCol w:w="1599"/>
        <w:gridCol w:w="2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HAGEDORN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MARK J. SCHEIWER</w:t>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Printed Name: James Hagedorn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Printed Name: Mark J. Scheiwer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Chairman of the Board &amp; Chief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Executive Vice President, Chief Financial Officer &amp; Chief Accounting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2025</w:t>
            </w:r>
          </w:p>
        </w:tc>
      </w:tr>
    </w:tbl>
    <w:p>
      <w:pPr>
        <w:pStyle w:val="TextBody"/>
        <w:bidi w:val="0"/>
        <w:spacing w:lineRule="auto" w:line="288" w:before="0" w:after="0"/>
        <w:ind w:left="0" w:right="0" w:hanging="72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25231</Words>
  <Characters>138794</Characters>
  <CharactersWithSpaces>162280</CharactersWithSpaces>
  <Paragraphs>3420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