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9669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6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Baxter Nathan Eric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14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THE SCOTTS MIRACLE-GRO COMPANY 14111 SCOTTSLAWN ROAD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MARYSVILLE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OH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43041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SCOTTS MIRACLE-GRO CO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SMG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7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06/25/2025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President and COO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06/25/2025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J</w:t>
            </w:r>
          </w:p>
        </w:tc>
        <w:tc>
          <w:tcPr>
            <w:tcW w:w="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93.7383</w:t>
            </w:r>
          </w:p>
        </w:tc>
        <w:tc>
          <w:tcPr>
            <w:tcW w:w="4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53.34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50,602.6841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36,993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HPLP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300" w:firstLine="7"/>
        <w:spacing w:after="0" w:line="247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Pursuant to Exchange Act Rule 16a-1(a)(1), the reporting person may be deemed, solely for purposes of determining whether he is a beneficial owner of more than 10% of the common shares of the Issuer ("Common Shares"), to be the beneficial owner of the securities of the Issuer that are held by Hagedorn Partnership, L.P., a Delaware limited partnership in which the reporting person is a general partner (the "Partnership"). Represents the aggregate proportionate interest of the reporting person and those family members in whose holdings he may be deemed to have a pecuniary interest, in Common Shares held by the Partnership.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Kathy L. Uttley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9442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42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Nathan E.</w:t>
        <w:tab/>
        <w:t>07/08/2025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Baxter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29337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3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785595" TargetMode="External"/><Relationship Id="rId14" Type="http://schemas.openxmlformats.org/officeDocument/2006/relationships/hyperlink" Target="http://www.sec.gov/cgi-bin/browse-edgar?action=getcompany&amp;CIK=000082554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2025-07-08T11:22:40Z</dcterms:created>
  <dcterms:modified xsi:type="dcterms:W3CDTF">2025-07-08T11:22:40Z</dcterms:modified>
</cp:coreProperties>
</file>