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Hagedorn Partnership,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PORT WASHINGTON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 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906"/>
        <w:gridCol w:w="423"/>
        <w:gridCol w:w="983"/>
        <w:gridCol w:w="1342"/>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28,793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67.4234</w:t>
            </w:r>
            <w:r>
              <w:rPr>
                <w:rFonts w:ascii="Times;serif" w:hAnsi="Times;serif"/>
                <w:color w:val="008000"/>
                <w:position w:val="7"/>
                <w:sz w:val="16"/>
                <w:sz w:val="20"/>
                <w:shd w:fill="FFFFFF" w:val="clear"/>
              </w:rPr>
              <w:t>(1)</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13,138,848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1,207</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68.1615</w:t>
            </w:r>
            <w:r>
              <w:rPr>
                <w:rFonts w:ascii="Times;serif" w:hAnsi="Times;serif"/>
                <w:color w:val="008000"/>
                <w:position w:val="7"/>
                <w:sz w:val="16"/>
                <w:sz w:val="20"/>
                <w:shd w:fill="FFFFFF" w:val="clear"/>
              </w:rPr>
              <w:t>(2)</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13,137,641</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executed in multiple trades at prices ranging from $67.00 to $67.99. The price above reflects the weighted average sales price. Detailed information regarding the number of shares sold at each separate price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was executed in multiple trades at prices ranging from $68.00 to $68.99. The price above reflects the weighted average sales price. Detailed information regarding the number of shares sold at each separate price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the Hagedorn Partnership, L.P. (the "Hagedorn Partnership"). Chris Hagedorn, Katherine Hagedorn Littlefield, Nathan Baxter, Hope Reeves, and Robert Hagedorn are the general partners of the Hagedorn Partnership. Each of the general partners disclaim beneficial ownership of the reported securities, except to the extent of their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Ahern, Attorney-in-Fact for Hagedorn Partnership,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45527"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733</Words>
  <Characters>4039</Characters>
  <CharactersWithSpaces>4696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