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Information Statement Pursuant to Rules 13d-1 and 13d-2</w:t>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810186106</w:t>
      </w:r>
    </w:p>
    <w:p>
      <w:pPr>
        <w:spacing w:after="0" w:line="29"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w:t>
      </w:r>
    </w:p>
    <w:p>
      <w:pPr>
        <w:ind w:left="284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9679"/>
          </w:cols>
          <w:pgMar w:left="780" w:top="6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X</w:t>
      </w:r>
    </w:p>
    <w:p>
      <w:pPr>
        <w:spacing w:after="0" w:line="3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17" w:lineRule="exact"/>
        <w:rPr>
          <w:sz w:val="24"/>
          <w:szCs w:val="24"/>
          <w:color w:val="auto"/>
        </w:rPr>
      </w:pPr>
    </w:p>
    <w:p>
      <w:pPr>
        <w:sectPr>
          <w:pgSz w:w="11900" w:h="16838" w:orient="portrait"/>
          <w:cols w:equalWidth="0" w:num="3">
            <w:col w:w="6940" w:space="120"/>
            <w:col w:w="740" w:space="0"/>
            <w:col w:w="1879"/>
          </w:cols>
          <w:pgMar w:left="780" w:top="623" w:right="1440" w:bottom="1440" w:gutter="0" w:footer="0" w:header="0"/>
          <w:type w:val="continuous"/>
        </w:sectPr>
      </w:pPr>
    </w:p>
    <w:p>
      <w:pPr>
        <w:ind w:right="1779"/>
        <w:spacing w:after="0" w:line="238"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3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Page 1 of 9 Pages</w:t>
      </w:r>
    </w:p>
    <w:p>
      <w:pPr>
        <w:sectPr>
          <w:pgSz w:w="11900" w:h="16838" w:orient="portrait"/>
          <w:cols w:equalWidth="0" w:num="1">
            <w:col w:w="9679"/>
          </w:cols>
          <w:pgMar w:left="780" w:top="623" w:right="1440" w:bottom="1440" w:gutter="0" w:footer="0" w:header="0"/>
          <w:type w:val="continuous"/>
        </w:sectPr>
      </w:pPr>
    </w:p>
    <w:bookmarkStart w:id="1" w:name="page2"/>
    <w:bookmarkEnd w:id="1"/>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20" w:right="915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CUSIP NO. 810186106</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Goldman, Sachs &amp; 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5800" w:hanging="420"/>
        <w:spacing w:after="0"/>
        <w:tabs>
          <w:tab w:leader="none" w:pos="5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line="30" w:lineRule="exact"/>
        <w:rPr>
          <w:rFonts w:ascii="Courier New" w:cs="Courier New" w:eastAsia="Courier New" w:hAnsi="Courier New"/>
          <w:sz w:val="18"/>
          <w:szCs w:val="18"/>
          <w:color w:val="auto"/>
        </w:rPr>
      </w:pPr>
    </w:p>
    <w:p>
      <w:pPr>
        <w:ind w:left="5800" w:hanging="420"/>
        <w:spacing w:after="0" w:line="238" w:lineRule="auto"/>
        <w:tabs>
          <w:tab w:leader="none" w:pos="58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New York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line="170" w:lineRule="exact"/>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right"/>
              <w:ind w:right="132"/>
              <w:spacing w:after="0" w:line="170" w:lineRule="exact"/>
              <w:rPr>
                <w:sz w:val="20"/>
                <w:szCs w:val="20"/>
                <w:color w:val="auto"/>
              </w:rPr>
            </w:pPr>
            <w:r>
              <w:rPr>
                <w:rFonts w:ascii="Courier New" w:cs="Courier New" w:eastAsia="Courier New" w:hAnsi="Courier New"/>
                <w:sz w:val="18"/>
                <w:szCs w:val="18"/>
                <w:color w:val="auto"/>
              </w:rPr>
              <w:t>5</w:t>
            </w:r>
          </w:p>
        </w:tc>
        <w:tc>
          <w:tcPr>
            <w:tcW w:w="4420" w:type="dxa"/>
            <w:vAlign w:val="bottom"/>
          </w:tcPr>
          <w:p>
            <w:pPr>
              <w:ind w:left="220"/>
              <w:spacing w:after="0" w:line="170"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spacing w:after="0"/>
              <w:rPr>
                <w:sz w:val="17"/>
                <w:szCs w:val="17"/>
                <w:color w:val="auto"/>
              </w:rPr>
            </w:pPr>
          </w:p>
        </w:tc>
        <w:tc>
          <w:tcPr>
            <w:tcW w:w="442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restart"/>
          </w:tcPr>
          <w:p>
            <w:pPr>
              <w:spacing w:after="0"/>
              <w:rPr>
                <w:sz w:val="20"/>
                <w:szCs w:val="20"/>
                <w:color w:val="auto"/>
              </w:rPr>
            </w:pPr>
            <w:r>
              <w:rPr>
                <w:rFonts w:ascii="Courier New" w:cs="Courier New" w:eastAsia="Courier New" w:hAnsi="Courier New"/>
                <w:sz w:val="18"/>
                <w:szCs w:val="18"/>
                <w:color w:val="auto"/>
              </w:rPr>
              <w:t>Owned By</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4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tcPr>
          <w:p>
            <w:pPr>
              <w:spacing w:after="0"/>
              <w:rPr>
                <w:sz w:val="17"/>
                <w:szCs w:val="17"/>
                <w:color w:val="auto"/>
              </w:rPr>
            </w:pPr>
          </w:p>
        </w:tc>
        <w:tc>
          <w:tcPr>
            <w:tcW w:w="442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1,224,809</w:t>
            </w:r>
          </w:p>
        </w:tc>
        <w:tc>
          <w:tcPr>
            <w:tcW w:w="0" w:type="dxa"/>
            <w:vAlign w:val="bottom"/>
          </w:tcPr>
          <w:p>
            <w:pPr>
              <w:spacing w:after="0"/>
              <w:rPr>
                <w:sz w:val="1"/>
                <w:szCs w:val="1"/>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restart"/>
          </w:tcPr>
          <w:p>
            <w:pPr>
              <w:spacing w:after="0"/>
              <w:rPr>
                <w:sz w:val="20"/>
                <w:szCs w:val="20"/>
                <w:color w:val="auto"/>
              </w:rPr>
            </w:pPr>
            <w:r>
              <w:rPr>
                <w:rFonts w:ascii="Courier New" w:cs="Courier New" w:eastAsia="Courier New" w:hAnsi="Courier New"/>
                <w:sz w:val="18"/>
                <w:szCs w:val="18"/>
                <w:color w:val="auto"/>
              </w:rPr>
              <w:t>Person With</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4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15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442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4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4420" w:type="dxa"/>
            <w:vAlign w:val="bottom"/>
          </w:tcPr>
          <w:p>
            <w:pPr>
              <w:ind w:left="22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1,224,809</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1,224,809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Representing by Amount in Row (11)</w:t>
      </w:r>
    </w:p>
    <w:p>
      <w:pPr>
        <w:spacing w:after="0" w:line="169"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6.6%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9 Pages</w:t>
      </w:r>
    </w:p>
    <w:p>
      <w:pPr>
        <w:sectPr>
          <w:pgSz w:w="11900" w:h="16838" w:orient="portrait"/>
          <w:cols w:equalWidth="0" w:num="1">
            <w:col w:w="10219"/>
          </w:cols>
          <w:pgMar w:left="240" w:top="691" w:right="1440" w:bottom="1440" w:gutter="0" w:footer="0" w:header="0"/>
        </w:sectPr>
      </w:pPr>
    </w:p>
    <w:bookmarkStart w:id="2" w:name="page3"/>
    <w:bookmarkEnd w:id="2"/>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20" w:right="915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CUSIP NO. 810186106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Goldman Sachs Group, L.P.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5800" w:hanging="420"/>
        <w:spacing w:after="0"/>
        <w:tabs>
          <w:tab w:leader="none" w:pos="5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line="30" w:lineRule="exact"/>
        <w:rPr>
          <w:rFonts w:ascii="Courier New" w:cs="Courier New" w:eastAsia="Courier New" w:hAnsi="Courier New"/>
          <w:sz w:val="18"/>
          <w:szCs w:val="18"/>
          <w:color w:val="auto"/>
        </w:rPr>
      </w:pPr>
    </w:p>
    <w:p>
      <w:pPr>
        <w:ind w:left="5800" w:hanging="420"/>
        <w:spacing w:after="0" w:line="238" w:lineRule="auto"/>
        <w:tabs>
          <w:tab w:leader="none" w:pos="5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3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5</w:t>
            </w:r>
          </w:p>
        </w:tc>
        <w:tc>
          <w:tcPr>
            <w:tcW w:w="4880" w:type="dxa"/>
            <w:vAlign w:val="bottom"/>
          </w:tcPr>
          <w:p>
            <w:pPr>
              <w:ind w:left="58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488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Owned By</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4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48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spacing w:after="0"/>
              <w:rPr>
                <w:sz w:val="17"/>
                <w:szCs w:val="17"/>
                <w:color w:val="auto"/>
              </w:rPr>
            </w:pPr>
          </w:p>
        </w:tc>
        <w:tc>
          <w:tcPr>
            <w:tcW w:w="488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1,224,809</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4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Person With</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48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4880" w:type="dxa"/>
            <w:vAlign w:val="bottom"/>
          </w:tcPr>
          <w:p>
            <w:pPr>
              <w:ind w:left="58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80" w:type="dxa"/>
            <w:vAlign w:val="bottom"/>
          </w:tcPr>
          <w:p>
            <w:pPr>
              <w:ind w:left="100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48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4880" w:type="dxa"/>
            <w:vAlign w:val="bottom"/>
          </w:tcPr>
          <w:p>
            <w:pPr>
              <w:ind w:left="58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1,224,809</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1,224,809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Representing by Amount in Row (11)</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6.6%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HC-PN</w:t>
      </w:r>
    </w:p>
    <w:p>
      <w:pPr>
        <w:spacing w:after="0" w:line="3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9 Pages</w:t>
      </w:r>
    </w:p>
    <w:p>
      <w:pPr>
        <w:sectPr>
          <w:pgSz w:w="11900" w:h="16838" w:orient="portrait"/>
          <w:cols w:equalWidth="0" w:num="1">
            <w:col w:w="10219"/>
          </w:cols>
          <w:pgMar w:left="240" w:top="691" w:right="1440" w:bottom="1440" w:gutter="0" w:footer="0" w:header="0"/>
        </w:sectPr>
      </w:pPr>
    </w:p>
    <w:bookmarkStart w:id="3" w:name="page4"/>
    <w:bookmarkEnd w:id="3"/>
    <w:p>
      <w:pPr>
        <w:spacing w:after="0" w:line="420" w:lineRule="auto"/>
        <w:rPr>
          <w:sz w:val="20"/>
          <w:szCs w:val="20"/>
          <w:color w:val="auto"/>
        </w:rPr>
      </w:pPr>
      <w:r>
        <w:rPr>
          <w:rFonts w:ascii="Courier New" w:cs="Courier New" w:eastAsia="Courier New" w:hAnsi="Courier New"/>
          <w:sz w:val="16"/>
          <w:szCs w:val="16"/>
          <w:color w:val="auto"/>
        </w:rPr>
        <w:t>Item 1(a).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The Scotts Company</w:t>
      </w:r>
    </w:p>
    <w:p>
      <w:pPr>
        <w:spacing w:after="0" w:line="191" w:lineRule="exact"/>
        <w:rPr>
          <w:sz w:val="20"/>
          <w:szCs w:val="20"/>
          <w:color w:val="auto"/>
        </w:rPr>
      </w:pPr>
    </w:p>
    <w:p>
      <w:pPr>
        <w:sectPr>
          <w:pgSz w:w="11900" w:h="16838" w:orient="portrait"/>
          <w:cols w:equalWidth="0" w:num="2">
            <w:col w:w="1060" w:space="520"/>
            <w:col w:w="7899"/>
          </w:cols>
          <w:pgMar w:left="980" w:top="691"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 Maryville, Ohio 43041</w:t>
      </w:r>
    </w:p>
    <w:p>
      <w:pPr>
        <w:spacing w:after="0" w:line="169" w:lineRule="exact"/>
        <w:rPr>
          <w:sz w:val="20"/>
          <w:szCs w:val="20"/>
          <w:color w:val="auto"/>
        </w:rPr>
      </w:pPr>
    </w:p>
    <w:p>
      <w:pPr>
        <w:sectPr>
          <w:pgSz w:w="11900" w:h="16838" w:orient="portrait"/>
          <w:cols w:equalWidth="0" w:num="2">
            <w:col w:w="1060" w:space="520"/>
            <w:col w:w="7899"/>
          </w:cols>
          <w:pgMar w:left="98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 and The Goldman Sachs Group, L.P.</w:t>
      </w:r>
    </w:p>
    <w:p>
      <w:pPr>
        <w:spacing w:after="0" w:line="192" w:lineRule="exact"/>
        <w:rPr>
          <w:sz w:val="20"/>
          <w:szCs w:val="20"/>
          <w:color w:val="auto"/>
        </w:rPr>
      </w:pPr>
    </w:p>
    <w:p>
      <w:pPr>
        <w:sectPr>
          <w:pgSz w:w="11900" w:h="16838" w:orient="portrait"/>
          <w:cols w:equalWidth="0" w:num="2">
            <w:col w:w="1060" w:space="520"/>
            <w:col w:w="7899"/>
          </w:cols>
          <w:pgMar w:left="98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ind w:right="2619"/>
        <w:spacing w:after="0" w:line="402" w:lineRule="auto"/>
        <w:rPr>
          <w:sz w:val="20"/>
          <w:szCs w:val="20"/>
          <w:color w:val="auto"/>
        </w:rPr>
      </w:pPr>
      <w:r>
        <w:rPr>
          <w:rFonts w:ascii="Courier New" w:cs="Courier New" w:eastAsia="Courier New" w:hAnsi="Courier New"/>
          <w:sz w:val="16"/>
          <w:szCs w:val="16"/>
          <w:color w:val="auto"/>
        </w:rPr>
        <w:t>Address of Principal Business Office, or, if None, Residence: 85 Broad Street, New York, N.Y. 10004</w:t>
      </w:r>
    </w:p>
    <w:p>
      <w:pPr>
        <w:spacing w:after="0" w:line="1" w:lineRule="exact"/>
        <w:rPr>
          <w:sz w:val="20"/>
          <w:szCs w:val="20"/>
          <w:color w:val="auto"/>
        </w:rPr>
      </w:pPr>
    </w:p>
    <w:p>
      <w:pPr>
        <w:sectPr>
          <w:pgSz w:w="11900" w:h="16838" w:orient="portrait"/>
          <w:cols w:equalWidth="0" w:num="2">
            <w:col w:w="1060" w:space="520"/>
            <w:col w:w="7899"/>
          </w:cols>
          <w:pgMar w:left="98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29" w:lineRule="exact"/>
        <w:rPr>
          <w:sz w:val="20"/>
          <w:szCs w:val="20"/>
          <w:color w:val="auto"/>
        </w:rPr>
      </w:pPr>
    </w:p>
    <w:p>
      <w:pPr>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Goldman, Sachs &amp; Co.</w:t>
        <w:tab/>
        <w:t>-</w:t>
      </w:r>
      <w:r>
        <w:rPr>
          <w:sz w:val="20"/>
          <w:szCs w:val="20"/>
          <w:color w:val="auto"/>
        </w:rPr>
        <w:tab/>
      </w:r>
      <w:r>
        <w:rPr>
          <w:rFonts w:ascii="Courier New" w:cs="Courier New" w:eastAsia="Courier New" w:hAnsi="Courier New"/>
          <w:sz w:val="16"/>
          <w:szCs w:val="16"/>
          <w:color w:val="auto"/>
        </w:rPr>
        <w:t>New York</w:t>
      </w:r>
    </w:p>
    <w:p>
      <w:pPr>
        <w:spacing w:after="0"/>
        <w:tabs>
          <w:tab w:leader="none" w:pos="3260" w:val="left"/>
        </w:tabs>
        <w:rPr>
          <w:sz w:val="20"/>
          <w:szCs w:val="20"/>
          <w:color w:val="auto"/>
        </w:rPr>
      </w:pPr>
      <w:r>
        <w:rPr>
          <w:rFonts w:ascii="Courier New" w:cs="Courier New" w:eastAsia="Courier New" w:hAnsi="Courier New"/>
          <w:sz w:val="18"/>
          <w:szCs w:val="18"/>
          <w:color w:val="auto"/>
        </w:rPr>
        <w:t>The Goldman Sachs Group, L.P.</w:t>
      </w:r>
      <w:r>
        <w:rPr>
          <w:sz w:val="20"/>
          <w:szCs w:val="20"/>
          <w:color w:val="auto"/>
        </w:rPr>
        <w:tab/>
      </w:r>
      <w:r>
        <w:rPr>
          <w:rFonts w:ascii="Courier New" w:cs="Courier New" w:eastAsia="Courier New" w:hAnsi="Courier New"/>
          <w:sz w:val="16"/>
          <w:szCs w:val="16"/>
          <w:color w:val="auto"/>
        </w:rPr>
        <w:t>- Delaware</w:t>
      </w:r>
    </w:p>
    <w:p>
      <w:pPr>
        <w:spacing w:after="0" w:line="169" w:lineRule="exact"/>
        <w:rPr>
          <w:sz w:val="20"/>
          <w:szCs w:val="20"/>
          <w:color w:val="auto"/>
        </w:rPr>
      </w:pPr>
    </w:p>
    <w:p>
      <w:pPr>
        <w:sectPr>
          <w:pgSz w:w="11900" w:h="16838" w:orient="portrait"/>
          <w:cols w:equalWidth="0" w:num="2">
            <w:col w:w="1060" w:space="520"/>
            <w:col w:w="7899"/>
          </w:cols>
          <w:pgMar w:left="98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 and Class of Securities: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ectPr>
          <w:pgSz w:w="11900" w:h="16838" w:orient="portrait"/>
          <w:cols w:equalWidth="0" w:num="2">
            <w:col w:w="1060" w:space="520"/>
            <w:col w:w="7899"/>
          </w:cols>
          <w:pgMar w:left="98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169" w:lineRule="exact"/>
        <w:rPr>
          <w:sz w:val="20"/>
          <w:szCs w:val="20"/>
          <w:color w:val="auto"/>
        </w:rPr>
      </w:pPr>
    </w:p>
    <w:p>
      <w:pPr>
        <w:sectPr>
          <w:pgSz w:w="11900" w:h="16838" w:orient="portrait"/>
          <w:cols w:equalWidth="0" w:num="2">
            <w:col w:w="1060" w:space="520"/>
            <w:col w:w="7899"/>
          </w:cols>
          <w:pgMar w:left="98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1879"/>
        <w:spacing w:after="0" w:line="347" w:lineRule="auto"/>
        <w:rPr>
          <w:sz w:val="20"/>
          <w:szCs w:val="20"/>
          <w:color w:val="auto"/>
        </w:rPr>
      </w:pPr>
      <w:r>
        <w:rPr>
          <w:rFonts w:ascii="Courier New" w:cs="Courier New" w:eastAsia="Courier New" w:hAnsi="Courier New"/>
          <w:sz w:val="18"/>
          <w:szCs w:val="18"/>
          <w:color w:val="auto"/>
        </w:rPr>
        <w:t>If this statement is filed pursuant to Rules 13d-1(b), or 13d-2(b). check whether the person filing is a :</w:t>
      </w:r>
    </w:p>
    <w:p>
      <w:pPr>
        <w:spacing w:after="0" w:line="18" w:lineRule="exact"/>
        <w:rPr>
          <w:sz w:val="20"/>
          <w:szCs w:val="20"/>
          <w:color w:val="auto"/>
        </w:rPr>
      </w:pPr>
    </w:p>
    <w:p>
      <w:pPr>
        <w:sectPr>
          <w:pgSz w:w="11900" w:h="16838" w:orient="portrait"/>
          <w:cols w:equalWidth="0" w:num="2">
            <w:col w:w="860" w:space="720"/>
            <w:col w:w="7899"/>
          </w:cols>
          <w:pgMar w:left="980" w:top="69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(a).X</w:t>
      </w:r>
    </w:p>
    <w:p>
      <w:pPr>
        <w:spacing w:after="0" w:line="20" w:lineRule="exact"/>
        <w:rPr>
          <w:sz w:val="20"/>
          <w:szCs w:val="20"/>
          <w:color w:val="auto"/>
        </w:rPr>
      </w:pPr>
      <w:r>
        <w:rPr>
          <w:sz w:val="20"/>
          <w:szCs w:val="20"/>
          <w:color w:val="auto"/>
        </w:rPr>
        <w:br w:type="column"/>
      </w:r>
    </w:p>
    <w:p>
      <w:pPr>
        <w:ind w:right="1999" w:hanging="739"/>
        <w:spacing w:after="0" w:line="347" w:lineRule="auto"/>
        <w:rPr>
          <w:sz w:val="20"/>
          <w:szCs w:val="20"/>
          <w:color w:val="auto"/>
        </w:rPr>
      </w:pPr>
      <w:r>
        <w:rPr>
          <w:rFonts w:ascii="Courier New" w:cs="Courier New" w:eastAsia="Courier New" w:hAnsi="Courier New"/>
          <w:sz w:val="18"/>
          <w:szCs w:val="18"/>
          <w:color w:val="auto"/>
        </w:rPr>
        <w:t>Broker</w:t>
      </w:r>
      <w:r>
        <w:rPr>
          <w:sz w:val="20"/>
          <w:szCs w:val="20"/>
          <w:color w:val="auto"/>
        </w:rPr>
        <w:t xml:space="preserve"> </w:t>
      </w:r>
      <w:r>
        <w:rPr>
          <w:rFonts w:ascii="Courier New" w:cs="Courier New" w:eastAsia="Courier New" w:hAnsi="Courier New"/>
          <w:sz w:val="18"/>
          <w:szCs w:val="18"/>
          <w:color w:val="auto"/>
        </w:rPr>
        <w:t>or dealer registered under Section 15 of the Act, Goldman, Sachs &amp; Co.</w:t>
      </w:r>
    </w:p>
    <w:p>
      <w:pPr>
        <w:spacing w:after="0" w:line="18" w:lineRule="exact"/>
        <w:rPr>
          <w:sz w:val="20"/>
          <w:szCs w:val="20"/>
          <w:color w:val="auto"/>
        </w:rPr>
      </w:pPr>
    </w:p>
    <w:p>
      <w:pPr>
        <w:sectPr>
          <w:pgSz w:w="11900" w:h="16838" w:orient="portrait"/>
          <w:cols w:equalWidth="0" w:num="2">
            <w:col w:w="1600" w:space="720"/>
            <w:col w:w="7159"/>
          </w:cols>
          <w:pgMar w:left="980" w:top="69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as defined in Section 3(a)(6) of the Act,</w:t>
      </w:r>
    </w:p>
    <w:p>
      <w:pPr>
        <w:spacing w:after="0" w:line="200" w:lineRule="exact"/>
        <w:rPr>
          <w:sz w:val="20"/>
          <w:szCs w:val="20"/>
          <w:color w:val="auto"/>
        </w:rPr>
      </w:pPr>
    </w:p>
    <w:p>
      <w:pPr>
        <w:sectPr>
          <w:pgSz w:w="11900" w:h="16838" w:orient="portrait"/>
          <w:cols w:equalWidth="0" w:num="2">
            <w:col w:w="1160" w:space="420"/>
            <w:col w:w="7899"/>
          </w:cols>
          <w:pgMar w:left="980" w:top="691"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Insurance Company as defined in Section 3(a)(19) of the Act,</w:t>
      </w:r>
    </w:p>
    <w:p>
      <w:pPr>
        <w:spacing w:after="0" w:line="18" w:lineRule="exact"/>
        <w:rPr>
          <w:sz w:val="20"/>
          <w:szCs w:val="20"/>
          <w:color w:val="auto"/>
        </w:rPr>
      </w:pPr>
    </w:p>
    <w:p>
      <w:pPr>
        <w:sectPr>
          <w:pgSz w:w="11900" w:h="16838" w:orient="portrait"/>
          <w:cols w:equalWidth="0" w:num="2">
            <w:col w:w="1160" w:space="420"/>
            <w:col w:w="7899"/>
          </w:cols>
          <w:pgMar w:left="980" w:top="69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ind w:right="2419"/>
        <w:spacing w:after="0" w:line="347"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w:t>
      </w:r>
    </w:p>
    <w:p>
      <w:pPr>
        <w:spacing w:after="0" w:line="18" w:lineRule="exact"/>
        <w:rPr>
          <w:sz w:val="20"/>
          <w:szCs w:val="20"/>
          <w:color w:val="auto"/>
        </w:rPr>
      </w:pPr>
    </w:p>
    <w:p>
      <w:pPr>
        <w:sectPr>
          <w:pgSz w:w="11900" w:h="16838" w:orient="portrait"/>
          <w:cols w:equalWidth="0" w:num="2">
            <w:col w:w="1160" w:space="420"/>
            <w:col w:w="7899"/>
          </w:cols>
          <w:pgMar w:left="980" w:top="69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(e).X</w:t>
      </w:r>
    </w:p>
    <w:p>
      <w:pPr>
        <w:spacing w:after="0" w:line="20" w:lineRule="exact"/>
        <w:rPr>
          <w:sz w:val="20"/>
          <w:szCs w:val="20"/>
          <w:color w:val="auto"/>
        </w:rPr>
      </w:pPr>
      <w:r>
        <w:rPr>
          <w:sz w:val="20"/>
          <w:szCs w:val="20"/>
          <w:color w:val="auto"/>
        </w:rPr>
        <w:br w:type="column"/>
      </w:r>
    </w:p>
    <w:p>
      <w:pPr>
        <w:ind w:right="2199"/>
        <w:spacing w:after="0" w:line="292" w:lineRule="auto"/>
        <w:rPr>
          <w:sz w:val="20"/>
          <w:szCs w:val="20"/>
          <w:color w:val="auto"/>
        </w:rPr>
      </w:pPr>
      <w:r>
        <w:rPr>
          <w:rFonts w:ascii="Courier New" w:cs="Courier New" w:eastAsia="Courier New" w:hAnsi="Courier New"/>
          <w:sz w:val="18"/>
          <w:szCs w:val="18"/>
          <w:color w:val="auto"/>
        </w:rPr>
        <w:t>Investment Adviser registered under Section 203 of the Investment Advisers Act of 1940, Goldman, Sachs &amp; Co.</w:t>
      </w:r>
    </w:p>
    <w:p>
      <w:pPr>
        <w:spacing w:after="0" w:line="66" w:lineRule="exact"/>
        <w:rPr>
          <w:sz w:val="20"/>
          <w:szCs w:val="20"/>
          <w:color w:val="auto"/>
        </w:rPr>
      </w:pPr>
    </w:p>
    <w:p>
      <w:pPr>
        <w:sectPr>
          <w:pgSz w:w="11900" w:h="16838" w:orient="portrait"/>
          <w:cols w:equalWidth="0" w:num="2">
            <w:col w:w="1260" w:space="320"/>
            <w:col w:w="7899"/>
          </w:cols>
          <w:pgMar w:left="980" w:top="691"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(f).</w:t>
      </w:r>
    </w:p>
    <w:p>
      <w:pPr>
        <w:spacing w:after="0" w:line="20" w:lineRule="exact"/>
        <w:rPr>
          <w:sz w:val="20"/>
          <w:szCs w:val="20"/>
          <w:color w:val="auto"/>
        </w:rPr>
      </w:pPr>
      <w:r>
        <w:rPr>
          <w:sz w:val="20"/>
          <w:szCs w:val="20"/>
          <w:color w:val="auto"/>
        </w:rPr>
        <w:br w:type="column"/>
      </w:r>
    </w:p>
    <w:p>
      <w:pPr>
        <w:ind w:right="1879"/>
        <w:spacing w:after="0" w:line="344"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31" w:lineRule="exact"/>
        <w:rPr>
          <w:sz w:val="20"/>
          <w:szCs w:val="20"/>
          <w:color w:val="auto"/>
        </w:rPr>
      </w:pPr>
    </w:p>
    <w:p>
      <w:pPr>
        <w:sectPr>
          <w:pgSz w:w="11900" w:h="16838" w:orient="portrait"/>
          <w:cols w:equalWidth="0" w:num="2">
            <w:col w:w="1160" w:space="420"/>
            <w:col w:w="7899"/>
          </w:cols>
          <w:pgMar w:left="980" w:top="691"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Page 4 of 9 Pages</w:t>
      </w:r>
    </w:p>
    <w:p>
      <w:pPr>
        <w:sectPr>
          <w:pgSz w:w="11900" w:h="16838" w:orient="portrait"/>
          <w:cols w:equalWidth="0" w:num="1">
            <w:col w:w="9479"/>
          </w:cols>
          <w:pgMar w:left="980" w:top="69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20" w:type="dxa"/>
            <w:vAlign w:val="bottom"/>
          </w:tcPr>
          <w:p>
            <w:pPr>
              <w:ind w:left="940"/>
              <w:spacing w:after="0"/>
              <w:rPr>
                <w:sz w:val="20"/>
                <w:szCs w:val="20"/>
                <w:color w:val="auto"/>
              </w:rPr>
            </w:pPr>
            <w:r>
              <w:rPr>
                <w:rFonts w:ascii="Courier New" w:cs="Courier New" w:eastAsia="Courier New" w:hAnsi="Courier New"/>
                <w:sz w:val="18"/>
                <w:szCs w:val="18"/>
                <w:color w:val="auto"/>
              </w:rPr>
              <w:t>(g).X</w:t>
            </w:r>
          </w:p>
        </w:tc>
        <w:tc>
          <w:tcPr>
            <w:tcW w:w="62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Parent Holding Company, in accordance with Rule 13d-</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4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1(b)(ii)(G);</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Item 7,</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The Goldman Sachs Group, L.P.</w:t>
            </w:r>
          </w:p>
        </w:tc>
        <w:tc>
          <w:tcPr>
            <w:tcW w:w="0" w:type="dxa"/>
            <w:vAlign w:val="bottom"/>
          </w:tcPr>
          <w:p>
            <w:pPr>
              <w:spacing w:after="0"/>
              <w:rPr>
                <w:sz w:val="1"/>
                <w:szCs w:val="1"/>
                <w:color w:val="auto"/>
              </w:rPr>
            </w:pPr>
          </w:p>
        </w:tc>
      </w:tr>
      <w:tr>
        <w:trPr>
          <w:trHeight w:val="405"/>
        </w:trPr>
        <w:tc>
          <w:tcPr>
            <w:tcW w:w="1620" w:type="dxa"/>
            <w:vAlign w:val="bottom"/>
          </w:tcPr>
          <w:p>
            <w:pPr>
              <w:ind w:left="940"/>
              <w:spacing w:after="0"/>
              <w:rPr>
                <w:sz w:val="20"/>
                <w:szCs w:val="20"/>
                <w:color w:val="auto"/>
              </w:rPr>
            </w:pPr>
            <w:r>
              <w:rPr>
                <w:rFonts w:ascii="Courier New" w:cs="Courier New" w:eastAsia="Courier New" w:hAnsi="Courier New"/>
                <w:sz w:val="18"/>
                <w:szCs w:val="18"/>
                <w:color w:val="auto"/>
              </w:rPr>
              <w:t>(h).</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Group, in</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accordance with Rule 13d-1(b)(ii)(H).</w:t>
            </w:r>
          </w:p>
        </w:tc>
        <w:tc>
          <w:tcPr>
            <w:tcW w:w="0" w:type="dxa"/>
            <w:vAlign w:val="bottom"/>
          </w:tcPr>
          <w:p>
            <w:pPr>
              <w:spacing w:after="0"/>
              <w:rPr>
                <w:sz w:val="1"/>
                <w:szCs w:val="1"/>
                <w:color w:val="auto"/>
              </w:rPr>
            </w:pPr>
          </w:p>
        </w:tc>
      </w:tr>
      <w:tr>
        <w:trPr>
          <w:trHeight w:val="608"/>
        </w:trPr>
        <w:tc>
          <w:tcPr>
            <w:tcW w:w="16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Ownership.</w:t>
            </w:r>
          </w:p>
        </w:tc>
        <w:tc>
          <w:tcPr>
            <w:tcW w:w="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ind w:left="940"/>
              <w:spacing w:after="0"/>
              <w:rPr>
                <w:sz w:val="20"/>
                <w:szCs w:val="20"/>
                <w:color w:val="auto"/>
              </w:rPr>
            </w:pPr>
            <w:r>
              <w:rPr>
                <w:rFonts w:ascii="Courier New" w:cs="Courier New" w:eastAsia="Courier New" w:hAnsi="Courier New"/>
                <w:sz w:val="18"/>
                <w:szCs w:val="18"/>
                <w:color w:val="auto"/>
              </w:rPr>
              <w:t>(a).</w:t>
            </w:r>
          </w:p>
        </w:tc>
        <w:tc>
          <w:tcPr>
            <w:tcW w:w="62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Amount beneficially owned:</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62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See the responses(s) to Item 9 on the attached cover</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pages(s).</w:t>
            </w:r>
          </w:p>
        </w:tc>
        <w:tc>
          <w:tcPr>
            <w:tcW w:w="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ind w:left="940"/>
              <w:spacing w:after="0"/>
              <w:rPr>
                <w:sz w:val="20"/>
                <w:szCs w:val="20"/>
                <w:color w:val="auto"/>
              </w:rPr>
            </w:pPr>
            <w:r>
              <w:rPr>
                <w:rFonts w:ascii="Courier New" w:cs="Courier New" w:eastAsia="Courier New" w:hAnsi="Courier New"/>
                <w:sz w:val="18"/>
                <w:szCs w:val="18"/>
                <w:color w:val="auto"/>
              </w:rPr>
              <w:t>(b).</w:t>
            </w:r>
          </w:p>
        </w:tc>
        <w:tc>
          <w:tcPr>
            <w:tcW w:w="62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Percent of class:</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62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See the response(s) to Item 11 on the attached cover</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pages(s).</w:t>
            </w:r>
          </w:p>
        </w:tc>
        <w:tc>
          <w:tcPr>
            <w:tcW w:w="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620" w:type="dxa"/>
            <w:vAlign w:val="bottom"/>
          </w:tcPr>
          <w:p>
            <w:pPr>
              <w:ind w:left="940"/>
              <w:spacing w:after="0"/>
              <w:rPr>
                <w:sz w:val="20"/>
                <w:szCs w:val="20"/>
                <w:color w:val="auto"/>
              </w:rPr>
            </w:pPr>
            <w:r>
              <w:rPr>
                <w:rFonts w:ascii="Courier New" w:cs="Courier New" w:eastAsia="Courier New" w:hAnsi="Courier New"/>
                <w:sz w:val="18"/>
                <w:szCs w:val="18"/>
                <w:color w:val="auto"/>
              </w:rPr>
              <w:t>(c).</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Number of</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shares as to which such person has:</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55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Sole power to vote or to direct the vote:</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See the response(s) to Item 5 on the attached</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cover page(s).</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(ii)</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power to vote or direct the vote:</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See the response(s) to Item 6 on the attached</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cover page(s).</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4"/>
                <w:szCs w:val="24"/>
                <w:color w:val="auto"/>
              </w:rPr>
            </w:pPr>
          </w:p>
        </w:tc>
        <w:tc>
          <w:tcPr>
            <w:tcW w:w="62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(iii) Sole power to dispose or to direct the disposition</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260" w:type="dxa"/>
            <w:vAlign w:val="bottom"/>
          </w:tcPr>
          <w:p>
            <w:pPr>
              <w:spacing w:after="0"/>
              <w:rPr>
                <w:sz w:val="24"/>
                <w:szCs w:val="24"/>
                <w:color w:val="auto"/>
              </w:rPr>
            </w:pPr>
          </w:p>
        </w:tc>
        <w:tc>
          <w:tcPr>
            <w:tcW w:w="4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7"/>
              </w:rPr>
              <w:t>See the response(s) to Item 7 on the attached</w:t>
            </w:r>
          </w:p>
        </w:tc>
        <w:tc>
          <w:tcPr>
            <w:tcW w:w="0" w:type="dxa"/>
            <w:vAlign w:val="bottom"/>
          </w:tcPr>
          <w:p>
            <w:pPr>
              <w:spacing w:after="0"/>
              <w:rPr>
                <w:sz w:val="1"/>
                <w:szCs w:val="1"/>
                <w:color w:val="auto"/>
              </w:rPr>
            </w:pPr>
          </w:p>
        </w:tc>
      </w:tr>
      <w:tr>
        <w:trPr>
          <w:trHeight w:val="109"/>
        </w:trPr>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cover page(s).</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(iv)</w:t>
            </w: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w w:val="97"/>
              </w:rPr>
              <w:t>power to dispose or to direct the disposition</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260" w:type="dxa"/>
            <w:vAlign w:val="bottom"/>
          </w:tcPr>
          <w:p>
            <w:pPr>
              <w:spacing w:after="0"/>
              <w:rPr>
                <w:sz w:val="24"/>
                <w:szCs w:val="24"/>
                <w:color w:val="auto"/>
              </w:rPr>
            </w:pPr>
          </w:p>
        </w:tc>
        <w:tc>
          <w:tcPr>
            <w:tcW w:w="4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7"/>
              </w:rPr>
              <w:t>See the response(s) to Item 8 on the attached</w:t>
            </w:r>
          </w:p>
        </w:tc>
        <w:tc>
          <w:tcPr>
            <w:tcW w:w="0" w:type="dxa"/>
            <w:vAlign w:val="bottom"/>
          </w:tcPr>
          <w:p>
            <w:pPr>
              <w:spacing w:after="0"/>
              <w:rPr>
                <w:sz w:val="1"/>
                <w:szCs w:val="1"/>
                <w:color w:val="auto"/>
              </w:rPr>
            </w:pPr>
          </w:p>
        </w:tc>
      </w:tr>
      <w:tr>
        <w:trPr>
          <w:trHeight w:val="109"/>
        </w:trPr>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cover page(s).</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Ownership</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Five Percent or Less of a Class.</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Applicable</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Ownership</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More than Five Percent on Behalf of Another</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Person.</w:t>
            </w:r>
          </w:p>
        </w:tc>
        <w:tc>
          <w:tcPr>
            <w:tcW w:w="50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Applicable</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5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2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9"/>
              </w:rPr>
              <w:t>Identification and Classification of the Subsidiary Which</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14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Acquired the</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on by the Parent</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62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Holding Company.</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See</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Exhibit(2)</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2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7"/>
              </w:rPr>
              <w:t>Identification and Classification of Members of the Group.</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Applicable</w:t>
            </w:r>
          </w:p>
        </w:tc>
        <w:tc>
          <w:tcPr>
            <w:tcW w:w="0" w:type="dxa"/>
            <w:vAlign w:val="bottom"/>
          </w:tcPr>
          <w:p>
            <w:pPr>
              <w:spacing w:after="0"/>
              <w:rPr>
                <w:sz w:val="1"/>
                <w:szCs w:val="1"/>
                <w:color w:val="auto"/>
              </w:rPr>
            </w:pPr>
          </w:p>
        </w:tc>
      </w:tr>
      <w:tr>
        <w:trPr>
          <w:trHeight w:val="311"/>
        </w:trPr>
        <w:tc>
          <w:tcPr>
            <w:tcW w:w="16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Notice of</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Dissolution of Group.</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Not</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Applicable</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5 of 9 Pages</w:t>
      </w:r>
    </w:p>
    <w:p>
      <w:pPr>
        <w:sectPr>
          <w:pgSz w:w="11900" w:h="16838" w:orient="portrait"/>
          <w:cols w:equalWidth="0" w:num="1">
            <w:col w:w="9679"/>
          </w:cols>
          <w:pgMar w:left="780" w:top="689" w:right="1440" w:bottom="1440" w:gutter="0" w:footer="0" w:header="0"/>
        </w:sectPr>
      </w:pPr>
    </w:p>
    <w:bookmarkStart w:id="5" w:name="page6"/>
    <w:bookmarkEnd w:id="5"/>
    <w:p>
      <w:pPr>
        <w:ind w:left="540"/>
        <w:spacing w:after="0"/>
        <w:tabs>
          <w:tab w:leader="none" w:pos="23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2320" w:right="177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right="17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1995</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GOLDMAN SACHS GROUP, L.P.</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J. Buckley</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Name: William J. Buckley</w:t>
      </w: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200" w:lineRule="exact"/>
        <w:rPr>
          <w:sz w:val="20"/>
          <w:szCs w:val="20"/>
          <w:color w:val="auto"/>
        </w:rPr>
      </w:pPr>
    </w:p>
    <w:p>
      <w:pPr>
        <w:spacing w:after="0" w:line="37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By:/s/ William J. Buckley</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Name: William J. Buckley</w:t>
      </w: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General Partner</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9 Pages</w:t>
      </w:r>
    </w:p>
    <w:p>
      <w:pPr>
        <w:sectPr>
          <w:pgSz w:w="11900" w:h="16838" w:orient="portrait"/>
          <w:cols w:equalWidth="0" w:num="1">
            <w:col w:w="10219"/>
          </w:cols>
          <w:pgMar w:left="240" w:top="69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6420" w:type="dxa"/>
            <w:vAlign w:val="bottom"/>
          </w:tcPr>
          <w:p>
            <w:pPr>
              <w:ind w:left="1800"/>
              <w:spacing w:after="0"/>
              <w:rPr>
                <w:sz w:val="20"/>
                <w:szCs w:val="20"/>
                <w:color w:val="auto"/>
              </w:rPr>
            </w:pPr>
            <w:r>
              <w:rPr>
                <w:rFonts w:ascii="Courier New" w:cs="Courier New" w:eastAsia="Courier New" w:hAnsi="Courier New"/>
                <w:sz w:val="18"/>
                <w:szCs w:val="18"/>
                <w:color w:val="auto"/>
              </w:rPr>
              <w:t>INDEX TO EXHIBITS</w:t>
            </w:r>
          </w:p>
        </w:tc>
      </w:tr>
      <w:tr>
        <w:trPr>
          <w:trHeight w:val="717"/>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Exhibit</w:t>
            </w: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42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r>
      <w:tr>
        <w:trPr>
          <w:trHeight w:val="311"/>
        </w:trPr>
        <w:tc>
          <w:tcPr>
            <w:tcW w:w="14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99.1</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w w:val="97"/>
              </w:rPr>
              <w:t>Joint Filing Agreement, dated February 10, 1995, between The</w:t>
            </w:r>
          </w:p>
        </w:tc>
      </w:tr>
      <w:tr>
        <w:trPr>
          <w:trHeight w:val="296"/>
        </w:trPr>
        <w:tc>
          <w:tcPr>
            <w:tcW w:w="1480" w:type="dxa"/>
            <w:vAlign w:val="bottom"/>
          </w:tcPr>
          <w:p>
            <w:pPr>
              <w:spacing w:after="0"/>
              <w:rPr>
                <w:sz w:val="24"/>
                <w:szCs w:val="24"/>
                <w:color w:val="auto"/>
              </w:rPr>
            </w:pP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Goldman Sachs Group, L.P., and Goldman, Sachs &amp; Co.</w:t>
            </w:r>
          </w:p>
        </w:tc>
      </w:tr>
      <w:tr>
        <w:trPr>
          <w:trHeight w:val="405"/>
        </w:trPr>
        <w:tc>
          <w:tcPr>
            <w:tcW w:w="14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99.2</w:t>
            </w:r>
          </w:p>
        </w:tc>
        <w:tc>
          <w:tcPr>
            <w:tcW w:w="6420" w:type="dxa"/>
            <w:vAlign w:val="bottom"/>
          </w:tcPr>
          <w:p>
            <w:pPr>
              <w:ind w:left="100"/>
              <w:spacing w:after="0"/>
              <w:rPr>
                <w:sz w:val="20"/>
                <w:szCs w:val="20"/>
                <w:color w:val="auto"/>
              </w:rPr>
            </w:pPr>
            <w:r>
              <w:rPr>
                <w:rFonts w:ascii="Courier New" w:cs="Courier New" w:eastAsia="Courier New" w:hAnsi="Courier New"/>
                <w:sz w:val="18"/>
                <w:szCs w:val="18"/>
                <w:color w:val="auto"/>
              </w:rPr>
              <w:t>Item 7 Information</w:t>
            </w:r>
          </w:p>
        </w:tc>
      </w:tr>
      <w:tr>
        <w:trPr>
          <w:trHeight w:val="405"/>
        </w:trPr>
        <w:tc>
          <w:tcPr>
            <w:tcW w:w="1480" w:type="dxa"/>
            <w:vAlign w:val="bottom"/>
          </w:tcPr>
          <w:p>
            <w:pPr>
              <w:spacing w:after="0"/>
              <w:rPr>
                <w:sz w:val="24"/>
                <w:szCs w:val="24"/>
                <w:color w:val="auto"/>
              </w:rPr>
            </w:pPr>
          </w:p>
        </w:tc>
        <w:tc>
          <w:tcPr>
            <w:tcW w:w="6420" w:type="dxa"/>
            <w:vAlign w:val="bottom"/>
          </w:tcPr>
          <w:p>
            <w:pPr>
              <w:ind w:left="1800"/>
              <w:spacing w:after="0"/>
              <w:rPr>
                <w:sz w:val="20"/>
                <w:szCs w:val="20"/>
                <w:color w:val="auto"/>
              </w:rPr>
            </w:pPr>
            <w:r>
              <w:rPr>
                <w:rFonts w:ascii="Courier New" w:cs="Courier New" w:eastAsia="Courier New" w:hAnsi="Courier New"/>
                <w:sz w:val="18"/>
                <w:szCs w:val="18"/>
                <w:color w:val="auto"/>
              </w:rPr>
              <w:t>Page 7 of 9 Pages</w:t>
            </w:r>
          </w:p>
        </w:tc>
      </w:tr>
    </w:tbl>
    <w:p>
      <w:pPr>
        <w:sectPr>
          <w:pgSz w:w="11900" w:h="16838" w:orient="portrait"/>
          <w:cols w:equalWidth="0" w:num="1">
            <w:col w:w="10219"/>
          </w:cols>
          <w:pgMar w:left="240" w:top="691"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In accordance with Rule 13d-1(f) promulgated under the Securities Exchange Act of 1934, the undersigned agree to the joint filing of a Statement on Schedule 13G (including any and all amendments thereto) with respect to the shares of The Scotts Company,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120" w:type="dxa"/>
            <w:vAlign w:val="bottom"/>
          </w:tcPr>
          <w:p>
            <w:pPr>
              <w:jc w:val="center"/>
              <w:ind w:right="1232"/>
              <w:spacing w:after="0"/>
              <w:rPr>
                <w:sz w:val="20"/>
                <w:szCs w:val="20"/>
                <w:color w:val="auto"/>
              </w:rPr>
            </w:pPr>
            <w:r>
              <w:rPr>
                <w:rFonts w:ascii="Courier New" w:cs="Courier New" w:eastAsia="Courier New" w:hAnsi="Courier New"/>
                <w:sz w:val="18"/>
                <w:szCs w:val="18"/>
                <w:color w:val="auto"/>
                <w:w w:val="98"/>
              </w:rPr>
              <w:t>February 10, 1995</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THE GOLDMAN SACHS GROUP, L.P.</w:t>
            </w:r>
          </w:p>
        </w:tc>
        <w:tc>
          <w:tcPr>
            <w:tcW w:w="3620" w:type="dxa"/>
            <w:vAlign w:val="bottom"/>
          </w:tcPr>
          <w:p>
            <w:pPr>
              <w:ind w:left="780"/>
              <w:spacing w:after="0"/>
              <w:rPr>
                <w:sz w:val="20"/>
                <w:szCs w:val="20"/>
                <w:color w:val="auto"/>
              </w:rPr>
            </w:pPr>
            <w:r>
              <w:rPr>
                <w:rFonts w:ascii="Courier New" w:cs="Courier New" w:eastAsia="Courier New" w:hAnsi="Courier New"/>
                <w:sz w:val="18"/>
                <w:szCs w:val="18"/>
                <w:color w:val="auto"/>
              </w:rPr>
              <w:t>GOLDMAN, SACHS &amp; CO.</w:t>
            </w:r>
          </w:p>
        </w:tc>
        <w:tc>
          <w:tcPr>
            <w:tcW w:w="0" w:type="dxa"/>
            <w:vAlign w:val="bottom"/>
          </w:tcPr>
          <w:p>
            <w:pPr>
              <w:spacing w:after="0"/>
              <w:rPr>
                <w:sz w:val="1"/>
                <w:szCs w:val="1"/>
                <w:color w:val="auto"/>
              </w:rPr>
            </w:pPr>
          </w:p>
        </w:tc>
      </w:tr>
      <w:tr>
        <w:trPr>
          <w:trHeight w:val="51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William J. Buckley</w:t>
            </w:r>
          </w:p>
        </w:tc>
        <w:tc>
          <w:tcPr>
            <w:tcW w:w="3620" w:type="dxa"/>
            <w:vAlign w:val="bottom"/>
          </w:tcPr>
          <w:p>
            <w:pPr>
              <w:ind w:left="780"/>
              <w:spacing w:after="0"/>
              <w:rPr>
                <w:sz w:val="20"/>
                <w:szCs w:val="20"/>
                <w:color w:val="auto"/>
              </w:rPr>
            </w:pPr>
            <w:r>
              <w:rPr>
                <w:rFonts w:ascii="Courier New" w:cs="Courier New" w:eastAsia="Courier New" w:hAnsi="Courier New"/>
                <w:sz w:val="18"/>
                <w:szCs w:val="18"/>
                <w:color w:val="auto"/>
              </w:rPr>
              <w:t>By: /s/ William J. Buckley</w:t>
            </w:r>
          </w:p>
        </w:tc>
        <w:tc>
          <w:tcPr>
            <w:tcW w:w="0" w:type="dxa"/>
            <w:vAlign w:val="bottom"/>
          </w:tcPr>
          <w:p>
            <w:pPr>
              <w:spacing w:after="0"/>
              <w:rPr>
                <w:sz w:val="1"/>
                <w:szCs w:val="1"/>
                <w:color w:val="auto"/>
              </w:rPr>
            </w:pPr>
          </w:p>
        </w:tc>
      </w:tr>
      <w:tr>
        <w:trPr>
          <w:trHeight w:val="203"/>
        </w:trPr>
        <w:tc>
          <w:tcPr>
            <w:tcW w:w="3860" w:type="dxa"/>
            <w:vAlign w:val="bottom"/>
            <w:gridSpan w:val="2"/>
            <w:vMerge w:val="restart"/>
          </w:tcPr>
          <w:p>
            <w:pPr>
              <w:spacing w:after="0"/>
              <w:rPr>
                <w:sz w:val="20"/>
                <w:szCs w:val="20"/>
                <w:color w:val="auto"/>
              </w:rPr>
            </w:pPr>
            <w:r>
              <w:rPr>
                <w:rFonts w:ascii="Courier New" w:cs="Courier New" w:eastAsia="Courier New" w:hAnsi="Courier New"/>
                <w:sz w:val="35"/>
                <w:szCs w:val="35"/>
                <w:color w:val="auto"/>
                <w:w w:val="70"/>
                <w:vertAlign w:val="subscript"/>
              </w:rPr>
              <w:t>Name:</w:t>
            </w: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WilliamJ.Buckley</w:t>
            </w:r>
          </w:p>
        </w:tc>
        <w:tc>
          <w:tcPr>
            <w:tcW w:w="362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860" w:type="dxa"/>
            <w:vAlign w:val="bottom"/>
            <w:gridSpan w:val="2"/>
            <w:vMerge w:val="continue"/>
          </w:tcPr>
          <w:p>
            <w:pPr>
              <w:spacing w:after="0"/>
              <w:rPr>
                <w:sz w:val="17"/>
                <w:szCs w:val="17"/>
                <w:color w:val="auto"/>
              </w:rPr>
            </w:pPr>
          </w:p>
        </w:tc>
        <w:tc>
          <w:tcPr>
            <w:tcW w:w="36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Name: William J. Buckley</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3120" w:type="dxa"/>
            <w:vAlign w:val="bottom"/>
          </w:tcPr>
          <w:p>
            <w:pPr>
              <w:jc w:val="center"/>
              <w:ind w:right="1212"/>
              <w:spacing w:after="0"/>
              <w:rPr>
                <w:sz w:val="20"/>
                <w:szCs w:val="20"/>
                <w:color w:val="auto"/>
              </w:rPr>
            </w:pPr>
            <w:r>
              <w:rPr>
                <w:rFonts w:ascii="Courier New" w:cs="Courier New" w:eastAsia="Courier New" w:hAnsi="Courier New"/>
                <w:sz w:val="18"/>
                <w:szCs w:val="18"/>
                <w:color w:val="auto"/>
                <w:w w:val="97"/>
              </w:rPr>
              <w:t>General Partner</w:t>
            </w:r>
          </w:p>
        </w:tc>
        <w:tc>
          <w:tcPr>
            <w:tcW w:w="3620" w:type="dxa"/>
            <w:vAlign w:val="bottom"/>
          </w:tcPr>
          <w:p>
            <w:pPr>
              <w:ind w:left="780"/>
              <w:spacing w:after="0"/>
              <w:rPr>
                <w:sz w:val="20"/>
                <w:szCs w:val="20"/>
                <w:color w:val="auto"/>
              </w:rPr>
            </w:pPr>
            <w:r>
              <w:rPr>
                <w:rFonts w:ascii="Courier New" w:cs="Courier New" w:eastAsia="Courier New" w:hAnsi="Courier New"/>
                <w:sz w:val="18"/>
                <w:szCs w:val="18"/>
                <w:color w:val="auto"/>
              </w:rPr>
              <w:t>Title:  General Partner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9 Pages</w:t>
      </w:r>
    </w:p>
    <w:p>
      <w:pPr>
        <w:sectPr>
          <w:pgSz w:w="11900" w:h="16838" w:orient="portrait"/>
          <w:cols w:equalWidth="0" w:num="1">
            <w:col w:w="10219"/>
          </w:cols>
          <w:pgMar w:left="240" w:top="515"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Goldman, Sachs &amp; Co. is a broker or dealer registered under Section 15 of the Act and an investment adviser registered under Section 203 of the Investment Advisers Act of 1940.</w:t>
      </w:r>
    </w:p>
    <w:p>
      <w:pPr>
        <w:spacing w:after="0" w:line="6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9 Pages</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2"/>
    </w:lvl>
    <w:lvl w:ilvl="1">
      <w:lvlJc w:val="left"/>
      <w:lvlText w:val="(%2)"/>
      <w:numFmt w:val="lowerLetter"/>
      <w:start w:val="1"/>
    </w:lvl>
  </w:abstractNum>
  <w:abstractNum w:abstractNumId="13">
    <w:nsid w:val="25E45D32"/>
    <w:multiLevelType w:val="hybridMultilevel"/>
    <w:lvl w:ilvl="0">
      <w:lvlJc w:val="left"/>
      <w:lvlText w:val="%1."/>
      <w:numFmt w:val="decimal"/>
      <w:start w:val="3"/>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1."/>
      <w:numFmt w:val="decimal"/>
      <w:start w:val="9"/>
    </w:lvl>
  </w:abstractNum>
  <w:abstractNum w:abstractNumId="16">
    <w:nsid w:val="3F2DBA31"/>
    <w:multiLevelType w:val="hybridMultilevel"/>
    <w:lvl w:ilvl="0">
      <w:lvlJc w:val="left"/>
      <w:lvlText w:val="%1."/>
      <w:numFmt w:val="decimal"/>
      <w:start w:val="10"/>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decimal"/>
      <w:start w:val="12"/>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2019-12-20T04:18:56Z</dcterms:created>
  <dcterms:modified xsi:type="dcterms:W3CDTF">2019-12-20T04:18:56Z</dcterms:modified>
</cp:coreProperties>
</file>