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377" w:lineRule="exact"/>
        <w:rPr>
          <w:sz w:val="24"/>
          <w:szCs w:val="24"/>
          <w:color w:val="auto"/>
        </w:rPr>
      </w:pPr>
    </w:p>
    <w:p>
      <w:pPr>
        <w:jc w:val="center"/>
        <w:ind w:right="26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77" w:lineRule="exact"/>
        <w:rPr>
          <w:sz w:val="24"/>
          <w:szCs w:val="24"/>
          <w:color w:val="auto"/>
        </w:rPr>
      </w:pPr>
    </w:p>
    <w:p>
      <w:pPr>
        <w:jc w:val="center"/>
        <w:ind w:right="2660"/>
        <w:spacing w:after="0"/>
        <w:rPr>
          <w:sz w:val="20"/>
          <w:szCs w:val="20"/>
          <w:color w:val="auto"/>
        </w:rPr>
      </w:pPr>
      <w:r>
        <w:rPr>
          <w:rFonts w:ascii="Courier New" w:cs="Courier New" w:eastAsia="Courier New" w:hAnsi="Courier New"/>
          <w:sz w:val="16"/>
          <w:szCs w:val="16"/>
          <w:color w:val="auto"/>
        </w:rPr>
        <w:t>FORM 8-K</w:t>
      </w:r>
    </w:p>
    <w:p>
      <w:pPr>
        <w:spacing w:after="0" w:line="19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CURRENT REPORT</w:t>
      </w:r>
    </w:p>
    <w:p>
      <w:pPr>
        <w:spacing w:after="0" w:line="8"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8"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8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Date of Report (Date of earliest event reported): January 21, 1999</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jc w:val="center"/>
        <w:ind w:right="2660"/>
        <w:spacing w:after="0"/>
        <w:rPr>
          <w:sz w:val="20"/>
          <w:szCs w:val="20"/>
          <w:color w:val="auto"/>
        </w:rPr>
      </w:pPr>
      <w:r>
        <w:rPr>
          <w:rFonts w:ascii="Courier New" w:cs="Courier New" w:eastAsia="Courier New" w:hAnsi="Courier New"/>
          <w:sz w:val="16"/>
          <w:szCs w:val="16"/>
          <w:color w:val="auto"/>
        </w:rPr>
        <w:t>THE SCOTTS COMPANY</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tbl>
      <w:tblPr>
        <w:tblLayout w:type="fixed"/>
        <w:tblInd w:w="680" w:type="dxa"/>
        <w:tblCellMar>
          <w:top w:w="0" w:type="dxa"/>
          <w:left w:w="0" w:type="dxa"/>
          <w:bottom w:w="0" w:type="dxa"/>
          <w:right w:w="0" w:type="dxa"/>
        </w:tblCellMar>
      </w:tblPr>
      <w:tr>
        <w:trPr>
          <w:trHeight w:val="185"/>
        </w:trPr>
        <w:tc>
          <w:tcPr>
            <w:tcW w:w="3560" w:type="dxa"/>
            <w:vAlign w:val="bottom"/>
          </w:tcPr>
          <w:p>
            <w:pPr>
              <w:jc w:val="center"/>
              <w:ind w:right="518"/>
              <w:spacing w:after="0"/>
              <w:rPr>
                <w:sz w:val="20"/>
                <w:szCs w:val="20"/>
                <w:color w:val="auto"/>
              </w:rPr>
            </w:pPr>
            <w:r>
              <w:rPr>
                <w:rFonts w:ascii="Courier New" w:cs="Courier New" w:eastAsia="Courier New" w:hAnsi="Courier New"/>
                <w:sz w:val="16"/>
                <w:szCs w:val="16"/>
                <w:color w:val="auto"/>
              </w:rPr>
              <w:t>OHIO</w:t>
            </w:r>
          </w:p>
        </w:tc>
        <w:tc>
          <w:tcPr>
            <w:tcW w:w="2660" w:type="dxa"/>
            <w:vAlign w:val="bottom"/>
          </w:tcPr>
          <w:p>
            <w:pPr>
              <w:ind w:left="980"/>
              <w:spacing w:after="0"/>
              <w:rPr>
                <w:sz w:val="20"/>
                <w:szCs w:val="20"/>
                <w:color w:val="auto"/>
              </w:rPr>
            </w:pPr>
            <w:r>
              <w:rPr>
                <w:rFonts w:ascii="Courier New" w:cs="Courier New" w:eastAsia="Courier New" w:hAnsi="Courier New"/>
                <w:sz w:val="16"/>
                <w:szCs w:val="16"/>
                <w:color w:val="auto"/>
              </w:rPr>
              <w:t>1-11593</w:t>
            </w:r>
          </w:p>
        </w:tc>
        <w:tc>
          <w:tcPr>
            <w:tcW w:w="306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31-1414921</w:t>
            </w:r>
          </w:p>
        </w:tc>
      </w:tr>
      <w:tr>
        <w:trPr>
          <w:trHeight w:val="190"/>
        </w:trPr>
        <w:tc>
          <w:tcPr>
            <w:tcW w:w="35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560" w:type="dxa"/>
            <w:vAlign w:val="bottom"/>
          </w:tcPr>
          <w:p>
            <w:pPr>
              <w:jc w:val="center"/>
              <w:ind w:right="518"/>
              <w:spacing w:after="0"/>
              <w:rPr>
                <w:sz w:val="20"/>
                <w:szCs w:val="20"/>
                <w:color w:val="auto"/>
              </w:rPr>
            </w:pPr>
            <w:r>
              <w:rPr>
                <w:rFonts w:ascii="Courier New" w:cs="Courier New" w:eastAsia="Courier New" w:hAnsi="Courier New"/>
                <w:sz w:val="16"/>
                <w:szCs w:val="16"/>
                <w:color w:val="auto"/>
              </w:rPr>
              <w:t>(State or other jurisdiction</w:t>
            </w:r>
          </w:p>
        </w:tc>
        <w:tc>
          <w:tcPr>
            <w:tcW w:w="2660" w:type="dxa"/>
            <w:vAlign w:val="bottom"/>
          </w:tcPr>
          <w:p>
            <w:pPr>
              <w:ind w:left="480"/>
              <w:spacing w:after="0"/>
              <w:rPr>
                <w:sz w:val="20"/>
                <w:szCs w:val="20"/>
                <w:color w:val="auto"/>
              </w:rPr>
            </w:pPr>
            <w:r>
              <w:rPr>
                <w:rFonts w:ascii="Courier New" w:cs="Courier New" w:eastAsia="Courier New" w:hAnsi="Courier New"/>
                <w:sz w:val="16"/>
                <w:szCs w:val="16"/>
                <w:color w:val="auto"/>
              </w:rPr>
              <w:t>(Commission File</w:t>
            </w:r>
          </w:p>
        </w:tc>
        <w:tc>
          <w:tcPr>
            <w:tcW w:w="3060" w:type="dxa"/>
            <w:vAlign w:val="bottom"/>
          </w:tcPr>
          <w:p>
            <w:pPr>
              <w:jc w:val="center"/>
              <w:ind w:left="98"/>
              <w:spacing w:after="0"/>
              <w:rPr>
                <w:sz w:val="20"/>
                <w:szCs w:val="20"/>
                <w:color w:val="auto"/>
              </w:rPr>
            </w:pPr>
            <w:r>
              <w:rPr>
                <w:rFonts w:ascii="Courier New" w:cs="Courier New" w:eastAsia="Courier New" w:hAnsi="Courier New"/>
                <w:sz w:val="16"/>
                <w:szCs w:val="16"/>
                <w:color w:val="auto"/>
              </w:rPr>
              <w:t>(IRS Employer</w:t>
            </w:r>
          </w:p>
        </w:tc>
      </w:tr>
      <w:tr>
        <w:trPr>
          <w:trHeight w:val="190"/>
        </w:trPr>
        <w:tc>
          <w:tcPr>
            <w:tcW w:w="356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of incorporation)</w:t>
            </w:r>
          </w:p>
        </w:tc>
        <w:tc>
          <w:tcPr>
            <w:tcW w:w="2660" w:type="dxa"/>
            <w:vAlign w:val="bottom"/>
          </w:tcPr>
          <w:p>
            <w:pPr>
              <w:ind w:left="980"/>
              <w:spacing w:after="0"/>
              <w:rPr>
                <w:sz w:val="20"/>
                <w:szCs w:val="20"/>
                <w:color w:val="auto"/>
              </w:rPr>
            </w:pPr>
            <w:r>
              <w:rPr>
                <w:rFonts w:ascii="Courier New" w:cs="Courier New" w:eastAsia="Courier New" w:hAnsi="Courier New"/>
                <w:sz w:val="16"/>
                <w:szCs w:val="16"/>
                <w:color w:val="auto"/>
              </w:rPr>
              <w:t>Number)</w:t>
            </w:r>
          </w:p>
        </w:tc>
        <w:tc>
          <w:tcPr>
            <w:tcW w:w="3060" w:type="dxa"/>
            <w:vAlign w:val="bottom"/>
          </w:tcPr>
          <w:p>
            <w:pPr>
              <w:jc w:val="center"/>
              <w:ind w:left="98"/>
              <w:spacing w:after="0"/>
              <w:rPr>
                <w:sz w:val="20"/>
                <w:szCs w:val="20"/>
                <w:color w:val="auto"/>
              </w:rPr>
            </w:pPr>
            <w:r>
              <w:rPr>
                <w:rFonts w:ascii="Courier New" w:cs="Courier New" w:eastAsia="Courier New" w:hAnsi="Courier New"/>
                <w:sz w:val="16"/>
                <w:szCs w:val="16"/>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480"/>
        <w:spacing w:after="0"/>
        <w:tabs>
          <w:tab w:leader="none" w:pos="5700" w:val="left"/>
        </w:tabs>
        <w:rPr>
          <w:sz w:val="20"/>
          <w:szCs w:val="20"/>
          <w:color w:val="auto"/>
        </w:rPr>
      </w:pPr>
      <w:r>
        <w:rPr>
          <w:rFonts w:ascii="Courier New" w:cs="Courier New" w:eastAsia="Courier New" w:hAnsi="Courier New"/>
          <w:sz w:val="16"/>
          <w:szCs w:val="16"/>
          <w:color w:val="auto"/>
        </w:rPr>
        <w:t>14111 SCOTTSLAWN ROAD, MARYSVILLE, OHIO</w:t>
      </w:r>
      <w:r>
        <w:rPr>
          <w:sz w:val="20"/>
          <w:szCs w:val="20"/>
          <w:color w:val="auto"/>
        </w:rPr>
        <w:tab/>
      </w:r>
      <w:r>
        <w:rPr>
          <w:rFonts w:ascii="Courier New" w:cs="Courier New" w:eastAsia="Courier New" w:hAnsi="Courier New"/>
          <w:sz w:val="16"/>
          <w:szCs w:val="16"/>
          <w:color w:val="auto"/>
        </w:rPr>
        <w:t>43041</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180"/>
        <w:spacing w:after="0"/>
        <w:tabs>
          <w:tab w:leader="none" w:pos="55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8"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8" w:lineRule="exact"/>
        <w:rPr>
          <w:sz w:val="24"/>
          <w:szCs w:val="24"/>
          <w:color w:val="auto"/>
        </w:rPr>
      </w:pPr>
    </w:p>
    <w:p>
      <w:pPr>
        <w:jc w:val="right"/>
        <w:ind w:right="30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NOT APPLICABLE</w:t>
      </w:r>
    </w:p>
    <w:p>
      <w:pPr>
        <w:spacing w:after="0" w:line="8"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Index to Exhibits is on Page 19.</w:t>
      </w:r>
    </w:p>
    <w:p>
      <w:pPr>
        <w:sectPr>
          <w:pgSz w:w="11900" w:h="16838" w:orient="portrait"/>
          <w:cols w:equalWidth="0" w:num="1">
            <w:col w:w="9960"/>
          </w:cols>
          <w:pgMar w:left="540" w:top="243" w:right="1399"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ACQUISITION OR DISPOSITION OF ASSETS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On January 21, 1999, the Scotts Company (the "Registrant") acquired substantially all of the non-Roundup assets of the Solaris Division of Monsanto Company ("Monsanto") in a privately negotiated transaction for $339.9 million, of which $39.9 million was based on Monsanto's estimate of the level of normalized working capital as of the closing date (the "Ortho Acquisition"). The exact amount of normalized working capital will be determined through a post-closing audit, and the purchase price is therefor subject to adjustment. The acquired assets include the Ortho(R), Green Cross(R), White Swan(R) and Defender(R) product lines, as well as formulation facilities in Fort Madison, Iowa and Corwen, United Kingdom. Monsanto used the property, plant and equipment included among the acquired assets for the production of consumer lawn and garden pesticides, fertilizers and growing media. The Registrant does not have any present intention to devote any material amount of the acquired assets to purposes other than the production of consumer lawn and garden pesticides, fertilizers and growing media. The Ortho Acquisition was financed through the private placement by the Registrant of $330 million aggregate principle amount of its 8.625% Senior Subordinated Notes and through revolving credit borrowings under the Registrant's credit agreement dated as of December 4, 1998, which provides for aggregate borrowings of up to $1.025 billion (the "New Credit Facility"). The identity of the financial institutions which are parties to the New Credit Facility has been omitted as contemplated under Item 2(a) of Form 8-K and filed separately with the Securities and Exchange Commission.</w:t>
      </w:r>
    </w:p>
    <w:p>
      <w:pPr>
        <w:spacing w:after="0" w:line="38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Asset Purchase Agreement dated as of November 11, 1998 between the Registrant and Monsanto includes various customary representations and warranties of the parties for transactions of this type and contains customary, limited carve-outs for materiality, knowledge and disclosed information. However, the indemnification provisions limit the Registrant's total exposure to assumed liabilities, disputes with the distributor of the product lines purchased from Monsanto and breaches of representation to $5 million in the aggregate.</w:t>
      </w:r>
    </w:p>
    <w:p>
      <w:pPr>
        <w:spacing w:after="0" w:line="379"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Pursuant to the Ortho Acquisition, the Registrant made offers to all but a very limited number of Ortho employees who work primarily in the Ortho business. The Registrant has also agreed to pay severance costs for U.S. employees based on Monsanto's severance policy. In return, Monsanto has agreed to reimburse the Registrant for half of the costs of such termination payments, up to a maximum of $5 million.</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connection with the Ortho Acquisition, the Registrant and Monsanto have entered into a supply agreement covering the supply of glyphosate to the Registrant for use in non-Roundup(R) products that contain glyphosate and that are being sold to the Registrant in the Ortho Acquisition. The agreement guarantees the Registrant a long-term supply of glyphosate at a price competitive with that obtainable in the open market both now and after glyphosate ceases to be patented in the United States.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On September 30, 1998, the Registrant entered into an Exclusive Agency and Marketing Agreement with Monsanto (as amended and restated on November 11, 1998, the "Roundup Marketing Agreement"). Pursuant to the Roundup Marketing Agreement, the Registrant became Monsanto's exclusive agent for the marketing and distribution of consumer Roundup(R) products in the consumer lawn and garden market within the United States and other specified countries, including, among others, Australia, Austria, Canada, France, Germany and the United Kingdom. In addition, if Monsanto develops new products containing glyphosate, the active ingredient in Roundup(R), or other non-selective herbicides, the Registrant has certain rights to market such products as well in the consumer lawn and garden market.</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Under the Roundup Marketing Agreement, the Registrant and Monsanto will jointly develop global consumer and trade marketing programs for Roundup(R), and the Registrant has assumed responsibility for sales support, merchandising, distribution and logistics. Monsanto will continue to own the consumer Roundup business and will provide significant oversight of its brand. In addition, Monsanto will continue to own and operate the agricultural Roundup business.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Roundup(R) is a registered trademark of Monsanto.</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Financial Statements of Business Acquired:</w:t>
      </w:r>
    </w:p>
    <w:p>
      <w:pPr>
        <w:spacing w:after="0" w:line="198" w:lineRule="exact"/>
        <w:rPr>
          <w:sz w:val="20"/>
          <w:szCs w:val="20"/>
          <w:color w:val="auto"/>
        </w:rPr>
      </w:pPr>
    </w:p>
    <w:p>
      <w:pPr>
        <w:ind w:left="780" w:right="3119"/>
        <w:spacing w:after="0" w:line="255" w:lineRule="auto"/>
        <w:rPr>
          <w:sz w:val="20"/>
          <w:szCs w:val="20"/>
          <w:color w:val="auto"/>
        </w:rPr>
      </w:pPr>
      <w:r>
        <w:rPr>
          <w:rFonts w:ascii="Courier New" w:cs="Courier New" w:eastAsia="Courier New" w:hAnsi="Courier New"/>
          <w:sz w:val="16"/>
          <w:szCs w:val="16"/>
          <w:color w:val="auto"/>
        </w:rPr>
        <w:t>Please see Index to Financial Statements and Pro Forma Financial Information at page 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Pro Forma Financial Information:</w:t>
      </w:r>
    </w:p>
    <w:p>
      <w:pPr>
        <w:spacing w:after="0" w:line="198" w:lineRule="exact"/>
        <w:rPr>
          <w:sz w:val="20"/>
          <w:szCs w:val="20"/>
          <w:color w:val="auto"/>
        </w:rPr>
      </w:pPr>
    </w:p>
    <w:p>
      <w:pPr>
        <w:ind w:left="780" w:right="3119"/>
        <w:spacing w:after="0" w:line="255" w:lineRule="auto"/>
        <w:rPr>
          <w:sz w:val="20"/>
          <w:szCs w:val="20"/>
          <w:color w:val="auto"/>
        </w:rPr>
      </w:pPr>
      <w:r>
        <w:rPr>
          <w:rFonts w:ascii="Courier New" w:cs="Courier New" w:eastAsia="Courier New" w:hAnsi="Courier New"/>
          <w:sz w:val="16"/>
          <w:szCs w:val="16"/>
          <w:color w:val="auto"/>
        </w:rPr>
        <w:t>Please see Index to Financial Statements and Pro Forma Financial Information at page 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Exhibits</w:t>
      </w:r>
    </w:p>
    <w:p>
      <w:pPr>
        <w:sectPr>
          <w:pgSz w:w="11900" w:h="16838" w:orient="portrait"/>
          <w:cols w:equalWidth="0" w:num="1">
            <w:col w:w="10219"/>
          </w:cols>
          <w:pgMar w:left="240" w:top="3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EXHIBIT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ectPr>
          <w:pgSz w:w="11900" w:h="16838" w:orient="portrait"/>
          <w:cols w:equalWidth="0" w:num="2">
            <w:col w:w="1580" w:space="400"/>
            <w:col w:w="8239"/>
          </w:cols>
          <w:pgMar w:left="240" w:top="331" w:right="1440" w:bottom="1440" w:gutter="0" w:footer="0" w:header="0"/>
        </w:sectPr>
      </w:pPr>
    </w:p>
    <w:p>
      <w:pPr>
        <w:ind w:left="1980" w:right="2439" w:hanging="1486"/>
        <w:spacing w:after="0" w:line="252" w:lineRule="auto"/>
        <w:tabs>
          <w:tab w:leader="none" w:pos="1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Purchase Agreement dated as of November 11, 1998, by and between The Scotts Company and Monsanto Company, a copy of which is attached to the Registrant's Form 10-K filed December 21, 1998 and incorporated by reference herein.</w:t>
      </w:r>
    </w:p>
    <w:p>
      <w:pPr>
        <w:spacing w:after="0" w:line="187" w:lineRule="exact"/>
        <w:rPr>
          <w:sz w:val="20"/>
          <w:szCs w:val="20"/>
          <w:color w:val="auto"/>
        </w:rPr>
      </w:pPr>
    </w:p>
    <w:p>
      <w:pPr>
        <w:ind w:left="3940" w:right="4599" w:hanging="3545"/>
        <w:spacing w:after="0" w:line="757" w:lineRule="auto"/>
        <w:tabs>
          <w:tab w:leader="none" w:pos="196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issued January 21, 1999 1</w:t>
      </w:r>
    </w:p>
    <w:p>
      <w:pPr>
        <w:sectPr>
          <w:pgSz w:w="11900" w:h="16838" w:orient="portrait"/>
          <w:cols w:equalWidth="0" w:num="1">
            <w:col w:w="10219"/>
          </w:cols>
          <w:pgMar w:left="240" w:top="331"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 Robert Lucas</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ectPr>
          <w:pgSz w:w="11900" w:h="16838" w:orient="portrait"/>
          <w:cols w:equalWidth="0" w:num="3">
            <w:col w:w="500" w:space="200"/>
            <w:col w:w="2720" w:space="720"/>
            <w:col w:w="6079"/>
          </w:cols>
          <w:pgMar w:left="240" w:top="306" w:right="1440"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6"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INDEX TO FINANCIAL STATEMENTS</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PAGES</w:t>
            </w:r>
          </w:p>
        </w:tc>
      </w:tr>
      <w:tr>
        <w:trPr>
          <w:trHeight w:val="190"/>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Item 7(a)  Financial Statements of Business Acquired:</w:t>
            </w:r>
          </w:p>
        </w:tc>
        <w:tc>
          <w:tcPr>
            <w:tcW w:w="580" w:type="dxa"/>
            <w:vAlign w:val="bottom"/>
          </w:tcPr>
          <w:p>
            <w:pPr>
              <w:spacing w:after="0"/>
              <w:rPr>
                <w:sz w:val="24"/>
                <w:szCs w:val="24"/>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6"/>
                <w:szCs w:val="16"/>
                <w:color w:val="auto"/>
              </w:rPr>
            </w:pP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Independent Auditors' Report................................</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Ortho and Certain Other Brands of The Solaris Group</w:t>
            </w:r>
          </w:p>
        </w:tc>
        <w:tc>
          <w:tcPr>
            <w:tcW w:w="580" w:type="dxa"/>
            <w:vAlign w:val="bottom"/>
          </w:tcPr>
          <w:p>
            <w:pPr>
              <w:spacing w:after="0"/>
              <w:rPr>
                <w:sz w:val="24"/>
                <w:szCs w:val="24"/>
                <w:color w:val="auto"/>
              </w:rPr>
            </w:pP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Statements of Assets to Be Sold........................</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Ortho and Certain Other Brands of The Solaris Group</w:t>
            </w:r>
          </w:p>
        </w:tc>
        <w:tc>
          <w:tcPr>
            <w:tcW w:w="580" w:type="dxa"/>
            <w:vAlign w:val="bottom"/>
          </w:tcPr>
          <w:p>
            <w:pPr>
              <w:spacing w:after="0"/>
              <w:rPr>
                <w:sz w:val="24"/>
                <w:szCs w:val="24"/>
                <w:color w:val="auto"/>
              </w:rPr>
            </w:pP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Statements of Net Sales, Cost of Sales and Direct</w:t>
            </w:r>
          </w:p>
        </w:tc>
        <w:tc>
          <w:tcPr>
            <w:tcW w:w="580" w:type="dxa"/>
            <w:vAlign w:val="bottom"/>
          </w:tcPr>
          <w:p>
            <w:pPr>
              <w:spacing w:after="0"/>
              <w:rPr>
                <w:sz w:val="16"/>
                <w:szCs w:val="16"/>
                <w:color w:val="auto"/>
              </w:rPr>
            </w:pP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Operating Expenses.....................................</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Item 7(b)  Pro Forma Financial Information:</w:t>
            </w:r>
          </w:p>
        </w:tc>
        <w:tc>
          <w:tcPr>
            <w:tcW w:w="580" w:type="dxa"/>
            <w:vAlign w:val="bottom"/>
          </w:tcPr>
          <w:p>
            <w:pPr>
              <w:spacing w:after="0"/>
              <w:rPr>
                <w:sz w:val="24"/>
                <w:szCs w:val="24"/>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6"/>
                <w:szCs w:val="16"/>
                <w:color w:val="auto"/>
              </w:rPr>
            </w:pP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The Scotts Company, Unaudited Pro Forma Combined</w:t>
            </w:r>
          </w:p>
        </w:tc>
        <w:tc>
          <w:tcPr>
            <w:tcW w:w="580" w:type="dxa"/>
            <w:vAlign w:val="bottom"/>
          </w:tcPr>
          <w:p>
            <w:pPr>
              <w:spacing w:after="0"/>
              <w:rPr>
                <w:sz w:val="24"/>
                <w:szCs w:val="24"/>
                <w:color w:val="auto"/>
              </w:rPr>
            </w:pP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Statement of Income....................................</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The Scotts Company, Unaudited Pro Forma Combined</w:t>
            </w:r>
          </w:p>
        </w:tc>
        <w:tc>
          <w:tcPr>
            <w:tcW w:w="580" w:type="dxa"/>
            <w:vAlign w:val="bottom"/>
          </w:tcPr>
          <w:p>
            <w:pPr>
              <w:spacing w:after="0"/>
              <w:rPr>
                <w:sz w:val="24"/>
                <w:szCs w:val="24"/>
                <w:color w:val="auto"/>
              </w:rPr>
            </w:pP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Balance Sheet..........................................</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w:t>
            </w:r>
          </w:p>
        </w:tc>
      </w:tr>
      <w:tr>
        <w:trPr>
          <w:trHeight w:val="569"/>
        </w:trPr>
        <w:tc>
          <w:tcPr>
            <w:tcW w:w="6020" w:type="dxa"/>
            <w:vAlign w:val="bottom"/>
          </w:tcPr>
          <w:p>
            <w:pPr>
              <w:ind w:left="3840"/>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INDEPENDENT AUDITORS'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of Monsanto Company:</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audited the accompanying statement of net assets to be sold of Ortho and Certain Other Brands (as described in Note 1) of The Solaris Group (a division of Monsanto Company) as of December 31, 1997, and the related statement of net sales, cost of sales and direct operating expenses for the year then ended. These financial statements are the responsibility of Monsanto Company's management. Our responsibility is to express an opinion on these financial statements based on our audit.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 provides a reasonable basis for our opinion.</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financial statements were prepared to present the net assets, net sales, cost of sales, and direct operating expenses of the brands of The Solaris Group to be sold to The Scotts Company pursuant to the Asset Purchase Agreement described in Note 1. Such financial statements are not intended to be a complete financial statement presentation of the brands to be sold and may not be indicative of conditions that would have existed or results that would have occurred had the Brands operated as an unaffiliated entity.</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our opinion, such financial statements present fairly, in all material respects, the net assets to be sold of Ortho and Certain Other Brands (pursuant to the Asset Purchase Agreement described in Note 1) of The Solaris Group (a division of Monsanto Company) as of December 31, 1997, and the net sales, cost of sales and direct operating expenses for the year then ended, in conformity with generally accepted accounting principles.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8, 1998</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ITEM 7(a)</w:t>
        <w:tab/>
        <w:t>FINANCIAL STATEMENTS OF BUSINESS ACQUIRED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ORTHO AND CERTAIN OTHER BRANDS OF THE SOLARIS GROUP</w:t>
      </w:r>
    </w:p>
    <w:p>
      <w:pPr>
        <w:spacing w:after="0" w:line="19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STATEMENTS OF ASSETS TO BE SOLD (NOTE 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8"/>
              <w:spacing w:after="0"/>
              <w:rPr>
                <w:sz w:val="20"/>
                <w:szCs w:val="20"/>
                <w:color w:val="auto"/>
              </w:rPr>
            </w:pPr>
            <w:r>
              <w:rPr>
                <w:rFonts w:ascii="Courier New" w:cs="Courier New" w:eastAsia="Courier New" w:hAnsi="Courier New"/>
                <w:sz w:val="16"/>
                <w:szCs w:val="16"/>
                <w:color w:val="auto"/>
                <w:w w:val="98"/>
              </w:rPr>
              <w:t>1997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(UNAUDITED)</w:t>
            </w:r>
          </w:p>
        </w:tc>
      </w:tr>
      <w:tr>
        <w:trPr>
          <w:trHeight w:val="190"/>
        </w:trPr>
        <w:tc>
          <w:tcPr>
            <w:tcW w:w="6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MILLIONS)</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Accounts receivable, net of allowances of $3.9 at December</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 1997 and $1.2 at September 30, 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57.3</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$ 42.3</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Inventories...............................................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85.6</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68.8</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Prepaid expenses and other current assets.................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2.1</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Property, plant, and equipment, net.......................</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26.7</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27.6</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Intangible assets.........................................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9"/>
              </w:rPr>
              <w:t>179.2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166.7</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assets..............................................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5.1</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9"/>
              </w:rPr>
              <w:t>351.9</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311.8</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Accounts payable..........................................</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28.1</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14.2</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Accrued liabilities.......................................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22.2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50.3</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34.2</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ASSETS TO BE SOLD.......................................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9"/>
              </w:rPr>
              <w:t>301.6</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$277.6</w:t>
            </w:r>
          </w:p>
        </w:tc>
      </w:tr>
      <w:tr>
        <w:trPr>
          <w:trHeight w:val="190"/>
        </w:trPr>
        <w:tc>
          <w:tcPr>
            <w:tcW w:w="6020" w:type="dxa"/>
            <w:vAlign w:val="bottom"/>
          </w:tcPr>
          <w:p>
            <w:pPr>
              <w:spacing w:after="0"/>
              <w:rPr>
                <w:sz w:val="16"/>
                <w:szCs w:val="16"/>
                <w:color w:val="auto"/>
              </w:rPr>
            </w:pPr>
          </w:p>
        </w:tc>
        <w:tc>
          <w:tcPr>
            <w:tcW w:w="14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ORTHO AND CERTAIN OTHER BRANDS OF THE SOLARIS GROUP</w:t>
      </w:r>
    </w:p>
    <w:p>
      <w:pPr>
        <w:spacing w:after="0" w:line="19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STATEMENTS OF NET SALES, COST OF SALES</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AND DIRECT OPERATING EXPENSES (NOTE 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NINE-MONTH</w:t>
            </w:r>
          </w:p>
        </w:tc>
      </w:tr>
      <w:tr>
        <w:trPr>
          <w:trHeight w:val="190"/>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PERIODS ENDED</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YEAR ENDED</w:t>
            </w:r>
          </w:p>
        </w:tc>
        <w:tc>
          <w:tcPr>
            <w:tcW w:w="17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DECEMBER 31,</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center"/>
              <w:ind w:right="458"/>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(UNAUDITED)</w:t>
            </w:r>
          </w:p>
        </w:tc>
      </w:tr>
      <w:tr>
        <w:trPr>
          <w:trHeight w:val="190"/>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(DOLLARS IN MILLIONS)</w:t>
            </w:r>
          </w:p>
        </w:tc>
      </w:tr>
      <w:tr>
        <w:trPr>
          <w:trHeight w:val="379"/>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SALES.................................................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5"/>
              </w:rPr>
              <w:t>208.3</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$182.0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$185.1</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COST OF GOODS SOLD........................................</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5"/>
              </w:rPr>
              <w:t>140.1</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107.0</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GROSS PROFIT..............................................</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68.2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78.1</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spacing w:after="0"/>
              <w:rPr>
                <w:sz w:val="20"/>
                <w:szCs w:val="20"/>
                <w:color w:val="auto"/>
              </w:rPr>
            </w:pPr>
            <w:r>
              <w:rPr>
                <w:rFonts w:ascii="Courier New" w:cs="Courier New" w:eastAsia="Courier New" w:hAnsi="Courier New"/>
                <w:sz w:val="16"/>
                <w:szCs w:val="16"/>
                <w:color w:val="auto"/>
              </w:rPr>
              <w:t>DIRECT OPERATING EXPENSES:</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Marketing expenses......................................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41.7</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Administrative expenses.................................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13.1</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Technical expenses......................................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4.3</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Amortization of intangible assets.......................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13.3</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Restructuring expenses..................................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w:t>
            </w:r>
          </w:p>
        </w:tc>
        <w:tc>
          <w:tcPr>
            <w:tcW w:w="8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direct operating expenses.................</w:t>
            </w:r>
          </w:p>
        </w:tc>
        <w:tc>
          <w:tcPr>
            <w:tcW w:w="50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74.2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58.2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820" w:type="dxa"/>
            <w:vAlign w:val="bottom"/>
          </w:tcPr>
          <w:p>
            <w:pPr>
              <w:spacing w:after="0"/>
              <w:rPr>
                <w:sz w:val="20"/>
                <w:szCs w:val="20"/>
                <w:color w:val="auto"/>
              </w:rPr>
            </w:pPr>
            <w:r>
              <w:rPr>
                <w:rFonts w:ascii="Courier New" w:cs="Courier New" w:eastAsia="Courier New" w:hAnsi="Courier New"/>
                <w:sz w:val="16"/>
                <w:szCs w:val="16"/>
                <w:color w:val="auto"/>
              </w:rPr>
              <w:t>EXCESS (DEFICIENCY) OF NET SALES OVER COST OF SALES AND</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DIRECT OPERATING EXPENSES...............................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(6.0)</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5.5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$ 17.3</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ORTHO AND CERTAIN OTHER BRANDS OF THE SOLARIS GROUP</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(INFORMATION AS OF SEPTEMBER 30, 1998</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 FOR THE NINE MONTHS ENDED SEPTEMBER 30, 1997 AND 1998 IS UNAUDITED)</w:t>
      </w:r>
    </w:p>
    <w:p>
      <w:pPr>
        <w:spacing w:after="0" w:line="198" w:lineRule="exact"/>
        <w:rPr>
          <w:sz w:val="20"/>
          <w:szCs w:val="20"/>
          <w:color w:val="auto"/>
        </w:rPr>
      </w:pPr>
    </w:p>
    <w:p>
      <w:pPr>
        <w:ind w:left="400" w:hanging="399"/>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BASIS OF PRESENTATION</w:t>
      </w:r>
    </w:p>
    <w:p>
      <w:pPr>
        <w:spacing w:after="0" w:line="198"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The Solaris Group ("Solaris"), a division of Monsanto Company and Subsidiaries ("Monsanto"), is a leading manufacturer of brand name consumer products for lawn and garden care.</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statements have been prepared for the purpose of presenting the net assets of the brands of The Solaris Group to be sold pursuant to the Asset Purchase Agreement (the "Agreement") dated as of November 11, 1998 between Monsanto and The Scotts Company (the "Buyer") and the net sales, cost of sales and direct operating expenses as of the dates and for the periods indicated. The brands and related businesses to be sold are referred to as the "Brands". The transaction is expected to be consummated on or before March 31, 1999 ("Closing Date"), subject to certain required consents, approvals and filings as defined in the Agreement. Pursuant to the Agreement, Monsanto will sell to the Buyer the assets pertaining to the Brands including inventories and other assets as specified in the Agreement and the Buyer will assume certain operating liabilities, in exchange for $300 million, subject to adjustment based on working capital as of the closing date and as defined in the Agreement.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net assets of the Brands as defined in the Agreement consist primarily of the assets and liabilities used to develop, manufacture, sell and market non-glyphosate weed control products (except for certain glyphosate-containing weed control products as defined). Insect control products, garden seeds, decorative garden items, fertilizers and applicators for use by consumers for lawn and garden care and to participate in a joint venture to market a series of gardening and home improvements books. The Brands include Ortho, Weed-B-Gon, Rose Pride, Home Defense, Green Cross, Phostrogen, Defender and certain other brands. The Brands' operations are in the United States (representing approximately 90% of operations) and in certain international locations (Canada, Europe, Asia and Latin America).</w:t>
      </w:r>
    </w:p>
    <w:p>
      <w:pPr>
        <w:spacing w:after="0" w:line="379"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Brands business has been managed as part of the operations of the Solaris Group and, historically, separate Brands financial statements have not been prepared. The accompanying statements are derived from the historical accounting records of Solaris as described herein.</w:t>
      </w:r>
    </w:p>
    <w:p>
      <w:pPr>
        <w:spacing w:after="0" w:line="187"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 statement of cash flows is not presented because the Brands essentially have no cash flow. With respect to cash flows, purchases of inventory, along with payroll, capital and other expenditures are funded by Monsanto. Sales are collected by Monsanto, accordingly, the Brands maintain only a minimal petty cash balance.</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represent sales of the Brands products, less estimated provisions for discounts and allowances. Expenses include operating expenses directly attributable to the Brands, plus allocations of operating costs directly incurred by or otherwise related to Solaris. Such allocations of Solaris' direct costs are based principally on relative sales or other applicable activity, which management believes is a reasonable allocation method. Direct operating costs in 1997 also include $1.8 million of restructuring charges related to workforce reductions and for the restructuring of the Ortho book line. Costs excluded in the accompanying financial statements consist of general costs incurred at Monsanto's corporate headquarters (treasury, corporate governance and overhead), interest and income taxes, as Monsanto's systems and procedures do not provide sufficient information to develop a reasonable cost allocation. Accounts receivable, prepaid expenses, account payable and accrued liabilities have been allocated to the Brands' statements of net assets to be sold based on the Brands percentage (specified in the Agreement) of the applicable Solaris balance. Inventories and intangible assets related to the Brands have been included on a specific identification basis. Property, plant and equipment to be sold pursuant to the terms of the Agreement are also included in the Brands' statement of net assets to be sold. Accordingly, the accompanying financial statements do not represent a full financial statement presentation of the Brands, and do not purport to be indicative of the operating results of the Brands had such business operated on a stand-alone basis. In addition, the historical operating results may not be indicative of the results after acquisition by the Buyer.</w:t>
      </w:r>
    </w:p>
    <w:p>
      <w:pPr>
        <w:spacing w:after="0" w:line="380" w:lineRule="exact"/>
        <w:rPr>
          <w:sz w:val="20"/>
          <w:szCs w:val="20"/>
          <w:color w:val="auto"/>
        </w:rPr>
      </w:pPr>
    </w:p>
    <w:p>
      <w:pPr>
        <w:ind w:left="400" w:hanging="399"/>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that affect revenues and expenses during the periods reported. Actual results may differ from the estimates. Significant estimates include amounts due to and from Central Garden and Pet Company (Central Garden -- See Note 3), allowance for doubtful accounts, inventory reserves, impairment of</w:t>
      </w:r>
    </w:p>
    <w:p>
      <w:pPr>
        <w:sectPr>
          <w:pgSz w:w="11900" w:h="16838" w:orient="portrait"/>
          <w:cols w:equalWidth="0" w:num="1">
            <w:col w:w="10219"/>
          </w:cols>
          <w:pgMar w:left="240" w:top="30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assets, payables, and allocations of costs, assets and certain liabilities.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CONCENTRATION OF CREDIT RISK -- Financial instruments that potentially subject the Brands to concentrations of credit risk consist primarily of accounts receivable. A significant portion of accounts receivable is due from Central Garden (Note 3). Other accounts receivable are due principally from major retailers, including mass merchandisers, home centers, warehouse clubs and national and regional chains. Ongoing credit evaluation of customer financial condition is performed and the amount of credit is limited when deemed necessary.</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REVENUE RECOGNITION -- For shipments under the Central Garden Alliance Agreement (Note 3), sales and accounts receivable are recognized when product is shipped from a manufacturing location or from the safety stock warehouse to either a direct account, Central Garden branch, agent, or sub-distributor, and inventory is relieved accordingly. Other sales and accounts receivable are recognized when product is shipped from a manufacturing location. Related distributor program costs and expenses are recognized at the time revenue is recognized.</w:t>
      </w: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PROPERTY, PLANT AND EQUIPMENT -- is recorded at cost. The cost of plant and equipment is depreciated over average periods of 20 years for buildings and improvements, 5 to 10 years for machinery and equipment, and 3 to 15 years for office furnishings, fixtures, vehicles, and land improvements utilizing the straight-line method.</w:t>
      </w:r>
    </w:p>
    <w:p>
      <w:pPr>
        <w:spacing w:after="0" w:line="186"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INVENTORY VALUATION -- Inventories are stated at cost or market, whichever is less. Standard cost, which approximates actual cost, is used to value finished goods inventory. Standard cost includes direct labor and raw materials, and manufacturing overhead based on budgeted capacity. Raw materials are valued at the lesser of cost or replacement cost. The cost of certain inventories (primarily inventory maintained in the United States) is determined using the last-in, first-out ("LIFO") method, which generally reflects the effects of changing prices on cost of goods sold sooner than other inventory cost methods. Approximately, 89.5% and 90.3% of the inventory balance is determined using the LIFO method at December 31, 1997 and September 30, 1998, respectively. The cost of other inventory generally is determined by using the first-in, first-out ("FIFO") method. Brands inventory cost data is combined with similar data from other Solaris products for purposes of applying the LIFO method of accounting. Brands has been allocated a pro rata portion of the LIFO reserve based on the relative inventory levels of Solaris.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INTANGIBLE ASSETS -- Goodwill, which arose from Monsanto's acquisition of the Ortho product line in 1993, is included in the accompanying statements and represents approximately 89% of the Brands' goodwill balance as of September 30, 1998. Such goodwill is being amortized over 20 years. Goodwill arising from other acquisitions and identifiable intangible assets such as trademarks and non-competition agreements is amortized over the estimated periods of benefit (3 to 20 years).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LONG-LIVED ASSETS -- Impairment tests of long-lived assets are made when conditions indicate a possible loss. Such impairment tests are based on a comparison of undiscounted cash flows to the recorded value of the asset. If an impairment is indicated, the asset value is written down to its net realizable value, using an appropriate discount rate. In 1998, management determined goodwill related to the White Swan acquisition had been impaired. Impairment losses of $3.6 million have been recorded at September 30, 1998 and are included in amortization of intangibles.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CURRENCY TRANSLATION -- Assets and liabilities of foreign operations are translated into U.S. dollars at current exchange rates as of the dates of the statements of net assets to be sold indicated. Sales, cost of sales, and direct operating expenses are translated into U.S. dollars at average exchange rates for the applicable periods as indicated. Transaction gains and losses were not significant for the applicable periods as indicated.</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TECHNICAL EXPENSES -- Technical expenses include product registration fees, tonnage taxes, direct regulatory costs, personnel and related support and product development costs. Product development costs totaled $2.2 million, $ 1.5 million, and $1.2 million for the year ended December 31, 1997, and the nine-month periods ended September 30, 1997 and 1998,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TRANSACTIONS WITH CENTRAL GARDEN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1995, Solaris entered into an exclusive agency and distributor agreement with Central Garden (the "Alliance Agreement") which expires September 30, 1999. On June 26, 1998, Solaris notified Central Garden of its intention not to extend the Alliance Agreement beyond that date. Solaris distributed approximately 74, 74 and 70 percent of total sales volume of Brands products through Central Garden for the year ended December 31, 1997, and the nine-month periods ended September 30, 1997 and 1998, respectively. Total fees to Central Garden for distributor program costs and expenses, which include costs for warehousing, sales representatives, merchandising, account management, and other related costs allocated to Brands were $28.7 million, $24.8 million and $23.5 million during the year ended December 31, 1997 and the nine-month periods ended September 30, 1997 and 1998, respectively. Payables to</w:t>
      </w:r>
    </w:p>
    <w:p>
      <w:pPr>
        <w:sectPr>
          <w:pgSz w:w="11900" w:h="16838" w:orient="portrait"/>
          <w:cols w:equalWidth="0" w:num="1">
            <w:col w:w="10219"/>
          </w:cols>
          <w:pgMar w:left="240" w:top="306" w:right="1440" w:bottom="1440" w:gutter="0" w:footer="0" w:header="0"/>
        </w:sectPr>
      </w:pP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6"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jc w:val="both"/>
        <w:ind w:right="2439"/>
        <w:spacing w:after="0" w:line="253" w:lineRule="auto"/>
        <w:rPr>
          <w:sz w:val="20"/>
          <w:szCs w:val="20"/>
          <w:color w:val="auto"/>
        </w:rPr>
      </w:pPr>
      <w:r>
        <w:rPr>
          <w:rFonts w:ascii="Courier New" w:cs="Courier New" w:eastAsia="Courier New" w:hAnsi="Courier New"/>
          <w:sz w:val="16"/>
          <w:szCs w:val="16"/>
          <w:color w:val="auto"/>
        </w:rPr>
        <w:t>Central Garden associated with the distributor program of $2.9 million and $5.2 million at December 31, 1997 and September 30, 1998, respectively, are included in accrued liabilities.</w:t>
      </w:r>
    </w:p>
    <w:p>
      <w:pPr>
        <w:spacing w:after="0" w:line="185"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Net accounts receivable from Central Garden were $30.9 million at December 31, 1997 and $23.1 million at September 30, 1998.</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of September 30, 1998, Central Garden informed Solaris of approximately $10 million of items under dispute, which generally represent amounts alleged by Central Garden as due from Solaris or a reduction in amounts claimed by Solaris as due from Central Garden. The ultimate resolution of such disputed amounts cannot presently be determined. It is reasonably possible that such resolution will result in additional material expenses to be recognized in the operating results of the Brands in the near-term. Under the Agreement, Monsanto has agreed to indemnify Scotts for any subsequent adverse adjustments in excess of $2 million to the recorded Brand receivable/payable balances with Central Garden as of the Closing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ACQUISITIONS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Solaris acquired the assets of Phostrogen, Limited and Defender Products Garden PTY, Limited, on January 1, 1997 and April 5, 1997, respectively. The assets and operations resulting from these acquisitions are included in these financial statements from their respective dates of acquisition. The acquisitions were accounted for using the purchase method, and the respective assets and liabilities have been recorded at their estimated fair values at the dates of acquisition. The excess of each purchase price over the fair value of identifiable net assets acquired has been recorded as goodwill and is being amortized on a straight-line basis over 15 years. The purchase price allocations, as of the acquisition dates, are summarized as follows (in millions):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PHOSTROGEN</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DEFENDER</w:t>
            </w:r>
          </w:p>
        </w:tc>
      </w:tr>
      <w:tr>
        <w:trPr>
          <w:trHeight w:val="190"/>
        </w:trPr>
        <w:tc>
          <w:tcPr>
            <w:tcW w:w="53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Goodwill.............................................</w:t>
            </w: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$11</w:t>
            </w:r>
          </w:p>
        </w:tc>
        <w:tc>
          <w:tcPr>
            <w:tcW w:w="1000" w:type="dxa"/>
            <w:vAlign w:val="bottom"/>
          </w:tcPr>
          <w:p>
            <w:pPr>
              <w:spacing w:after="0"/>
              <w:rPr>
                <w:sz w:val="24"/>
                <w:szCs w:val="24"/>
                <w:color w:val="auto"/>
              </w:rPr>
            </w:pPr>
          </w:p>
        </w:tc>
      </w:tr>
      <w:tr>
        <w:trPr>
          <w:trHeight w:val="190"/>
        </w:trPr>
        <w:tc>
          <w:tcPr>
            <w:tcW w:w="5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assets.........................................</w:t>
            </w: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$2</w:t>
            </w:r>
          </w:p>
        </w:tc>
      </w:tr>
      <w:tr>
        <w:trPr>
          <w:trHeight w:val="190"/>
        </w:trPr>
        <w:tc>
          <w:tcPr>
            <w:tcW w:w="5320" w:type="dxa"/>
            <w:vAlign w:val="bottom"/>
          </w:tcPr>
          <w:p>
            <w:pPr>
              <w:spacing w:after="0"/>
              <w:rPr>
                <w:sz w:val="16"/>
                <w:szCs w:val="16"/>
                <w:color w:val="auto"/>
              </w:rPr>
            </w:pP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Purchase price.....................................</w:t>
            </w: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$24</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$2</w:t>
            </w:r>
          </w:p>
        </w:tc>
      </w:tr>
      <w:tr>
        <w:trPr>
          <w:trHeight w:val="190"/>
        </w:trPr>
        <w:tc>
          <w:tcPr>
            <w:tcW w:w="5320" w:type="dxa"/>
            <w:vAlign w:val="bottom"/>
          </w:tcPr>
          <w:p>
            <w:pPr>
              <w:spacing w:after="0"/>
              <w:rPr>
                <w:sz w:val="16"/>
                <w:szCs w:val="16"/>
                <w:color w:val="auto"/>
              </w:rPr>
            </w:pP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 effects of such acquisitions were not significant for the periods presented in the accompanying statements.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INVENTORY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consist of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(UNAUDITED)</w:t>
            </w:r>
          </w:p>
        </w:tc>
      </w:tr>
      <w:tr>
        <w:trPr>
          <w:trHeight w:val="379"/>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Finished goods.................................</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$63.4</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$56.8</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Packaging supplies.............................</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9.5</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7.2</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Raw materials..................................</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17.9</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9.9</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Inventory, at FIFO cost........................</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90.7</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73.9</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Excess of FIFO over LIFO.......................</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$85.6</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$68.8</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Inventories at FIFO approximate current cost. LIFO costs relating to inventory acquired from Chevron in 1993 are based upon amounts assigned in accordance with Accounting Principles Board Opinion No. 16. Brands finished goods inventories of $12.6 million and $16.0 million at December 31, 1997 and September 30, 1998 are held by Central Garden in safety stock warehouses under consignment and recorded as inventory as of such dates.</w:t>
      </w:r>
    </w:p>
    <w:p>
      <w:pPr>
        <w:sectPr>
          <w:pgSz w:w="11900" w:h="16838" w:orient="portrait"/>
          <w:cols w:equalWidth="0" w:num="1">
            <w:col w:w="10219"/>
          </w:cols>
          <w:pgMar w:left="240" w:top="306" w:right="1440" w:bottom="998" w:gutter="0" w:footer="0" w:header="0"/>
        </w:sectPr>
      </w:pP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6" w:right="1440" w:bottom="998"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PROPERTY PLANT AND EQUIPMENT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consist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(UNAUDITED)</w:t>
            </w:r>
          </w:p>
        </w:tc>
      </w:tr>
      <w:tr>
        <w:trPr>
          <w:trHeight w:val="379"/>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Land...........................................</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$ 1.4</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$ 1.5</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Buildings and improvements.....................</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7.1</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8.7</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Machinery and equipment........................</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18.5</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19.4</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Office furnishings, fixtures and equipment.....</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8.0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7.1</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Construction in process........................</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4.4</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39.4</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41.2</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Less accumulated depreciation..................</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12.7</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13.6</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$26.7</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$27.6</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Depreciation expense totaled approximately $3.3 million for the year ended December 31, 1997 of which $1.8 million was included in cost of goods sold and $1.5 million was included in operating expenses. For the nine-month periods ended September 30, 1998 and 1997 depreciation expense totaled approximately $2.6 million and $2.4 million, respectively, of which $1.4 million and $1.3 million was included in cost of goods sold and $1.2 million and $1.1 million was included in operating expenses,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INTANGIBLE AND OTHER ASSETS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and other assets consist of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(UNAUDITED)</w:t>
            </w:r>
          </w:p>
        </w:tc>
      </w:tr>
      <w:tr>
        <w:trPr>
          <w:trHeight w:val="379"/>
        </w:trPr>
        <w:tc>
          <w:tcPr>
            <w:tcW w:w="47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$164.6</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$161.4</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Trademarks and trade names.....................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53.5</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53.8</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Noncompetition agreement.......................</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16.2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16.2</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234.3</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231.4</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Less accumulated amortization of intangibles...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55.1</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64.7</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$179.2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$166.7</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569"/>
        </w:trPr>
        <w:tc>
          <w:tcPr>
            <w:tcW w:w="4740" w:type="dxa"/>
            <w:vAlign w:val="bottom"/>
          </w:tcPr>
          <w:p>
            <w:pPr>
              <w:spacing w:after="0"/>
              <w:rPr>
                <w:sz w:val="20"/>
                <w:szCs w:val="20"/>
                <w:color w:val="auto"/>
              </w:rPr>
            </w:pPr>
            <w:r>
              <w:rPr>
                <w:rFonts w:ascii="Courier New" w:cs="Courier New" w:eastAsia="Courier New" w:hAnsi="Courier New"/>
                <w:sz w:val="16"/>
                <w:szCs w:val="16"/>
                <w:color w:val="auto"/>
              </w:rPr>
              <w:t>8.  ACCRUED LIABILITIES</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9"/>
        </w:trPr>
        <w:tc>
          <w:tcPr>
            <w:tcW w:w="4740" w:type="dxa"/>
            <w:vAlign w:val="bottom"/>
          </w:tcPr>
          <w:p>
            <w:pPr>
              <w:spacing w:after="0"/>
              <w:rPr>
                <w:sz w:val="20"/>
                <w:szCs w:val="20"/>
                <w:color w:val="auto"/>
              </w:rPr>
            </w:pPr>
            <w:r>
              <w:rPr>
                <w:rFonts w:ascii="Courier New" w:cs="Courier New" w:eastAsia="Courier New" w:hAnsi="Courier New"/>
                <w:sz w:val="16"/>
                <w:szCs w:val="16"/>
                <w:color w:val="auto"/>
              </w:rPr>
              <w:t>Accrued liabilities consist of (in millions):</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58"/>
        </w:trPr>
        <w:tc>
          <w:tcPr>
            <w:tcW w:w="4740" w:type="dxa"/>
            <w:vAlign w:val="bottom"/>
          </w:tcPr>
          <w:p>
            <w:pPr>
              <w:spacing w:after="0"/>
              <w:rPr>
                <w:sz w:val="24"/>
                <w:szCs w:val="24"/>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74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(UNAUDITED)</w:t>
            </w:r>
          </w:p>
        </w:tc>
      </w:tr>
      <w:tr>
        <w:trPr>
          <w:trHeight w:val="379"/>
        </w:trPr>
        <w:tc>
          <w:tcPr>
            <w:tcW w:w="4740" w:type="dxa"/>
            <w:vAlign w:val="bottom"/>
          </w:tcPr>
          <w:p>
            <w:pPr>
              <w:spacing w:after="0"/>
              <w:rPr>
                <w:sz w:val="20"/>
                <w:szCs w:val="20"/>
                <w:color w:val="auto"/>
              </w:rPr>
            </w:pPr>
            <w:r>
              <w:rPr>
                <w:rFonts w:ascii="Courier New" w:cs="Courier New" w:eastAsia="Courier New" w:hAnsi="Courier New"/>
                <w:sz w:val="16"/>
                <w:szCs w:val="16"/>
                <w:color w:val="auto"/>
              </w:rPr>
              <w:t>Distributor Program............................</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$11.4</w:t>
            </w:r>
          </w:p>
        </w:tc>
      </w:tr>
      <w:tr>
        <w:trPr>
          <w:trHeight w:val="19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11.0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8.6</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$22.2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w:t>
            </w:r>
          </w:p>
        </w:tc>
      </w:tr>
      <w:tr>
        <w:trPr>
          <w:trHeight w:val="190"/>
        </w:trPr>
        <w:tc>
          <w:tcPr>
            <w:tcW w:w="47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6" w:right="1440" w:bottom="1440" w:gutter="0" w:footer="0" w:header="0"/>
        </w:sectPr>
      </w:pP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ind w:left="400" w:hanging="399"/>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Solaris has contractual obligations including supply, manufacturing, and purchase agreements that require minimum annual payments. Total future annual commitments under these arrangements to be assumed by the Buyer are as follows (in millions):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90"/>
        </w:trPr>
        <w:tc>
          <w:tcPr>
            <w:tcW w:w="6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6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Solaris is the lessee under several operating leases primarily for office space and research facilities. Future minimum rental payments under such operating leases that have non-concellable terms beyond one year and that are to be assumed by the Buyer are as follows (in millions):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Thereafter..................................................</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6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90"/>
        </w:trPr>
        <w:tc>
          <w:tcPr>
            <w:tcW w:w="6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Monsanto is a party to a number of lawsuits and claims relating to Solaris and the Brands. Such matters relate to product liability, government regulation, including environmental issues, and other matters. Although the results of litigation cannot be predicted with certainty, management's belief, based upon the advice of Monsanto's legal counsel, is that the final outcome of such litigation will not have a material adverse effect on the Brands' financial statements.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 connection with the acquisition of White Swan Ltd. in 1996, Solaris is required to make additional acquisition payments each year through December 31, 2003, based upon attainment of certain gross margin thresholds. Any additional acquisition payments would be recorded as additional goodwill. Through September 30, 1998, no additional payments were required.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3 concerning disputed amounts with Central Garden.</w:t>
      </w:r>
    </w:p>
    <w:p>
      <w:pPr>
        <w:spacing w:after="0" w:line="198"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AGREEMENT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November 11, 1998, Monsanto and Buyer entered into an Amended and Restated Exclusive Agency and Marketing Agreement whereby Buyer agreed to serve as Monsanto's exclusive agent for the Roundup product line. Buyer agreed to provide certain services, as defined, in connection with the marketing, sales and distribution of Roundup products within certain defined markets (primarily North America, Europe and Australia).</w:t>
      </w:r>
    </w:p>
    <w:p>
      <w:pPr>
        <w:spacing w:after="0" w:line="190" w:lineRule="exact"/>
        <w:rPr>
          <w:sz w:val="20"/>
          <w:szCs w:val="20"/>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FINANCIAL INFORMATION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unaudited financial information as of September 30, 1998 and for the nine-month periods ended September 30, 1997 and 1998 reflect all adjustments which are, in the opinion of management, necessary to a fair statement of the results of the interim periods presented. Such adjustments are of a normal, recurring nature. Results for interim periods may not be indicative of results for a full year.</w:t>
      </w:r>
    </w:p>
    <w:p>
      <w:pPr>
        <w:sectPr>
          <w:pgSz w:w="11900" w:h="16838" w:orient="portrait"/>
          <w:cols w:equalWidth="0" w:num="1">
            <w:col w:w="10219"/>
          </w:cols>
          <w:pgMar w:left="240" w:top="306" w:right="1440" w:bottom="1440" w:gutter="0" w:footer="0" w:header="0"/>
        </w:sectPr>
      </w:pP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6"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7(b) PRO FORMA FINANCIAL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3640"/>
        <w:spacing w:after="0" w:line="251" w:lineRule="auto"/>
        <w:rPr>
          <w:sz w:val="20"/>
          <w:szCs w:val="20"/>
          <w:color w:val="auto"/>
        </w:rPr>
      </w:pPr>
      <w:r>
        <w:rPr>
          <w:rFonts w:ascii="Courier New" w:cs="Courier New" w:eastAsia="Courier New" w:hAnsi="Courier New"/>
          <w:sz w:val="16"/>
          <w:szCs w:val="16"/>
          <w:color w:val="auto"/>
        </w:rPr>
        <w:t>The following pro forma statement of income is presented as if the Ortho Acquisition; the acquisition of Rhone-Poulenc Jardin; the consumer lawn and garden division of Rhone-Poulenc S.A. and related entities (the "RPJ Acquisition"); and the marketing agreement with Monsanto with respect to consumer Roundup(R) products (the "Roundup Marketing Agreement" and, together with the RPJ Acquisition and the Ortho Acquisition, the "Transactions"); and the private placement by the Registrant of its 8.625% Senior Subordinated Notes had occurred and the Registrant's new credit facility which provides for aggregate borrowings of up to $1.025 billion (the "New Credit Facility") was in place on October 1, 1997. The following pro forma balance sheet gives effect to the Transactions, the New Credit Facility and the private placement by the Registrant of its 8.625% Senior Subordinated Notes and the use of proceeds therefrom as if they had occurred on September 30, 1998. The accompanying pro forma information is presented for illustrative purposes and is not necessarily indicative of the financial position or results of operations which would actually have been reported had the above transactions been in effect during the periods presented or which may be reported in the future.</w:t>
      </w:r>
    </w:p>
    <w:p>
      <w:pPr>
        <w:spacing w:after="0" w:line="190"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SCOTTS COMPANY</w:t>
      </w:r>
    </w:p>
    <w:p>
      <w:pPr>
        <w:spacing w:after="0" w:line="38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UNAUDITED PRO FORMA COMBINED STATEMENT OF INCOME</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FOR THE YEAR ENDED SEPTEMBER 30, 1998</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spacing w:after="0"/>
              <w:rPr>
                <w:sz w:val="16"/>
                <w:szCs w:val="16"/>
                <w:color w:val="auto"/>
              </w:rPr>
            </w:pPr>
          </w:p>
        </w:tc>
        <w:tc>
          <w:tcPr>
            <w:tcW w:w="82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SCOTTS</w:t>
            </w:r>
          </w:p>
        </w:tc>
        <w:tc>
          <w:tcPr>
            <w:tcW w:w="1000" w:type="dxa"/>
            <w:vAlign w:val="bottom"/>
          </w:tcPr>
          <w:p>
            <w:pPr>
              <w:spacing w:after="0"/>
              <w:rPr>
                <w:sz w:val="16"/>
                <w:szCs w:val="16"/>
                <w:color w:val="auto"/>
              </w:rPr>
            </w:pP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RPJ</w:t>
            </w:r>
          </w:p>
        </w:tc>
        <w:tc>
          <w:tcPr>
            <w:tcW w:w="880" w:type="dxa"/>
            <w:vAlign w:val="bottom"/>
          </w:tcPr>
          <w:p>
            <w:pPr>
              <w:spacing w:after="0"/>
              <w:rPr>
                <w:sz w:val="16"/>
                <w:szCs w:val="16"/>
                <w:color w:val="auto"/>
              </w:rPr>
            </w:pP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ORTHO</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SCOTTS</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HISTORICAL</w:t>
            </w:r>
          </w:p>
        </w:tc>
        <w:tc>
          <w:tcPr>
            <w:tcW w:w="10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RPJ(1)</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ADJUSTMENTS</w:t>
            </w:r>
          </w:p>
        </w:tc>
        <w:tc>
          <w:tcPr>
            <w:tcW w:w="8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ORTHO</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ADJUSTMENTS</w:t>
            </w:r>
          </w:p>
        </w:tc>
        <w:tc>
          <w:tcPr>
            <w:tcW w:w="13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ADJUSTMENTS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26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1,113.0</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$ 144.3</w:t>
            </w:r>
          </w:p>
        </w:tc>
        <w:tc>
          <w:tcPr>
            <w:tcW w:w="1380" w:type="dxa"/>
            <w:vAlign w:val="bottom"/>
          </w:tcPr>
          <w:p>
            <w:pPr>
              <w:spacing w:after="0"/>
              <w:rPr>
                <w:sz w:val="24"/>
                <w:szCs w:val="24"/>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$211.4</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$ 46.8(2)</w:t>
            </w:r>
          </w:p>
        </w:tc>
        <w:tc>
          <w:tcPr>
            <w:tcW w:w="1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$1,526.5</w:t>
            </w:r>
          </w:p>
        </w:tc>
      </w:t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11.0(3)</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715.0</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75.4</w:t>
            </w:r>
          </w:p>
        </w:tc>
        <w:tc>
          <w:tcPr>
            <w:tcW w:w="13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128.8</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21.2(2)</w:t>
            </w: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948.1</w:t>
            </w:r>
          </w:p>
        </w:tc>
      </w:t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6.7(3)</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1.0(4)</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spacing w:after="0"/>
              <w:rPr>
                <w:sz w:val="16"/>
                <w:szCs w:val="16"/>
                <w:color w:val="auto"/>
              </w:rPr>
            </w:pP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398.0</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68.9</w:t>
            </w:r>
          </w:p>
        </w:tc>
        <w:tc>
          <w:tcPr>
            <w:tcW w:w="13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82.6</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28.9</w:t>
            </w: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578.4</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from Roundup Marketing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Agreement.....................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SG&amp;A............................</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271.6</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55.7</w:t>
            </w:r>
          </w:p>
        </w:tc>
        <w:tc>
          <w:tcPr>
            <w:tcW w:w="13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59.0</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25.6(2)</w:t>
            </w: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413.4</w:t>
            </w:r>
          </w:p>
        </w:tc>
      </w:t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1.5(6)</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Amortization of goodwill and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other intangibles.............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w:t>
            </w:r>
          </w:p>
        </w:tc>
        <w:tc>
          <w:tcPr>
            <w:tcW w:w="13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3.5(7)</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17.8</w:t>
            </w:r>
          </w:p>
        </w:tc>
        <w:tc>
          <w:tcPr>
            <w:tcW w:w="15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(12.3)(8)</w:t>
            </w:r>
          </w:p>
        </w:tc>
        <w:tc>
          <w:tcPr>
            <w:tcW w:w="13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25.8</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Restructuring and other</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charges.......................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15.4</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Other expense, net..............</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0.4</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Income from operations........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94.1</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8.7</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(3.5)</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5.8</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14.1</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33.4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32.2</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0.2</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6"/>
                <w:szCs w:val="16"/>
                <w:color w:val="auto"/>
              </w:rPr>
            </w:pPr>
          </w:p>
        </w:tc>
        <w:tc>
          <w:tcPr>
            <w:tcW w:w="1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53.9(10)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86.3</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61.9</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8.5</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(3.5)</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5.8</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14.1</w:t>
            </w: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0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24.9</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5.3</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(3.5)(11)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before extraordinary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37.0</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3.2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 (3.5)</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  5.8</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$ 14.1</w:t>
            </w: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$(17.0)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39.6</w:t>
            </w:r>
          </w:p>
        </w:tc>
      </w:tr>
      <w:tr>
        <w:trPr>
          <w:trHeight w:val="190"/>
        </w:trPr>
        <w:tc>
          <w:tcPr>
            <w:tcW w:w="3260" w:type="dxa"/>
            <w:vAlign w:val="bottom"/>
          </w:tcPr>
          <w:p>
            <w:pPr>
              <w:spacing w:after="0"/>
              <w:rPr>
                <w:sz w:val="16"/>
                <w:szCs w:val="16"/>
                <w:color w:val="auto"/>
              </w:rPr>
            </w:pP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500" w:right="3820" w:hanging="400"/>
        <w:spacing w:after="0" w:line="253" w:lineRule="auto"/>
        <w:tabs>
          <w:tab w:leader="none" w:pos="5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 of income data for RPJ have been translated from French Francs to U.S. Dollars using the average exchange rate for the year ended September 30, 1998.</w:t>
      </w:r>
    </w:p>
    <w:p>
      <w:pPr>
        <w:spacing w:after="0" w:line="185" w:lineRule="exact"/>
        <w:rPr>
          <w:rFonts w:ascii="Courier New" w:cs="Courier New" w:eastAsia="Courier New" w:hAnsi="Courier New"/>
          <w:sz w:val="16"/>
          <w:szCs w:val="16"/>
          <w:color w:val="auto"/>
        </w:rPr>
      </w:pPr>
    </w:p>
    <w:p>
      <w:pPr>
        <w:ind w:left="500" w:right="4120" w:hanging="400"/>
        <w:spacing w:after="0" w:line="255" w:lineRule="auto"/>
        <w:tabs>
          <w:tab w:leader="none" w:pos="5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certain amounts to conform with the Company's presentation.</w:t>
      </w:r>
    </w:p>
    <w:p>
      <w:pPr>
        <w:spacing w:after="0" w:line="183" w:lineRule="exact"/>
        <w:rPr>
          <w:rFonts w:ascii="Courier New" w:cs="Courier New" w:eastAsia="Courier New" w:hAnsi="Courier New"/>
          <w:sz w:val="16"/>
          <w:szCs w:val="16"/>
          <w:color w:val="auto"/>
        </w:rPr>
      </w:pPr>
    </w:p>
    <w:p>
      <w:pPr>
        <w:ind w:left="500" w:right="3820" w:hanging="400"/>
        <w:spacing w:after="0" w:line="252" w:lineRule="auto"/>
        <w:tabs>
          <w:tab w:leader="none" w:pos="5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adjustment to sales and cost of sales on certain shipments to distributors. The Company intends to reflect these shipments as inventory until such inventory is subsequently shipped to retailer locations. The adjustment is calculated as follows: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Estimated</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w:t>
            </w:r>
          </w:p>
        </w:tc>
        <w:tc>
          <w:tcPr>
            <w:tcW w:w="33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in revenue.....................</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$11.0</w:t>
            </w:r>
          </w:p>
        </w:tc>
      </w:tr>
      <w:tr>
        <w:trPr>
          <w:trHeight w:val="190"/>
        </w:trPr>
        <w:tc>
          <w:tcPr>
            <w:tcW w:w="740" w:type="dxa"/>
            <w:vAlign w:val="bottom"/>
          </w:tcPr>
          <w:p>
            <w:pPr>
              <w:spacing w:after="0"/>
              <w:rPr>
                <w:sz w:val="20"/>
                <w:szCs w:val="20"/>
                <w:color w:val="auto"/>
              </w:rPr>
            </w:pPr>
            <w:r>
              <w:rPr>
                <w:rFonts w:ascii="Courier New" w:cs="Courier New" w:eastAsia="Courier New" w:hAnsi="Courier New"/>
                <w:sz w:val="16"/>
                <w:szCs w:val="16"/>
                <w:color w:val="auto"/>
              </w:rPr>
              <w:t>Cost of</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sales as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330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percentage of sales for the</w:t>
            </w:r>
          </w:p>
        </w:tc>
        <w:tc>
          <w:tcPr>
            <w:tcW w:w="800" w:type="dxa"/>
            <w:vAlign w:val="bottom"/>
          </w:tcPr>
          <w:p>
            <w:pPr>
              <w:spacing w:after="0"/>
              <w:rPr>
                <w:sz w:val="16"/>
                <w:szCs w:val="16"/>
                <w:color w:val="auto"/>
              </w:rPr>
            </w:pPr>
          </w:p>
        </w:tc>
      </w:tr>
      <w:tr>
        <w:trPr>
          <w:trHeight w:val="190"/>
        </w:trPr>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Ortho</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business</w:t>
            </w:r>
          </w:p>
        </w:tc>
        <w:tc>
          <w:tcPr>
            <w:tcW w:w="35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for fiscal 1998..................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60.9%</w:t>
            </w:r>
          </w:p>
        </w:tc>
      </w:tr>
      <w:tr>
        <w:trPr>
          <w:trHeight w:val="190"/>
        </w:trPr>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Estimated</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w:t>
            </w:r>
          </w:p>
        </w:tc>
        <w:tc>
          <w:tcPr>
            <w:tcW w:w="33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in cost of sales...............</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$ 6.7</w:t>
            </w:r>
          </w:p>
        </w:tc>
      </w:tr>
    </w:tbl>
    <w:p>
      <w:pPr>
        <w:sectPr>
          <w:pgSz w:w="11900" w:h="16838" w:orient="portrait"/>
          <w:cols w:equalWidth="0" w:num="1">
            <w:col w:w="11520"/>
          </w:cols>
          <w:pgMar w:left="240" w:top="306" w:right="139" w:bottom="0" w:gutter="0" w:footer="0" w:header="0"/>
        </w:sectPr>
      </w:pPr>
    </w:p>
    <w:bookmarkStart w:id="15" w:name="page16"/>
    <w:bookmarkEnd w:id="15"/>
    <w:p>
      <w:pPr>
        <w:ind w:left="400" w:right="2719" w:hanging="400"/>
        <w:spacing w:after="0" w:line="253"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estimated increase in cost of sales resulting from change in basis for Ortho inventory from LIFO to FIFO as described in note 3 to "-- Unaudited Pro Forma Combined Balance Sheet."</w:t>
      </w:r>
    </w:p>
    <w:p>
      <w:pPr>
        <w:spacing w:after="0" w:line="185"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estimated commission that would have been earned for the</w:t>
      </w:r>
    </w:p>
    <w:p>
      <w:pPr>
        <w:spacing w:after="0" w:line="8" w:lineRule="exact"/>
        <w:rPr>
          <w:rFonts w:ascii="Courier New" w:cs="Courier New" w:eastAsia="Courier New" w:hAnsi="Courier New"/>
          <w:sz w:val="16"/>
          <w:szCs w:val="16"/>
          <w:color w:val="auto"/>
        </w:rPr>
      </w:pPr>
    </w:p>
    <w:p>
      <w:pPr>
        <w:ind w:left="4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1998 Program Year (the twelve months ended September 30, 1998) under the applicable provisions of the Roundup Marketing Agreement relating to the calculation of the Company's commission with respect to the first Program Year (1999), applying such calculation to the unaudited earnings of the consumer Roundup business for the twelve months ended September 30, 1998. Therefore, the Contribution Payment for the 1998 Program Year is assumed to be the same as the Contribution Payment for the 1999 Program Year. See "The Transactions -- Roundup Marketing Agreement -- Commission Structure" included in the Registrant's Form 8-K dated January 7, 1999 and incorporated by reference herein.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20"/>
          </w:cols>
          <w:pgMar w:left="340" w:top="521"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ind w:left="500" w:right="2719" w:hanging="400"/>
        <w:spacing w:after="0" w:line="252"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estimated increase in certain administrative costs (e.g., legal, payroll, risk management, tax department, human resources, information systems, etc.) that are considered necessary to support the Ortho business.</w:t>
      </w:r>
    </w:p>
    <w:p>
      <w:pPr>
        <w:spacing w:after="0" w:line="186" w:lineRule="exact"/>
        <w:rPr>
          <w:rFonts w:ascii="Courier New" w:cs="Courier New" w:eastAsia="Courier New" w:hAnsi="Courier New"/>
          <w:sz w:val="16"/>
          <w:szCs w:val="16"/>
          <w:color w:val="auto"/>
        </w:rPr>
      </w:pPr>
    </w:p>
    <w:p>
      <w:pPr>
        <w:ind w:left="500" w:right="2719" w:hanging="400"/>
        <w:spacing w:after="0" w:line="253"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 to amortization of goodwill and other intangibles resulting from an allocation of the estimated purchase price of the RPJ business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20"/>
                <w:szCs w:val="20"/>
                <w:color w:val="auto"/>
              </w:rPr>
            </w:pPr>
            <w:r>
              <w:rPr>
                <w:rFonts w:ascii="Courier New" w:cs="Courier New" w:eastAsia="Courier New" w:hAnsi="Courier New"/>
                <w:sz w:val="16"/>
                <w:szCs w:val="16"/>
                <w:color w:val="auto"/>
              </w:rPr>
              <w:t>Estimated purchase price (including estimated</w:t>
            </w:r>
          </w:p>
        </w:tc>
        <w:tc>
          <w:tcPr>
            <w:tcW w:w="900" w:type="dxa"/>
            <w:vAlign w:val="bottom"/>
          </w:tcPr>
          <w:p>
            <w:pPr>
              <w:spacing w:after="0"/>
              <w:rPr>
                <w:sz w:val="16"/>
                <w:szCs w:val="16"/>
                <w:color w:val="auto"/>
              </w:rPr>
            </w:pPr>
          </w:p>
        </w:tc>
      </w:tr>
      <w:tr>
        <w:trPr>
          <w:trHeight w:val="190"/>
        </w:trPr>
        <w:tc>
          <w:tcPr>
            <w:tcW w:w="5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transaction costs of $7.3 million).............</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$216.3</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Less amounts allocated to tangible assets and</w:t>
            </w:r>
          </w:p>
        </w:tc>
        <w:tc>
          <w:tcPr>
            <w:tcW w:w="900" w:type="dxa"/>
            <w:vAlign w:val="bottom"/>
          </w:tcPr>
          <w:p>
            <w:pPr>
              <w:spacing w:after="0"/>
              <w:rPr>
                <w:sz w:val="16"/>
                <w:szCs w:val="16"/>
                <w:color w:val="auto"/>
              </w:rPr>
            </w:pPr>
          </w:p>
        </w:tc>
      </w:tr>
      <w:tr>
        <w:trPr>
          <w:trHeight w:val="190"/>
        </w:trPr>
        <w:tc>
          <w:tcPr>
            <w:tcW w:w="5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liabilities....................................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90"/>
        </w:trPr>
        <w:tc>
          <w:tcPr>
            <w:tcW w:w="50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Amount allocated to goodwill and other</w:t>
            </w:r>
          </w:p>
        </w:tc>
        <w:tc>
          <w:tcPr>
            <w:tcW w:w="900" w:type="dxa"/>
            <w:vAlign w:val="bottom"/>
          </w:tcPr>
          <w:p>
            <w:pPr>
              <w:spacing w:after="0"/>
              <w:rPr>
                <w:sz w:val="16"/>
                <w:szCs w:val="16"/>
                <w:color w:val="auto"/>
              </w:rPr>
            </w:pPr>
          </w:p>
        </w:tc>
      </w:tr>
      <w:tr>
        <w:trPr>
          <w:trHeight w:val="190"/>
        </w:trPr>
        <w:tc>
          <w:tcPr>
            <w:tcW w:w="5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intangibles....................................</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203.2</w:t>
            </w:r>
          </w:p>
        </w:tc>
      </w:tr>
      <w:tr>
        <w:trPr>
          <w:trHeight w:val="190"/>
        </w:trPr>
        <w:tc>
          <w:tcPr>
            <w:tcW w:w="5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Estimated average useful life (in years).........</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35.0</w:t>
            </w:r>
          </w:p>
        </w:tc>
      </w:tr>
      <w:tr>
        <w:trPr>
          <w:trHeight w:val="190"/>
        </w:trPr>
        <w:tc>
          <w:tcPr>
            <w:tcW w:w="50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Less amortization included in historical RPJ</w:t>
            </w:r>
          </w:p>
        </w:tc>
        <w:tc>
          <w:tcPr>
            <w:tcW w:w="900" w:type="dxa"/>
            <w:vAlign w:val="bottom"/>
          </w:tcPr>
          <w:p>
            <w:pPr>
              <w:spacing w:after="0"/>
              <w:rPr>
                <w:sz w:val="16"/>
                <w:szCs w:val="16"/>
                <w:color w:val="auto"/>
              </w:rPr>
            </w:pPr>
          </w:p>
        </w:tc>
      </w:tr>
      <w:tr>
        <w:trPr>
          <w:trHeight w:val="190"/>
        </w:trPr>
        <w:tc>
          <w:tcPr>
            <w:tcW w:w="5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financial statements...........................</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w:t>
            </w:r>
          </w:p>
        </w:tc>
      </w:tr>
      <w:tr>
        <w:trPr>
          <w:trHeight w:val="190"/>
        </w:trPr>
        <w:tc>
          <w:tcPr>
            <w:tcW w:w="50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3.5</w:t>
            </w:r>
          </w:p>
        </w:tc>
      </w:tr>
    </w:tbl>
    <w:p>
      <w:pPr>
        <w:spacing w:after="0" w:line="384"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A valuation of the RPJ business has not been completed as of the date hereof.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Registrant expects that the final allocation of the purchase price will be completed during the third quarter of fiscal 1999.</w:t>
      </w:r>
    </w:p>
    <w:p>
      <w:pPr>
        <w:spacing w:after="0" w:line="190" w:lineRule="exact"/>
        <w:rPr>
          <w:sz w:val="20"/>
          <w:szCs w:val="20"/>
          <w:color w:val="auto"/>
        </w:rPr>
      </w:pPr>
    </w:p>
    <w:p>
      <w:pPr>
        <w:ind w:left="500" w:right="2519" w:hanging="400"/>
        <w:spacing w:after="0" w:line="253" w:lineRule="auto"/>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 to amortization of goodwill and other intangibles resulting from an allocation of the estimated purchase price of the Ortho business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20"/>
                <w:szCs w:val="20"/>
                <w:color w:val="auto"/>
              </w:rPr>
            </w:pPr>
            <w:r>
              <w:rPr>
                <w:rFonts w:ascii="Courier New" w:cs="Courier New" w:eastAsia="Courier New" w:hAnsi="Courier New"/>
                <w:sz w:val="16"/>
                <w:szCs w:val="16"/>
                <w:color w:val="auto"/>
              </w:rPr>
              <w:t>Estimated purchase price (including estimated</w:t>
            </w:r>
          </w:p>
        </w:tc>
        <w:tc>
          <w:tcPr>
            <w:tcW w:w="880" w:type="dxa"/>
            <w:vAlign w:val="bottom"/>
          </w:tcPr>
          <w:p>
            <w:pPr>
              <w:spacing w:after="0"/>
              <w:rPr>
                <w:sz w:val="16"/>
                <w:szCs w:val="16"/>
                <w:color w:val="auto"/>
              </w:rPr>
            </w:pPr>
          </w:p>
        </w:tc>
      </w:tr>
      <w:tr>
        <w:trPr>
          <w:trHeight w:val="190"/>
        </w:trPr>
        <w:tc>
          <w:tcPr>
            <w:tcW w:w="4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transaction costs of $10.0 million)..........</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$310.0</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Less amounts allocated to tangible assets and</w:t>
            </w:r>
          </w:p>
        </w:tc>
        <w:tc>
          <w:tcPr>
            <w:tcW w:w="880" w:type="dxa"/>
            <w:vAlign w:val="bottom"/>
          </w:tcPr>
          <w:p>
            <w:pPr>
              <w:spacing w:after="0"/>
              <w:rPr>
                <w:sz w:val="16"/>
                <w:szCs w:val="16"/>
                <w:color w:val="auto"/>
              </w:rPr>
            </w:pPr>
          </w:p>
        </w:tc>
      </w:tr>
      <w:tr>
        <w:trPr>
          <w:trHeight w:val="190"/>
        </w:trPr>
        <w:tc>
          <w:tcPr>
            <w:tcW w:w="4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liabilities..................................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(116.0)</w:t>
            </w:r>
          </w:p>
        </w:tc>
      </w:tr>
      <w:tr>
        <w:trPr>
          <w:trHeight w:val="190"/>
        </w:trPr>
        <w:tc>
          <w:tcPr>
            <w:tcW w:w="48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Amount allocated to goodwill and other</w:t>
            </w:r>
          </w:p>
        </w:tc>
        <w:tc>
          <w:tcPr>
            <w:tcW w:w="880" w:type="dxa"/>
            <w:vAlign w:val="bottom"/>
          </w:tcPr>
          <w:p>
            <w:pPr>
              <w:spacing w:after="0"/>
              <w:rPr>
                <w:sz w:val="16"/>
                <w:szCs w:val="16"/>
                <w:color w:val="auto"/>
              </w:rPr>
            </w:pPr>
          </w:p>
        </w:tc>
      </w:tr>
      <w:tr>
        <w:trPr>
          <w:trHeight w:val="190"/>
        </w:trPr>
        <w:tc>
          <w:tcPr>
            <w:tcW w:w="4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intangibles..................................</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194.0</w:t>
            </w:r>
          </w:p>
        </w:tc>
      </w:tr>
      <w:tr>
        <w:trPr>
          <w:trHeight w:val="190"/>
        </w:trPr>
        <w:tc>
          <w:tcPr>
            <w:tcW w:w="4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Estimated average useful life (in years).......</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35.0</w:t>
            </w:r>
          </w:p>
        </w:tc>
      </w:tr>
      <w:tr>
        <w:trPr>
          <w:trHeight w:val="190"/>
        </w:trPr>
        <w:tc>
          <w:tcPr>
            <w:tcW w:w="48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Less amortization included in historical Ortho</w:t>
            </w:r>
          </w:p>
        </w:tc>
        <w:tc>
          <w:tcPr>
            <w:tcW w:w="880" w:type="dxa"/>
            <w:vAlign w:val="bottom"/>
          </w:tcPr>
          <w:p>
            <w:pPr>
              <w:spacing w:after="0"/>
              <w:rPr>
                <w:sz w:val="16"/>
                <w:szCs w:val="16"/>
                <w:color w:val="auto"/>
              </w:rPr>
            </w:pPr>
          </w:p>
        </w:tc>
      </w:tr>
      <w:tr>
        <w:trPr>
          <w:trHeight w:val="190"/>
        </w:trPr>
        <w:tc>
          <w:tcPr>
            <w:tcW w:w="4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financial statements.........................</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w:t>
            </w:r>
          </w:p>
        </w:tc>
      </w:tr>
      <w:tr>
        <w:trPr>
          <w:trHeight w:val="190"/>
        </w:trPr>
        <w:tc>
          <w:tcPr>
            <w:tcW w:w="48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bl>
    <w:p>
      <w:pPr>
        <w:spacing w:after="0" w:line="384" w:lineRule="exact"/>
        <w:rPr>
          <w:sz w:val="20"/>
          <w:szCs w:val="20"/>
          <w:color w:val="auto"/>
        </w:rPr>
      </w:pPr>
    </w:p>
    <w:p>
      <w:pPr>
        <w:ind w:left="700" w:right="2439"/>
        <w:spacing w:after="0" w:line="251" w:lineRule="auto"/>
        <w:rPr>
          <w:sz w:val="20"/>
          <w:szCs w:val="20"/>
          <w:color w:val="auto"/>
        </w:rPr>
      </w:pPr>
      <w:r>
        <w:rPr>
          <w:rFonts w:ascii="Courier New" w:cs="Courier New" w:eastAsia="Courier New" w:hAnsi="Courier New"/>
          <w:sz w:val="16"/>
          <w:szCs w:val="16"/>
          <w:color w:val="auto"/>
        </w:rPr>
        <w:t>A valuation of the Ortho business has not been completed as of the date hereof.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Registrant expects that the final allocation of the purchase price will be completed during the third or fourth quarter of fiscal 1999.</w:t>
      </w:r>
    </w:p>
    <w:p>
      <w:pPr>
        <w:spacing w:after="0" w:line="190" w:lineRule="exact"/>
        <w:rPr>
          <w:sz w:val="20"/>
          <w:szCs w:val="20"/>
          <w:color w:val="auto"/>
        </w:rPr>
      </w:pPr>
    </w:p>
    <w:p>
      <w:pPr>
        <w:ind w:left="700" w:right="2339"/>
        <w:spacing w:after="0" w:line="252" w:lineRule="auto"/>
        <w:rPr>
          <w:sz w:val="20"/>
          <w:szCs w:val="20"/>
          <w:color w:val="auto"/>
        </w:rPr>
      </w:pPr>
      <w:r>
        <w:rPr>
          <w:rFonts w:ascii="Courier New" w:cs="Courier New" w:eastAsia="Courier New" w:hAnsi="Courier New"/>
          <w:sz w:val="16"/>
          <w:szCs w:val="16"/>
          <w:color w:val="auto"/>
        </w:rPr>
        <w:t>In addition, the valuation does not address any adjustment for the level of normalized working capital as of the closing date of the Ortho Acquisition. No portion of such adjustment would be amortized. Rather it will be reflected as an adjustment to working capital. The Registrant has</w:t>
      </w:r>
    </w:p>
    <w:p>
      <w:pPr>
        <w:sectPr>
          <w:pgSz w:w="11900" w:h="16838" w:orient="portrait"/>
          <w:cols w:equalWidth="0" w:num="1">
            <w:col w:w="10219"/>
          </w:cols>
          <w:pgMar w:left="240" w:top="306" w:right="1440" w:bottom="240" w:gutter="0" w:footer="0" w:header="0"/>
        </w:sectPr>
      </w:pP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6" w:right="1440" w:bottom="240" w:gutter="0" w:footer="0" w:header="0"/>
          <w:type w:val="continuous"/>
        </w:sectPr>
      </w:pPr>
    </w:p>
    <w:bookmarkStart w:id="17" w:name="page18"/>
    <w:bookmarkEnd w:id="17"/>
    <w:p>
      <w:pPr>
        <w:ind w:left="299"/>
        <w:spacing w:after="0"/>
        <w:rPr>
          <w:sz w:val="20"/>
          <w:szCs w:val="20"/>
          <w:color w:val="auto"/>
        </w:rPr>
      </w:pPr>
      <w:r>
        <w:rPr>
          <w:rFonts w:ascii="Courier New" w:cs="Courier New" w:eastAsia="Courier New" w:hAnsi="Courier New"/>
          <w:sz w:val="16"/>
          <w:szCs w:val="16"/>
          <w:color w:val="auto"/>
        </w:rPr>
        <w:t>15</w:t>
      </w:r>
    </w:p>
    <w:p>
      <w:pPr>
        <w:spacing w:after="0" w:line="8" w:lineRule="exact"/>
        <w:rPr>
          <w:sz w:val="20"/>
          <w:szCs w:val="20"/>
          <w:color w:val="auto"/>
        </w:rPr>
      </w:pPr>
    </w:p>
    <w:p>
      <w:pPr>
        <w:ind w:left="699" w:right="2339"/>
        <w:spacing w:after="0" w:line="251" w:lineRule="auto"/>
        <w:rPr>
          <w:sz w:val="20"/>
          <w:szCs w:val="20"/>
          <w:color w:val="auto"/>
        </w:rPr>
      </w:pPr>
      <w:r>
        <w:rPr>
          <w:rFonts w:ascii="Courier New" w:cs="Courier New" w:eastAsia="Courier New" w:hAnsi="Courier New"/>
          <w:sz w:val="16"/>
          <w:szCs w:val="16"/>
          <w:color w:val="auto"/>
        </w:rPr>
        <w:t>received an estimate of normalized working capital of $125.9 million from Monsanto, which estimate resulted in an additional payment to Monsanto of $39.9 million as of the closing of the Ortho Acquisition. The Company and Monsanto are still in discussion regarding the actual amount of normalized working capital and expect the issue to be resolved within 60 to 90 days after the closing. See "The Transactions -- Ortho Acquisition" in the Registrant's Form 8-K dated January 7, 1999 and incorporated by reference herein.</w:t>
      </w:r>
    </w:p>
    <w:p>
      <w:pPr>
        <w:spacing w:after="0" w:line="190" w:lineRule="exact"/>
        <w:rPr>
          <w:sz w:val="20"/>
          <w:szCs w:val="20"/>
          <w:color w:val="auto"/>
        </w:rPr>
      </w:pPr>
    </w:p>
    <w:p>
      <w:pPr>
        <w:ind w:left="699" w:right="2439" w:hanging="403"/>
        <w:spacing w:after="0" w:line="253" w:lineRule="auto"/>
        <w:tabs>
          <w:tab w:leader="none" w:pos="69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amortization over a term of 20 years of the $32.0 million payment paid by the Company to Monsanto in connection with the marketing rights under the Roundup Marketing Agreement.</w:t>
      </w:r>
    </w:p>
    <w:p>
      <w:pPr>
        <w:spacing w:after="0" w:line="185" w:lineRule="exact"/>
        <w:rPr>
          <w:rFonts w:ascii="Courier New" w:cs="Courier New" w:eastAsia="Courier New" w:hAnsi="Courier New"/>
          <w:sz w:val="16"/>
          <w:szCs w:val="16"/>
          <w:color w:val="auto"/>
        </w:rPr>
      </w:pPr>
    </w:p>
    <w:p>
      <w:pPr>
        <w:ind w:left="699" w:right="2439" w:hanging="502"/>
        <w:spacing w:after="0" w:line="251" w:lineRule="auto"/>
        <w:tabs>
          <w:tab w:leader="none" w:pos="69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adjustment to interest expense as a result of the anticipated bank borrowings under the New Credit Facility and a private placement of $330 million aggregate principal amount of the Registrant's</w:t>
      </w:r>
    </w:p>
    <w:p>
      <w:pPr>
        <w:ind w:left="6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8.625% Senior Subordinated Notes calculated as follows:</w:t>
      </w:r>
    </w:p>
    <w:p>
      <w:pPr>
        <w:spacing w:after="0" w:line="200" w:lineRule="exact"/>
        <w:rPr>
          <w:sz w:val="20"/>
          <w:szCs w:val="20"/>
          <w:color w:val="auto"/>
        </w:rPr>
      </w:pPr>
    </w:p>
    <w:p>
      <w:pPr>
        <w:spacing w:after="0" w:line="377" w:lineRule="exact"/>
        <w:rPr>
          <w:sz w:val="20"/>
          <w:szCs w:val="20"/>
          <w:color w:val="auto"/>
        </w:rPr>
      </w:pPr>
    </w:p>
    <w:tbl>
      <w:tblPr>
        <w:tblLayout w:type="fixed"/>
        <w:tblInd w:w="199" w:type="dxa"/>
        <w:tblCellMar>
          <w:top w:w="0" w:type="dxa"/>
          <w:left w:w="0" w:type="dxa"/>
          <w:bottom w:w="0" w:type="dxa"/>
          <w:right w:w="0" w:type="dxa"/>
        </w:tblCellMar>
      </w:tblPr>
      <w:tr>
        <w:trPr>
          <w:trHeight w:val="185"/>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Revolving Credit Facility(a)....................</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Pound Sterling Term Loan(b).....................</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French Franc Term Loan(c).......................</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Deutschemark Term Loan(d).......................</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Tranche B Term Loan(e)..........................</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Tranche C Term Loan(f)..........................</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Notes offered hereby(g).........................</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28.5</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RPJ Seller Notes(h).............................</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Amortization of rate locks(i)...................</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Amortization of deferred financing costs(j).....</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Interest on remaining indebtedness..............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49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Pro forma interest expense...................</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86.3</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Less interest on refinanced indebtedness........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Less interest on remaining indebtedness.........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49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Net adjustment...............................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53.9</w:t>
            </w:r>
          </w:p>
        </w:tc>
      </w:tr>
    </w:tbl>
    <w:p>
      <w:pPr>
        <w:spacing w:after="0" w:line="384" w:lineRule="exact"/>
        <w:rPr>
          <w:sz w:val="20"/>
          <w:szCs w:val="20"/>
          <w:color w:val="auto"/>
        </w:rPr>
      </w:pPr>
    </w:p>
    <w:p>
      <w:pPr>
        <w:ind w:left="199" w:hanging="199"/>
        <w:spacing w:after="0"/>
        <w:tabs>
          <w:tab w:leader="none" w:pos="19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879" w:right="233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Revolving Credit Facility using an assumed average interest rate of 7.69%.</w:t>
      </w:r>
    </w:p>
    <w:p>
      <w:pPr>
        <w:spacing w:after="0" w:line="183" w:lineRule="exact"/>
        <w:rPr>
          <w:rFonts w:ascii="Courier New" w:cs="Courier New" w:eastAsia="Courier New" w:hAnsi="Courier New"/>
          <w:sz w:val="16"/>
          <w:szCs w:val="16"/>
          <w:color w:val="auto"/>
        </w:rPr>
      </w:pPr>
    </w:p>
    <w:p>
      <w:pPr>
        <w:ind w:left="879" w:right="243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Pound Sterling Term Loan using an assumed interest rate of 9.10%.</w:t>
      </w:r>
    </w:p>
    <w:p>
      <w:pPr>
        <w:spacing w:after="0" w:line="183" w:lineRule="exact"/>
        <w:rPr>
          <w:rFonts w:ascii="Courier New" w:cs="Courier New" w:eastAsia="Courier New" w:hAnsi="Courier New"/>
          <w:sz w:val="16"/>
          <w:szCs w:val="16"/>
          <w:color w:val="auto"/>
        </w:rPr>
      </w:pPr>
    </w:p>
    <w:p>
      <w:pPr>
        <w:ind w:left="879" w:right="26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French Franc Term Loan using an assumed interest rate of 6.06%.</w:t>
      </w:r>
    </w:p>
    <w:p>
      <w:pPr>
        <w:spacing w:after="0" w:line="183" w:lineRule="exact"/>
        <w:rPr>
          <w:rFonts w:ascii="Courier New" w:cs="Courier New" w:eastAsia="Courier New" w:hAnsi="Courier New"/>
          <w:sz w:val="16"/>
          <w:szCs w:val="16"/>
          <w:color w:val="auto"/>
        </w:rPr>
      </w:pPr>
    </w:p>
    <w:p>
      <w:pPr>
        <w:ind w:left="879" w:right="26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Deutschemark Term Loan using an assumed interest rate of 5.98%.</w:t>
      </w:r>
    </w:p>
    <w:p>
      <w:pPr>
        <w:spacing w:after="0" w:line="183" w:lineRule="exact"/>
        <w:rPr>
          <w:rFonts w:ascii="Courier New" w:cs="Courier New" w:eastAsia="Courier New" w:hAnsi="Courier New"/>
          <w:sz w:val="16"/>
          <w:szCs w:val="16"/>
          <w:color w:val="auto"/>
        </w:rPr>
      </w:pPr>
    </w:p>
    <w:p>
      <w:pPr>
        <w:ind w:left="879" w:right="29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Tranche B Term Loan using an assumed interest rate of 8.53%.</w:t>
      </w:r>
    </w:p>
    <w:p>
      <w:pPr>
        <w:spacing w:after="0" w:line="183" w:lineRule="exact"/>
        <w:rPr>
          <w:rFonts w:ascii="Courier New" w:cs="Courier New" w:eastAsia="Courier New" w:hAnsi="Courier New"/>
          <w:sz w:val="16"/>
          <w:szCs w:val="16"/>
          <w:color w:val="auto"/>
        </w:rPr>
      </w:pPr>
    </w:p>
    <w:p>
      <w:pPr>
        <w:ind w:left="879" w:right="29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floating rate Tranche C Term Loan using an assumed interest rate of 8.78%.</w:t>
      </w:r>
    </w:p>
    <w:p>
      <w:pPr>
        <w:spacing w:after="0" w:line="183" w:lineRule="exact"/>
        <w:rPr>
          <w:rFonts w:ascii="Courier New" w:cs="Courier New" w:eastAsia="Courier New" w:hAnsi="Courier New"/>
          <w:sz w:val="16"/>
          <w:szCs w:val="16"/>
          <w:color w:val="auto"/>
        </w:rPr>
      </w:pPr>
    </w:p>
    <w:p>
      <w:pPr>
        <w:ind w:left="879" w:right="28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the $330.0 million fixed rate 8.625% Senior Subordinated Notes.</w:t>
      </w:r>
    </w:p>
    <w:p>
      <w:pPr>
        <w:spacing w:after="0" w:line="183" w:lineRule="exact"/>
        <w:rPr>
          <w:rFonts w:ascii="Courier New" w:cs="Courier New" w:eastAsia="Courier New" w:hAnsi="Courier New"/>
          <w:sz w:val="16"/>
          <w:szCs w:val="16"/>
          <w:color w:val="auto"/>
        </w:rPr>
      </w:pPr>
    </w:p>
    <w:p>
      <w:pPr>
        <w:ind w:left="879" w:right="233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on amounts due the seller of the RPJ business using an assumed interest rate of 6.00%.</w:t>
      </w:r>
    </w:p>
    <w:p>
      <w:pPr>
        <w:spacing w:after="0" w:line="183" w:lineRule="exact"/>
        <w:rPr>
          <w:rFonts w:ascii="Courier New" w:cs="Courier New" w:eastAsia="Courier New" w:hAnsi="Courier New"/>
          <w:sz w:val="16"/>
          <w:szCs w:val="16"/>
          <w:color w:val="auto"/>
        </w:rPr>
      </w:pPr>
    </w:p>
    <w:p>
      <w:pPr>
        <w:ind w:left="879" w:right="25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amortization of amounts deferred under treasury rate locks over a period of 10 years.</w:t>
      </w:r>
    </w:p>
    <w:p>
      <w:pPr>
        <w:spacing w:after="0" w:line="183" w:lineRule="exact"/>
        <w:rPr>
          <w:rFonts w:ascii="Courier New" w:cs="Courier New" w:eastAsia="Courier New" w:hAnsi="Courier New"/>
          <w:sz w:val="16"/>
          <w:szCs w:val="16"/>
          <w:color w:val="auto"/>
        </w:rPr>
      </w:pPr>
    </w:p>
    <w:p>
      <w:pPr>
        <w:ind w:left="879" w:right="2619" w:hanging="386"/>
        <w:spacing w:after="0" w:line="255" w:lineRule="auto"/>
        <w:tabs>
          <w:tab w:leader="none" w:pos="87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amortization of deferred financing costs over a period of 8.1 years.</w:t>
      </w:r>
    </w:p>
    <w:p>
      <w:pPr>
        <w:sectPr>
          <w:pgSz w:w="11900" w:h="16838" w:orient="portrait"/>
          <w:cols w:equalWidth="0" w:num="1">
            <w:col w:w="10218"/>
          </w:cols>
          <w:pgMar w:left="241" w:top="306" w:right="1440" w:bottom="1440" w:gutter="0" w:footer="0" w:header="0"/>
        </w:sectPr>
      </w:pPr>
    </w:p>
    <w:p>
      <w:pPr>
        <w:spacing w:after="0" w:line="184"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8"/>
          </w:cols>
          <w:pgMar w:left="241" w:top="306"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An increase or decrease of 0.125% in the assumed interest rate would change the pro forma interest expense on floating rate debt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20"/>
                <w:szCs w:val="20"/>
                <w:color w:val="auto"/>
              </w:rPr>
            </w:pPr>
            <w:r>
              <w:rPr>
                <w:rFonts w:ascii="Courier New" w:cs="Courier New" w:eastAsia="Courier New" w:hAnsi="Courier New"/>
                <w:sz w:val="16"/>
                <w:szCs w:val="16"/>
                <w:color w:val="auto"/>
              </w:rPr>
              <w:t>Revolving Credit Facility...................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Pound Sterling Term Loan....................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French Franc Term Loan......................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Deutschemark Term Loan......................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Tranche B Term Loan.........................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Tranche C Term Loan.........................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90"/>
        </w:trPr>
        <w:tc>
          <w:tcPr>
            <w:tcW w:w="4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$0.8</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500" w:right="2439" w:hanging="499"/>
        <w:spacing w:after="0" w:line="253" w:lineRule="auto"/>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an estimated provision for income taxes on a combined pro forma basis using the effective tax rate for the Registrant on a stand-alone basis for fiscal 1998 of 40.3%.</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6"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17</w:t>
      </w:r>
    </w:p>
    <w:p>
      <w:pPr>
        <w:spacing w:after="0" w:line="19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UNAUDITED PRO FORMA COMBINED</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BALANCE SHEET</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00" w:type="dxa"/>
            <w:vAlign w:val="bottom"/>
            <w:gridSpan w:val="4"/>
          </w:tcPr>
          <w:p>
            <w:pPr>
              <w:jc w:val="right"/>
              <w:ind w:right="418"/>
              <w:spacing w:after="0"/>
              <w:rPr>
                <w:sz w:val="20"/>
                <w:szCs w:val="20"/>
                <w:color w:val="auto"/>
              </w:rPr>
            </w:pPr>
            <w:r>
              <w:rPr>
                <w:rFonts w:ascii="Courier New" w:cs="Courier New" w:eastAsia="Courier New" w:hAnsi="Courier New"/>
                <w:sz w:val="16"/>
                <w:szCs w:val="16"/>
                <w:color w:val="auto"/>
              </w:rPr>
              <w:t>AS OF SEPTEMBER 30, 1998</w:t>
            </w: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81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SCOTTS</w:t>
            </w:r>
          </w:p>
        </w:tc>
        <w:tc>
          <w:tcPr>
            <w:tcW w:w="900" w:type="dxa"/>
            <w:vAlign w:val="bottom"/>
          </w:tcPr>
          <w:p>
            <w:pPr>
              <w:spacing w:after="0"/>
              <w:rPr>
                <w:sz w:val="16"/>
                <w:szCs w:val="16"/>
                <w:color w:val="auto"/>
              </w:rPr>
            </w:pP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RPJ</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ORTHO</w:t>
            </w:r>
          </w:p>
        </w:tc>
        <w:tc>
          <w:tcPr>
            <w:tcW w:w="14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SCOTTS</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HISTORICAL</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RPJ(1)</w:t>
            </w:r>
          </w:p>
        </w:tc>
        <w:tc>
          <w:tcPr>
            <w:tcW w:w="14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ADJUSTMENTS</w:t>
            </w:r>
          </w:p>
        </w:tc>
        <w:tc>
          <w:tcPr>
            <w:tcW w:w="7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ORTHO</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ADJUSTMENTS</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ADJUSTMENTS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10.6</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$ 10.1</w:t>
            </w:r>
          </w:p>
        </w:tc>
        <w:tc>
          <w:tcPr>
            <w:tcW w:w="14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20.7</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146.6</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16.9</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42.3</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(26.0)(2)</w:t>
            </w: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179.8</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177.7</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29.6</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68.8</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5.1(3)</w:t>
            </w: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297.0</w:t>
            </w:r>
          </w:p>
        </w:tc>
      </w:tr>
      <w:tr>
        <w:trPr>
          <w:trHeight w:val="190"/>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15.8(2)</w:t>
            </w: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32.3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10.1</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43.7</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current assets.......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367.2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66.7</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9"/>
              </w:rPr>
              <w:t>112.4</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541.2</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197.0</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4.4</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27.6</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229.0</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Goodwill and other intangibles,</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435.1</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82.2</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121.0(4)</w:t>
            </w: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9"/>
              </w:rPr>
              <w:t>166.7</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27.3(5)</w:t>
            </w: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832.3</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assets...................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35.9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2.2</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5.1</w:t>
            </w:r>
          </w:p>
        </w:tc>
        <w:tc>
          <w:tcPr>
            <w:tcW w:w="144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26.0(6)</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82.2</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13.0(7)</w:t>
            </w: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assets...............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1,035.2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155.5</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9"/>
              </w:rPr>
              <w:t>311.8</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1,684.7</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2198"/>
              <w:spacing w:after="0"/>
              <w:rPr>
                <w:sz w:val="20"/>
                <w:szCs w:val="20"/>
                <w:color w:val="auto"/>
              </w:rPr>
            </w:pPr>
            <w:r>
              <w:rPr>
                <w:rFonts w:ascii="Courier New" w:cs="Courier New" w:eastAsia="Courier New" w:hAnsi="Courier New"/>
                <w:sz w:val="16"/>
                <w:szCs w:val="16"/>
                <w:color w:val="auto"/>
              </w:rPr>
              <w:t>EQUITY:</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Current portion of long-term</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debt.........................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15.8</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Accounts payable...............</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77.8</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22.6</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114.6</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Accrued liabilities............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140.8</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12.0</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20.0</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129.1</w:t>
            </w:r>
          </w:p>
        </w:tc>
      </w:tr>
      <w:tr>
        <w:trPr>
          <w:trHeight w:val="190"/>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(32.0)(8)</w:t>
            </w:r>
          </w:p>
        </w:tc>
        <w:tc>
          <w:tcPr>
            <w:tcW w:w="940" w:type="dxa"/>
            <w:vAlign w:val="bottom"/>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ind w:left="400"/>
              <w:spacing w:after="0"/>
              <w:rPr>
                <w:sz w:val="20"/>
                <w:szCs w:val="20"/>
                <w:color w:val="auto"/>
              </w:rPr>
            </w:pPr>
            <w:r>
              <w:rPr>
                <w:rFonts w:ascii="Courier New" w:cs="Courier New" w:eastAsia="Courier New" w:hAnsi="Courier New"/>
                <w:sz w:val="16"/>
                <w:szCs w:val="16"/>
                <w:color w:val="auto"/>
              </w:rPr>
              <w:t>Total current</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liabilities..............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231.9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37.1</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259.5</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Long-term debt, net of current</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portion......................</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359.2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(350.1)(8)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968.6</w:t>
            </w:r>
          </w:p>
        </w:tc>
      </w:tr>
      <w:tr>
        <w:trPr>
          <w:trHeight w:val="190"/>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959.5(8)</w:t>
            </w: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long-term liabilities....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23.1</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63.3</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liabilities..........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631.3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60.2</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1,291.4</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Preferred stock................</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177.3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177.3</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Common shares..................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Capital in excess of par.......</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208.7</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208.7</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Retained earnings..............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76.6</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66.0</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Divisional equity..............</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87.4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(87.4)(9)</w:t>
            </w: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Cumulative foreign currency</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translation account..........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(3.0)</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(7.9)(9)</w:t>
            </w: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Treasury stock.................</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(55.9)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(55.9)</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assets to be sold..........</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9"/>
              </w:rPr>
              <w:t>277.6</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(277.6)(9)</w:t>
            </w: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equity...............</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403.9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95.3</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9"/>
              </w:rPr>
              <w:t>277.6</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393.3</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160" w:type="dxa"/>
            <w:vAlign w:val="bottom"/>
          </w:tcPr>
          <w:p>
            <w:pPr>
              <w:ind w:left="400"/>
              <w:spacing w:after="0"/>
              <w:rPr>
                <w:sz w:val="20"/>
                <w:szCs w:val="20"/>
                <w:color w:val="auto"/>
              </w:rPr>
            </w:pPr>
            <w:r>
              <w:rPr>
                <w:rFonts w:ascii="Courier New" w:cs="Courier New" w:eastAsia="Courier New" w:hAnsi="Courier New"/>
                <w:sz w:val="16"/>
                <w:szCs w:val="16"/>
                <w:color w:val="auto"/>
              </w:rPr>
              <w:t>Total liabilities and</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equity...................</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$1,035.2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$155.5</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$311.8</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$1,684.7</w:t>
            </w:r>
          </w:p>
        </w:tc>
      </w:tr>
      <w:tr>
        <w:trPr>
          <w:trHeight w:val="190"/>
        </w:trPr>
        <w:tc>
          <w:tcPr>
            <w:tcW w:w="31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7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3160" w:type="dxa"/>
            <w:vAlign w:val="bottom"/>
          </w:tcPr>
          <w:p>
            <w:pPr>
              <w:spacing w:after="0"/>
              <w:rPr>
                <w:sz w:val="24"/>
                <w:szCs w:val="24"/>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40"/>
          </w:cols>
          <w:pgMar w:left="240" w:top="306" w:right="319"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18</w:t>
      </w:r>
    </w:p>
    <w:p>
      <w:pPr>
        <w:spacing w:after="0" w:line="198" w:lineRule="exact"/>
        <w:rPr>
          <w:sz w:val="20"/>
          <w:szCs w:val="20"/>
          <w:color w:val="auto"/>
        </w:rPr>
      </w:pPr>
    </w:p>
    <w:p>
      <w:pPr>
        <w:ind w:left="400" w:right="2339" w:hanging="399"/>
        <w:spacing w:after="0" w:line="252"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sheet data for RPJ as of September 30, 1998 have been translated from French Francs to U.S. Dollars. Assets and liabilities were translated using the exchange rate as of September 30, 1998. Equity accounts have been translated using historical exchange rates.</w:t>
      </w:r>
    </w:p>
    <w:p>
      <w:pPr>
        <w:spacing w:after="0" w:line="186" w:lineRule="exact"/>
        <w:rPr>
          <w:rFonts w:ascii="Courier New" w:cs="Courier New" w:eastAsia="Courier New" w:hAnsi="Courier New"/>
          <w:sz w:val="16"/>
          <w:szCs w:val="16"/>
          <w:color w:val="auto"/>
        </w:rPr>
      </w:pPr>
    </w:p>
    <w:p>
      <w:pPr>
        <w:ind w:left="400" w:right="2339" w:hanging="399"/>
        <w:spacing w:after="0" w:line="252"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adjustment to restate inventory and eliminate accounts receivable for the estimated impact of the Registrant's anticipated revenue recognition policy as described in note 3 to "-- Unaudited Selected Pro Forma Combined Statement of Income."</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Ortho</w:t>
            </w:r>
          </w:p>
        </w:tc>
        <w:tc>
          <w:tcPr>
            <w:tcW w:w="5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shipments included in accounts receivable.............</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$26.0</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Gross</w:t>
            </w:r>
          </w:p>
        </w:tc>
        <w:tc>
          <w:tcPr>
            <w:tcW w:w="5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profit margin as a % of sales for the Ortho business</w:t>
            </w:r>
          </w:p>
        </w:tc>
        <w:tc>
          <w:tcPr>
            <w:tcW w:w="980" w:type="dxa"/>
            <w:vAlign w:val="bottom"/>
          </w:tcPr>
          <w:p>
            <w:pPr>
              <w:spacing w:after="0"/>
              <w:rPr>
                <w:sz w:val="16"/>
                <w:szCs w:val="16"/>
                <w:color w:val="auto"/>
              </w:rPr>
            </w:pP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fiscal 1998</w:t>
            </w:r>
          </w:p>
        </w:tc>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39.1%</w:t>
            </w:r>
          </w:p>
        </w:tc>
      </w:tr>
      <w:tr>
        <w:trPr>
          <w:trHeight w:val="190"/>
        </w:trPr>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Gross</w:t>
            </w:r>
          </w:p>
        </w:tc>
        <w:tc>
          <w:tcPr>
            <w:tcW w:w="5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profit on shipments that would not be recognized under</w:t>
            </w:r>
          </w:p>
        </w:tc>
        <w:tc>
          <w:tcPr>
            <w:tcW w:w="980" w:type="dxa"/>
            <w:vAlign w:val="bottom"/>
          </w:tcPr>
          <w:p>
            <w:pPr>
              <w:spacing w:after="0"/>
              <w:rPr>
                <w:sz w:val="16"/>
                <w:szCs w:val="16"/>
                <w:color w:val="auto"/>
              </w:rPr>
            </w:pP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anticipated</w:t>
            </w:r>
          </w:p>
        </w:tc>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revenue recognition policy................</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10.2(a)</w:t>
            </w:r>
          </w:p>
        </w:tc>
      </w:tr>
      <w:tr>
        <w:trPr>
          <w:trHeight w:val="190"/>
        </w:trPr>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Amount reinstated</w:t>
            </w:r>
          </w:p>
        </w:tc>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 inventory..............................</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$15.8</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p>
      <w:pPr>
        <w:ind w:left="400" w:right="2339" w:hanging="399"/>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effect of the gross profit that would not be recognized under the Registrant's anticipated revenue recognition policy is reflected as a reduction of the Registrant's current income tax liability using an assumed tax rate of 40.3%. The remaining amount, net of the tax effect, is reflected as a reduction of retained earnings.</w:t>
      </w:r>
    </w:p>
    <w:p>
      <w:pPr>
        <w:spacing w:after="0" w:line="376" w:lineRule="exact"/>
        <w:rPr>
          <w:sz w:val="20"/>
          <w:szCs w:val="20"/>
          <w:color w:val="auto"/>
        </w:rPr>
      </w:pPr>
    </w:p>
    <w:p>
      <w:pPr>
        <w:ind w:left="400" w:right="2339" w:hanging="399"/>
        <w:spacing w:after="0" w:line="253"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adjustment to convert LIFO basis inventory in historical Ortho financial statements to the FIFO basis which management anticipates adopting for Ortho inventory upon acquisition.</w:t>
      </w:r>
    </w:p>
    <w:p>
      <w:pPr>
        <w:spacing w:after="0" w:line="185" w:lineRule="exact"/>
        <w:rPr>
          <w:rFonts w:ascii="Courier New" w:cs="Courier New" w:eastAsia="Courier New" w:hAnsi="Courier New"/>
          <w:sz w:val="16"/>
          <w:szCs w:val="16"/>
          <w:color w:val="auto"/>
        </w:rPr>
      </w:pPr>
    </w:p>
    <w:p>
      <w:pPr>
        <w:ind w:left="400" w:right="2339" w:hanging="399"/>
        <w:spacing w:after="0" w:line="255"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net adjustment to goodwill and other intangibles as a result of the RPJ Acquisition as follows:</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amount of purchase price allocated to goodwill and other</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intangibles (see note 7 to " --</w:t>
            </w:r>
          </w:p>
        </w:tc>
        <w:tc>
          <w:tcPr>
            <w:tcW w:w="27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Unaudited Selected Pro</w:t>
            </w:r>
          </w:p>
        </w:tc>
        <w:tc>
          <w:tcPr>
            <w:tcW w:w="800" w:type="dxa"/>
            <w:vAlign w:val="bottom"/>
          </w:tcPr>
          <w:p>
            <w:pPr>
              <w:spacing w:after="0"/>
              <w:rPr>
                <w:sz w:val="16"/>
                <w:szCs w:val="16"/>
                <w:color w:val="auto"/>
              </w:rPr>
            </w:pP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Forma Combined Statement of 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$203.2</w:t>
            </w:r>
          </w:p>
        </w:tc>
      </w:tr>
      <w:tr>
        <w:trPr>
          <w:trHeight w:val="190"/>
        </w:trPr>
        <w:tc>
          <w:tcPr>
            <w:tcW w:w="61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Goodwill and other intangibles included in historical RPJ</w:t>
            </w:r>
          </w:p>
        </w:tc>
        <w:tc>
          <w:tcPr>
            <w:tcW w:w="800" w:type="dxa"/>
            <w:vAlign w:val="bottom"/>
          </w:tcPr>
          <w:p>
            <w:pPr>
              <w:spacing w:after="0"/>
              <w:rPr>
                <w:sz w:val="16"/>
                <w:szCs w:val="16"/>
                <w:color w:val="auto"/>
              </w:rPr>
            </w:pP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balance sheet.............................................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82.2</w:t>
            </w:r>
          </w:p>
        </w:tc>
      </w:tr>
      <w:tr>
        <w:trPr>
          <w:trHeight w:val="190"/>
        </w:trPr>
        <w:tc>
          <w:tcPr>
            <w:tcW w:w="3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Pro forma adjustment...................................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$121.0</w:t>
            </w:r>
          </w:p>
        </w:tc>
      </w:tr>
    </w:tbl>
    <w:p>
      <w:pPr>
        <w:spacing w:after="0" w:line="384" w:lineRule="exact"/>
        <w:rPr>
          <w:sz w:val="20"/>
          <w:szCs w:val="20"/>
          <w:color w:val="auto"/>
        </w:rPr>
      </w:pPr>
    </w:p>
    <w:p>
      <w:pPr>
        <w:ind w:left="400" w:right="2339" w:hanging="399"/>
        <w:spacing w:after="0" w:line="255"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net adjustment to goodwill and other intangibles as a result of the Ortho Acquisition as follows:</w:t>
      </w:r>
    </w:p>
    <w:p>
      <w:pPr>
        <w:spacing w:after="0" w:line="200" w:lineRule="exact"/>
        <w:rPr>
          <w:sz w:val="20"/>
          <w:szCs w:val="20"/>
          <w:color w:val="auto"/>
        </w:rPr>
      </w:pPr>
    </w:p>
    <w:p>
      <w:pPr>
        <w:spacing w:after="0" w:line="36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Net amount of purchase price allocated to goodwill and other</w:t>
            </w:r>
          </w:p>
        </w:tc>
        <w:tc>
          <w:tcPr>
            <w:tcW w:w="800" w:type="dxa"/>
            <w:vAlign w:val="bottom"/>
          </w:tcPr>
          <w:p>
            <w:pPr>
              <w:spacing w:after="0"/>
              <w:rPr>
                <w:sz w:val="16"/>
                <w:szCs w:val="16"/>
                <w:color w:val="auto"/>
              </w:rPr>
            </w:pPr>
          </w:p>
        </w:tc>
      </w:tr>
      <w:tr>
        <w:trPr>
          <w:trHeight w:val="19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intangibles (see note 8 to " --</w:t>
            </w:r>
          </w:p>
        </w:tc>
        <w:tc>
          <w:tcPr>
            <w:tcW w:w="27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Unaudited Selected Pro</w:t>
            </w:r>
          </w:p>
        </w:tc>
        <w:tc>
          <w:tcPr>
            <w:tcW w:w="800" w:type="dxa"/>
            <w:vAlign w:val="bottom"/>
          </w:tcPr>
          <w:p>
            <w:pPr>
              <w:spacing w:after="0"/>
              <w:rPr>
                <w:sz w:val="16"/>
                <w:szCs w:val="16"/>
                <w:color w:val="auto"/>
              </w:rPr>
            </w:pP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Forma Combined Statement of 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$194.0</w:t>
            </w:r>
          </w:p>
        </w:tc>
      </w:tr>
      <w:tr>
        <w:trPr>
          <w:trHeight w:val="190"/>
        </w:trPr>
        <w:tc>
          <w:tcPr>
            <w:tcW w:w="610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Goodwill and other intangibles included in historical Ortho</w:t>
            </w:r>
          </w:p>
        </w:tc>
        <w:tc>
          <w:tcPr>
            <w:tcW w:w="800" w:type="dxa"/>
            <w:vAlign w:val="bottom"/>
          </w:tcPr>
          <w:p>
            <w:pPr>
              <w:spacing w:after="0"/>
              <w:rPr>
                <w:sz w:val="16"/>
                <w:szCs w:val="16"/>
                <w:color w:val="auto"/>
              </w:rPr>
            </w:pP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balance sheet.............................................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166.7</w:t>
            </w:r>
          </w:p>
        </w:tc>
      </w:tr>
      <w:tr>
        <w:trPr>
          <w:trHeight w:val="190"/>
        </w:trPr>
        <w:tc>
          <w:tcPr>
            <w:tcW w:w="3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Pro forma adjustment...................................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$ 27.3</w:t>
            </w:r>
          </w:p>
        </w:tc>
      </w:tr>
    </w:tbl>
    <w:p>
      <w:pPr>
        <w:spacing w:after="0" w:line="384" w:lineRule="exact"/>
        <w:rPr>
          <w:sz w:val="20"/>
          <w:szCs w:val="20"/>
          <w:color w:val="auto"/>
        </w:rPr>
      </w:pPr>
    </w:p>
    <w:p>
      <w:pPr>
        <w:ind w:left="400" w:right="2919" w:hanging="399"/>
        <w:spacing w:after="0" w:line="255"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estimated transaction costs related to the anticipated bank borrowings under the New Credit Facility and this offering.</w:t>
      </w:r>
    </w:p>
    <w:p>
      <w:pPr>
        <w:spacing w:after="0" w:line="183" w:lineRule="exact"/>
        <w:rPr>
          <w:rFonts w:ascii="Courier New" w:cs="Courier New" w:eastAsia="Courier New" w:hAnsi="Courier New"/>
          <w:sz w:val="16"/>
          <w:szCs w:val="16"/>
          <w:color w:val="auto"/>
        </w:rPr>
      </w:pPr>
    </w:p>
    <w:p>
      <w:pPr>
        <w:ind w:left="400" w:right="2519" w:hanging="399"/>
        <w:spacing w:after="0" w:line="255"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estimated amounts to settle treasury rate locks entered into in anticipation of this offering.</w:t>
      </w:r>
    </w:p>
    <w:p>
      <w:pPr>
        <w:sectPr>
          <w:pgSz w:w="11900" w:h="16838" w:orient="portrait"/>
          <w:cols w:equalWidth="0" w:num="1">
            <w:col w:w="10219"/>
          </w:cols>
          <w:pgMar w:left="240" w:top="306" w:right="1440" w:bottom="1440" w:gutter="0" w:footer="0" w:header="0"/>
        </w:sectPr>
      </w:pP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6" w:right="1440" w:bottom="1440" w:gutter="0" w:footer="0" w:header="0"/>
          <w:type w:val="continuous"/>
        </w:sectPr>
      </w:pPr>
    </w:p>
    <w:bookmarkStart w:id="21" w:name="page22"/>
    <w:bookmarkEnd w:id="21"/>
    <w:p>
      <w:pPr>
        <w:ind w:left="299"/>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ind w:left="399" w:right="2619" w:hanging="399"/>
        <w:spacing w:after="0" w:line="255" w:lineRule="auto"/>
        <w:tabs>
          <w:tab w:leader="none" w:pos="39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summarizes the sources and uses of cash in connection with the Transactions, the New Credit Facility and this offering:</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3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Sources:</w:t>
      </w:r>
    </w:p>
    <w:p>
      <w:pPr>
        <w:spacing w:after="0" w:line="8" w:lineRule="exact"/>
        <w:rPr>
          <w:sz w:val="20"/>
          <w:szCs w:val="20"/>
          <w:color w:val="auto"/>
        </w:rPr>
      </w:pPr>
    </w:p>
    <w:tbl>
      <w:tblPr>
        <w:tblLayout w:type="fixed"/>
        <w:tblInd w:w="399" w:type="dxa"/>
        <w:tblCellMar>
          <w:top w:w="0" w:type="dxa"/>
          <w:left w:w="0" w:type="dxa"/>
          <w:bottom w:w="0" w:type="dxa"/>
          <w:right w:w="0" w:type="dxa"/>
        </w:tblCellMar>
      </w:tblPr>
      <w:tr>
        <w:trPr>
          <w:trHeight w:val="185"/>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New Credit Facility:</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Revolving Credit Facility..............................</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68.9</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Pound Sterling Term Loan...............................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130.0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French Franc Term Loan.................................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Deutschemark Term Loan.................................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55.0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Tranche B Term Loan....................................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Tranche C Term Loan....................................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RPJ Seller Notes.......................................</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8.625% Senior Subordinated Notes.......................</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330.0</w:t>
            </w:r>
          </w:p>
        </w:tc>
      </w:tr>
      <w:tr>
        <w:trPr>
          <w:trHeight w:val="190"/>
        </w:trPr>
        <w:tc>
          <w:tcPr>
            <w:tcW w:w="6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Total sources........................................</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959.5</w:t>
            </w:r>
          </w:p>
        </w:tc>
      </w:tr>
      <w:tr>
        <w:trPr>
          <w:trHeight w:val="190"/>
        </w:trPr>
        <w:tc>
          <w:tcPr>
            <w:tcW w:w="6100" w:type="dxa"/>
            <w:vAlign w:val="bottom"/>
          </w:tcPr>
          <w:p>
            <w:pPr>
              <w:jc w:val="right"/>
              <w:ind w:right="5538"/>
              <w:spacing w:after="0"/>
              <w:rPr>
                <w:sz w:val="20"/>
                <w:szCs w:val="20"/>
                <w:color w:val="auto"/>
              </w:rPr>
            </w:pPr>
            <w:r>
              <w:rPr>
                <w:rFonts w:ascii="Courier New" w:cs="Courier New" w:eastAsia="Courier New" w:hAnsi="Courier New"/>
                <w:sz w:val="16"/>
                <w:szCs w:val="16"/>
                <w:color w:val="auto"/>
                <w:w w:val="95"/>
              </w:rPr>
              <w:t>Uses: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Ortho Acquisition (a).....................................</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RPJ Acquisition...........................................</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209.0</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Roundup Marketing Fee.....................................</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32.0</w:t>
            </w:r>
          </w:p>
        </w:tc>
      </w:tr>
      <w:tr>
        <w:trPr>
          <w:trHeight w:val="19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Repayment of existing indebtedness: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Old Credit Facility....................................</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253.5</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9 7/8% Senior Subordinated Notes (b)...................</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108.7</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Transaction costs (c).....................................</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56.3</w:t>
            </w:r>
          </w:p>
        </w:tc>
      </w:tr>
      <w:tr>
        <w:trPr>
          <w:trHeight w:val="190"/>
        </w:trPr>
        <w:tc>
          <w:tcPr>
            <w:tcW w:w="6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1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Total uses...........................................</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959.5</w:t>
            </w:r>
          </w:p>
        </w:tc>
      </w:tr>
    </w:tbl>
    <w:p>
      <w:pPr>
        <w:spacing w:after="0" w:line="384" w:lineRule="exact"/>
        <w:rPr>
          <w:sz w:val="20"/>
          <w:szCs w:val="20"/>
          <w:color w:val="auto"/>
        </w:rPr>
      </w:pPr>
    </w:p>
    <w:p>
      <w:pPr>
        <w:ind w:left="199" w:hanging="199"/>
        <w:spacing w:after="0"/>
        <w:tabs>
          <w:tab w:leader="none" w:pos="19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879" w:hanging="386"/>
        <w:spacing w:after="0"/>
        <w:tabs>
          <w:tab w:leader="none" w:pos="87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any adjustment for the level of normalized working capital as</w:t>
      </w:r>
    </w:p>
    <w:p>
      <w:pPr>
        <w:spacing w:after="0" w:line="8" w:lineRule="exact"/>
        <w:rPr>
          <w:sz w:val="20"/>
          <w:szCs w:val="20"/>
          <w:color w:val="auto"/>
        </w:rPr>
      </w:pPr>
    </w:p>
    <w:p>
      <w:pPr>
        <w:ind w:left="879"/>
        <w:spacing w:after="0"/>
        <w:rPr>
          <w:sz w:val="20"/>
          <w:szCs w:val="20"/>
          <w:color w:val="auto"/>
        </w:rPr>
      </w:pPr>
      <w:r>
        <w:rPr>
          <w:rFonts w:ascii="Courier New" w:cs="Courier New" w:eastAsia="Courier New" w:hAnsi="Courier New"/>
          <w:sz w:val="16"/>
          <w:szCs w:val="16"/>
          <w:color w:val="auto"/>
        </w:rPr>
        <w:t>of the closing date of the Ortho Acquisition. See "The</w:t>
      </w:r>
    </w:p>
    <w:p>
      <w:pPr>
        <w:spacing w:after="0" w:line="8" w:lineRule="exact"/>
        <w:rPr>
          <w:sz w:val="20"/>
          <w:szCs w:val="20"/>
          <w:color w:val="auto"/>
        </w:rPr>
      </w:pPr>
    </w:p>
    <w:p>
      <w:pPr>
        <w:ind w:left="879" w:right="2519"/>
        <w:spacing w:after="0" w:line="255" w:lineRule="auto"/>
        <w:rPr>
          <w:sz w:val="20"/>
          <w:szCs w:val="20"/>
          <w:color w:val="auto"/>
        </w:rPr>
      </w:pPr>
      <w:r>
        <w:rPr>
          <w:rFonts w:ascii="Courier New" w:cs="Courier New" w:eastAsia="Courier New" w:hAnsi="Courier New"/>
          <w:sz w:val="16"/>
          <w:szCs w:val="16"/>
          <w:color w:val="auto"/>
        </w:rPr>
        <w:t>Transactions -- Ortho Acquisition" in the Registrant's Form 8-K dated January 7, 1999 and incorporated by reference herein.</w:t>
      </w:r>
    </w:p>
    <w:p>
      <w:pPr>
        <w:spacing w:after="0" w:line="184" w:lineRule="exact"/>
        <w:rPr>
          <w:sz w:val="20"/>
          <w:szCs w:val="20"/>
          <w:color w:val="auto"/>
        </w:rPr>
      </w:pPr>
    </w:p>
    <w:p>
      <w:pPr>
        <w:ind w:left="879" w:right="2339" w:hanging="386"/>
        <w:spacing w:after="0" w:line="251" w:lineRule="auto"/>
        <w:tabs>
          <w:tab w:leader="none" w:pos="87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redemption of 97.1% of the currently outstanding 9 7/8% Senior Subordinated Notes at a redemption premium of 107.258% and accrued interest of $4.5 million. The difference between the estimated amount to be paid to retire this portion of these notes and their carrying value ($96.6 million) represents an extraordinary loss on the retirement and is reflected as a reduction in retained earnings, net of tax. The estimated tax effect is reflected as a reduction in the Company's current income tax liability.</w:t>
      </w:r>
    </w:p>
    <w:p>
      <w:pPr>
        <w:spacing w:after="0" w:line="189" w:lineRule="exact"/>
        <w:rPr>
          <w:rFonts w:ascii="Courier New" w:cs="Courier New" w:eastAsia="Courier New" w:hAnsi="Courier New"/>
          <w:sz w:val="16"/>
          <w:szCs w:val="16"/>
          <w:color w:val="auto"/>
        </w:rPr>
      </w:pPr>
    </w:p>
    <w:p>
      <w:pPr>
        <w:ind w:left="879" w:right="2439" w:hanging="386"/>
        <w:spacing w:after="0" w:line="251" w:lineRule="auto"/>
        <w:tabs>
          <w:tab w:leader="none" w:pos="87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costs include costs to secure the New Credit Facility ($15 million), costs, including discounts and commissions, in connection with this offering ($11 million), costs to settle the outstanding treasury locks ($13.0 million), costs in connection with the Ortho Acquisition ($10 million) and costs in connection with the RPJ Acquisition ($7.3 million).</w:t>
      </w:r>
    </w:p>
    <w:p>
      <w:pPr>
        <w:spacing w:after="0" w:line="189" w:lineRule="exact"/>
        <w:rPr>
          <w:rFonts w:ascii="Courier New" w:cs="Courier New" w:eastAsia="Courier New" w:hAnsi="Courier New"/>
          <w:sz w:val="16"/>
          <w:szCs w:val="16"/>
          <w:color w:val="auto"/>
        </w:rPr>
      </w:pPr>
    </w:p>
    <w:p>
      <w:pPr>
        <w:ind w:left="399" w:right="3319" w:hanging="399"/>
        <w:spacing w:after="0" w:line="255" w:lineRule="auto"/>
        <w:tabs>
          <w:tab w:leader="none" w:pos="39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historical equity of the RPJ and Ortho businesses.</w:t>
      </w:r>
    </w:p>
    <w:p>
      <w:pPr>
        <w:spacing w:after="0" w:line="184"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8"/>
          </w:cols>
          <w:pgMar w:left="241" w:top="306"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20</w:t>
      </w: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INDEX TO EXHIBITS</w:t>
      </w:r>
    </w:p>
    <w:p>
      <w:pPr>
        <w:spacing w:after="0" w:line="38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8"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ind w:left="1980" w:hanging="1486"/>
        <w:spacing w:after="0" w:line="252" w:lineRule="auto"/>
        <w:tabs>
          <w:tab w:leader="none" w:pos="1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Purchase Agreement dated as of November 11, 1998, by and between The Scotts Company and Monsanto Company, a copy of which is attached to the Registrant's Form 10-K filed December 21, 1998 as Exhibit 2(d) and incorporated by reference herein.</w:t>
      </w:r>
    </w:p>
    <w:p>
      <w:pPr>
        <w:spacing w:after="0" w:line="186" w:lineRule="exact"/>
        <w:rPr>
          <w:sz w:val="20"/>
          <w:szCs w:val="20"/>
          <w:color w:val="auto"/>
        </w:rPr>
      </w:pPr>
    </w:p>
    <w:p>
      <w:pPr>
        <w:ind w:left="3840" w:right="2160" w:hanging="3445"/>
        <w:spacing w:after="0" w:line="757" w:lineRule="auto"/>
        <w:tabs>
          <w:tab w:leader="none" w:pos="196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issued January 21, 1999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2">
            <w:col w:w="7780" w:space="600"/>
            <w:col w:w="1839"/>
          </w:cols>
          <w:pgMar w:left="240" w:top="306"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ind w:left="6800"/>
        <w:spacing w:after="0"/>
        <w:rPr>
          <w:sz w:val="20"/>
          <w:szCs w:val="20"/>
          <w:color w:val="auto"/>
        </w:rPr>
      </w:pPr>
      <w:r>
        <w:rPr>
          <w:rFonts w:ascii="Courier New" w:cs="Courier New" w:eastAsia="Courier New" w:hAnsi="Courier New"/>
          <w:sz w:val="16"/>
          <w:szCs w:val="16"/>
          <w:color w:val="auto"/>
        </w:rPr>
        <w:t>Exhibit 99</w:t>
      </w:r>
    </w:p>
    <w:p>
      <w:pPr>
        <w:spacing w:after="0" w:line="8" w:lineRule="exact"/>
        <w:rPr>
          <w:sz w:val="20"/>
          <w:szCs w:val="20"/>
          <w:color w:val="auto"/>
        </w:rPr>
      </w:pPr>
    </w:p>
    <w:p>
      <w:pPr>
        <w:ind w:left="68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SCOTTS COMPLETES ORTHO(R) ACQUISITION</w:t>
      </w:r>
    </w:p>
    <w:p>
      <w:pPr>
        <w:spacing w:after="0" w:line="3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CLOSES $330 MILLION NOTE OFFERING</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Marysville, Ohio, January 21, 1999 -- The Scotts Company (NYSE:SMG) today announced that it has completed the acquisition of the assets of the non-Roundup(R) consumer lawn and garden business of Monsanto Company (NYSE:MTC), including its Ortho(R) product line, for approximately</w:t>
      </w:r>
    </w:p>
    <w:p>
      <w:pPr>
        <w:spacing w:after="0"/>
        <w:rPr>
          <w:sz w:val="20"/>
          <w:szCs w:val="20"/>
          <w:color w:val="auto"/>
        </w:rPr>
      </w:pPr>
      <w:r>
        <w:rPr>
          <w:rFonts w:ascii="Courier New" w:cs="Courier New" w:eastAsia="Courier New" w:hAnsi="Courier New"/>
          <w:sz w:val="16"/>
          <w:szCs w:val="16"/>
          <w:color w:val="auto"/>
        </w:rPr>
        <w:t>$300 million.</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The acquisition of assets also includes the Weed-B-Gon(R), Rose Pride(R), and Home Defense(R) product lines in the U.S.; Green Cross(R) the leading consumer pesticides business in Canada; Phostrogen(R) in the U.K.; and Defender(R) in Australia.</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"This acquisition essentially completes our plan to become a global leader in every major consumer lawn and garden category in virtually all significant markets in the world," said Charles M. Berger, Scotts' Chairman, President and Chief Executive Officer. "Our top priority now is to create greater value for shareholders by extending our proven consumer pull strategies to the new brands that we have added to our global portfolio and by realizing the potential for integration synergies from all of our recent acquisitions."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the Ortho business, we expect synergies to result in annual cost savings of $18 million to $27 million by fiscal year 2001," said James Hagedorn, President, Scotts North America. "The cost savings will come from integrating selling activities and administrative functions, streamlining distribution, combining regulatory and research activities, achieving purchasing economies, rationalizing non-core operations and other initiatives. We plan to reinvest $15 million to $20 million of savings to generate profitable growth for the Ortho business through increased advertising, new product launches and various integration activities."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Scotts also said today that is has closed its previously announced offering of $330 million of 10-year 8-5/8% Senior Subordinated Notes due 2009. The net proceeds from the offering, together with borrowings under Scotts' bank facility, were used to fund the payment to Monsanto</w:t>
      </w:r>
    </w:p>
    <w:p>
      <w:pPr>
        <w:sectPr>
          <w:pgSz w:w="11900" w:h="16838" w:orient="portrait"/>
          <w:cols w:equalWidth="0" w:num="1">
            <w:col w:w="10219"/>
          </w:cols>
          <w:pgMar w:left="240" w:top="142"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Company for the Ortho acquisition and to repurchase approximately 97% of the Company's $100 million outstanding 9-7/8% Senior Subordinated Notes due August 1, 2004.</w:t>
      </w:r>
    </w:p>
    <w:p>
      <w:pPr>
        <w:spacing w:after="0" w:line="185" w:lineRule="exact"/>
        <w:rPr>
          <w:sz w:val="20"/>
          <w:szCs w:val="20"/>
          <w:color w:val="auto"/>
        </w:rPr>
      </w:pPr>
    </w:p>
    <w:p>
      <w:pPr>
        <w:ind w:right="3019" w:firstLine="493"/>
        <w:spacing w:after="0" w:line="255" w:lineRule="auto"/>
        <w:rPr>
          <w:sz w:val="20"/>
          <w:szCs w:val="20"/>
          <w:color w:val="auto"/>
        </w:rPr>
      </w:pPr>
      <w:r>
        <w:rPr>
          <w:rFonts w:ascii="Courier New" w:cs="Courier New" w:eastAsia="Courier New" w:hAnsi="Courier New"/>
          <w:sz w:val="16"/>
          <w:szCs w:val="16"/>
          <w:color w:val="auto"/>
        </w:rPr>
        <w:t>Salomon Smith Barney was the lead manager of the offering, and Chase Securities, Inc., and Credit Lyonnais Securities were the co-managers.</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turf care and horticulture as well. The company owns what are by far the industry's most recognized brands. In the U.S., consumer awareness of the company's Scotts(R), Miracle-Gro(R) and Ortho(R) brands outscores the nearest competitors in their categories by several times, as does awareness of the consumer Roundup(R) brand which is owned by Monsanto. Scotts has entered into an agreement with Monsanto to be the exclusive marketing agent for consumer Roundup(R) worldwide. In the U.K., Scotts' brands include Weedol(R) and Pathclear(R), the top-selling consumer herbicides; Evergreen(R), the leading lawn fertilizer line; the Levington(R) line of lawn and garden products; and Miracle-Gro(R), the leading plant fertilizer. The Company's leading brands in continental Europe include KB(R) and Fertiligene(R) in France and NexaLotte(R) and Celaflor(R) in Germany.</w:t>
      </w:r>
    </w:p>
    <w:p>
      <w:pPr>
        <w:spacing w:after="0" w:line="38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pacing w:after="0" w:line="190" w:lineRule="exact"/>
        <w:rPr>
          <w:sz w:val="20"/>
          <w:szCs w:val="20"/>
          <w:color w:val="auto"/>
        </w:rPr>
      </w:pPr>
    </w:p>
    <w:p>
      <w:pPr>
        <w:ind w:left="500" w:right="2819" w:hanging="499"/>
        <w:spacing w:after="0" w:line="255"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marketplace acceptance of the Company's "pull" advertising marketing strategies;</w:t>
      </w:r>
    </w:p>
    <w:p>
      <w:pPr>
        <w:spacing w:after="0" w:line="183" w:lineRule="exact"/>
        <w:rPr>
          <w:rFonts w:ascii="Courier New" w:cs="Courier New" w:eastAsia="Courier New" w:hAnsi="Courier New"/>
          <w:sz w:val="16"/>
          <w:szCs w:val="16"/>
          <w:color w:val="auto"/>
        </w:rPr>
      </w:pPr>
    </w:p>
    <w:p>
      <w:pPr>
        <w:ind w:left="500" w:right="2619" w:hanging="499"/>
        <w:spacing w:after="0" w:line="255"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maintain profit margins and to produce products and add production capacity on a timely basis;</w:t>
      </w:r>
    </w:p>
    <w:p>
      <w:pPr>
        <w:spacing w:after="0" w:line="183" w:lineRule="exact"/>
        <w:rPr>
          <w:rFonts w:ascii="Courier New" w:cs="Courier New" w:eastAsia="Courier New" w:hAnsi="Courier New"/>
          <w:sz w:val="16"/>
          <w:szCs w:val="16"/>
          <w:color w:val="auto"/>
        </w:rPr>
      </w:pPr>
    </w:p>
    <w:p>
      <w:pPr>
        <w:ind w:left="500" w:right="2439" w:hanging="499"/>
        <w:spacing w:after="0" w:line="255"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in the North American and European consumer and professional segments;</w:t>
      </w:r>
    </w:p>
    <w:p>
      <w:pPr>
        <w:spacing w:after="0" w:line="183" w:lineRule="exact"/>
        <w:rPr>
          <w:rFonts w:ascii="Courier New" w:cs="Courier New" w:eastAsia="Courier New" w:hAnsi="Courier New"/>
          <w:sz w:val="16"/>
          <w:szCs w:val="16"/>
          <w:color w:val="auto"/>
        </w:rPr>
      </w:pPr>
    </w:p>
    <w:p>
      <w:pPr>
        <w:ind w:left="500" w:right="2239" w:hanging="499"/>
        <w:spacing w:after="0" w:line="255"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between and the recent consolidation within the retail outlets selling the Company's products;</w:t>
      </w:r>
    </w:p>
    <w:p>
      <w:pPr>
        <w:spacing w:after="0" w:line="183"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regarding the safety of the Company's products;</w:t>
      </w:r>
    </w:p>
    <w:p>
      <w:pPr>
        <w:spacing w:after="0" w:line="197" w:lineRule="exact"/>
        <w:rPr>
          <w:rFonts w:ascii="Courier New" w:cs="Courier New" w:eastAsia="Courier New" w:hAnsi="Courier New"/>
          <w:sz w:val="16"/>
          <w:szCs w:val="16"/>
          <w:color w:val="auto"/>
        </w:rPr>
      </w:pPr>
    </w:p>
    <w:p>
      <w:pPr>
        <w:ind w:left="500" w:right="2239" w:hanging="499"/>
        <w:spacing w:after="0" w:line="255"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economic conditions, interest rates and currency exchange rates in the countries in which the company operates;</w:t>
      </w:r>
    </w:p>
    <w:p>
      <w:pPr>
        <w:spacing w:after="0" w:line="183" w:lineRule="exact"/>
        <w:rPr>
          <w:rFonts w:ascii="Courier New" w:cs="Courier New" w:eastAsia="Courier New" w:hAnsi="Courier New"/>
          <w:sz w:val="16"/>
          <w:szCs w:val="16"/>
          <w:color w:val="auto"/>
        </w:rPr>
      </w:pPr>
    </w:p>
    <w:p>
      <w:pPr>
        <w:ind w:left="500" w:right="2339" w:hanging="499"/>
        <w:spacing w:after="0" w:line="254"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improve processes and business practices to keep pace with the economic, competitive and technological environment, including successful completion of the Company's Enterprise Resource Planning project;</w:t>
      </w:r>
    </w:p>
    <w:p>
      <w:pPr>
        <w:spacing w:after="0" w:line="372" w:lineRule="exact"/>
        <w:rPr>
          <w:rFonts w:ascii="Courier New" w:cs="Courier New" w:eastAsia="Courier New" w:hAnsi="Courier New"/>
          <w:sz w:val="16"/>
          <w:szCs w:val="16"/>
          <w:color w:val="auto"/>
        </w:rPr>
      </w:pPr>
    </w:p>
    <w:p>
      <w:pPr>
        <w:ind w:left="500" w:right="2719" w:hanging="499"/>
        <w:spacing w:after="0" w:line="253" w:lineRule="auto"/>
        <w:tabs>
          <w:tab w:leader="none" w:pos="2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and that of its third party suppliers and customers, to address information technology issues related to the year 2000; and</w:t>
      </w:r>
    </w:p>
    <w:p>
      <w:pPr>
        <w:spacing w:after="0" w:line="185"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integrate several recent acquisitions.</w:t>
      </w:r>
    </w:p>
    <w:p>
      <w:pPr>
        <w:sectPr>
          <w:pgSz w:w="11900" w:h="16838" w:orient="portrait"/>
          <w:cols w:equalWidth="0" w:num="1">
            <w:col w:w="10219"/>
          </w:cols>
          <w:pgMar w:left="240" w:top="306"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2"/>
      <w:numFmt w:val="bullet"/>
      <w:start w:val="1"/>
    </w:lvl>
  </w:abstractNum>
  <w:abstractNum w:abstractNumId="1">
    <w:nsid w:val="DED7263"/>
    <w:multiLevelType w:val="hybridMultilevel"/>
    <w:lvl w:ilvl="0">
      <w:lvlJc w:val="left"/>
      <w:lvlText w:val="%1"/>
      <w:numFmt w:val="decimal"/>
      <w:start w:val="99"/>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9"/>
    </w:lvl>
  </w:abstractNum>
  <w:abstractNum w:abstractNumId="5">
    <w:nsid w:val="6B68079A"/>
    <w:multiLevelType w:val="hybridMultilevel"/>
    <w:lvl w:ilvl="0">
      <w:lvlJc w:val="left"/>
      <w:lvlText w:val="%1."/>
      <w:numFmt w:val="decimal"/>
      <w:start w:val="10"/>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
      <w:numFmt w:val="bullet"/>
      <w:start w:val="1"/>
    </w:lvl>
    <w:lvl w:ilvl="1">
      <w:lvlJc w:val="left"/>
      <w:lvlText w:val="(%2)"/>
      <w:numFmt w:val="decimal"/>
      <w:start w:val="1"/>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
      <w:numFmt w:val="bullet"/>
      <w:start w:val="1"/>
    </w:lvl>
    <w:lvl w:ilvl="1">
      <w:lvlJc w:val="left"/>
      <w:lvlText w:val="(%2)"/>
      <w:numFmt w:val="lowerLetter"/>
      <w:start w:val="1"/>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8"/>
    </w:lvl>
  </w:abstractNum>
  <w:abstractNum w:abstractNumId="20">
    <w:nsid w:val="6763845E"/>
    <w:multiLevelType w:val="hybridMultilevel"/>
    <w:lvl w:ilvl="0">
      <w:lvlJc w:val="left"/>
      <w:lvlText w:val="-"/>
      <w:numFmt w:val="bullet"/>
      <w:start w:val="1"/>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2"/>
    </w:lvl>
  </w:abstractNum>
  <w:abstractNum w:abstractNumId="22">
    <w:nsid w:val="8EDBDAB"/>
    <w:multiLevelType w:val="hybridMultilevel"/>
    <w:lvl w:ilvl="0">
      <w:lvlJc w:val="left"/>
      <w:lvlText w:val="(%1)"/>
      <w:numFmt w:val="decimal"/>
      <w:start w:val="9"/>
    </w:lvl>
    <w:lvl w:ilvl="1">
      <w:lvlJc w:val="left"/>
      <w:lvlText w:val="%2"/>
      <w:numFmt w:val="lowerLetter"/>
      <w:start w:val="1"/>
    </w:lvl>
  </w:abstractNum>
  <w:abstractNum w:abstractNumId="23">
    <w:nsid w:val="79838CB2"/>
    <w:multiLevelType w:val="hybridMultilevel"/>
    <w:lvl w:ilvl="0">
      <w:lvlJc w:val="left"/>
      <w:lvlText w:val="2"/>
      <w:numFmt w:val="bullet"/>
      <w:start w:val="1"/>
    </w:lvl>
  </w:abstractNum>
  <w:abstractNum w:abstractNumId="24">
    <w:nsid w:val="4353D0CD"/>
    <w:multiLevelType w:val="hybridMultilevel"/>
    <w:lvl w:ilvl="0">
      <w:lvlJc w:val="left"/>
      <w:lvlText w:val="%1"/>
      <w:numFmt w:val="decimal"/>
      <w:start w:val="99"/>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2020-02-22T07:36:47Z</dcterms:created>
  <dcterms:modified xsi:type="dcterms:W3CDTF">2020-02-22T07:36:47Z</dcterms:modified>
</cp:coreProperties>
</file>