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HAGEDORN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41.1015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48.66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79,911.6198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29,413.378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997,910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HPLP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47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Pursuant to Exchange Act Rule 16a-1(a)(1), the reporting person may be deemed, solely for purposes of determining whether he is a beneficial owner of more than 10% of the common shares of the Issuer ("Common Shares"), to be the beneficial owner of the securities of the Issuer that are held by Hagedorn Partnership, L.P., a Delaware limited partnership in which the reporting person is a general partner (the "Partnership"). Represents the aggregate proportionate interest of the reporting person and those family members in whose holdings he may be deemed to have a pecuniary interest, in Common Shares held by the Partnership.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James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Hagedorn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337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0171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2025-10-03T07:35:38Z</dcterms:created>
  <dcterms:modified xsi:type="dcterms:W3CDTF">2025-10-03T07:35:38Z</dcterms:modified>
</cp:coreProperties>
</file>