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ind w:left="284"/>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4"/>
          <w:szCs w:val="24"/>
          <w:color w:val="auto"/>
        </w:rPr>
      </w:pPr>
    </w:p>
    <w:p>
      <w:pPr>
        <w:ind w:left="464"/>
        <w:spacing w:after="0"/>
        <w:rPr>
          <w:sz w:val="20"/>
          <w:szCs w:val="20"/>
          <w:color w:val="auto"/>
        </w:rPr>
      </w:pPr>
      <w:r>
        <w:rPr>
          <w:rFonts w:ascii="Courier New" w:cs="Courier New" w:eastAsia="Courier New" w:hAnsi="Courier New"/>
          <w:sz w:val="16"/>
          <w:szCs w:val="16"/>
          <w:color w:val="auto"/>
        </w:rPr>
        <w:t>As filed with the Securities and Exchange Commission on April 19, 2000</w:t>
      </w:r>
    </w:p>
    <w:p>
      <w:pPr>
        <w:spacing w:after="0" w:line="179" w:lineRule="exact"/>
        <w:rPr>
          <w:sz w:val="24"/>
          <w:szCs w:val="24"/>
          <w:color w:val="auto"/>
        </w:rPr>
      </w:pPr>
    </w:p>
    <w:p>
      <w:pPr>
        <w:ind w:left="5064"/>
        <w:spacing w:after="0"/>
        <w:rPr>
          <w:sz w:val="20"/>
          <w:szCs w:val="20"/>
          <w:color w:val="auto"/>
        </w:rPr>
      </w:pPr>
      <w:r>
        <w:rPr>
          <w:rFonts w:ascii="Courier New" w:cs="Courier New" w:eastAsia="Courier New" w:hAnsi="Courier New"/>
          <w:sz w:val="16"/>
          <w:szCs w:val="16"/>
          <w:color w:val="auto"/>
        </w:rPr>
        <w:t>REGISTRATION NO. 333-76739</w:t>
      </w:r>
    </w:p>
    <w:p>
      <w:pPr>
        <w:spacing w:after="0" w:line="185"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5"/>
        <w:spacing w:after="0"/>
        <w:rPr>
          <w:sz w:val="20"/>
          <w:szCs w:val="20"/>
          <w:color w:val="auto"/>
        </w:rPr>
      </w:pPr>
      <w:r>
        <w:rPr>
          <w:rFonts w:ascii="Courier New" w:cs="Courier New" w:eastAsia="Courier New" w:hAnsi="Courier New"/>
          <w:sz w:val="16"/>
          <w:szCs w:val="16"/>
          <w:color w:val="auto"/>
        </w:rPr>
        <w:t>WASHINGTON, D.C. 20549</w:t>
      </w:r>
    </w:p>
    <w:p>
      <w:pPr>
        <w:ind w:left="2824"/>
        <w:spacing w:after="0" w:line="237" w:lineRule="auto"/>
        <w:rPr>
          <w:sz w:val="20"/>
          <w:szCs w:val="20"/>
          <w:color w:val="auto"/>
        </w:rPr>
      </w:pPr>
      <w:r>
        <w:rPr>
          <w:rFonts w:ascii="Courier New" w:cs="Courier New" w:eastAsia="Courier New" w:hAnsi="Courier New"/>
          <w:sz w:val="16"/>
          <w:szCs w:val="16"/>
          <w:color w:val="auto"/>
        </w:rPr>
        <w:t>--------------------</w:t>
      </w:r>
    </w:p>
    <w:p>
      <w:pPr>
        <w:spacing w:after="0" w:line="360" w:lineRule="exact"/>
        <w:rPr>
          <w:sz w:val="24"/>
          <w:szCs w:val="24"/>
          <w:color w:val="auto"/>
        </w:rPr>
      </w:pPr>
    </w:p>
    <w:p>
      <w:pPr>
        <w:ind w:left="2904"/>
        <w:spacing w:after="0"/>
        <w:rPr>
          <w:sz w:val="20"/>
          <w:szCs w:val="20"/>
          <w:color w:val="auto"/>
        </w:rPr>
      </w:pPr>
      <w:r>
        <w:rPr>
          <w:rFonts w:ascii="Courier New" w:cs="Courier New" w:eastAsia="Courier New" w:hAnsi="Courier New"/>
          <w:sz w:val="16"/>
          <w:szCs w:val="16"/>
          <w:color w:val="auto"/>
        </w:rPr>
        <w:t>AMENDMENT NO. 2</w:t>
      </w:r>
    </w:p>
    <w:p>
      <w:pPr>
        <w:spacing w:after="0" w:line="179" w:lineRule="exact"/>
        <w:rPr>
          <w:sz w:val="24"/>
          <w:szCs w:val="24"/>
          <w:color w:val="auto"/>
        </w:rPr>
      </w:pPr>
    </w:p>
    <w:p>
      <w:pPr>
        <w:ind w:left="3664"/>
        <w:spacing w:after="0"/>
        <w:rPr>
          <w:sz w:val="20"/>
          <w:szCs w:val="20"/>
          <w:color w:val="auto"/>
        </w:rPr>
      </w:pPr>
      <w:r>
        <w:rPr>
          <w:rFonts w:ascii="Courier New" w:cs="Courier New" w:eastAsia="Courier New" w:hAnsi="Courier New"/>
          <w:sz w:val="16"/>
          <w:szCs w:val="16"/>
          <w:color w:val="auto"/>
        </w:rPr>
        <w:t>TO</w:t>
      </w:r>
    </w:p>
    <w:p>
      <w:pPr>
        <w:ind w:left="3384"/>
        <w:spacing w:after="0"/>
        <w:rPr>
          <w:sz w:val="20"/>
          <w:szCs w:val="20"/>
          <w:color w:val="auto"/>
        </w:rPr>
      </w:pPr>
      <w:r>
        <w:rPr>
          <w:rFonts w:ascii="Courier New" w:cs="Courier New" w:eastAsia="Courier New" w:hAnsi="Courier New"/>
          <w:sz w:val="16"/>
          <w:szCs w:val="16"/>
          <w:color w:val="auto"/>
        </w:rPr>
        <w:t>FORM S-4</w:t>
      </w:r>
    </w:p>
    <w:p>
      <w:pPr>
        <w:ind w:left="2724"/>
        <w:spacing w:after="0" w:line="237" w:lineRule="auto"/>
        <w:rPr>
          <w:sz w:val="20"/>
          <w:szCs w:val="20"/>
          <w:color w:val="auto"/>
        </w:rPr>
      </w:pPr>
      <w:r>
        <w:rPr>
          <w:rFonts w:ascii="Courier New" w:cs="Courier New" w:eastAsia="Courier New" w:hAnsi="Courier New"/>
          <w:sz w:val="16"/>
          <w:szCs w:val="16"/>
          <w:color w:val="auto"/>
        </w:rPr>
        <w:t>REGISTRATION STATEMENT</w:t>
      </w:r>
    </w:p>
    <w:p>
      <w:pPr>
        <w:ind w:left="3564"/>
        <w:spacing w:after="0"/>
        <w:rPr>
          <w:sz w:val="20"/>
          <w:szCs w:val="20"/>
          <w:color w:val="auto"/>
        </w:rPr>
      </w:pPr>
      <w:r>
        <w:rPr>
          <w:rFonts w:ascii="Courier New" w:cs="Courier New" w:eastAsia="Courier New" w:hAnsi="Courier New"/>
          <w:sz w:val="16"/>
          <w:szCs w:val="16"/>
          <w:color w:val="auto"/>
        </w:rPr>
        <w:t>UNDER</w:t>
      </w:r>
    </w:p>
    <w:p>
      <w:pPr>
        <w:ind w:left="2524"/>
        <w:spacing w:after="0" w:line="238" w:lineRule="auto"/>
        <w:rPr>
          <w:sz w:val="20"/>
          <w:szCs w:val="20"/>
          <w:color w:val="auto"/>
        </w:rPr>
      </w:pPr>
      <w:r>
        <w:rPr>
          <w:rFonts w:ascii="Courier New" w:cs="Courier New" w:eastAsia="Courier New" w:hAnsi="Courier New"/>
          <w:sz w:val="16"/>
          <w:szCs w:val="16"/>
          <w:color w:val="auto"/>
        </w:rPr>
        <w:t>THE SECURITIES ACT OF 1933</w:t>
      </w:r>
    </w:p>
    <w:p>
      <w:pPr>
        <w:ind w:left="28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THE SCOTTS COMPANY</w:t>
      </w:r>
    </w:p>
    <w:p>
      <w:pPr>
        <w:ind w:left="1304"/>
        <w:spacing w:after="0"/>
        <w:rPr>
          <w:sz w:val="20"/>
          <w:szCs w:val="20"/>
          <w:color w:val="auto"/>
        </w:rPr>
      </w:pPr>
      <w:r>
        <w:rPr>
          <w:rFonts w:ascii="Courier New" w:cs="Courier New" w:eastAsia="Courier New" w:hAnsi="Courier New"/>
          <w:sz w:val="16"/>
          <w:szCs w:val="16"/>
          <w:color w:val="auto"/>
        </w:rPr>
        <w:t>and the Guarantors identified in footnote (1) below</w:t>
      </w:r>
    </w:p>
    <w:p>
      <w:pPr>
        <w:ind w:left="1224"/>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41"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OHIO</w:t>
            </w:r>
          </w:p>
        </w:tc>
        <w:tc>
          <w:tcPr>
            <w:tcW w:w="900" w:type="dxa"/>
            <w:vAlign w:val="bottom"/>
          </w:tcPr>
          <w:p>
            <w:pPr>
              <w:spacing w:after="0"/>
              <w:rPr>
                <w:sz w:val="15"/>
                <w:szCs w:val="15"/>
                <w:color w:val="auto"/>
              </w:rPr>
            </w:pPr>
          </w:p>
        </w:tc>
        <w:tc>
          <w:tcPr>
            <w:tcW w:w="3180" w:type="dxa"/>
            <w:vAlign w:val="bottom"/>
          </w:tcPr>
          <w:p>
            <w:pPr>
              <w:jc w:val="right"/>
              <w:ind w:right="1602"/>
              <w:spacing w:after="0"/>
              <w:rPr>
                <w:sz w:val="20"/>
                <w:szCs w:val="20"/>
                <w:color w:val="auto"/>
              </w:rPr>
            </w:pPr>
            <w:r>
              <w:rPr>
                <w:rFonts w:ascii="Courier New" w:cs="Courier New" w:eastAsia="Courier New" w:hAnsi="Courier New"/>
                <w:sz w:val="16"/>
                <w:szCs w:val="16"/>
                <w:color w:val="auto"/>
              </w:rPr>
              <w:t>2875</w:t>
            </w:r>
          </w:p>
        </w:tc>
        <w:tc>
          <w:tcPr>
            <w:tcW w:w="1780" w:type="dxa"/>
            <w:vAlign w:val="bottom"/>
          </w:tcPr>
          <w:p>
            <w:pPr>
              <w:spacing w:after="0"/>
              <w:rPr>
                <w:sz w:val="20"/>
                <w:szCs w:val="20"/>
                <w:color w:val="auto"/>
              </w:rPr>
            </w:pPr>
            <w:r>
              <w:rPr>
                <w:rFonts w:ascii="Courier New" w:cs="Courier New" w:eastAsia="Courier New" w:hAnsi="Courier New"/>
                <w:sz w:val="16"/>
                <w:szCs w:val="16"/>
                <w:color w:val="auto"/>
              </w:rPr>
              <w:t>31-1199481</w:t>
            </w:r>
          </w:p>
        </w:tc>
      </w:tr>
      <w:tr>
        <w:trPr>
          <w:trHeight w:val="361"/>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(State or other jurisdiction of</w:t>
            </w:r>
          </w:p>
        </w:tc>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(Primary Standard Industrial</w:t>
            </w:r>
          </w:p>
        </w:tc>
        <w:tc>
          <w:tcPr>
            <w:tcW w:w="1780" w:type="dxa"/>
            <w:vAlign w:val="bottom"/>
          </w:tcPr>
          <w:p>
            <w:pPr>
              <w:spacing w:after="0"/>
              <w:rPr>
                <w:sz w:val="20"/>
                <w:szCs w:val="20"/>
                <w:color w:val="auto"/>
              </w:rPr>
            </w:pPr>
            <w:r>
              <w:rPr>
                <w:rFonts w:ascii="Courier New" w:cs="Courier New" w:eastAsia="Courier New" w:hAnsi="Courier New"/>
                <w:sz w:val="16"/>
                <w:szCs w:val="16"/>
                <w:color w:val="auto"/>
              </w:rPr>
              <w:t>(I.R.S. Employer</w:t>
            </w:r>
          </w:p>
        </w:tc>
      </w:tr>
      <w:tr>
        <w:trPr>
          <w:trHeight w:val="180"/>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incorporation or organization)</w:t>
            </w:r>
          </w:p>
        </w:tc>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Classification Code Number)</w:t>
            </w:r>
          </w:p>
        </w:tc>
        <w:tc>
          <w:tcPr>
            <w:tcW w:w="1780" w:type="dxa"/>
            <w:vAlign w:val="bottom"/>
          </w:tcPr>
          <w:p>
            <w:pPr>
              <w:spacing w:after="0"/>
              <w:rPr>
                <w:sz w:val="20"/>
                <w:szCs w:val="20"/>
                <w:color w:val="auto"/>
              </w:rPr>
            </w:pPr>
            <w:r>
              <w:rPr>
                <w:rFonts w:ascii="Courier New" w:cs="Courier New" w:eastAsia="Courier New" w:hAnsi="Courier New"/>
                <w:sz w:val="16"/>
                <w:szCs w:val="16"/>
                <w:color w:val="auto"/>
                <w:w w:val="96"/>
              </w:rPr>
              <w:t>Identification No.)</w:t>
            </w:r>
          </w:p>
        </w:tc>
      </w:tr>
      <w:tr>
        <w:trPr>
          <w:trHeight w:val="721"/>
        </w:trPr>
        <w:tc>
          <w:tcPr>
            <w:tcW w:w="7960" w:type="dxa"/>
            <w:vAlign w:val="bottom"/>
            <w:gridSpan w:val="4"/>
          </w:tcPr>
          <w:p>
            <w:pPr>
              <w:jc w:val="center"/>
              <w:ind w:right="382"/>
              <w:spacing w:after="0"/>
              <w:rPr>
                <w:sz w:val="20"/>
                <w:szCs w:val="20"/>
                <w:color w:val="auto"/>
              </w:rPr>
            </w:pPr>
            <w:r>
              <w:rPr>
                <w:rFonts w:ascii="Courier New" w:cs="Courier New" w:eastAsia="Courier New" w:hAnsi="Courier New"/>
                <w:sz w:val="16"/>
                <w:szCs w:val="16"/>
                <w:color w:val="auto"/>
                <w:w w:val="97"/>
              </w:rPr>
              <w:t>41 SOUTH HIGH STREET, SUITE 3500, COLUMBUS, OHIO 43215, (614) 719-5500</w:t>
            </w:r>
          </w:p>
        </w:tc>
      </w:tr>
      <w:tr>
        <w:trPr>
          <w:trHeight w:val="180"/>
        </w:trPr>
        <w:tc>
          <w:tcPr>
            <w:tcW w:w="6180" w:type="dxa"/>
            <w:vAlign w:val="bottom"/>
            <w:gridSpan w:val="3"/>
          </w:tcPr>
          <w:p>
            <w:pPr>
              <w:jc w:val="center"/>
              <w:ind w:left="1322"/>
              <w:spacing w:after="0"/>
              <w:rPr>
                <w:sz w:val="20"/>
                <w:szCs w:val="20"/>
                <w:color w:val="auto"/>
              </w:rPr>
            </w:pPr>
            <w:r>
              <w:rPr>
                <w:rFonts w:ascii="Courier New" w:cs="Courier New" w:eastAsia="Courier New" w:hAnsi="Courier New"/>
                <w:sz w:val="16"/>
                <w:szCs w:val="16"/>
                <w:color w:val="auto"/>
                <w:w w:val="97"/>
              </w:rPr>
              <w:t>(Address, including zip code, and telephone number,</w:t>
            </w:r>
          </w:p>
        </w:tc>
        <w:tc>
          <w:tcPr>
            <w:tcW w:w="1780" w:type="dxa"/>
            <w:vAlign w:val="bottom"/>
          </w:tcPr>
          <w:p>
            <w:pPr>
              <w:spacing w:after="0"/>
              <w:rPr>
                <w:sz w:val="15"/>
                <w:szCs w:val="15"/>
                <w:color w:val="auto"/>
              </w:rPr>
            </w:pP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including area</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code, of Registrant's principal executive offices)</w:t>
            </w:r>
          </w:p>
        </w:tc>
      </w:tr>
      <w:tr>
        <w:trPr>
          <w:trHeight w:val="361"/>
        </w:trPr>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80" w:type="dxa"/>
            <w:vAlign w:val="bottom"/>
          </w:tcPr>
          <w:p>
            <w:pPr>
              <w:jc w:val="center"/>
              <w:ind w:right="1502"/>
              <w:spacing w:after="0"/>
              <w:rPr>
                <w:sz w:val="20"/>
                <w:szCs w:val="20"/>
                <w:color w:val="auto"/>
              </w:rPr>
            </w:pPr>
            <w:r>
              <w:rPr>
                <w:rFonts w:ascii="Courier New" w:cs="Courier New" w:eastAsia="Courier New" w:hAnsi="Courier New"/>
                <w:sz w:val="16"/>
                <w:szCs w:val="16"/>
                <w:color w:val="auto"/>
                <w:w w:val="97"/>
              </w:rPr>
              <w:t>G. ROBERT LUCAS</w:t>
            </w:r>
          </w:p>
        </w:tc>
        <w:tc>
          <w:tcPr>
            <w:tcW w:w="1780" w:type="dxa"/>
            <w:vAlign w:val="bottom"/>
          </w:tcPr>
          <w:p>
            <w:pPr>
              <w:spacing w:after="0"/>
              <w:rPr>
                <w:sz w:val="24"/>
                <w:szCs w:val="24"/>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722"/>
              <w:spacing w:after="0"/>
              <w:rPr>
                <w:sz w:val="20"/>
                <w:szCs w:val="20"/>
                <w:color w:val="auto"/>
              </w:rPr>
            </w:pPr>
            <w:r>
              <w:rPr>
                <w:rFonts w:ascii="Courier New" w:cs="Courier New" w:eastAsia="Courier New" w:hAnsi="Courier New"/>
                <w:sz w:val="16"/>
                <w:szCs w:val="16"/>
                <w:color w:val="auto"/>
                <w:w w:val="97"/>
              </w:rPr>
              <w:t>41 SOUTH HIGH STREET, SUITE 3500</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702"/>
              <w:spacing w:after="0"/>
              <w:rPr>
                <w:sz w:val="20"/>
                <w:szCs w:val="20"/>
                <w:color w:val="auto"/>
              </w:rPr>
            </w:pPr>
            <w:r>
              <w:rPr>
                <w:rFonts w:ascii="Courier New" w:cs="Courier New" w:eastAsia="Courier New" w:hAnsi="Courier New"/>
                <w:sz w:val="16"/>
                <w:szCs w:val="16"/>
                <w:color w:val="auto"/>
                <w:w w:val="96"/>
              </w:rPr>
              <w:t>COLUMBUS, OHIO 43215</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180" w:type="dxa"/>
            <w:vAlign w:val="bottom"/>
          </w:tcPr>
          <w:p>
            <w:pPr>
              <w:jc w:val="right"/>
              <w:ind w:right="1702"/>
              <w:spacing w:after="0"/>
              <w:rPr>
                <w:sz w:val="20"/>
                <w:szCs w:val="20"/>
                <w:color w:val="auto"/>
              </w:rPr>
            </w:pPr>
            <w:r>
              <w:rPr>
                <w:rFonts w:ascii="Courier New" w:cs="Courier New" w:eastAsia="Courier New" w:hAnsi="Courier New"/>
                <w:sz w:val="16"/>
                <w:szCs w:val="16"/>
                <w:color w:val="auto"/>
              </w:rPr>
              <w:t>(614) 719-5500</w:t>
            </w:r>
          </w:p>
        </w:tc>
        <w:tc>
          <w:tcPr>
            <w:tcW w:w="1780" w:type="dxa"/>
            <w:vAlign w:val="bottom"/>
          </w:tcPr>
          <w:p>
            <w:pPr>
              <w:spacing w:after="0"/>
              <w:rPr>
                <w:sz w:val="15"/>
                <w:szCs w:val="15"/>
                <w:color w:val="auto"/>
              </w:rPr>
            </w:pP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(Name,</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address, including zip code, and telephone</w:t>
            </w:r>
          </w:p>
        </w:tc>
        <w:tc>
          <w:tcPr>
            <w:tcW w:w="1780" w:type="dxa"/>
            <w:vAlign w:val="bottom"/>
          </w:tcPr>
          <w:p>
            <w:pPr>
              <w:spacing w:after="0"/>
              <w:rPr>
                <w:sz w:val="15"/>
                <w:szCs w:val="15"/>
                <w:color w:val="auto"/>
              </w:rPr>
            </w:pP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number,</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including area code, of agent for service)</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180" w:type="dxa"/>
            <w:vAlign w:val="bottom"/>
          </w:tcPr>
          <w:p>
            <w:pPr>
              <w:jc w:val="center"/>
              <w:ind w:right="1602"/>
              <w:spacing w:after="0"/>
              <w:rPr>
                <w:sz w:val="20"/>
                <w:szCs w:val="20"/>
                <w:color w:val="auto"/>
              </w:rPr>
            </w:pPr>
            <w:r>
              <w:rPr>
                <w:rFonts w:ascii="Courier New" w:cs="Courier New" w:eastAsia="Courier New" w:hAnsi="Courier New"/>
                <w:sz w:val="16"/>
                <w:szCs w:val="16"/>
                <w:color w:val="auto"/>
                <w:w w:val="97"/>
              </w:rPr>
              <w:t>COPIES TO:</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602"/>
              <w:spacing w:after="0"/>
              <w:rPr>
                <w:sz w:val="20"/>
                <w:szCs w:val="20"/>
                <w:color w:val="auto"/>
              </w:rPr>
            </w:pPr>
            <w:r>
              <w:rPr>
                <w:rFonts w:ascii="Courier New" w:cs="Courier New" w:eastAsia="Courier New" w:hAnsi="Courier New"/>
                <w:sz w:val="16"/>
                <w:szCs w:val="16"/>
                <w:color w:val="auto"/>
                <w:w w:val="97"/>
              </w:rPr>
              <w:t>RONALD A. ROBINS, JR.</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VORYS, SATER, SEYMOUR AND PEASE LLP</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622"/>
              <w:spacing w:after="0"/>
              <w:rPr>
                <w:sz w:val="20"/>
                <w:szCs w:val="20"/>
                <w:color w:val="auto"/>
              </w:rPr>
            </w:pPr>
            <w:r>
              <w:rPr>
                <w:rFonts w:ascii="Courier New" w:cs="Courier New" w:eastAsia="Courier New" w:hAnsi="Courier New"/>
                <w:sz w:val="16"/>
                <w:szCs w:val="16"/>
                <w:color w:val="auto"/>
                <w:w w:val="97"/>
              </w:rPr>
              <w:t>52 EAST GAY STREET, P.O. BOX 1008</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622"/>
              <w:spacing w:after="0"/>
              <w:rPr>
                <w:sz w:val="20"/>
                <w:szCs w:val="20"/>
                <w:color w:val="auto"/>
              </w:rPr>
            </w:pPr>
            <w:r>
              <w:rPr>
                <w:rFonts w:ascii="Courier New" w:cs="Courier New" w:eastAsia="Courier New" w:hAnsi="Courier New"/>
                <w:sz w:val="16"/>
                <w:szCs w:val="16"/>
                <w:color w:val="auto"/>
                <w:w w:val="97"/>
              </w:rPr>
              <w:t>COLUMBUS, OHIO 43216-1008</w:t>
            </w:r>
          </w:p>
        </w:tc>
        <w:tc>
          <w:tcPr>
            <w:tcW w:w="1780" w:type="dxa"/>
            <w:vAlign w:val="bottom"/>
          </w:tcPr>
          <w:p>
            <w:pPr>
              <w:spacing w:after="0"/>
              <w:rPr>
                <w:sz w:val="15"/>
                <w:szCs w:val="15"/>
                <w:color w:val="auto"/>
              </w:rPr>
            </w:pPr>
          </w:p>
        </w:tc>
      </w:tr>
      <w:tr>
        <w:trPr>
          <w:trHeight w:val="180"/>
        </w:trPr>
        <w:tc>
          <w:tcPr>
            <w:tcW w:w="618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spacing w:after="0"/>
              <w:rPr>
                <w:sz w:val="15"/>
                <w:szCs w:val="15"/>
                <w:color w:val="auto"/>
              </w:rPr>
            </w:pPr>
          </w:p>
        </w:tc>
      </w:tr>
      <w:tr>
        <w:trPr>
          <w:trHeight w:val="361"/>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APPROXIMATE DATE</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OF COMMENCEMENT OF PROPOSED SALE OF THE SECURITIES</w:t>
            </w: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6"/>
              </w:rPr>
              <w:t>TO THE PUBLIC: As soon</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as practicable after the effective date of this</w:t>
            </w: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6"/>
              </w:rPr>
              <w:t>Registration Statement</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as the Registrant shall determine.</w:t>
            </w:r>
          </w:p>
        </w:tc>
        <w:tc>
          <w:tcPr>
            <w:tcW w:w="1780" w:type="dxa"/>
            <w:vAlign w:val="bottom"/>
          </w:tcPr>
          <w:p>
            <w:pPr>
              <w:spacing w:after="0"/>
              <w:rPr>
                <w:sz w:val="15"/>
                <w:szCs w:val="15"/>
                <w:color w:val="auto"/>
              </w:rPr>
            </w:pPr>
          </w:p>
        </w:tc>
      </w:tr>
      <w:tr>
        <w:trPr>
          <w:trHeight w:val="361"/>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If the securities</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being registered on this Form are being offered in</w:t>
            </w:r>
          </w:p>
        </w:tc>
      </w:tr>
      <w:tr>
        <w:trPr>
          <w:trHeight w:val="180"/>
        </w:trPr>
        <w:tc>
          <w:tcPr>
            <w:tcW w:w="7960" w:type="dxa"/>
            <w:vAlign w:val="bottom"/>
            <w:gridSpan w:val="4"/>
          </w:tcPr>
          <w:p>
            <w:pPr>
              <w:spacing w:after="0"/>
              <w:rPr>
                <w:sz w:val="20"/>
                <w:szCs w:val="20"/>
                <w:color w:val="auto"/>
              </w:rPr>
            </w:pPr>
            <w:r>
              <w:rPr>
                <w:rFonts w:ascii="Courier New" w:cs="Courier New" w:eastAsia="Courier New" w:hAnsi="Courier New"/>
                <w:sz w:val="16"/>
                <w:szCs w:val="16"/>
                <w:color w:val="auto"/>
              </w:rPr>
              <w:t>connection with the formation of a holding company and there is compliance with</w:t>
            </w: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6"/>
              </w:rPr>
              <w:t>General Instruction G,</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check the following box: [ ]</w:t>
            </w:r>
          </w:p>
        </w:tc>
        <w:tc>
          <w:tcPr>
            <w:tcW w:w="1780" w:type="dxa"/>
            <w:vAlign w:val="bottom"/>
          </w:tcPr>
          <w:p>
            <w:pPr>
              <w:spacing w:after="0"/>
              <w:rPr>
                <w:sz w:val="15"/>
                <w:szCs w:val="15"/>
                <w:color w:val="auto"/>
              </w:rPr>
            </w:pPr>
          </w:p>
        </w:tc>
      </w:tr>
    </w:tbl>
    <w:p>
      <w:pPr>
        <w:spacing w:after="0" w:line="185" w:lineRule="exact"/>
        <w:rPr>
          <w:sz w:val="24"/>
          <w:szCs w:val="24"/>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86" w:lineRule="exact"/>
        <w:rPr>
          <w:sz w:val="24"/>
          <w:szCs w:val="24"/>
          <w:color w:val="auto"/>
        </w:rPr>
      </w:pPr>
    </w:p>
    <w:p>
      <w:pPr>
        <w:jc w:val="both"/>
        <w:ind w:left="4" w:right="2999" w:firstLine="469"/>
        <w:spacing w:after="0" w:line="237"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81"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4"/>
          <w:szCs w:val="24"/>
          <w:color w:val="auto"/>
        </w:rPr>
      </w:pPr>
    </w:p>
    <w:p>
      <w:pPr>
        <w:ind w:left="4" w:right="2899" w:hanging="4"/>
        <w:spacing w:after="0" w:line="254" w:lineRule="auto"/>
        <w:tabs>
          <w:tab w:leader="none" w:pos="75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domestic direct and indirect subsidiaries of Scotts are guarantors of the notes and co-registrants. Each of the guarantors is incorporated in the State of Ohio, unless otherwise indicated, and has the I.R.S. Employer Identification Number indicated: Scotts' Miracle-Gro Products, Inc., a New York corporation (31-1433894); Miracle-Gro Lawn Products, Inc., a New York corporation (11-3186421); Miracle-Gro Products Ltd., a New York corporation (11-3028862); OMS Investments, Inc., a Delaware corporation</w:t>
      </w:r>
    </w:p>
    <w:p>
      <w:pPr>
        <w:spacing w:after="0" w:line="3" w:lineRule="exact"/>
        <w:rPr>
          <w:rFonts w:ascii="Courier New" w:cs="Courier New" w:eastAsia="Courier New" w:hAnsi="Courier New"/>
          <w:sz w:val="15"/>
          <w:szCs w:val="15"/>
          <w:color w:val="auto"/>
        </w:rPr>
      </w:pPr>
    </w:p>
    <w:p>
      <w:pPr>
        <w:ind w:left="4" w:right="289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(51-0357374); Old Fort Financial Corp., a Delaware corporation (13-3052947); Hyponex Corporation, a Delaware corporation (31-1254519); EarthGro, Inc., a Connecticut corporation (06-1317438); Scotts Products Co., an Ohio corporation (31-1269080); Scotts Professional Products Co., an Ohio corporation</w:t>
      </w:r>
    </w:p>
    <w:p>
      <w:pPr>
        <w:spacing w:after="0" w:line="2" w:lineRule="exact"/>
        <w:rPr>
          <w:rFonts w:ascii="Courier New" w:cs="Courier New" w:eastAsia="Courier New" w:hAnsi="Courier New"/>
          <w:sz w:val="15"/>
          <w:szCs w:val="15"/>
          <w:color w:val="auto"/>
        </w:rPr>
      </w:pPr>
    </w:p>
    <w:p>
      <w:pPr>
        <w:ind w:left="4" w:right="299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(31-1269066); Republic Tool &amp; Manufacturing Corp., a Delaware corporation (33-0536684); Scotts-Sierra Horticultural Products Company, a California corporation (94-1634227); Scotts-Sierra Crop Protection Company, a California corporation (77-0153275); Scotts-Sierra Investments, Inc., a Delaware corporation (51-0371209); and Swiss Farms Products, Inc., a Delaware corporation (88-0407223).</w:t>
      </w:r>
    </w:p>
    <w:p>
      <w:pPr>
        <w:sectPr>
          <w:pgSz w:w="11900" w:h="16842" w:orient="portrait"/>
          <w:cols w:equalWidth="0" w:num="1">
            <w:col w:w="10223"/>
          </w:cols>
          <w:pgMar w:left="236" w:top="233" w:right="1440" w:bottom="0" w:gutter="0" w:footer="0" w:header="0"/>
        </w:sectPr>
      </w:pPr>
    </w:p>
    <w:p>
      <w:pPr>
        <w:spacing w:after="0" w:line="369" w:lineRule="exact"/>
        <w:rPr>
          <w:sz w:val="24"/>
          <w:szCs w:val="24"/>
          <w:color w:val="auto"/>
        </w:rPr>
      </w:pPr>
    </w:p>
    <w:p>
      <w:pPr>
        <w:ind w:left="2344"/>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42" w:orient="portrait"/>
          <w:cols w:equalWidth="0" w:num="1">
            <w:col w:w="10223"/>
          </w:cols>
          <w:pgMar w:left="236" w:top="233" w:right="1440" w:bottom="0" w:gutter="0" w:footer="0" w:header="0"/>
          <w:type w:val="continuous"/>
        </w:sectPr>
      </w:pPr>
    </w:p>
    <w:bookmarkStart w:id="1" w:name="page2"/>
    <w:bookmarkEnd w:id="1"/>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024"/>
        <w:spacing w:after="0"/>
        <w:tabs>
          <w:tab w:leader="none" w:pos="4943" w:val="left"/>
          <w:tab w:leader="none" w:pos="7303" w:val="left"/>
          <w:tab w:leader="none" w:pos="10203" w:val="left"/>
        </w:tabs>
        <w:rPr>
          <w:sz w:val="20"/>
          <w:szCs w:val="20"/>
          <w:color w:val="auto"/>
        </w:rPr>
      </w:pPr>
      <w:r>
        <w:rPr>
          <w:rFonts w:ascii="Courier New" w:cs="Courier New" w:eastAsia="Courier New" w:hAnsi="Courier New"/>
          <w:sz w:val="16"/>
          <w:szCs w:val="16"/>
          <w:color w:val="auto"/>
        </w:rPr>
        <w:t>TITLE OF EACH CLASS OF</w:t>
      </w:r>
      <w:r>
        <w:rPr>
          <w:sz w:val="20"/>
          <w:szCs w:val="20"/>
          <w:color w:val="auto"/>
        </w:rPr>
        <w:tab/>
      </w:r>
      <w:r>
        <w:rPr>
          <w:rFonts w:ascii="Courier New" w:cs="Courier New" w:eastAsia="Courier New" w:hAnsi="Courier New"/>
          <w:sz w:val="16"/>
          <w:szCs w:val="16"/>
          <w:color w:val="auto"/>
        </w:rPr>
        <w:t>AMOUNT TO BE</w:t>
      </w:r>
      <w:r>
        <w:rPr>
          <w:sz w:val="20"/>
          <w:szCs w:val="20"/>
          <w:color w:val="auto"/>
        </w:rPr>
        <w:tab/>
      </w:r>
      <w:r>
        <w:rPr>
          <w:rFonts w:ascii="Courier New" w:cs="Courier New" w:eastAsia="Courier New" w:hAnsi="Courier New"/>
          <w:sz w:val="16"/>
          <w:szCs w:val="16"/>
          <w:color w:val="auto"/>
        </w:rPr>
        <w:t>PROPOSED MAXIMUM</w:t>
      </w:r>
      <w:r>
        <w:rPr>
          <w:sz w:val="20"/>
          <w:szCs w:val="20"/>
          <w:color w:val="auto"/>
        </w:rPr>
        <w:tab/>
      </w:r>
      <w:r>
        <w:rPr>
          <w:rFonts w:ascii="Courier New" w:cs="Courier New" w:eastAsia="Courier New" w:hAnsi="Courier New"/>
          <w:sz w:val="15"/>
          <w:szCs w:val="15"/>
          <w:color w:val="auto"/>
        </w:rPr>
        <w:t>AMOUNT OF</w:t>
      </w:r>
    </w:p>
    <w:p>
      <w:pPr>
        <w:ind w:left="844"/>
        <w:spacing w:after="0"/>
        <w:tabs>
          <w:tab w:leader="none" w:pos="5043" w:val="left"/>
          <w:tab w:leader="none" w:pos="7023" w:val="left"/>
          <w:tab w:leader="none" w:pos="9823" w:val="left"/>
        </w:tabs>
        <w:rPr>
          <w:sz w:val="20"/>
          <w:szCs w:val="20"/>
          <w:color w:val="auto"/>
        </w:rPr>
      </w:pPr>
      <w:r>
        <w:rPr>
          <w:rFonts w:ascii="Courier New" w:cs="Courier New" w:eastAsia="Courier New" w:hAnsi="Courier New"/>
          <w:sz w:val="16"/>
          <w:szCs w:val="16"/>
          <w:color w:val="auto"/>
        </w:rPr>
        <w:t>SECURITIES TO BE REGISTERED</w:t>
      </w:r>
      <w:r>
        <w:rPr>
          <w:sz w:val="20"/>
          <w:szCs w:val="20"/>
          <w:color w:val="auto"/>
        </w:rPr>
        <w:tab/>
      </w:r>
      <w:r>
        <w:rPr>
          <w:rFonts w:ascii="Courier New" w:cs="Courier New" w:eastAsia="Courier New" w:hAnsi="Courier New"/>
          <w:sz w:val="16"/>
          <w:szCs w:val="16"/>
          <w:color w:val="auto"/>
        </w:rPr>
        <w:t>REGISTERED</w:t>
      </w:r>
      <w:r>
        <w:rPr>
          <w:sz w:val="20"/>
          <w:szCs w:val="20"/>
          <w:color w:val="auto"/>
        </w:rPr>
        <w:tab/>
      </w:r>
      <w:r>
        <w:rPr>
          <w:rFonts w:ascii="Courier New" w:cs="Courier New" w:eastAsia="Courier New" w:hAnsi="Courier New"/>
          <w:sz w:val="16"/>
          <w:szCs w:val="16"/>
          <w:color w:val="auto"/>
        </w:rPr>
        <w:t>OFFERING PRICE PER UNIT</w:t>
      </w:r>
      <w:r>
        <w:rPr>
          <w:sz w:val="20"/>
          <w:szCs w:val="20"/>
          <w:color w:val="auto"/>
        </w:rPr>
        <w:tab/>
      </w:r>
      <w:r>
        <w:rPr>
          <w:rFonts w:ascii="Courier New" w:cs="Courier New" w:eastAsia="Courier New" w:hAnsi="Courier New"/>
          <w:sz w:val="15"/>
          <w:szCs w:val="15"/>
          <w:color w:val="auto"/>
        </w:rPr>
        <w:t>REGISTRATION FEE</w:t>
      </w:r>
    </w:p>
    <w:p>
      <w:pPr>
        <w:spacing w:after="0" w:line="35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tabs>
          <w:tab w:leader="none" w:pos="4943" w:val="left"/>
          <w:tab w:leader="none" w:pos="7863" w:val="left"/>
          <w:tab w:leader="none" w:pos="10303" w:val="left"/>
        </w:tabs>
        <w:rPr>
          <w:sz w:val="20"/>
          <w:szCs w:val="20"/>
          <w:color w:val="auto"/>
        </w:rPr>
      </w:pPr>
      <w:r>
        <w:rPr>
          <w:rFonts w:ascii="Courier New" w:cs="Courier New" w:eastAsia="Courier New" w:hAnsi="Courier New"/>
          <w:sz w:val="16"/>
          <w:szCs w:val="16"/>
          <w:color w:val="auto"/>
        </w:rPr>
        <w:t>8.625% Senior Subordinated Notes due 2009</w:t>
      </w:r>
      <w:r>
        <w:rPr>
          <w:sz w:val="20"/>
          <w:szCs w:val="20"/>
          <w:color w:val="auto"/>
        </w:rPr>
        <w:tab/>
      </w:r>
      <w:r>
        <w:rPr>
          <w:rFonts w:ascii="Courier New" w:cs="Courier New" w:eastAsia="Courier New" w:hAnsi="Courier New"/>
          <w:sz w:val="16"/>
          <w:szCs w:val="16"/>
          <w:color w:val="auto"/>
        </w:rPr>
        <w:t>$330,000,000</w:t>
      </w:r>
      <w:r>
        <w:rPr>
          <w:sz w:val="20"/>
          <w:szCs w:val="20"/>
          <w:color w:val="auto"/>
        </w:rPr>
        <w:tab/>
      </w:r>
      <w:r>
        <w:rPr>
          <w:rFonts w:ascii="Courier New" w:cs="Courier New" w:eastAsia="Courier New" w:hAnsi="Courier New"/>
          <w:sz w:val="16"/>
          <w:szCs w:val="16"/>
          <w:color w:val="auto"/>
        </w:rPr>
        <w:t>100%</w:t>
      </w:r>
      <w:r>
        <w:rPr>
          <w:sz w:val="20"/>
          <w:szCs w:val="20"/>
          <w:color w:val="auto"/>
        </w:rPr>
        <w:tab/>
      </w:r>
      <w:r>
        <w:rPr>
          <w:rFonts w:ascii="Courier New" w:cs="Courier New" w:eastAsia="Courier New" w:hAnsi="Courier New"/>
          <w:sz w:val="15"/>
          <w:szCs w:val="15"/>
          <w:color w:val="auto"/>
        </w:rPr>
        <w:t>$91,740(2)</w:t>
      </w:r>
    </w:p>
    <w:p>
      <w:pPr>
        <w:ind w:left="4"/>
        <w:spacing w:after="0"/>
        <w:rPr>
          <w:sz w:val="20"/>
          <w:szCs w:val="20"/>
          <w:color w:val="auto"/>
        </w:rPr>
      </w:pPr>
      <w:r>
        <w:rPr>
          <w:rFonts w:ascii="Courier New" w:cs="Courier New" w:eastAsia="Courier New" w:hAnsi="Courier New"/>
          <w:sz w:val="16"/>
          <w:szCs w:val="16"/>
          <w:color w:val="auto"/>
        </w:rPr>
        <w:t>Guarantee of 8.625% Senior Subordinated</w:t>
      </w:r>
    </w:p>
    <w:p>
      <w:pPr>
        <w:ind w:left="4"/>
        <w:spacing w:after="0"/>
        <w:tabs>
          <w:tab w:leader="none" w:pos="4943" w:val="left"/>
          <w:tab w:leader="none" w:pos="7863" w:val="left"/>
          <w:tab w:leader="none" w:pos="10303" w:val="left"/>
        </w:tabs>
        <w:rPr>
          <w:sz w:val="20"/>
          <w:szCs w:val="20"/>
          <w:color w:val="auto"/>
        </w:rPr>
      </w:pPr>
      <w:r>
        <w:rPr>
          <w:rFonts w:ascii="Courier New" w:cs="Courier New" w:eastAsia="Courier New" w:hAnsi="Courier New"/>
          <w:sz w:val="16"/>
          <w:szCs w:val="16"/>
          <w:color w:val="auto"/>
        </w:rPr>
        <w:t>Notes due 2009</w:t>
      </w:r>
      <w:r>
        <w:rPr>
          <w:sz w:val="20"/>
          <w:szCs w:val="20"/>
          <w:color w:val="auto"/>
        </w:rPr>
        <w:tab/>
      </w:r>
      <w:r>
        <w:rPr>
          <w:rFonts w:ascii="Courier New" w:cs="Courier New" w:eastAsia="Courier New" w:hAnsi="Courier New"/>
          <w:sz w:val="16"/>
          <w:szCs w:val="16"/>
          <w:color w:val="auto"/>
        </w:rPr>
        <w:t>$330,000,000</w:t>
      </w:r>
      <w:r>
        <w:rPr>
          <w:sz w:val="20"/>
          <w:szCs w:val="20"/>
          <w:color w:val="auto"/>
        </w:rPr>
        <w:tab/>
      </w: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564" w:hanging="564"/>
        <w:spacing w:after="0"/>
        <w:tabs>
          <w:tab w:leader="none" w:pos="5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paid.</w:t>
      </w:r>
    </w:p>
    <w:p>
      <w:pPr>
        <w:spacing w:after="0" w:line="184" w:lineRule="exact"/>
        <w:rPr>
          <w:rFonts w:ascii="Courier New" w:cs="Courier New" w:eastAsia="Courier New" w:hAnsi="Courier New"/>
          <w:sz w:val="16"/>
          <w:szCs w:val="16"/>
          <w:color w:val="auto"/>
        </w:rPr>
      </w:pPr>
    </w:p>
    <w:p>
      <w:pPr>
        <w:ind w:left="564" w:right="4680" w:hanging="564"/>
        <w:spacing w:after="0" w:line="259" w:lineRule="auto"/>
        <w:tabs>
          <w:tab w:leader="none" w:pos="56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additional consideration for the Guarantees of the 8.625% Senior Subordinated Notes due 2009 will be furnished. Pursuant to Rule 457(n), no separate fee is payable with respect to such Guarantees.</w:t>
      </w:r>
    </w:p>
    <w:p>
      <w:pPr>
        <w:spacing w:after="0" w:line="200" w:lineRule="exact"/>
        <w:rPr>
          <w:sz w:val="20"/>
          <w:szCs w:val="20"/>
          <w:color w:val="auto"/>
        </w:rPr>
      </w:pPr>
    </w:p>
    <w:p>
      <w:pPr>
        <w:spacing w:after="0" w:line="332" w:lineRule="exact"/>
        <w:rPr>
          <w:sz w:val="20"/>
          <w:szCs w:val="20"/>
          <w:color w:val="auto"/>
        </w:rPr>
      </w:pPr>
    </w:p>
    <w:p>
      <w:pPr>
        <w:ind w:left="4" w:right="4120"/>
        <w:spacing w:after="0" w:line="23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524"/>
          </w:cols>
          <w:pgMar w:left="236" w:top="502" w:right="13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2</w:t>
      </w:r>
    </w:p>
    <w:p>
      <w:pPr>
        <w:spacing w:after="0" w:line="185" w:lineRule="exact"/>
        <w:rPr>
          <w:sz w:val="20"/>
          <w:szCs w:val="20"/>
          <w:color w:val="auto"/>
        </w:rPr>
      </w:pPr>
    </w:p>
    <w:p>
      <w:pPr>
        <w:ind w:left="1020" w:right="3099"/>
        <w:spacing w:after="0" w:line="256"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PROSPECTUS IS DELIVERED IN FINAL FORM. THIS PROSPECTUS IS NOT AN OFFER TO SELL THESE SECURITIES AND IS NOT SOLICITING AN OFFER TO BUY THESE SECURITIES IN ANY STATE WHERE THE OFFER OR SALE IS NOT PERMITTED.</w:t>
      </w:r>
    </w:p>
    <w:p>
      <w:pPr>
        <w:spacing w:after="0" w:line="351"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SUBJECT TO COMPLETION, DATED APRIL 19, 2000</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PRELIMINARY PROSPECTUS</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[THE SCOTTS COMPANY LOGO]</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$330,000,000</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SCOTTS COMPANY</w:t>
      </w:r>
    </w:p>
    <w:p>
      <w:pPr>
        <w:ind w:left="2720"/>
        <w:spacing w:after="0"/>
        <w:rPr>
          <w:sz w:val="20"/>
          <w:szCs w:val="20"/>
          <w:color w:val="auto"/>
        </w:rPr>
      </w:pPr>
      <w:r>
        <w:rPr>
          <w:rFonts w:ascii="Courier New" w:cs="Courier New" w:eastAsia="Courier New" w:hAnsi="Courier New"/>
          <w:sz w:val="16"/>
          <w:szCs w:val="16"/>
          <w:color w:val="auto"/>
        </w:rPr>
        <w:t>OFFER TO EXCHANGE ITS</w:t>
      </w:r>
    </w:p>
    <w:p>
      <w:pPr>
        <w:ind w:left="2240"/>
        <w:spacing w:after="0" w:line="237" w:lineRule="auto"/>
        <w:rPr>
          <w:sz w:val="20"/>
          <w:szCs w:val="20"/>
          <w:color w:val="auto"/>
        </w:rPr>
      </w:pPr>
      <w:r>
        <w:rPr>
          <w:rFonts w:ascii="Courier New" w:cs="Courier New" w:eastAsia="Courier New" w:hAnsi="Courier New"/>
          <w:sz w:val="16"/>
          <w:szCs w:val="16"/>
          <w:color w:val="auto"/>
        </w:rPr>
        <w:t>8.625% SENIOR SUBORDINATED NOTES</w:t>
      </w:r>
    </w:p>
    <w:p>
      <w:pPr>
        <w:ind w:left="1600"/>
        <w:spacing w:after="0"/>
        <w:rPr>
          <w:sz w:val="20"/>
          <w:szCs w:val="20"/>
          <w:color w:val="auto"/>
        </w:rPr>
      </w:pPr>
      <w:r>
        <w:rPr>
          <w:rFonts w:ascii="Courier New" w:cs="Courier New" w:eastAsia="Courier New" w:hAnsi="Courier New"/>
          <w:sz w:val="16"/>
          <w:szCs w:val="16"/>
          <w:color w:val="auto"/>
        </w:rPr>
        <w:t>DUE 2009, WHICH HAVE BEEN REGISTERED UNDER THE</w:t>
      </w:r>
    </w:p>
    <w:p>
      <w:pPr>
        <w:ind w:left="2720"/>
        <w:spacing w:after="0" w:line="238" w:lineRule="auto"/>
        <w:rPr>
          <w:sz w:val="20"/>
          <w:szCs w:val="20"/>
          <w:color w:val="auto"/>
        </w:rPr>
      </w:pPr>
      <w:r>
        <w:rPr>
          <w:rFonts w:ascii="Courier New" w:cs="Courier New" w:eastAsia="Courier New" w:hAnsi="Courier New"/>
          <w:sz w:val="16"/>
          <w:szCs w:val="16"/>
          <w:color w:val="auto"/>
        </w:rPr>
        <w:t>SECURITIES ACT OF 1933</w:t>
      </w:r>
    </w:p>
    <w:p>
      <w:pPr>
        <w:ind w:left="2060"/>
        <w:spacing w:after="0"/>
        <w:rPr>
          <w:sz w:val="20"/>
          <w:szCs w:val="20"/>
          <w:color w:val="auto"/>
        </w:rPr>
      </w:pPr>
      <w:r>
        <w:rPr>
          <w:rFonts w:ascii="Courier New" w:cs="Courier New" w:eastAsia="Courier New" w:hAnsi="Courier New"/>
          <w:sz w:val="16"/>
          <w:szCs w:val="16"/>
          <w:color w:val="auto"/>
        </w:rPr>
        <w:t>FOR AN EQUAL PRINCIPAL AMOUNT OF ITS</w:t>
      </w:r>
    </w:p>
    <w:p>
      <w:pPr>
        <w:ind w:left="1780"/>
        <w:spacing w:after="0" w:line="238" w:lineRule="auto"/>
        <w:rPr>
          <w:sz w:val="20"/>
          <w:szCs w:val="20"/>
          <w:color w:val="auto"/>
        </w:rPr>
      </w:pPr>
      <w:r>
        <w:rPr>
          <w:rFonts w:ascii="Courier New" w:cs="Courier New" w:eastAsia="Courier New" w:hAnsi="Courier New"/>
          <w:sz w:val="16"/>
          <w:szCs w:val="16"/>
          <w:color w:val="auto"/>
        </w:rPr>
        <w:t>8.625% SENIOR SUBORDINATED NOTES DUE 2009,</w:t>
      </w:r>
    </w:p>
    <w:p>
      <w:pPr>
        <w:ind w:left="2340"/>
        <w:spacing w:after="0"/>
        <w:rPr>
          <w:sz w:val="20"/>
          <w:szCs w:val="20"/>
          <w:color w:val="auto"/>
        </w:rPr>
      </w:pPr>
      <w:r>
        <w:rPr>
          <w:rFonts w:ascii="Courier New" w:cs="Courier New" w:eastAsia="Courier New" w:hAnsi="Courier New"/>
          <w:sz w:val="16"/>
          <w:szCs w:val="16"/>
          <w:color w:val="auto"/>
        </w:rPr>
        <w:t>WHICH HAVE NOT BEEN REGISTERED</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0" w:type="dxa"/>
            <w:vAlign w:val="bottom"/>
          </w:tcPr>
          <w:p>
            <w:pPr>
              <w:spacing w:after="0"/>
              <w:rPr>
                <w:sz w:val="20"/>
                <w:szCs w:val="20"/>
                <w:color w:val="auto"/>
              </w:rPr>
            </w:pPr>
            <w:r>
              <w:rPr>
                <w:rFonts w:ascii="Courier New" w:cs="Courier New" w:eastAsia="Courier New" w:hAnsi="Courier New"/>
                <w:sz w:val="16"/>
                <w:szCs w:val="16"/>
                <w:color w:val="auto"/>
              </w:rPr>
              <w:t>DIFFERENCES IN TERMS OF THE NOTES: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The new notes and the original notes are identical, except</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that the original notes contained transfer restrictions</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and registration rights that the new notes do not contain.</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PROCEDURE FOR EXCHANGING NOTES: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To exchange your notes, you must complete the accompanying</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letter of transmittal and mail it and your original notes</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to our exchange agent, as described in the letter of</w:t>
            </w:r>
          </w:p>
        </w:tc>
      </w:tr>
      <w:tr>
        <w:trPr>
          <w:trHeight w:val="180"/>
        </w:trPr>
        <w:tc>
          <w:tcPr>
            <w:tcW w:w="3800" w:type="dxa"/>
            <w:vAlign w:val="bottom"/>
          </w:tcPr>
          <w:p>
            <w:pPr>
              <w:spacing w:after="0"/>
              <w:rPr>
                <w:sz w:val="15"/>
                <w:szCs w:val="15"/>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transmittal.</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DEADLINE:</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Unless we extend the exchange offer, it will expire at</w:t>
            </w:r>
          </w:p>
        </w:tc>
      </w:tr>
      <w:tr>
        <w:trPr>
          <w:trHeight w:val="180"/>
        </w:trPr>
        <w:tc>
          <w:tcPr>
            <w:tcW w:w="3800" w:type="dxa"/>
            <w:vAlign w:val="bottom"/>
          </w:tcPr>
          <w:p>
            <w:pPr>
              <w:spacing w:after="0"/>
              <w:rPr>
                <w:sz w:val="15"/>
                <w:szCs w:val="15"/>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5:00 p.m., New York City time, on</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2000.</w:t>
            </w:r>
          </w:p>
        </w:tc>
        <w:tc>
          <w:tcPr>
            <w:tcW w:w="940" w:type="dxa"/>
            <w:vAlign w:val="bottom"/>
          </w:tcPr>
          <w:p>
            <w:pPr>
              <w:spacing w:after="0"/>
              <w:rPr>
                <w:sz w:val="15"/>
                <w:szCs w:val="15"/>
                <w:color w:val="auto"/>
              </w:rPr>
            </w:pP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WITHDRAWAL RIGHTS: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Notes delivered for exchange may be withdrawn at any time</w:t>
            </w:r>
          </w:p>
        </w:tc>
      </w:tr>
      <w:tr>
        <w:trPr>
          <w:trHeight w:val="180"/>
        </w:trPr>
        <w:tc>
          <w:tcPr>
            <w:tcW w:w="3800" w:type="dxa"/>
            <w:vAlign w:val="bottom"/>
          </w:tcPr>
          <w:p>
            <w:pPr>
              <w:spacing w:after="0"/>
              <w:rPr>
                <w:sz w:val="15"/>
                <w:szCs w:val="15"/>
                <w:color w:val="auto"/>
              </w:rPr>
            </w:pPr>
          </w:p>
        </w:tc>
        <w:tc>
          <w:tcPr>
            <w:tcW w:w="4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prior to 5:00 p.m., New York City time, on</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 2000.</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MARKET FOR THE NOTES: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The notes are expected to trade in the Private Offerings,</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Resales, and Trading through Automatic Linkages Market.</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45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We will pay all expenses of the exchange offer.</w:t>
            </w:r>
          </w:p>
        </w:tc>
        <w:tc>
          <w:tcPr>
            <w:tcW w:w="940" w:type="dxa"/>
            <w:vAlign w:val="bottom"/>
          </w:tcPr>
          <w:p>
            <w:pPr>
              <w:spacing w:after="0"/>
              <w:rPr>
                <w:sz w:val="15"/>
                <w:szCs w:val="15"/>
                <w:color w:val="auto"/>
              </w:rPr>
            </w:pPr>
          </w:p>
        </w:tc>
      </w:tr>
      <w:tr>
        <w:trPr>
          <w:trHeight w:val="721"/>
        </w:trPr>
        <w:tc>
          <w:tcPr>
            <w:tcW w:w="7600" w:type="dxa"/>
            <w:vAlign w:val="bottom"/>
            <w:gridSpan w:val="2"/>
          </w:tcPr>
          <w:p>
            <w:pPr>
              <w:ind w:left="29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41"/>
        </w:trPr>
        <w:tc>
          <w:tcPr>
            <w:tcW w:w="760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8"/>
              </w:rPr>
              <w:t>INVESTING IN THE NOTES INVOLVES RISKS. SEE "RISK FACTORS" BEGINNING ON PAGE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541"/>
        </w:trPr>
        <w:tc>
          <w:tcPr>
            <w:tcW w:w="7600" w:type="dxa"/>
            <w:vAlign w:val="bottom"/>
            <w:gridSpan w:val="2"/>
          </w:tcPr>
          <w:p>
            <w:pPr>
              <w:ind w:left="29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1"/>
        </w:trPr>
        <w:tc>
          <w:tcPr>
            <w:tcW w:w="3800" w:type="dxa"/>
            <w:vAlign w:val="bottom"/>
          </w:tcPr>
          <w:p>
            <w:pPr>
              <w:ind w:left="460"/>
              <w:spacing w:after="0"/>
              <w:rPr>
                <w:sz w:val="20"/>
                <w:szCs w:val="20"/>
                <w:color w:val="auto"/>
              </w:rPr>
            </w:pPr>
            <w:r>
              <w:rPr>
                <w:rFonts w:ascii="Courier New" w:cs="Courier New" w:eastAsia="Courier New" w:hAnsi="Courier New"/>
                <w:sz w:val="16"/>
                <w:szCs w:val="16"/>
                <w:color w:val="auto"/>
                <w:w w:val="98"/>
              </w:rPr>
              <w:t>Neither the Securities and Exchange</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Commission nor any state securities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4"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commission has approved or disapproved these securities or determined if this prospectus is truthful or complete. Any representation to the contrary is a criminal offense.</w:t>
      </w:r>
    </w:p>
    <w:p>
      <w:pPr>
        <w:spacing w:after="0" w:line="18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 2000</w:t>
      </w:r>
    </w:p>
    <w:p>
      <w:pPr>
        <w:sectPr>
          <w:pgSz w:w="11900" w:h="16838" w:orient="portrait"/>
          <w:cols w:equalWidth="0" w:num="1">
            <w:col w:w="10219"/>
          </w:cols>
          <w:pgMar w:left="240" w:top="293"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3</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YOU SHOULD RELY ONLY ON THE INFORMATION CONTAINED IN OR INCORPORATED BY REFERENCE IN THIS PROSPECTUS. WE HAVE NOT AUTHORIZED ANYONE TO PROVIDE YOU WITH DIFFERENT INFORMATION. SCOTTS IS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ind w:left="2900"/>
              <w:spacing w:after="0"/>
              <w:rPr>
                <w:sz w:val="20"/>
                <w:szCs w:val="20"/>
                <w:color w:val="auto"/>
              </w:rPr>
            </w:pPr>
            <w:r>
              <w:rPr>
                <w:rFonts w:ascii="Courier New" w:cs="Courier New" w:eastAsia="Courier New" w:hAnsi="Courier New"/>
                <w:sz w:val="16"/>
                <w:szCs w:val="16"/>
                <w:color w:val="auto"/>
              </w:rPr>
              <w:t>TABLE OF CONTENTS</w:t>
            </w:r>
          </w:p>
        </w:tc>
        <w:tc>
          <w:tcPr>
            <w:tcW w:w="460" w:type="dxa"/>
            <w:vAlign w:val="bottom"/>
          </w:tcPr>
          <w:p>
            <w:pPr>
              <w:spacing w:after="0"/>
              <w:rPr>
                <w:sz w:val="15"/>
                <w:szCs w:val="15"/>
                <w:color w:val="auto"/>
              </w:rPr>
            </w:pPr>
          </w:p>
        </w:tc>
      </w:tr>
      <w:tr>
        <w:trPr>
          <w:trHeight w:val="902"/>
        </w:trPr>
        <w:tc>
          <w:tcPr>
            <w:tcW w:w="5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0"/>
        </w:trPr>
        <w:tc>
          <w:tcPr>
            <w:tcW w:w="5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Prospectus Summary..........................................</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Risk Factors................................................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Ratio of Earnings to Fixed Charges..........................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Use of Proceeds.............................................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Capitalization..............................................</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Selected Consolidated Financial Data........................</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The Exchange Offer..........................................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Description of Notes........................................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United States Federal Tax Considerations....................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Legal Matters...............................................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Independent Auditors........................................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Where You Can Find More Information.........................</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Disclosure Regarding Forward-Looking Statements.............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w:t>
            </w:r>
          </w:p>
        </w:tc>
      </w:tr>
      <w:tr>
        <w:trPr>
          <w:trHeight w:val="721"/>
        </w:trPr>
        <w:tc>
          <w:tcPr>
            <w:tcW w:w="5720" w:type="dxa"/>
            <w:vAlign w:val="bottom"/>
          </w:tcPr>
          <w:p>
            <w:pPr>
              <w:ind w:left="3740"/>
              <w:spacing w:after="0"/>
              <w:rPr>
                <w:sz w:val="20"/>
                <w:szCs w:val="20"/>
                <w:color w:val="auto"/>
              </w:rPr>
            </w:pPr>
            <w:r>
              <w:rPr>
                <w:rFonts w:ascii="Courier New" w:cs="Courier New" w:eastAsia="Courier New" w:hAnsi="Courier New"/>
                <w:sz w:val="16"/>
                <w:szCs w:val="16"/>
                <w:color w:val="auto"/>
              </w:rPr>
              <w:t>2</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4</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PROSPECTUS SUMMARY</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ABOUT OUR COMPANY</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are among the most widely recognized marketers and manufacturers of products for lawns, gardens, professional turf and horticulture. We believe that our market leadership is driven by our leading brands, consumer-focused marketing, product performance and extensive relationships with major national retailers. Our portfolio of consumer brands that hold a top one or two leading U.S. market share position in their market includes the following:</w:t>
      </w:r>
    </w:p>
    <w:p>
      <w:pPr>
        <w:spacing w:after="0" w:line="364" w:lineRule="exact"/>
        <w:rPr>
          <w:sz w:val="20"/>
          <w:szCs w:val="20"/>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MIRACLE-GRO(R)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ORTHO(R)</w:t>
      </w:r>
    </w:p>
    <w:p>
      <w:pPr>
        <w:spacing w:after="0" w:line="184" w:lineRule="exact"/>
        <w:rPr>
          <w:rFonts w:ascii="Courier New" w:cs="Courier New" w:eastAsia="Courier New" w:hAnsi="Courier New"/>
          <w:sz w:val="16"/>
          <w:szCs w:val="16"/>
          <w:color w:val="auto"/>
        </w:rPr>
      </w:pPr>
    </w:p>
    <w:p>
      <w:pPr>
        <w:ind w:left="660" w:right="3279" w:hanging="195"/>
        <w:spacing w:after="0" w:line="263" w:lineRule="auto"/>
        <w:tabs>
          <w:tab w:leader="none" w:pos="6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ROUNDUP(R), which is a registered trademark of Monsanto Company. We market and distribute consumer Roundup(R) products for Monsanto.</w:t>
      </w:r>
    </w:p>
    <w:p>
      <w:pPr>
        <w:spacing w:after="0" w:line="344"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HYPONEX(R)</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Our portfolio of European Union brands includes the following:</w:t>
      </w:r>
    </w:p>
    <w:p>
      <w:pPr>
        <w:spacing w:after="0" w:line="360" w:lineRule="exact"/>
        <w:rPr>
          <w:sz w:val="20"/>
          <w:szCs w:val="20"/>
          <w:color w:val="auto"/>
        </w:rPr>
      </w:pPr>
    </w:p>
    <w:p>
      <w:pPr>
        <w:ind w:left="660" w:hanging="195"/>
        <w:spacing w:after="0"/>
        <w:tabs>
          <w:tab w:leader="none" w:pos="6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MIRACLE-GRO(R), WEEDOL(R), LEVINGTON(R), KB(R), FERTILIGENE(R),</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CELAFLOR(R) AND NEXA-LOTTE(R)</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THE ISSUANCE OF THE ORIGINAL NOTES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original notes were issued and sold on January 21, 1999, in a transaction not registered under the Securities Act in reliance upon an exemption from registration. The initial purchaser of the original notes was Salomon Smith Barney Inc. Salomon Smith Barney subsequently resold the original notes under Rule 144A and Regulation S under the Securities Act. In connection with the issuance of the original notes, we entered into a registration rights agreement with Salomon Smith Barney which provides the holders of the notes with registration and exchange rights. The exchange offer is intended to satisfy our obligations under the registration rights agreement.</w:t>
      </w:r>
    </w:p>
    <w:p>
      <w:pPr>
        <w:spacing w:after="0" w:line="35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original notes are represented by two, permanent global notes which are registered in the name of a nominee of The Depositary Trust Company. Participants in the DTC system who have accounts with DTC hold interests in the global notes in book-entry form. Accordingly, ownership of beneficial interests in the original notes is limited to DTC participants or persons who hold their interests through DTC participants.</w:t>
      </w:r>
    </w:p>
    <w:p>
      <w:pPr>
        <w:spacing w:after="0" w:line="18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EXCHANGE OFFER</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THE EXCHANGE OFFER.........</w:t>
      </w:r>
      <w:r>
        <w:rPr>
          <w:sz w:val="20"/>
          <w:szCs w:val="20"/>
          <w:color w:val="auto"/>
        </w:rPr>
        <w:tab/>
      </w:r>
      <w:r>
        <w:rPr>
          <w:rFonts w:ascii="Courier New" w:cs="Courier New" w:eastAsia="Courier New" w:hAnsi="Courier New"/>
          <w:sz w:val="15"/>
          <w:szCs w:val="15"/>
          <w:color w:val="auto"/>
        </w:rPr>
        <w:t>We are offering to exchange up to $330 million in</w:t>
      </w:r>
    </w:p>
    <w:p>
      <w:pPr>
        <w:ind w:left="2720"/>
        <w:spacing w:after="0"/>
        <w:rPr>
          <w:sz w:val="20"/>
          <w:szCs w:val="20"/>
          <w:color w:val="auto"/>
        </w:rPr>
      </w:pPr>
      <w:r>
        <w:rPr>
          <w:rFonts w:ascii="Courier New" w:cs="Courier New" w:eastAsia="Courier New" w:hAnsi="Courier New"/>
          <w:sz w:val="16"/>
          <w:szCs w:val="16"/>
          <w:color w:val="auto"/>
        </w:rPr>
        <w:t>principal amount of notes which have been</w:t>
      </w:r>
    </w:p>
    <w:p>
      <w:pPr>
        <w:ind w:left="2720"/>
        <w:spacing w:after="0" w:line="237" w:lineRule="auto"/>
        <w:rPr>
          <w:sz w:val="20"/>
          <w:szCs w:val="20"/>
          <w:color w:val="auto"/>
        </w:rPr>
      </w:pPr>
      <w:r>
        <w:rPr>
          <w:rFonts w:ascii="Courier New" w:cs="Courier New" w:eastAsia="Courier New" w:hAnsi="Courier New"/>
          <w:sz w:val="16"/>
          <w:szCs w:val="16"/>
          <w:color w:val="auto"/>
        </w:rPr>
        <w:t>registered under the Securities Act for a like</w:t>
      </w:r>
    </w:p>
    <w:p>
      <w:pPr>
        <w:ind w:left="2720"/>
        <w:spacing w:after="0"/>
        <w:rPr>
          <w:sz w:val="20"/>
          <w:szCs w:val="20"/>
          <w:color w:val="auto"/>
        </w:rPr>
      </w:pPr>
      <w:r>
        <w:rPr>
          <w:rFonts w:ascii="Courier New" w:cs="Courier New" w:eastAsia="Courier New" w:hAnsi="Courier New"/>
          <w:sz w:val="16"/>
          <w:szCs w:val="16"/>
          <w:color w:val="auto"/>
        </w:rPr>
        <w:t>principal amount of original notes which were</w:t>
      </w:r>
    </w:p>
    <w:p>
      <w:pPr>
        <w:ind w:left="2720"/>
        <w:spacing w:after="0" w:line="238" w:lineRule="auto"/>
        <w:rPr>
          <w:sz w:val="20"/>
          <w:szCs w:val="20"/>
          <w:color w:val="auto"/>
        </w:rPr>
      </w:pPr>
      <w:r>
        <w:rPr>
          <w:rFonts w:ascii="Courier New" w:cs="Courier New" w:eastAsia="Courier New" w:hAnsi="Courier New"/>
          <w:sz w:val="16"/>
          <w:szCs w:val="16"/>
          <w:color w:val="auto"/>
        </w:rPr>
        <w:t>issued without registration.</w:t>
      </w:r>
    </w:p>
    <w:p>
      <w:pPr>
        <w:spacing w:after="0" w:line="180"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EXPIRATION DATE............</w:t>
      </w:r>
      <w:r>
        <w:rPr>
          <w:sz w:val="20"/>
          <w:szCs w:val="20"/>
          <w:color w:val="auto"/>
        </w:rPr>
        <w:tab/>
      </w:r>
      <w:r>
        <w:rPr>
          <w:rFonts w:ascii="Courier New" w:cs="Courier New" w:eastAsia="Courier New" w:hAnsi="Courier New"/>
          <w:sz w:val="15"/>
          <w:szCs w:val="15"/>
          <w:color w:val="auto"/>
        </w:rPr>
        <w:t>This exchange offer will expire at 5:00 p.m., New</w:t>
      </w:r>
    </w:p>
    <w:tbl>
      <w:tblPr>
        <w:tblLayout w:type="fixed"/>
        <w:tblInd w:w="0" w:type="dxa"/>
        <w:tblCellMar>
          <w:top w:w="0" w:type="dxa"/>
          <w:left w:w="0" w:type="dxa"/>
          <w:bottom w:w="0" w:type="dxa"/>
          <w:right w:w="0" w:type="dxa"/>
        </w:tblCellMar>
      </w:tblPr>
      <w:tr>
        <w:trPr>
          <w:trHeight w:val="180"/>
        </w:trPr>
        <w:tc>
          <w:tcPr>
            <w:tcW w:w="5020" w:type="dxa"/>
            <w:vAlign w:val="bottom"/>
          </w:tcPr>
          <w:p>
            <w:pPr>
              <w:ind w:left="2720"/>
              <w:spacing w:after="0"/>
              <w:rPr>
                <w:sz w:val="20"/>
                <w:szCs w:val="20"/>
                <w:color w:val="auto"/>
              </w:rPr>
            </w:pPr>
            <w:r>
              <w:rPr>
                <w:rFonts w:ascii="Courier New" w:cs="Courier New" w:eastAsia="Courier New" w:hAnsi="Courier New"/>
                <w:sz w:val="16"/>
                <w:szCs w:val="16"/>
                <w:color w:val="auto"/>
              </w:rPr>
              <w:t>York City time, on</w:t>
            </w:r>
          </w:p>
        </w:tc>
        <w:tc>
          <w:tcPr>
            <w:tcW w:w="1580" w:type="dxa"/>
            <w:vAlign w:val="bottom"/>
          </w:tcPr>
          <w:p>
            <w:pPr>
              <w:ind w:left="600"/>
              <w:spacing w:after="0"/>
              <w:rPr>
                <w:sz w:val="20"/>
                <w:szCs w:val="20"/>
                <w:color w:val="auto"/>
              </w:rPr>
            </w:pPr>
            <w:r>
              <w:rPr>
                <w:rFonts w:ascii="Courier New" w:cs="Courier New" w:eastAsia="Courier New" w:hAnsi="Courier New"/>
                <w:sz w:val="16"/>
                <w:szCs w:val="16"/>
                <w:color w:val="auto"/>
                <w:w w:val="99"/>
              </w:rPr>
              <w:t>, 2000. If</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w w:val="94"/>
              </w:rPr>
              <w:t>we choose</w:t>
            </w:r>
          </w:p>
        </w:tc>
      </w:tr>
      <w:tr>
        <w:trPr>
          <w:trHeight w:val="180"/>
        </w:trPr>
        <w:tc>
          <w:tcPr>
            <w:tcW w:w="7500" w:type="dxa"/>
            <w:vAlign w:val="bottom"/>
            <w:gridSpan w:val="3"/>
          </w:tcPr>
          <w:p>
            <w:pPr>
              <w:ind w:left="2720"/>
              <w:spacing w:after="0"/>
              <w:rPr>
                <w:sz w:val="20"/>
                <w:szCs w:val="20"/>
                <w:color w:val="auto"/>
              </w:rPr>
            </w:pPr>
            <w:r>
              <w:rPr>
                <w:rFonts w:ascii="Courier New" w:cs="Courier New" w:eastAsia="Courier New" w:hAnsi="Courier New"/>
                <w:sz w:val="16"/>
                <w:szCs w:val="16"/>
                <w:color w:val="auto"/>
              </w:rPr>
              <w:t>to extend the exchange offer, the expiration date</w:t>
            </w:r>
          </w:p>
        </w:tc>
      </w:tr>
      <w:tr>
        <w:trPr>
          <w:trHeight w:val="180"/>
        </w:trPr>
        <w:tc>
          <w:tcPr>
            <w:tcW w:w="6600" w:type="dxa"/>
            <w:vAlign w:val="bottom"/>
            <w:gridSpan w:val="2"/>
          </w:tcPr>
          <w:p>
            <w:pPr>
              <w:ind w:left="2720"/>
              <w:spacing w:after="0"/>
              <w:rPr>
                <w:sz w:val="20"/>
                <w:szCs w:val="20"/>
                <w:color w:val="auto"/>
              </w:rPr>
            </w:pPr>
            <w:r>
              <w:rPr>
                <w:rFonts w:ascii="Courier New" w:cs="Courier New" w:eastAsia="Courier New" w:hAnsi="Courier New"/>
                <w:sz w:val="16"/>
                <w:szCs w:val="16"/>
                <w:color w:val="auto"/>
                <w:w w:val="98"/>
              </w:rPr>
              <w:t>will be the latest date and time to which</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it is</w:t>
            </w:r>
          </w:p>
        </w:tc>
      </w:tr>
      <w:tr>
        <w:trPr>
          <w:trHeight w:val="180"/>
        </w:trPr>
        <w:tc>
          <w:tcPr>
            <w:tcW w:w="5020" w:type="dxa"/>
            <w:vAlign w:val="bottom"/>
          </w:tcPr>
          <w:p>
            <w:pPr>
              <w:ind w:left="2720"/>
              <w:spacing w:after="0"/>
              <w:rPr>
                <w:sz w:val="20"/>
                <w:szCs w:val="20"/>
                <w:color w:val="auto"/>
              </w:rPr>
            </w:pPr>
            <w:r>
              <w:rPr>
                <w:rFonts w:ascii="Courier New" w:cs="Courier New" w:eastAsia="Courier New" w:hAnsi="Courier New"/>
                <w:sz w:val="16"/>
                <w:szCs w:val="16"/>
                <w:color w:val="auto"/>
              </w:rPr>
              <w:t>extended.</w:t>
            </w:r>
          </w:p>
        </w:tc>
        <w:tc>
          <w:tcPr>
            <w:tcW w:w="1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PROCEDURES FOR EXCHANGING</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6600" w:type="dxa"/>
            <w:vAlign w:val="bottom"/>
            <w:gridSpan w:val="2"/>
          </w:tcPr>
          <w:p>
            <w:pPr>
              <w:spacing w:after="0"/>
              <w:rPr>
                <w:sz w:val="20"/>
                <w:szCs w:val="20"/>
                <w:color w:val="auto"/>
              </w:rPr>
            </w:pPr>
            <w:r>
              <w:rPr>
                <w:rFonts w:ascii="Courier New" w:cs="Courier New" w:eastAsia="Courier New" w:hAnsi="Courier New"/>
                <w:sz w:val="16"/>
                <w:szCs w:val="16"/>
                <w:color w:val="auto"/>
                <w:w w:val="97"/>
              </w:rPr>
              <w:t>NOTES......................  If you want to accept the exchange offer,</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you must</w:t>
            </w:r>
          </w:p>
        </w:tc>
      </w:tr>
      <w:tr>
        <w:trPr>
          <w:trHeight w:val="180"/>
        </w:trPr>
        <w:tc>
          <w:tcPr>
            <w:tcW w:w="7500" w:type="dxa"/>
            <w:vAlign w:val="bottom"/>
            <w:gridSpan w:val="3"/>
          </w:tcPr>
          <w:p>
            <w:pPr>
              <w:ind w:left="2720"/>
              <w:spacing w:after="0"/>
              <w:rPr>
                <w:sz w:val="20"/>
                <w:szCs w:val="20"/>
                <w:color w:val="auto"/>
              </w:rPr>
            </w:pPr>
            <w:r>
              <w:rPr>
                <w:rFonts w:ascii="Courier New" w:cs="Courier New" w:eastAsia="Courier New" w:hAnsi="Courier New"/>
                <w:sz w:val="16"/>
                <w:szCs w:val="16"/>
                <w:color w:val="auto"/>
                <w:w w:val="99"/>
              </w:rPr>
              <w:t>complete, sign and date the accompanying letter of</w:t>
            </w:r>
          </w:p>
        </w:tc>
      </w:tr>
      <w:tr>
        <w:trPr>
          <w:trHeight w:val="180"/>
        </w:trPr>
        <w:tc>
          <w:tcPr>
            <w:tcW w:w="6600" w:type="dxa"/>
            <w:vAlign w:val="bottom"/>
            <w:gridSpan w:val="2"/>
          </w:tcPr>
          <w:p>
            <w:pPr>
              <w:ind w:left="2720"/>
              <w:spacing w:after="0"/>
              <w:rPr>
                <w:sz w:val="20"/>
                <w:szCs w:val="20"/>
                <w:color w:val="auto"/>
              </w:rPr>
            </w:pPr>
            <w:r>
              <w:rPr>
                <w:rFonts w:ascii="Courier New" w:cs="Courier New" w:eastAsia="Courier New" w:hAnsi="Courier New"/>
                <w:sz w:val="16"/>
                <w:szCs w:val="16"/>
                <w:color w:val="auto"/>
                <w:w w:val="98"/>
              </w:rPr>
              <w:t>transmittal and deliver it, together with</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r>
      <w:tr>
        <w:trPr>
          <w:trHeight w:val="180"/>
        </w:trPr>
        <w:tc>
          <w:tcPr>
            <w:tcW w:w="66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original notes and any other required</w:t>
            </w:r>
          </w:p>
        </w:tc>
        <w:tc>
          <w:tcPr>
            <w:tcW w:w="900" w:type="dxa"/>
            <w:vAlign w:val="bottom"/>
          </w:tcPr>
          <w:p>
            <w:pPr>
              <w:spacing w:after="0"/>
              <w:rPr>
                <w:sz w:val="15"/>
                <w:szCs w:val="15"/>
                <w:color w:val="auto"/>
              </w:rPr>
            </w:pPr>
          </w:p>
        </w:tc>
      </w:tr>
    </w:tbl>
    <w:p>
      <w:pPr>
        <w:ind w:left="2720"/>
        <w:spacing w:after="0"/>
        <w:rPr>
          <w:sz w:val="20"/>
          <w:szCs w:val="20"/>
          <w:color w:val="auto"/>
        </w:rPr>
      </w:pPr>
      <w:r>
        <w:rPr>
          <w:rFonts w:ascii="Courier New" w:cs="Courier New" w:eastAsia="Courier New" w:hAnsi="Courier New"/>
          <w:sz w:val="16"/>
          <w:szCs w:val="16"/>
          <w:color w:val="auto"/>
        </w:rPr>
        <w:t>documentation, to the exchange agent before the</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expiration date. THE LETTER OF TRANSMITTAL INCLUDES</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DETAILED INSTRUCTIONS FOR ITS COMPLETION, EXECUTION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AND DELIVERY WHICH MUST BE FOLLOWED METICULOUSLY.</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3"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PROCEDURES FOR</w:t>
      </w:r>
    </w:p>
    <w:p>
      <w:pPr>
        <w:spacing w:after="0"/>
        <w:tabs>
          <w:tab w:leader="none" w:pos="2700" w:val="left"/>
        </w:tabs>
        <w:rPr>
          <w:sz w:val="20"/>
          <w:szCs w:val="20"/>
          <w:color w:val="auto"/>
        </w:rPr>
      </w:pPr>
      <w:r>
        <w:rPr>
          <w:rFonts w:ascii="Courier New" w:cs="Courier New" w:eastAsia="Courier New" w:hAnsi="Courier New"/>
          <w:sz w:val="16"/>
          <w:szCs w:val="16"/>
          <w:color w:val="auto"/>
        </w:rPr>
        <w:t>BENEFICIAL OWNERS..........</w:t>
      </w:r>
      <w:r>
        <w:rPr>
          <w:sz w:val="20"/>
          <w:szCs w:val="20"/>
          <w:color w:val="auto"/>
        </w:rPr>
        <w:tab/>
      </w:r>
      <w:r>
        <w:rPr>
          <w:rFonts w:ascii="Courier New" w:cs="Courier New" w:eastAsia="Courier New" w:hAnsi="Courier New"/>
          <w:sz w:val="15"/>
          <w:szCs w:val="15"/>
          <w:color w:val="auto"/>
        </w:rPr>
        <w:t>If your original notes are registered in the name</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of a broker, dealer, commercial bank, trust company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or other nominee and you wish to exchange your</w:t>
      </w:r>
    </w:p>
    <w:p>
      <w:pPr>
        <w:ind w:left="2720"/>
        <w:spacing w:after="0"/>
        <w:rPr>
          <w:sz w:val="20"/>
          <w:szCs w:val="20"/>
          <w:color w:val="auto"/>
        </w:rPr>
      </w:pPr>
      <w:r>
        <w:rPr>
          <w:rFonts w:ascii="Courier New" w:cs="Courier New" w:eastAsia="Courier New" w:hAnsi="Courier New"/>
          <w:sz w:val="16"/>
          <w:szCs w:val="16"/>
          <w:color w:val="auto"/>
        </w:rPr>
        <w:t>notes, you should contact the registered holder</w:t>
      </w:r>
    </w:p>
    <w:p>
      <w:pPr>
        <w:ind w:left="2720"/>
        <w:spacing w:after="0" w:line="237" w:lineRule="auto"/>
        <w:rPr>
          <w:sz w:val="20"/>
          <w:szCs w:val="20"/>
          <w:color w:val="auto"/>
        </w:rPr>
      </w:pPr>
      <w:r>
        <w:rPr>
          <w:rFonts w:ascii="Courier New" w:cs="Courier New" w:eastAsia="Courier New" w:hAnsi="Courier New"/>
          <w:sz w:val="16"/>
          <w:szCs w:val="16"/>
          <w:color w:val="auto"/>
        </w:rPr>
        <w:t>promptly and instruct it to exchange the notes on</w:t>
      </w:r>
    </w:p>
    <w:p>
      <w:pPr>
        <w:ind w:left="2720"/>
        <w:spacing w:after="0"/>
        <w:rPr>
          <w:sz w:val="20"/>
          <w:szCs w:val="20"/>
          <w:color w:val="auto"/>
        </w:rPr>
      </w:pPr>
      <w:r>
        <w:rPr>
          <w:rFonts w:ascii="Courier New" w:cs="Courier New" w:eastAsia="Courier New" w:hAnsi="Courier New"/>
          <w:sz w:val="16"/>
          <w:szCs w:val="16"/>
          <w:color w:val="auto"/>
        </w:rPr>
        <w:t>your behalf.</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GUARANTEED DELIVERY</w:t>
      </w:r>
    </w:p>
    <w:p>
      <w:pPr>
        <w:spacing w:after="0"/>
        <w:tabs>
          <w:tab w:leader="none" w:pos="2700" w:val="left"/>
        </w:tabs>
        <w:rPr>
          <w:sz w:val="20"/>
          <w:szCs w:val="20"/>
          <w:color w:val="auto"/>
        </w:rPr>
      </w:pPr>
      <w:r>
        <w:rPr>
          <w:rFonts w:ascii="Courier New" w:cs="Courier New" w:eastAsia="Courier New" w:hAnsi="Courier New"/>
          <w:sz w:val="16"/>
          <w:szCs w:val="16"/>
          <w:color w:val="auto"/>
        </w:rPr>
        <w:t>PROCEDURES.................</w:t>
      </w:r>
      <w:r>
        <w:rPr>
          <w:sz w:val="20"/>
          <w:szCs w:val="20"/>
          <w:color w:val="auto"/>
        </w:rPr>
        <w:tab/>
      </w:r>
      <w:r>
        <w:rPr>
          <w:rFonts w:ascii="Courier New" w:cs="Courier New" w:eastAsia="Courier New" w:hAnsi="Courier New"/>
          <w:sz w:val="15"/>
          <w:szCs w:val="15"/>
          <w:color w:val="auto"/>
        </w:rPr>
        <w:t>If you cannot deliver the original notes, the</w:t>
      </w:r>
    </w:p>
    <w:p>
      <w:pPr>
        <w:ind w:left="2720"/>
        <w:spacing w:after="0" w:line="237" w:lineRule="auto"/>
        <w:rPr>
          <w:sz w:val="20"/>
          <w:szCs w:val="20"/>
          <w:color w:val="auto"/>
        </w:rPr>
      </w:pPr>
      <w:r>
        <w:rPr>
          <w:rFonts w:ascii="Courier New" w:cs="Courier New" w:eastAsia="Courier New" w:hAnsi="Courier New"/>
          <w:sz w:val="16"/>
          <w:szCs w:val="16"/>
          <w:color w:val="auto"/>
        </w:rPr>
        <w:t>letter of transmittal or any other documents</w:t>
      </w:r>
    </w:p>
    <w:p>
      <w:pPr>
        <w:ind w:left="2720"/>
        <w:spacing w:after="0"/>
        <w:rPr>
          <w:sz w:val="20"/>
          <w:szCs w:val="20"/>
          <w:color w:val="auto"/>
        </w:rPr>
      </w:pPr>
      <w:r>
        <w:rPr>
          <w:rFonts w:ascii="Courier New" w:cs="Courier New" w:eastAsia="Courier New" w:hAnsi="Courier New"/>
          <w:sz w:val="16"/>
          <w:szCs w:val="16"/>
          <w:color w:val="auto"/>
        </w:rPr>
        <w:t>required by the letter of transmittal to the</w:t>
      </w:r>
    </w:p>
    <w:p>
      <w:pPr>
        <w:ind w:left="2720"/>
        <w:spacing w:after="0" w:line="238" w:lineRule="auto"/>
        <w:rPr>
          <w:sz w:val="20"/>
          <w:szCs w:val="20"/>
          <w:color w:val="auto"/>
        </w:rPr>
      </w:pPr>
      <w:r>
        <w:rPr>
          <w:rFonts w:ascii="Courier New" w:cs="Courier New" w:eastAsia="Courier New" w:hAnsi="Courier New"/>
          <w:sz w:val="16"/>
          <w:szCs w:val="16"/>
          <w:color w:val="auto"/>
        </w:rPr>
        <w:t>exchange agent prior to the expiration date, and</w:t>
      </w:r>
    </w:p>
    <w:p>
      <w:pPr>
        <w:ind w:left="2720"/>
        <w:spacing w:after="0"/>
        <w:rPr>
          <w:sz w:val="20"/>
          <w:szCs w:val="20"/>
          <w:color w:val="auto"/>
        </w:rPr>
      </w:pPr>
      <w:r>
        <w:rPr>
          <w:rFonts w:ascii="Courier New" w:cs="Courier New" w:eastAsia="Courier New" w:hAnsi="Courier New"/>
          <w:sz w:val="16"/>
          <w:szCs w:val="16"/>
          <w:color w:val="auto"/>
        </w:rPr>
        <w:t>you cannot comply with the procedures for</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book-entry transfer, you must follow the guaranteed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delivery procedures. See "The Exchange</w:t>
      </w:r>
    </w:p>
    <w:p>
      <w:pPr>
        <w:ind w:left="2720"/>
        <w:spacing w:after="0"/>
        <w:rPr>
          <w:sz w:val="20"/>
          <w:szCs w:val="20"/>
          <w:color w:val="auto"/>
        </w:rPr>
      </w:pPr>
      <w:r>
        <w:rPr>
          <w:rFonts w:ascii="Courier New" w:cs="Courier New" w:eastAsia="Courier New" w:hAnsi="Courier New"/>
          <w:sz w:val="16"/>
          <w:szCs w:val="16"/>
          <w:color w:val="auto"/>
        </w:rPr>
        <w:t>Offer -- Guaranteed Delivery Procedures."</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WITHDRAWAL RIGHTS..........</w:t>
      </w:r>
      <w:r>
        <w:rPr>
          <w:sz w:val="20"/>
          <w:szCs w:val="20"/>
          <w:color w:val="auto"/>
        </w:rPr>
        <w:tab/>
      </w:r>
      <w:r>
        <w:rPr>
          <w:rFonts w:ascii="Courier New" w:cs="Courier New" w:eastAsia="Courier New" w:hAnsi="Courier New"/>
          <w:sz w:val="15"/>
          <w:szCs w:val="15"/>
          <w:color w:val="auto"/>
        </w:rPr>
        <w:t>Notes delivered for exchange may be withdrawn at</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any time prior to 5:00 p.m., New York City time, 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expiration date.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ACCEPTANCE OF ORIGINAL</w:t>
      </w:r>
    </w:p>
    <w:p>
      <w:pPr>
        <w:spacing w:after="0"/>
        <w:rPr>
          <w:sz w:val="20"/>
          <w:szCs w:val="20"/>
          <w:color w:val="auto"/>
        </w:rPr>
      </w:pPr>
      <w:r>
        <w:rPr>
          <w:rFonts w:ascii="Courier New" w:cs="Courier New" w:eastAsia="Courier New" w:hAnsi="Courier New"/>
          <w:sz w:val="16"/>
          <w:szCs w:val="16"/>
          <w:color w:val="auto"/>
        </w:rPr>
        <w:t>NOTES AND DELIVERY OF NEW</w:t>
      </w:r>
    </w:p>
    <w:p>
      <w:pPr>
        <w:ind w:left="180"/>
        <w:spacing w:after="0"/>
        <w:tabs>
          <w:tab w:leader="none" w:pos="270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5"/>
          <w:szCs w:val="15"/>
          <w:color w:val="auto"/>
        </w:rPr>
        <w:t>We will accept for exchange any original notes that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are properly delivered prior to 5:00 p.m., New York</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City time, on the expiration date. We will deliver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new notes promptly following the expiration date.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CONSEQUENCES OF FAILURE TO</w:t>
      </w:r>
    </w:p>
    <w:p>
      <w:pPr>
        <w:ind w:left="180"/>
        <w:spacing w:after="0"/>
        <w:tabs>
          <w:tab w:leader="none" w:pos="2700" w:val="left"/>
        </w:tabs>
        <w:rPr>
          <w:sz w:val="20"/>
          <w:szCs w:val="20"/>
          <w:color w:val="auto"/>
        </w:rPr>
      </w:pPr>
      <w:r>
        <w:rPr>
          <w:rFonts w:ascii="Courier New" w:cs="Courier New" w:eastAsia="Courier New" w:hAnsi="Courier New"/>
          <w:sz w:val="16"/>
          <w:szCs w:val="16"/>
          <w:color w:val="auto"/>
        </w:rPr>
        <w:t>EXCHANGE.................</w:t>
      </w:r>
      <w:r>
        <w:rPr>
          <w:sz w:val="20"/>
          <w:szCs w:val="20"/>
          <w:color w:val="auto"/>
        </w:rPr>
        <w:tab/>
      </w:r>
      <w:r>
        <w:rPr>
          <w:rFonts w:ascii="Courier New" w:cs="Courier New" w:eastAsia="Courier New" w:hAnsi="Courier New"/>
          <w:sz w:val="15"/>
          <w:szCs w:val="15"/>
          <w:color w:val="auto"/>
        </w:rPr>
        <w:t>If you are eligible to participate in the exchange</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offer but do not exchange your original notes, you</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will not have any exchange rights following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closing of this exchange offer. Your original notes</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will remain restricted securities and may be resold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only:</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 to Scotts;</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 to a qualified institutional buyer under Rule</w:t>
      </w:r>
    </w:p>
    <w:p>
      <w:pPr>
        <w:ind w:left="2900"/>
        <w:spacing w:after="0"/>
        <w:rPr>
          <w:sz w:val="20"/>
          <w:szCs w:val="20"/>
          <w:color w:val="auto"/>
        </w:rPr>
      </w:pPr>
      <w:r>
        <w:rPr>
          <w:rFonts w:ascii="Courier New" w:cs="Courier New" w:eastAsia="Courier New" w:hAnsi="Courier New"/>
          <w:sz w:val="16"/>
          <w:szCs w:val="16"/>
          <w:color w:val="auto"/>
        </w:rPr>
        <w:t>144A or Rule 144 under the Securities Act;</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 in an offshore transaction under Rule 903 or Rule</w:t>
      </w:r>
    </w:p>
    <w:p>
      <w:pPr>
        <w:ind w:left="2900"/>
        <w:spacing w:after="0"/>
        <w:rPr>
          <w:sz w:val="20"/>
          <w:szCs w:val="20"/>
          <w:color w:val="auto"/>
        </w:rPr>
      </w:pPr>
      <w:r>
        <w:rPr>
          <w:rFonts w:ascii="Courier New" w:cs="Courier New" w:eastAsia="Courier New" w:hAnsi="Courier New"/>
          <w:sz w:val="16"/>
          <w:szCs w:val="16"/>
          <w:color w:val="auto"/>
        </w:rPr>
        <w:t>904 of Regulation S under the Securities Act;</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 to an institutional accredited investor;</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 in a transaction otherwise exempt from</w:t>
      </w:r>
    </w:p>
    <w:p>
      <w:pPr>
        <w:ind w:left="2900"/>
        <w:spacing w:after="0"/>
        <w:rPr>
          <w:sz w:val="20"/>
          <w:szCs w:val="20"/>
          <w:color w:val="auto"/>
        </w:rPr>
      </w:pPr>
      <w:r>
        <w:rPr>
          <w:rFonts w:ascii="Courier New" w:cs="Courier New" w:eastAsia="Courier New" w:hAnsi="Courier New"/>
          <w:sz w:val="16"/>
          <w:szCs w:val="16"/>
          <w:color w:val="auto"/>
        </w:rPr>
        <w:t>registration under the Securities Act; or</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 pursuant to an effective registration statement</w:t>
      </w:r>
    </w:p>
    <w:p>
      <w:pPr>
        <w:ind w:left="2900"/>
        <w:spacing w:after="0"/>
        <w:rPr>
          <w:sz w:val="20"/>
          <w:szCs w:val="20"/>
          <w:color w:val="auto"/>
        </w:rPr>
      </w:pPr>
      <w:r>
        <w:rPr>
          <w:rFonts w:ascii="Courier New" w:cs="Courier New" w:eastAsia="Courier New" w:hAnsi="Courier New"/>
          <w:sz w:val="16"/>
          <w:szCs w:val="16"/>
          <w:color w:val="auto"/>
        </w:rPr>
        <w:t>under the Securities Act.</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RESALE OF THE NOTES........</w:t>
      </w:r>
      <w:r>
        <w:rPr>
          <w:sz w:val="20"/>
          <w:szCs w:val="20"/>
          <w:color w:val="auto"/>
        </w:rPr>
        <w:tab/>
      </w:r>
      <w:r>
        <w:rPr>
          <w:rFonts w:ascii="Courier New" w:cs="Courier New" w:eastAsia="Courier New" w:hAnsi="Courier New"/>
          <w:sz w:val="15"/>
          <w:szCs w:val="15"/>
          <w:color w:val="auto"/>
        </w:rPr>
        <w:t>Based on interpretations by the staff of the</w:t>
      </w:r>
    </w:p>
    <w:p>
      <w:pPr>
        <w:ind w:left="2720"/>
        <w:spacing w:after="0"/>
        <w:rPr>
          <w:sz w:val="20"/>
          <w:szCs w:val="20"/>
          <w:color w:val="auto"/>
        </w:rPr>
      </w:pPr>
      <w:r>
        <w:rPr>
          <w:rFonts w:ascii="Courier New" w:cs="Courier New" w:eastAsia="Courier New" w:hAnsi="Courier New"/>
          <w:sz w:val="16"/>
          <w:szCs w:val="16"/>
          <w:color w:val="auto"/>
        </w:rPr>
        <w:t>Commission in no-action letters to third parties,</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we believe that the notes to be issued in exchange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for original notes may be offered for resale and</w:t>
      </w:r>
    </w:p>
    <w:p>
      <w:pPr>
        <w:ind w:left="2720"/>
        <w:spacing w:after="0"/>
        <w:rPr>
          <w:sz w:val="20"/>
          <w:szCs w:val="20"/>
          <w:color w:val="auto"/>
        </w:rPr>
      </w:pPr>
      <w:r>
        <w:rPr>
          <w:rFonts w:ascii="Courier New" w:cs="Courier New" w:eastAsia="Courier New" w:hAnsi="Courier New"/>
          <w:sz w:val="16"/>
          <w:szCs w:val="16"/>
          <w:color w:val="auto"/>
        </w:rPr>
        <w:t>may be resold or otherwise transferred without</w:t>
      </w:r>
    </w:p>
    <w:p>
      <w:pPr>
        <w:ind w:left="2720"/>
        <w:spacing w:after="0" w:line="237" w:lineRule="auto"/>
        <w:rPr>
          <w:sz w:val="20"/>
          <w:szCs w:val="20"/>
          <w:color w:val="auto"/>
        </w:rPr>
      </w:pPr>
      <w:r>
        <w:rPr>
          <w:rFonts w:ascii="Courier New" w:cs="Courier New" w:eastAsia="Courier New" w:hAnsi="Courier New"/>
          <w:sz w:val="16"/>
          <w:szCs w:val="16"/>
          <w:color w:val="auto"/>
        </w:rPr>
        <w:t>restriction, except as follows: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 a broker-dealer who purchased original notes</w:t>
      </w:r>
    </w:p>
    <w:p>
      <w:pPr>
        <w:ind w:left="2900"/>
        <w:spacing w:after="0"/>
        <w:rPr>
          <w:sz w:val="20"/>
          <w:szCs w:val="20"/>
          <w:color w:val="auto"/>
        </w:rPr>
      </w:pPr>
      <w:r>
        <w:rPr>
          <w:rFonts w:ascii="Courier New" w:cs="Courier New" w:eastAsia="Courier New" w:hAnsi="Courier New"/>
          <w:sz w:val="16"/>
          <w:szCs w:val="16"/>
          <w:color w:val="auto"/>
        </w:rPr>
        <w:t>directly from Scotts for resale under Rule 144A</w:t>
      </w:r>
    </w:p>
    <w:p>
      <w:pPr>
        <w:ind w:left="2900"/>
        <w:spacing w:after="0" w:line="237" w:lineRule="auto"/>
        <w:rPr>
          <w:sz w:val="20"/>
          <w:szCs w:val="20"/>
          <w:color w:val="auto"/>
        </w:rPr>
      </w:pPr>
      <w:r>
        <w:rPr>
          <w:rFonts w:ascii="Courier New" w:cs="Courier New" w:eastAsia="Courier New" w:hAnsi="Courier New"/>
          <w:sz w:val="16"/>
          <w:szCs w:val="16"/>
          <w:color w:val="auto"/>
        </w:rPr>
        <w:t>or another exemption under the Securities Act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must comply with the registration and prospectus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delivery provisions of the Securities Act; and</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 a person that is an "affiliate" of Scotts within</w:t>
      </w:r>
    </w:p>
    <w:p>
      <w:pPr>
        <w:spacing w:after="0" w:line="5"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the meaning of Rule 405 under the Securities Act,</w:t>
      </w:r>
    </w:p>
    <w:p>
      <w:pPr>
        <w:ind w:left="2900"/>
        <w:spacing w:after="0"/>
        <w:rPr>
          <w:sz w:val="20"/>
          <w:szCs w:val="20"/>
          <w:color w:val="auto"/>
        </w:rPr>
      </w:pPr>
      <w:r>
        <w:rPr>
          <w:rFonts w:ascii="Courier New" w:cs="Courier New" w:eastAsia="Courier New" w:hAnsi="Courier New"/>
          <w:sz w:val="16"/>
          <w:szCs w:val="16"/>
          <w:color w:val="auto"/>
        </w:rPr>
        <w:t>must sell under Rule 144 or another exemption</w:t>
      </w:r>
    </w:p>
    <w:p>
      <w:pPr>
        <w:ind w:left="2900"/>
        <w:spacing w:after="0" w:line="237" w:lineRule="auto"/>
        <w:rPr>
          <w:sz w:val="20"/>
          <w:szCs w:val="20"/>
          <w:color w:val="auto"/>
        </w:rPr>
      </w:pPr>
      <w:r>
        <w:rPr>
          <w:rFonts w:ascii="Courier New" w:cs="Courier New" w:eastAsia="Courier New" w:hAnsi="Courier New"/>
          <w:sz w:val="16"/>
          <w:szCs w:val="16"/>
          <w:color w:val="auto"/>
        </w:rPr>
        <w:t>under the Securities Act.</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If a broker-dealer or affiliate transfers notes in</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violation of the prospectus delivery provisions of</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Securities Act or without an</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3"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exemption from registration, it may incur liability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under the Securities Act. We do not indemnify</w:t>
      </w:r>
    </w:p>
    <w:p>
      <w:pPr>
        <w:ind w:left="2720"/>
        <w:spacing w:after="0"/>
        <w:rPr>
          <w:sz w:val="20"/>
          <w:szCs w:val="20"/>
          <w:color w:val="auto"/>
        </w:rPr>
      </w:pPr>
      <w:r>
        <w:rPr>
          <w:rFonts w:ascii="Courier New" w:cs="Courier New" w:eastAsia="Courier New" w:hAnsi="Courier New"/>
          <w:sz w:val="16"/>
          <w:szCs w:val="16"/>
          <w:color w:val="auto"/>
        </w:rPr>
        <w:t>holders of notes against liability under the</w:t>
      </w:r>
    </w:p>
    <w:p>
      <w:pPr>
        <w:ind w:left="2720"/>
        <w:spacing w:after="0" w:line="237" w:lineRule="auto"/>
        <w:rPr>
          <w:sz w:val="20"/>
          <w:szCs w:val="20"/>
          <w:color w:val="auto"/>
        </w:rPr>
      </w:pPr>
      <w:r>
        <w:rPr>
          <w:rFonts w:ascii="Courier New" w:cs="Courier New" w:eastAsia="Courier New" w:hAnsi="Courier New"/>
          <w:sz w:val="16"/>
          <w:szCs w:val="16"/>
          <w:color w:val="auto"/>
        </w:rPr>
        <w:t>Securities Act.</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Each broker-dealer that is issued notes in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exchange offer for its own account in exchange for</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notes which were acquired by the broker-dealer as 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result of market-making or other trading</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activities, must acknowledge that it will deliver 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prospectus meeting the requirements of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Securities Act in connection with any resale of the</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notes issued in the exchange offer. We have agreed</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that a broker-dealer may use this prospectus for an</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offer to resell, resale or other retransfer of the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notes issued to it in the exchange offer.</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All resales of notes must be made in compliance</w:t>
      </w:r>
    </w:p>
    <w:p>
      <w:pPr>
        <w:ind w:left="2720"/>
        <w:spacing w:after="0"/>
        <w:rPr>
          <w:sz w:val="20"/>
          <w:szCs w:val="20"/>
          <w:color w:val="auto"/>
        </w:rPr>
      </w:pPr>
      <w:r>
        <w:rPr>
          <w:rFonts w:ascii="Courier New" w:cs="Courier New" w:eastAsia="Courier New" w:hAnsi="Courier New"/>
          <w:sz w:val="16"/>
          <w:szCs w:val="16"/>
          <w:color w:val="auto"/>
        </w:rPr>
        <w:t>with applicable state securities or "blue sky"</w:t>
      </w:r>
    </w:p>
    <w:p>
      <w:pPr>
        <w:ind w:left="2720"/>
        <w:spacing w:after="0" w:line="237" w:lineRule="auto"/>
        <w:rPr>
          <w:sz w:val="20"/>
          <w:szCs w:val="20"/>
          <w:color w:val="auto"/>
        </w:rPr>
      </w:pPr>
      <w:r>
        <w:rPr>
          <w:rFonts w:ascii="Courier New" w:cs="Courier New" w:eastAsia="Courier New" w:hAnsi="Courier New"/>
          <w:sz w:val="16"/>
          <w:szCs w:val="16"/>
          <w:color w:val="auto"/>
        </w:rPr>
        <w:t>laws. We assume no responsibility for your</w:t>
      </w:r>
    </w:p>
    <w:p>
      <w:pPr>
        <w:ind w:left="2720"/>
        <w:spacing w:after="0"/>
        <w:rPr>
          <w:sz w:val="20"/>
          <w:szCs w:val="20"/>
          <w:color w:val="auto"/>
        </w:rPr>
      </w:pPr>
      <w:r>
        <w:rPr>
          <w:rFonts w:ascii="Courier New" w:cs="Courier New" w:eastAsia="Courier New" w:hAnsi="Courier New"/>
          <w:sz w:val="16"/>
          <w:szCs w:val="16"/>
          <w:color w:val="auto"/>
        </w:rPr>
        <w:t>compliance with these requirements. We are not</w:t>
      </w:r>
    </w:p>
    <w:p>
      <w:pPr>
        <w:ind w:left="2720"/>
        <w:spacing w:after="0" w:line="238" w:lineRule="auto"/>
        <w:rPr>
          <w:sz w:val="20"/>
          <w:szCs w:val="20"/>
          <w:color w:val="auto"/>
        </w:rPr>
      </w:pPr>
      <w:r>
        <w:rPr>
          <w:rFonts w:ascii="Courier New" w:cs="Courier New" w:eastAsia="Courier New" w:hAnsi="Courier New"/>
          <w:sz w:val="16"/>
          <w:szCs w:val="16"/>
          <w:color w:val="auto"/>
        </w:rPr>
        <w:t>making the exchange offer to, and will not accept</w:t>
      </w:r>
    </w:p>
    <w:p>
      <w:pPr>
        <w:ind w:left="2720"/>
        <w:spacing w:after="0"/>
        <w:rPr>
          <w:sz w:val="20"/>
          <w:szCs w:val="20"/>
          <w:color w:val="auto"/>
        </w:rPr>
      </w:pPr>
      <w:r>
        <w:rPr>
          <w:rFonts w:ascii="Courier New" w:cs="Courier New" w:eastAsia="Courier New" w:hAnsi="Courier New"/>
          <w:sz w:val="16"/>
          <w:szCs w:val="16"/>
          <w:color w:val="auto"/>
        </w:rPr>
        <w:t>surrenders for exchange from, holders of original</w:t>
      </w:r>
    </w:p>
    <w:p>
      <w:pPr>
        <w:ind w:left="2720"/>
        <w:spacing w:after="0" w:line="238" w:lineRule="auto"/>
        <w:rPr>
          <w:sz w:val="20"/>
          <w:szCs w:val="20"/>
          <w:color w:val="auto"/>
        </w:rPr>
      </w:pPr>
      <w:r>
        <w:rPr>
          <w:rFonts w:ascii="Courier New" w:cs="Courier New" w:eastAsia="Courier New" w:hAnsi="Courier New"/>
          <w:sz w:val="16"/>
          <w:szCs w:val="16"/>
          <w:color w:val="auto"/>
        </w:rPr>
        <w:t>notes in any jurisdiction in which the exchange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offer or the acceptance of the exchange offer would</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 be in compliance with the applicable securities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or "blue sky" laws.</w:t>
      </w:r>
    </w:p>
    <w:p>
      <w:pPr>
        <w:spacing w:after="0" w:line="36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We will require that each holder who wants to</w:t>
      </w:r>
    </w:p>
    <w:p>
      <w:pPr>
        <w:ind w:left="2720"/>
        <w:spacing w:after="0"/>
        <w:rPr>
          <w:sz w:val="20"/>
          <w:szCs w:val="20"/>
          <w:color w:val="auto"/>
        </w:rPr>
      </w:pPr>
      <w:r>
        <w:rPr>
          <w:rFonts w:ascii="Courier New" w:cs="Courier New" w:eastAsia="Courier New" w:hAnsi="Courier New"/>
          <w:sz w:val="16"/>
          <w:szCs w:val="16"/>
          <w:color w:val="auto"/>
        </w:rPr>
        <w:t>participate in the exchange offer represent to</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Scotts in the letter of transmittal that the holder</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is acquiring the notes to be issued in the exchange</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offer in the ordinary course of business and is not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participating, and has no arrangement or</w:t>
      </w:r>
    </w:p>
    <w:p>
      <w:pPr>
        <w:ind w:left="2720"/>
        <w:spacing w:after="0"/>
        <w:rPr>
          <w:sz w:val="20"/>
          <w:szCs w:val="20"/>
          <w:color w:val="auto"/>
        </w:rPr>
      </w:pPr>
      <w:r>
        <w:rPr>
          <w:rFonts w:ascii="Courier New" w:cs="Courier New" w:eastAsia="Courier New" w:hAnsi="Courier New"/>
          <w:sz w:val="16"/>
          <w:szCs w:val="16"/>
          <w:color w:val="auto"/>
        </w:rPr>
        <w:t>understanding with any person to participate, in</w:t>
      </w:r>
    </w:p>
    <w:p>
      <w:pPr>
        <w:ind w:left="2720"/>
        <w:spacing w:after="0" w:line="237" w:lineRule="auto"/>
        <w:rPr>
          <w:sz w:val="20"/>
          <w:szCs w:val="20"/>
          <w:color w:val="auto"/>
        </w:rPr>
      </w:pPr>
      <w:r>
        <w:rPr>
          <w:rFonts w:ascii="Courier New" w:cs="Courier New" w:eastAsia="Courier New" w:hAnsi="Courier New"/>
          <w:sz w:val="16"/>
          <w:szCs w:val="16"/>
          <w:color w:val="auto"/>
        </w:rPr>
        <w:t>the distribution of the notes to be issued in the</w:t>
      </w:r>
    </w:p>
    <w:p>
      <w:pPr>
        <w:ind w:left="2720"/>
        <w:spacing w:after="0"/>
        <w:rPr>
          <w:sz w:val="20"/>
          <w:szCs w:val="20"/>
          <w:color w:val="auto"/>
        </w:rPr>
      </w:pPr>
      <w:r>
        <w:rPr>
          <w:rFonts w:ascii="Courier New" w:cs="Courier New" w:eastAsia="Courier New" w:hAnsi="Courier New"/>
          <w:sz w:val="16"/>
          <w:szCs w:val="16"/>
          <w:color w:val="auto"/>
        </w:rPr>
        <w:t>exchange offer. If a holder inaccurately makes</w:t>
      </w:r>
    </w:p>
    <w:p>
      <w:pPr>
        <w:ind w:left="2720"/>
        <w:spacing w:after="0" w:line="238" w:lineRule="auto"/>
        <w:rPr>
          <w:sz w:val="20"/>
          <w:szCs w:val="20"/>
          <w:color w:val="auto"/>
        </w:rPr>
      </w:pPr>
      <w:r>
        <w:rPr>
          <w:rFonts w:ascii="Courier New" w:cs="Courier New" w:eastAsia="Courier New" w:hAnsi="Courier New"/>
          <w:sz w:val="16"/>
          <w:szCs w:val="16"/>
          <w:color w:val="auto"/>
        </w:rPr>
        <w:t>these representations and transfers notes in</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violation of the prospectus delivery provisions of</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Securities Act and without an exemption from</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registration, the holder may incur liability under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Securities Act. Scotts does not assume or</w:t>
      </w:r>
    </w:p>
    <w:p>
      <w:pPr>
        <w:ind w:left="2720"/>
        <w:spacing w:after="0"/>
        <w:rPr>
          <w:sz w:val="20"/>
          <w:szCs w:val="20"/>
          <w:color w:val="auto"/>
        </w:rPr>
      </w:pPr>
      <w:r>
        <w:rPr>
          <w:rFonts w:ascii="Courier New" w:cs="Courier New" w:eastAsia="Courier New" w:hAnsi="Courier New"/>
          <w:sz w:val="16"/>
          <w:szCs w:val="16"/>
          <w:color w:val="auto"/>
        </w:rPr>
        <w:t>indemnify holders of notes issued in the exchange</w:t>
      </w:r>
    </w:p>
    <w:p>
      <w:pPr>
        <w:ind w:left="2720"/>
        <w:spacing w:after="0" w:line="237" w:lineRule="auto"/>
        <w:rPr>
          <w:sz w:val="20"/>
          <w:szCs w:val="20"/>
          <w:color w:val="auto"/>
        </w:rPr>
      </w:pPr>
      <w:r>
        <w:rPr>
          <w:rFonts w:ascii="Courier New" w:cs="Courier New" w:eastAsia="Courier New" w:hAnsi="Courier New"/>
          <w:sz w:val="16"/>
          <w:szCs w:val="16"/>
          <w:color w:val="auto"/>
        </w:rPr>
        <w:t>offer against liability under the Securities Act,</w:t>
      </w:r>
    </w:p>
    <w:p>
      <w:pPr>
        <w:ind w:left="2720"/>
        <w:spacing w:after="0"/>
        <w:rPr>
          <w:sz w:val="20"/>
          <w:szCs w:val="20"/>
          <w:color w:val="auto"/>
        </w:rPr>
      </w:pPr>
      <w:r>
        <w:rPr>
          <w:rFonts w:ascii="Courier New" w:cs="Courier New" w:eastAsia="Courier New" w:hAnsi="Courier New"/>
          <w:sz w:val="16"/>
          <w:szCs w:val="16"/>
          <w:color w:val="auto"/>
        </w:rPr>
        <w:t>although, if the representations are true, Scotts</w:t>
      </w:r>
    </w:p>
    <w:p>
      <w:pPr>
        <w:ind w:left="2720"/>
        <w:spacing w:after="0" w:line="238" w:lineRule="auto"/>
        <w:rPr>
          <w:sz w:val="20"/>
          <w:szCs w:val="20"/>
          <w:color w:val="auto"/>
        </w:rPr>
      </w:pPr>
      <w:r>
        <w:rPr>
          <w:rFonts w:ascii="Courier New" w:cs="Courier New" w:eastAsia="Courier New" w:hAnsi="Courier New"/>
          <w:sz w:val="16"/>
          <w:szCs w:val="16"/>
          <w:color w:val="auto"/>
        </w:rPr>
        <w:t>does not believe that any liability should exist.</w:t>
      </w:r>
    </w:p>
    <w:p>
      <w:pPr>
        <w:spacing w:after="0" w:line="36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If you are unable to participate in the exchange</w:t>
      </w:r>
    </w:p>
    <w:p>
      <w:pPr>
        <w:ind w:left="2720"/>
        <w:spacing w:after="0"/>
        <w:rPr>
          <w:sz w:val="20"/>
          <w:szCs w:val="20"/>
          <w:color w:val="auto"/>
        </w:rPr>
      </w:pPr>
      <w:r>
        <w:rPr>
          <w:rFonts w:ascii="Courier New" w:cs="Courier New" w:eastAsia="Courier New" w:hAnsi="Courier New"/>
          <w:sz w:val="16"/>
          <w:szCs w:val="16"/>
          <w:color w:val="auto"/>
        </w:rPr>
        <w:t>offer because of applicable law, the Commission's</w:t>
      </w:r>
    </w:p>
    <w:p>
      <w:pPr>
        <w:ind w:left="2720"/>
        <w:spacing w:after="0" w:line="237" w:lineRule="auto"/>
        <w:rPr>
          <w:sz w:val="20"/>
          <w:szCs w:val="20"/>
          <w:color w:val="auto"/>
        </w:rPr>
      </w:pPr>
      <w:r>
        <w:rPr>
          <w:rFonts w:ascii="Courier New" w:cs="Courier New" w:eastAsia="Courier New" w:hAnsi="Courier New"/>
          <w:sz w:val="16"/>
          <w:szCs w:val="16"/>
          <w:color w:val="auto"/>
        </w:rPr>
        <w:t>policies or your status as an affiliate of Scotts</w:t>
      </w:r>
    </w:p>
    <w:p>
      <w:pPr>
        <w:ind w:left="2720"/>
        <w:spacing w:after="0"/>
        <w:rPr>
          <w:sz w:val="20"/>
          <w:szCs w:val="20"/>
          <w:color w:val="auto"/>
        </w:rPr>
      </w:pPr>
      <w:r>
        <w:rPr>
          <w:rFonts w:ascii="Courier New" w:cs="Courier New" w:eastAsia="Courier New" w:hAnsi="Courier New"/>
          <w:sz w:val="16"/>
          <w:szCs w:val="16"/>
          <w:color w:val="auto"/>
        </w:rPr>
        <w:t>or as a broker-dealer who acquired notes directly</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from us or one of our affiliates, we have agreed to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file another registration statement with the</w:t>
      </w:r>
    </w:p>
    <w:p>
      <w:pPr>
        <w:ind w:left="2720"/>
        <w:spacing w:after="0"/>
        <w:rPr>
          <w:sz w:val="20"/>
          <w:szCs w:val="20"/>
          <w:color w:val="auto"/>
        </w:rPr>
      </w:pPr>
      <w:r>
        <w:rPr>
          <w:rFonts w:ascii="Courier New" w:cs="Courier New" w:eastAsia="Courier New" w:hAnsi="Courier New"/>
          <w:sz w:val="16"/>
          <w:szCs w:val="16"/>
          <w:color w:val="auto"/>
        </w:rPr>
        <w:t>Commission. This second registration statement</w:t>
      </w:r>
    </w:p>
    <w:p>
      <w:pPr>
        <w:ind w:left="2720"/>
        <w:spacing w:after="0" w:line="237" w:lineRule="auto"/>
        <w:rPr>
          <w:sz w:val="20"/>
          <w:szCs w:val="20"/>
          <w:color w:val="auto"/>
        </w:rPr>
      </w:pPr>
      <w:r>
        <w:rPr>
          <w:rFonts w:ascii="Courier New" w:cs="Courier New" w:eastAsia="Courier New" w:hAnsi="Courier New"/>
          <w:sz w:val="16"/>
          <w:szCs w:val="16"/>
          <w:color w:val="auto"/>
        </w:rPr>
        <w:t>would cover periodic resales of the original,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unregistered notes by the holders who are unable to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participate in the exchange offer.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OF THE EXCHANGE</w:t>
      </w:r>
    </w:p>
    <w:p>
      <w:pPr>
        <w:spacing w:after="0"/>
        <w:tabs>
          <w:tab w:leader="none" w:pos="270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5"/>
          <w:szCs w:val="15"/>
          <w:color w:val="auto"/>
        </w:rPr>
        <w:t>If we determine that applicable federal law or the</w:t>
      </w:r>
    </w:p>
    <w:p>
      <w:pPr>
        <w:ind w:left="2720"/>
        <w:spacing w:after="0" w:line="237" w:lineRule="auto"/>
        <w:rPr>
          <w:sz w:val="20"/>
          <w:szCs w:val="20"/>
          <w:color w:val="auto"/>
        </w:rPr>
      </w:pPr>
      <w:r>
        <w:rPr>
          <w:rFonts w:ascii="Courier New" w:cs="Courier New" w:eastAsia="Courier New" w:hAnsi="Courier New"/>
          <w:sz w:val="16"/>
          <w:szCs w:val="16"/>
          <w:color w:val="auto"/>
        </w:rPr>
        <w:t>Commission's staff interpretations do not permit</w:t>
      </w:r>
    </w:p>
    <w:p>
      <w:pPr>
        <w:ind w:left="2720"/>
        <w:spacing w:after="0"/>
        <w:rPr>
          <w:sz w:val="20"/>
          <w:szCs w:val="20"/>
          <w:color w:val="auto"/>
        </w:rPr>
      </w:pPr>
      <w:r>
        <w:rPr>
          <w:rFonts w:ascii="Courier New" w:cs="Courier New" w:eastAsia="Courier New" w:hAnsi="Courier New"/>
          <w:sz w:val="16"/>
          <w:szCs w:val="16"/>
          <w:color w:val="auto"/>
        </w:rPr>
        <w:t>the exchange offer, we may terminate the exchange</w:t>
      </w:r>
    </w:p>
    <w:p>
      <w:pPr>
        <w:ind w:left="2720"/>
        <w:spacing w:after="0" w:line="238" w:lineRule="auto"/>
        <w:rPr>
          <w:sz w:val="20"/>
          <w:szCs w:val="20"/>
          <w:color w:val="auto"/>
        </w:rPr>
      </w:pPr>
      <w:r>
        <w:rPr>
          <w:rFonts w:ascii="Courier New" w:cs="Courier New" w:eastAsia="Courier New" w:hAnsi="Courier New"/>
          <w:sz w:val="16"/>
          <w:szCs w:val="16"/>
          <w:color w:val="auto"/>
        </w:rPr>
        <w:t>offer.</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exchange offer is not conditioned upon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tender of any minimum principal amount of original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notes.</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To accept the exchange offer, you must represent to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us in writing that you are acquiring the notes</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being issued in the ordinary course of business 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that you are not participating in, and have no</w:t>
      </w:r>
    </w:p>
    <w:p>
      <w:pPr>
        <w:ind w:left="2720"/>
        <w:spacing w:after="0"/>
        <w:rPr>
          <w:sz w:val="20"/>
          <w:szCs w:val="20"/>
          <w:color w:val="auto"/>
        </w:rPr>
      </w:pPr>
      <w:r>
        <w:rPr>
          <w:rFonts w:ascii="Courier New" w:cs="Courier New" w:eastAsia="Courier New" w:hAnsi="Courier New"/>
          <w:sz w:val="16"/>
          <w:szCs w:val="16"/>
          <w:color w:val="auto"/>
        </w:rPr>
        <w:t>arrangement or understanding with any person to</w:t>
      </w:r>
    </w:p>
    <w:p>
      <w:pPr>
        <w:ind w:left="2720"/>
        <w:spacing w:after="0" w:line="237" w:lineRule="auto"/>
        <w:rPr>
          <w:sz w:val="20"/>
          <w:szCs w:val="20"/>
          <w:color w:val="auto"/>
        </w:rPr>
      </w:pPr>
      <w:r>
        <w:rPr>
          <w:rFonts w:ascii="Courier New" w:cs="Courier New" w:eastAsia="Courier New" w:hAnsi="Courier New"/>
          <w:sz w:val="16"/>
          <w:szCs w:val="16"/>
          <w:color w:val="auto"/>
        </w:rPr>
        <w:t>participate in, the distribution of the notes.</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3"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w:t>
      </w:r>
    </w:p>
    <w:p>
      <w:pPr>
        <w:ind w:left="180"/>
        <w:spacing w:after="0"/>
        <w:tabs>
          <w:tab w:leader="none" w:pos="2700" w:val="left"/>
        </w:tabs>
        <w:rPr>
          <w:sz w:val="20"/>
          <w:szCs w:val="20"/>
          <w:color w:val="auto"/>
        </w:rPr>
      </w:pPr>
      <w:r>
        <w:rPr>
          <w:rFonts w:ascii="Courier New" w:cs="Courier New" w:eastAsia="Courier New" w:hAnsi="Courier New"/>
          <w:sz w:val="16"/>
          <w:szCs w:val="16"/>
          <w:color w:val="auto"/>
        </w:rPr>
        <w:t>CONSEQUENCES.............</w:t>
      </w:r>
      <w:r>
        <w:rPr>
          <w:sz w:val="20"/>
          <w:szCs w:val="20"/>
          <w:color w:val="auto"/>
        </w:rPr>
        <w:tab/>
      </w:r>
      <w:r>
        <w:rPr>
          <w:rFonts w:ascii="Courier New" w:cs="Courier New" w:eastAsia="Courier New" w:hAnsi="Courier New"/>
          <w:sz w:val="15"/>
          <w:szCs w:val="15"/>
          <w:color w:val="auto"/>
        </w:rPr>
        <w:t>The exchange of notes will generally not be a</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taxable event for U.S. federal income tax purposes.</w:t>
      </w:r>
    </w:p>
    <w:p>
      <w:pPr>
        <w:spacing w:after="0" w:line="186"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EXCHANGE AGENT.............</w:t>
      </w:r>
      <w:r>
        <w:rPr>
          <w:sz w:val="20"/>
          <w:szCs w:val="20"/>
          <w:color w:val="auto"/>
        </w:rPr>
        <w:tab/>
      </w:r>
      <w:r>
        <w:rPr>
          <w:rFonts w:ascii="Courier New" w:cs="Courier New" w:eastAsia="Courier New" w:hAnsi="Courier New"/>
          <w:sz w:val="15"/>
          <w:szCs w:val="15"/>
          <w:color w:val="auto"/>
        </w:rPr>
        <w:t>State Street Bank and Trust Company</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NOTES ISSUED IN EXCHANGE OFFER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terms of the notes to be issued in the exchange offer will be substantially identical to those of the original notes except that they will be registered under the Securities Act and will not bear legends restricting transfer. The registration rights agreement will not apply to the new notes. The new notes will evidence the same debt as the original notes and both series of notes will be entitled to the benefits of the indenture and treated as a single class of debt securities.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AMOUNT OF NOTES</w:t>
      </w:r>
    </w:p>
    <w:p>
      <w:pPr>
        <w:spacing w:after="0"/>
        <w:tabs>
          <w:tab w:leader="none" w:pos="2700" w:val="left"/>
        </w:tabs>
        <w:rPr>
          <w:sz w:val="20"/>
          <w:szCs w:val="20"/>
          <w:color w:val="auto"/>
        </w:rPr>
      </w:pPr>
      <w:r>
        <w:rPr>
          <w:rFonts w:ascii="Courier New" w:cs="Courier New" w:eastAsia="Courier New" w:hAnsi="Courier New"/>
          <w:sz w:val="16"/>
          <w:szCs w:val="16"/>
          <w:color w:val="auto"/>
        </w:rPr>
        <w:t>OFFERED....................</w:t>
      </w:r>
      <w:r>
        <w:rPr>
          <w:sz w:val="20"/>
          <w:szCs w:val="20"/>
          <w:color w:val="auto"/>
        </w:rPr>
        <w:tab/>
      </w:r>
      <w:r>
        <w:rPr>
          <w:rFonts w:ascii="Courier New" w:cs="Courier New" w:eastAsia="Courier New" w:hAnsi="Courier New"/>
          <w:sz w:val="15"/>
          <w:szCs w:val="15"/>
          <w:color w:val="auto"/>
        </w:rPr>
        <w:t>$330 million in principal amount of 8.625% Senior</w:t>
      </w:r>
    </w:p>
    <w:p>
      <w:pPr>
        <w:ind w:left="2720"/>
        <w:spacing w:after="0" w:line="237" w:lineRule="auto"/>
        <w:rPr>
          <w:sz w:val="20"/>
          <w:szCs w:val="20"/>
          <w:color w:val="auto"/>
        </w:rPr>
      </w:pPr>
      <w:r>
        <w:rPr>
          <w:rFonts w:ascii="Courier New" w:cs="Courier New" w:eastAsia="Courier New" w:hAnsi="Courier New"/>
          <w:sz w:val="16"/>
          <w:szCs w:val="16"/>
          <w:color w:val="auto"/>
        </w:rPr>
        <w:t>Subordinated Notes due 2009 registered under the</w:t>
      </w:r>
    </w:p>
    <w:p>
      <w:pPr>
        <w:ind w:left="2720"/>
        <w:spacing w:after="0"/>
        <w:rPr>
          <w:sz w:val="20"/>
          <w:szCs w:val="20"/>
          <w:color w:val="auto"/>
        </w:rPr>
      </w:pPr>
      <w:r>
        <w:rPr>
          <w:rFonts w:ascii="Courier New" w:cs="Courier New" w:eastAsia="Courier New" w:hAnsi="Courier New"/>
          <w:sz w:val="16"/>
          <w:szCs w:val="16"/>
          <w:color w:val="auto"/>
        </w:rPr>
        <w:t>Securities Act.</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MATURITY...................</w:t>
      </w:r>
      <w:r>
        <w:rPr>
          <w:sz w:val="20"/>
          <w:szCs w:val="20"/>
          <w:color w:val="auto"/>
        </w:rPr>
        <w:tab/>
      </w:r>
      <w:r>
        <w:rPr>
          <w:rFonts w:ascii="Courier New" w:cs="Courier New" w:eastAsia="Courier New" w:hAnsi="Courier New"/>
          <w:sz w:val="15"/>
          <w:szCs w:val="15"/>
          <w:color w:val="auto"/>
        </w:rPr>
        <w:t>January 15, 2009.</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INTEREST...................</w:t>
      </w:r>
      <w:r>
        <w:rPr>
          <w:sz w:val="20"/>
          <w:szCs w:val="20"/>
          <w:color w:val="auto"/>
        </w:rPr>
        <w:tab/>
      </w:r>
      <w:r>
        <w:rPr>
          <w:rFonts w:ascii="Courier New" w:cs="Courier New" w:eastAsia="Courier New" w:hAnsi="Courier New"/>
          <w:sz w:val="15"/>
          <w:szCs w:val="15"/>
          <w:color w:val="auto"/>
        </w:rPr>
        <w:t>Annual fixed rate -- 8.625%. Payment frequency</w:t>
      </w:r>
    </w:p>
    <w:p>
      <w:pPr>
        <w:ind w:left="2820"/>
        <w:spacing w:after="0"/>
        <w:rPr>
          <w:sz w:val="20"/>
          <w:szCs w:val="20"/>
          <w:color w:val="auto"/>
        </w:rPr>
      </w:pPr>
      <w:r>
        <w:rPr>
          <w:rFonts w:ascii="Courier New" w:cs="Courier New" w:eastAsia="Courier New" w:hAnsi="Courier New"/>
          <w:sz w:val="16"/>
          <w:szCs w:val="16"/>
          <w:color w:val="auto"/>
        </w:rPr>
        <w:t>-- every six months on January 15 and July 15.</w:t>
      </w:r>
    </w:p>
    <w:p>
      <w:pPr>
        <w:ind w:left="2720"/>
        <w:spacing w:after="0" w:line="237" w:lineRule="auto"/>
        <w:rPr>
          <w:sz w:val="20"/>
          <w:szCs w:val="20"/>
          <w:color w:val="auto"/>
        </w:rPr>
      </w:pPr>
      <w:r>
        <w:rPr>
          <w:rFonts w:ascii="Courier New" w:cs="Courier New" w:eastAsia="Courier New" w:hAnsi="Courier New"/>
          <w:sz w:val="16"/>
          <w:szCs w:val="16"/>
          <w:color w:val="auto"/>
        </w:rPr>
        <w:t>First payment -- July 15, 1999.</w:t>
      </w:r>
    </w:p>
    <w:p>
      <w:pPr>
        <w:spacing w:after="0" w:line="180"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SUBSIDIARY GUARANTORS......</w:t>
      </w:r>
      <w:r>
        <w:rPr>
          <w:sz w:val="20"/>
          <w:szCs w:val="20"/>
          <w:color w:val="auto"/>
        </w:rPr>
        <w:tab/>
      </w:r>
      <w:r>
        <w:rPr>
          <w:rFonts w:ascii="Courier New" w:cs="Courier New" w:eastAsia="Courier New" w:hAnsi="Courier New"/>
          <w:sz w:val="15"/>
          <w:szCs w:val="15"/>
          <w:color w:val="auto"/>
        </w:rPr>
        <w:t>Each subsidiary guarantor is a wholly owned</w:t>
      </w:r>
    </w:p>
    <w:p>
      <w:pPr>
        <w:ind w:left="2720"/>
        <w:spacing w:after="0"/>
        <w:rPr>
          <w:sz w:val="20"/>
          <w:szCs w:val="20"/>
          <w:color w:val="auto"/>
        </w:rPr>
      </w:pPr>
      <w:r>
        <w:rPr>
          <w:rFonts w:ascii="Courier New" w:cs="Courier New" w:eastAsia="Courier New" w:hAnsi="Courier New"/>
          <w:sz w:val="16"/>
          <w:szCs w:val="16"/>
          <w:color w:val="auto"/>
        </w:rPr>
        <w:t>domestic subsidiary of Scotts. Scotts' foreign</w:t>
      </w:r>
    </w:p>
    <w:p>
      <w:pPr>
        <w:ind w:left="2720"/>
        <w:spacing w:after="0" w:line="237" w:lineRule="auto"/>
        <w:rPr>
          <w:sz w:val="20"/>
          <w:szCs w:val="20"/>
          <w:color w:val="auto"/>
        </w:rPr>
      </w:pPr>
      <w:r>
        <w:rPr>
          <w:rFonts w:ascii="Courier New" w:cs="Courier New" w:eastAsia="Courier New" w:hAnsi="Courier New"/>
          <w:sz w:val="16"/>
          <w:szCs w:val="16"/>
          <w:color w:val="auto"/>
        </w:rPr>
        <w:t>subsidiaries are not subsidiary guarantors of the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notes. If Scotts cannot make payments on the notes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when they are due, the subsidiary guarantors must</w:t>
      </w:r>
    </w:p>
    <w:p>
      <w:pPr>
        <w:ind w:left="2720"/>
        <w:spacing w:after="0"/>
        <w:rPr>
          <w:sz w:val="20"/>
          <w:szCs w:val="20"/>
          <w:color w:val="auto"/>
        </w:rPr>
      </w:pPr>
      <w:r>
        <w:rPr>
          <w:rFonts w:ascii="Courier New" w:cs="Courier New" w:eastAsia="Courier New" w:hAnsi="Courier New"/>
          <w:sz w:val="16"/>
          <w:szCs w:val="16"/>
          <w:color w:val="auto"/>
        </w:rPr>
        <w:t>make them instead.</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RANKING....................</w:t>
      </w:r>
      <w:r>
        <w:rPr>
          <w:sz w:val="20"/>
          <w:szCs w:val="20"/>
          <w:color w:val="auto"/>
        </w:rPr>
        <w:tab/>
      </w:r>
      <w:r>
        <w:rPr>
          <w:rFonts w:ascii="Courier New" w:cs="Courier New" w:eastAsia="Courier New" w:hAnsi="Courier New"/>
          <w:sz w:val="15"/>
          <w:szCs w:val="15"/>
          <w:color w:val="auto"/>
        </w:rPr>
        <w:t>The notes and the subsidiary guarantees are</w:t>
      </w:r>
    </w:p>
    <w:p>
      <w:pPr>
        <w:ind w:left="2720"/>
        <w:spacing w:after="0"/>
        <w:rPr>
          <w:sz w:val="20"/>
          <w:szCs w:val="20"/>
          <w:color w:val="auto"/>
        </w:rPr>
      </w:pPr>
      <w:r>
        <w:rPr>
          <w:rFonts w:ascii="Courier New" w:cs="Courier New" w:eastAsia="Courier New" w:hAnsi="Courier New"/>
          <w:sz w:val="16"/>
          <w:szCs w:val="16"/>
          <w:color w:val="auto"/>
        </w:rPr>
        <w:t>unsecured senior subordinated debts. They rank</w:t>
      </w:r>
    </w:p>
    <w:p>
      <w:pPr>
        <w:ind w:left="2720"/>
        <w:spacing w:after="0" w:line="237" w:lineRule="auto"/>
        <w:rPr>
          <w:sz w:val="20"/>
          <w:szCs w:val="20"/>
          <w:color w:val="auto"/>
        </w:rPr>
      </w:pPr>
      <w:r>
        <w:rPr>
          <w:rFonts w:ascii="Courier New" w:cs="Courier New" w:eastAsia="Courier New" w:hAnsi="Courier New"/>
          <w:sz w:val="16"/>
          <w:szCs w:val="16"/>
          <w:color w:val="auto"/>
        </w:rPr>
        <w:t>behind all of Scotts' and its subsidiary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guarantors' current and future indebtedness, except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trade payables and indebtedness that expressly</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provides that it is not senior to the notes and the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subsidiary guarantees.</w:t>
      </w:r>
    </w:p>
    <w:p>
      <w:pPr>
        <w:spacing w:after="0" w:line="36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As of January 1, 2000, the notes and the subsidiary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guarantees were subordinated to $760.7 million of</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senior debt. In addition, the subsidiary guarantees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will be effectively subordinated to any current</w:t>
      </w:r>
    </w:p>
    <w:p>
      <w:pPr>
        <w:ind w:left="2720"/>
        <w:spacing w:after="0"/>
        <w:rPr>
          <w:sz w:val="20"/>
          <w:szCs w:val="20"/>
          <w:color w:val="auto"/>
        </w:rPr>
      </w:pPr>
      <w:r>
        <w:rPr>
          <w:rFonts w:ascii="Courier New" w:cs="Courier New" w:eastAsia="Courier New" w:hAnsi="Courier New"/>
          <w:sz w:val="16"/>
          <w:szCs w:val="16"/>
          <w:color w:val="auto"/>
        </w:rPr>
        <w:t>operating liabilities of the non-guarantor</w:t>
      </w:r>
    </w:p>
    <w:p>
      <w:pPr>
        <w:ind w:left="2720"/>
        <w:spacing w:after="0" w:line="237" w:lineRule="auto"/>
        <w:rPr>
          <w:sz w:val="20"/>
          <w:szCs w:val="20"/>
          <w:color w:val="auto"/>
        </w:rPr>
      </w:pPr>
      <w:r>
        <w:rPr>
          <w:rFonts w:ascii="Courier New" w:cs="Courier New" w:eastAsia="Courier New" w:hAnsi="Courier New"/>
          <w:sz w:val="16"/>
          <w:szCs w:val="16"/>
          <w:color w:val="auto"/>
        </w:rPr>
        <w:t>subsidiaries, because the creditors of any</w:t>
      </w:r>
    </w:p>
    <w:p>
      <w:pPr>
        <w:ind w:left="2720"/>
        <w:spacing w:after="0"/>
        <w:rPr>
          <w:sz w:val="20"/>
          <w:szCs w:val="20"/>
          <w:color w:val="auto"/>
        </w:rPr>
      </w:pPr>
      <w:r>
        <w:rPr>
          <w:rFonts w:ascii="Courier New" w:cs="Courier New" w:eastAsia="Courier New" w:hAnsi="Courier New"/>
          <w:sz w:val="16"/>
          <w:szCs w:val="16"/>
          <w:color w:val="auto"/>
        </w:rPr>
        <w:t>non-guarantor subsidiary will be entitled to the</w:t>
      </w:r>
    </w:p>
    <w:p>
      <w:pPr>
        <w:ind w:left="2720"/>
        <w:spacing w:after="0" w:line="238" w:lineRule="auto"/>
        <w:rPr>
          <w:sz w:val="20"/>
          <w:szCs w:val="20"/>
          <w:color w:val="auto"/>
        </w:rPr>
      </w:pPr>
      <w:r>
        <w:rPr>
          <w:rFonts w:ascii="Courier New" w:cs="Courier New" w:eastAsia="Courier New" w:hAnsi="Courier New"/>
          <w:sz w:val="16"/>
          <w:szCs w:val="16"/>
          <w:color w:val="auto"/>
        </w:rPr>
        <w:t>assets of that subsidiary in payment for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current operating liabilities before the assets can</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be used to repay any indebtedness of Scotts. As of</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January 1, 2000, the non-guarantor subsidiaries had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current operating liabilities of $108.6 million.</w:t>
      </w:r>
    </w:p>
    <w:p>
      <w:pPr>
        <w:spacing w:after="0" w:line="360"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5"/>
          <w:szCs w:val="15"/>
          <w:color w:val="auto"/>
        </w:rPr>
        <w:t>On or after January 15, 2004, Scotts may redeem</w:t>
      </w:r>
    </w:p>
    <w:p>
      <w:pPr>
        <w:ind w:left="2720"/>
        <w:spacing w:after="0"/>
        <w:rPr>
          <w:sz w:val="20"/>
          <w:szCs w:val="20"/>
          <w:color w:val="auto"/>
        </w:rPr>
      </w:pPr>
      <w:r>
        <w:rPr>
          <w:rFonts w:ascii="Courier New" w:cs="Courier New" w:eastAsia="Courier New" w:hAnsi="Courier New"/>
          <w:sz w:val="16"/>
          <w:szCs w:val="16"/>
          <w:color w:val="auto"/>
        </w:rPr>
        <w:t>some or all of the notes at any time at the</w:t>
      </w:r>
    </w:p>
    <w:p>
      <w:pPr>
        <w:ind w:left="2720"/>
        <w:spacing w:after="0" w:line="237" w:lineRule="auto"/>
        <w:rPr>
          <w:sz w:val="20"/>
          <w:szCs w:val="20"/>
          <w:color w:val="auto"/>
        </w:rPr>
      </w:pPr>
      <w:r>
        <w:rPr>
          <w:rFonts w:ascii="Courier New" w:cs="Courier New" w:eastAsia="Courier New" w:hAnsi="Courier New"/>
          <w:sz w:val="16"/>
          <w:szCs w:val="16"/>
          <w:color w:val="auto"/>
        </w:rPr>
        <w:t>redemption prices listed in the "Description of</w:t>
      </w:r>
    </w:p>
    <w:p>
      <w:pPr>
        <w:ind w:left="2720"/>
        <w:spacing w:after="0"/>
        <w:rPr>
          <w:sz w:val="20"/>
          <w:szCs w:val="20"/>
          <w:color w:val="auto"/>
        </w:rPr>
      </w:pPr>
      <w:r>
        <w:rPr>
          <w:rFonts w:ascii="Courier New" w:cs="Courier New" w:eastAsia="Courier New" w:hAnsi="Courier New"/>
          <w:sz w:val="16"/>
          <w:szCs w:val="16"/>
          <w:color w:val="auto"/>
        </w:rPr>
        <w:t>Notes" section under the heading "Optional</w:t>
      </w:r>
    </w:p>
    <w:p>
      <w:pPr>
        <w:ind w:left="2720"/>
        <w:spacing w:after="0" w:line="238" w:lineRule="auto"/>
        <w:rPr>
          <w:sz w:val="20"/>
          <w:szCs w:val="20"/>
          <w:color w:val="auto"/>
        </w:rPr>
      </w:pPr>
      <w:r>
        <w:rPr>
          <w:rFonts w:ascii="Courier New" w:cs="Courier New" w:eastAsia="Courier New" w:hAnsi="Courier New"/>
          <w:sz w:val="16"/>
          <w:szCs w:val="16"/>
          <w:color w:val="auto"/>
        </w:rPr>
        <w:t>Redemption."</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Before January 15, 2002, Scotts may redeem up to</w:t>
      </w:r>
    </w:p>
    <w:p>
      <w:pPr>
        <w:ind w:left="2720"/>
        <w:spacing w:after="0"/>
        <w:rPr>
          <w:sz w:val="20"/>
          <w:szCs w:val="20"/>
          <w:color w:val="auto"/>
        </w:rPr>
      </w:pPr>
      <w:r>
        <w:rPr>
          <w:rFonts w:ascii="Courier New" w:cs="Courier New" w:eastAsia="Courier New" w:hAnsi="Courier New"/>
          <w:sz w:val="16"/>
          <w:szCs w:val="16"/>
          <w:color w:val="auto"/>
        </w:rPr>
        <w:t>35% of the notes with the proceeds of one or more</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public equity offerings of Scotts' common shares at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price listed in the "Description of Notes"</w:t>
      </w:r>
    </w:p>
    <w:p>
      <w:pPr>
        <w:ind w:left="2720"/>
        <w:spacing w:after="0"/>
        <w:rPr>
          <w:sz w:val="20"/>
          <w:szCs w:val="20"/>
          <w:color w:val="auto"/>
        </w:rPr>
      </w:pPr>
      <w:r>
        <w:rPr>
          <w:rFonts w:ascii="Courier New" w:cs="Courier New" w:eastAsia="Courier New" w:hAnsi="Courier New"/>
          <w:sz w:val="16"/>
          <w:szCs w:val="16"/>
          <w:color w:val="auto"/>
        </w:rPr>
        <w:t>section under the heading "Optional Redemption."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OFFER TO</w:t>
      </w:r>
    </w:p>
    <w:p>
      <w:pPr>
        <w:spacing w:after="0"/>
        <w:tabs>
          <w:tab w:leader="none" w:pos="2700" w:val="left"/>
        </w:tabs>
        <w:rPr>
          <w:sz w:val="20"/>
          <w:szCs w:val="20"/>
          <w:color w:val="auto"/>
        </w:rPr>
      </w:pPr>
      <w:r>
        <w:rPr>
          <w:rFonts w:ascii="Courier New" w:cs="Courier New" w:eastAsia="Courier New" w:hAnsi="Courier New"/>
          <w:sz w:val="16"/>
          <w:szCs w:val="16"/>
          <w:color w:val="auto"/>
        </w:rPr>
        <w:t>REPURCHASE.................</w:t>
      </w:r>
      <w:r>
        <w:rPr>
          <w:sz w:val="20"/>
          <w:szCs w:val="20"/>
          <w:color w:val="auto"/>
        </w:rPr>
        <w:tab/>
      </w:r>
      <w:r>
        <w:rPr>
          <w:rFonts w:ascii="Courier New" w:cs="Courier New" w:eastAsia="Courier New" w:hAnsi="Courier New"/>
          <w:sz w:val="15"/>
          <w:szCs w:val="15"/>
          <w:color w:val="auto"/>
        </w:rPr>
        <w:t>If Scotts sells a significant amount of assets or</w:t>
      </w:r>
    </w:p>
    <w:p>
      <w:pPr>
        <w:ind w:left="2720"/>
        <w:spacing w:after="0" w:line="237" w:lineRule="auto"/>
        <w:rPr>
          <w:sz w:val="20"/>
          <w:szCs w:val="20"/>
          <w:color w:val="auto"/>
        </w:rPr>
      </w:pPr>
      <w:r>
        <w:rPr>
          <w:rFonts w:ascii="Courier New" w:cs="Courier New" w:eastAsia="Courier New" w:hAnsi="Courier New"/>
          <w:sz w:val="16"/>
          <w:szCs w:val="16"/>
          <w:color w:val="auto"/>
        </w:rPr>
        <w:t>experiences specific kinds of changes of control,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it must offer to repurchase the notes at the prices</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listed in the "Description of Notes" section under</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heading "Redemption at the Option of 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COVENANTS OF</w:t>
      </w:r>
    </w:p>
    <w:p>
      <w:pPr>
        <w:spacing w:after="0"/>
        <w:tabs>
          <w:tab w:leader="none" w:pos="2700" w:val="left"/>
        </w:tabs>
        <w:rPr>
          <w:sz w:val="20"/>
          <w:szCs w:val="20"/>
          <w:color w:val="auto"/>
        </w:rPr>
      </w:pPr>
      <w:r>
        <w:rPr>
          <w:rFonts w:ascii="Courier New" w:cs="Courier New" w:eastAsia="Courier New" w:hAnsi="Courier New"/>
          <w:sz w:val="16"/>
          <w:szCs w:val="16"/>
          <w:color w:val="auto"/>
        </w:rPr>
        <w:t>INDENTURE..................</w:t>
      </w:r>
      <w:r>
        <w:rPr>
          <w:sz w:val="20"/>
          <w:szCs w:val="20"/>
          <w:color w:val="auto"/>
        </w:rPr>
        <w:tab/>
      </w:r>
      <w:r>
        <w:rPr>
          <w:rFonts w:ascii="Courier New" w:cs="Courier New" w:eastAsia="Courier New" w:hAnsi="Courier New"/>
          <w:sz w:val="15"/>
          <w:szCs w:val="15"/>
          <w:color w:val="auto"/>
        </w:rPr>
        <w:t>Scotts will issue the notes under an indenture with</w:t>
      </w:r>
    </w:p>
    <w:p>
      <w:pPr>
        <w:ind w:left="2720"/>
        <w:spacing w:after="0" w:line="237" w:lineRule="auto"/>
        <w:rPr>
          <w:sz w:val="20"/>
          <w:szCs w:val="20"/>
          <w:color w:val="auto"/>
        </w:rPr>
      </w:pPr>
      <w:r>
        <w:rPr>
          <w:rFonts w:ascii="Courier New" w:cs="Courier New" w:eastAsia="Courier New" w:hAnsi="Courier New"/>
          <w:sz w:val="16"/>
          <w:szCs w:val="16"/>
          <w:color w:val="auto"/>
        </w:rPr>
        <w:t>State Street Bank and Trust Company, as trustee.</w:t>
      </w:r>
    </w:p>
    <w:p>
      <w:pPr>
        <w:ind w:left="2720"/>
        <w:spacing w:after="0"/>
        <w:rPr>
          <w:sz w:val="20"/>
          <w:szCs w:val="20"/>
          <w:color w:val="auto"/>
        </w:rPr>
      </w:pPr>
      <w:r>
        <w:rPr>
          <w:rFonts w:ascii="Courier New" w:cs="Courier New" w:eastAsia="Courier New" w:hAnsi="Courier New"/>
          <w:sz w:val="16"/>
          <w:szCs w:val="16"/>
          <w:color w:val="auto"/>
        </w:rPr>
        <w:t>The indenture restricts Scotts' ability and the</w:t>
      </w:r>
    </w:p>
    <w:p>
      <w:pPr>
        <w:ind w:left="2720"/>
        <w:spacing w:after="0" w:line="238" w:lineRule="auto"/>
        <w:rPr>
          <w:sz w:val="20"/>
          <w:szCs w:val="20"/>
          <w:color w:val="auto"/>
        </w:rPr>
      </w:pPr>
      <w:r>
        <w:rPr>
          <w:rFonts w:ascii="Courier New" w:cs="Courier New" w:eastAsia="Courier New" w:hAnsi="Courier New"/>
          <w:sz w:val="16"/>
          <w:szCs w:val="16"/>
          <w:color w:val="auto"/>
        </w:rPr>
        <w:t>ability of its subsidiaries to:</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 borrow money;</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 pay dividends on stock or purchase stock;</w:t>
      </w:r>
    </w:p>
    <w:p>
      <w:pPr>
        <w:sectPr>
          <w:pgSz w:w="11900" w:h="16838" w:orient="portrait"/>
          <w:cols w:equalWidth="0" w:num="1">
            <w:col w:w="10219"/>
          </w:cols>
          <w:pgMar w:left="240" w:top="293" w:right="1440" w:bottom="0" w:gutter="0" w:footer="0" w:header="0"/>
        </w:sectPr>
      </w:pP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3" w:right="1440" w:bottom="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79" w:lineRule="exact"/>
        <w:rPr>
          <w:sz w:val="20"/>
          <w:szCs w:val="20"/>
          <w:color w:val="auto"/>
        </w:rPr>
      </w:pPr>
    </w:p>
    <w:p>
      <w:pPr>
        <w:ind w:left="2900" w:hanging="184"/>
        <w:spacing w:after="0"/>
        <w:tabs>
          <w:tab w:leader="none" w:pos="29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investments;</w:t>
      </w:r>
    </w:p>
    <w:p>
      <w:pPr>
        <w:spacing w:after="0" w:line="184" w:lineRule="exact"/>
        <w:rPr>
          <w:rFonts w:ascii="Courier New" w:cs="Courier New" w:eastAsia="Courier New" w:hAnsi="Courier New"/>
          <w:sz w:val="16"/>
          <w:szCs w:val="16"/>
          <w:color w:val="auto"/>
        </w:rPr>
      </w:pPr>
    </w:p>
    <w:p>
      <w:pPr>
        <w:ind w:left="2900" w:hanging="184"/>
        <w:spacing w:after="0"/>
        <w:tabs>
          <w:tab w:leader="none" w:pos="2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assets as security in other transactions; and</w:t>
      </w:r>
    </w:p>
    <w:p>
      <w:pPr>
        <w:spacing w:after="0" w:line="190" w:lineRule="exact"/>
        <w:rPr>
          <w:rFonts w:ascii="Courier New" w:cs="Courier New" w:eastAsia="Courier New" w:hAnsi="Courier New"/>
          <w:sz w:val="15"/>
          <w:szCs w:val="15"/>
          <w:color w:val="auto"/>
        </w:rPr>
      </w:pPr>
    </w:p>
    <w:p>
      <w:pPr>
        <w:ind w:left="2900" w:right="2719" w:hanging="184"/>
        <w:spacing w:after="0" w:line="236" w:lineRule="auto"/>
        <w:tabs>
          <w:tab w:leader="none" w:pos="29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 significant amount of assets or merge with or into other companies.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For more details, see the "Description of Notes"</w:t>
      </w:r>
    </w:p>
    <w:p>
      <w:pPr>
        <w:ind w:left="2720"/>
        <w:spacing w:after="0"/>
        <w:rPr>
          <w:sz w:val="20"/>
          <w:szCs w:val="20"/>
          <w:color w:val="auto"/>
        </w:rPr>
      </w:pPr>
      <w:r>
        <w:rPr>
          <w:rFonts w:ascii="Courier New" w:cs="Courier New" w:eastAsia="Courier New" w:hAnsi="Courier New"/>
          <w:sz w:val="16"/>
          <w:szCs w:val="16"/>
          <w:color w:val="auto"/>
        </w:rPr>
        <w:t>section under the heading "Covenants."</w:t>
      </w:r>
    </w:p>
    <w:p>
      <w:pPr>
        <w:spacing w:after="0" w:line="35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5"/>
          <w:szCs w:val="15"/>
          <w:color w:val="auto"/>
        </w:rPr>
        <w:t>See "Risk Factors" beginning on page 9 for a</w:t>
      </w:r>
    </w:p>
    <w:p>
      <w:pPr>
        <w:ind w:left="2720"/>
        <w:spacing w:after="0"/>
        <w:rPr>
          <w:sz w:val="20"/>
          <w:szCs w:val="20"/>
          <w:color w:val="auto"/>
        </w:rPr>
      </w:pPr>
      <w:r>
        <w:rPr>
          <w:rFonts w:ascii="Courier New" w:cs="Courier New" w:eastAsia="Courier New" w:hAnsi="Courier New"/>
          <w:sz w:val="16"/>
          <w:szCs w:val="16"/>
          <w:color w:val="auto"/>
        </w:rPr>
        <w:t>discussion of factors that you should carefully</w:t>
      </w:r>
    </w:p>
    <w:p>
      <w:pPr>
        <w:ind w:left="2720"/>
        <w:spacing w:after="0" w:line="237" w:lineRule="auto"/>
        <w:rPr>
          <w:sz w:val="20"/>
          <w:szCs w:val="20"/>
          <w:color w:val="auto"/>
        </w:rPr>
      </w:pPr>
      <w:r>
        <w:rPr>
          <w:rFonts w:ascii="Courier New" w:cs="Courier New" w:eastAsia="Courier New" w:hAnsi="Courier New"/>
          <w:sz w:val="16"/>
          <w:szCs w:val="16"/>
          <w:color w:val="auto"/>
        </w:rPr>
        <w:t>consider. In particular, we note the following</w:t>
      </w:r>
    </w:p>
    <w:p>
      <w:pPr>
        <w:ind w:left="2720"/>
        <w:spacing w:after="0"/>
        <w:rPr>
          <w:sz w:val="20"/>
          <w:szCs w:val="20"/>
          <w:color w:val="auto"/>
        </w:rPr>
      </w:pPr>
      <w:r>
        <w:rPr>
          <w:rFonts w:ascii="Courier New" w:cs="Courier New" w:eastAsia="Courier New" w:hAnsi="Courier New"/>
          <w:sz w:val="16"/>
          <w:szCs w:val="16"/>
          <w:color w:val="auto"/>
        </w:rPr>
        <w:t>risks:</w:t>
      </w:r>
    </w:p>
    <w:p>
      <w:pPr>
        <w:spacing w:after="0" w:line="200" w:lineRule="exact"/>
        <w:rPr>
          <w:sz w:val="20"/>
          <w:szCs w:val="20"/>
          <w:color w:val="auto"/>
        </w:rPr>
      </w:pPr>
    </w:p>
    <w:p>
      <w:pPr>
        <w:spacing w:after="0" w:line="345" w:lineRule="exact"/>
        <w:rPr>
          <w:sz w:val="20"/>
          <w:szCs w:val="20"/>
          <w:color w:val="auto"/>
        </w:rPr>
      </w:pPr>
    </w:p>
    <w:p>
      <w:pPr>
        <w:ind w:left="2900" w:right="2899" w:hanging="184"/>
        <w:spacing w:after="0" w:line="259" w:lineRule="auto"/>
        <w:tabs>
          <w:tab w:leader="none" w:pos="2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 under the notes.</w:t>
      </w:r>
    </w:p>
    <w:p>
      <w:pPr>
        <w:spacing w:after="0" w:line="200" w:lineRule="exact"/>
        <w:rPr>
          <w:rFonts w:ascii="Courier New" w:cs="Courier New" w:eastAsia="Courier New" w:hAnsi="Courier New"/>
          <w:sz w:val="15"/>
          <w:szCs w:val="15"/>
          <w:color w:val="auto"/>
        </w:rPr>
      </w:pPr>
    </w:p>
    <w:p>
      <w:pPr>
        <w:spacing w:after="0" w:line="332" w:lineRule="exact"/>
        <w:rPr>
          <w:rFonts w:ascii="Courier New" w:cs="Courier New" w:eastAsia="Courier New" w:hAnsi="Courier New"/>
          <w:sz w:val="15"/>
          <w:szCs w:val="15"/>
          <w:color w:val="auto"/>
        </w:rPr>
      </w:pPr>
    </w:p>
    <w:p>
      <w:pPr>
        <w:ind w:left="2900" w:right="2999" w:hanging="184"/>
        <w:spacing w:after="0" w:line="237" w:lineRule="auto"/>
        <w:tabs>
          <w:tab w:leader="none" w:pos="2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right to receive payments on the notes is junior to our existing indebtedness and, possibly, all of our future borrowings.</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2900" w:right="3179" w:hanging="184"/>
        <w:spacing w:after="0" w:line="237" w:lineRule="auto"/>
        <w:tabs>
          <w:tab w:leader="none" w:pos="2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2900" w:right="2719" w:hanging="184"/>
        <w:spacing w:after="0" w:line="237" w:lineRule="auto"/>
        <w:tabs>
          <w:tab w:leader="none" w:pos="2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36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3"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pacing w:after="0" w:line="179"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6"/>
          <w:szCs w:val="16"/>
          <w:color w:val="auto"/>
        </w:rPr>
        <w:t>SUMMARY CONSOLIDATED FINANCIAL DATA</w:t>
      </w:r>
    </w:p>
    <w:p>
      <w:pPr>
        <w:jc w:val="center"/>
        <w:ind w:right="3100"/>
        <w:spacing w:after="0"/>
        <w:rPr>
          <w:sz w:val="20"/>
          <w:szCs w:val="20"/>
          <w:color w:val="auto"/>
        </w:rPr>
      </w:pPr>
      <w:r>
        <w:rPr>
          <w:rFonts w:ascii="Courier New" w:cs="Courier New" w:eastAsia="Courier New" w:hAnsi="Courier New"/>
          <w:sz w:val="16"/>
          <w:szCs w:val="16"/>
          <w:color w:val="auto"/>
        </w:rPr>
        <w:t>(IN MILLIONS)</w:t>
      </w:r>
    </w:p>
    <w:p>
      <w:pPr>
        <w:spacing w:after="0" w:line="184" w:lineRule="exact"/>
        <w:rPr>
          <w:sz w:val="20"/>
          <w:szCs w:val="20"/>
          <w:color w:val="auto"/>
        </w:rPr>
      </w:pPr>
    </w:p>
    <w:p>
      <w:pPr>
        <w:ind w:right="3100" w:firstLine="469"/>
        <w:spacing w:after="0" w:line="238" w:lineRule="auto"/>
        <w:rPr>
          <w:sz w:val="20"/>
          <w:szCs w:val="20"/>
          <w:color w:val="auto"/>
        </w:rPr>
      </w:pPr>
      <w:r>
        <w:rPr>
          <w:rFonts w:ascii="Courier New" w:cs="Courier New" w:eastAsia="Courier New" w:hAnsi="Courier New"/>
          <w:sz w:val="16"/>
          <w:szCs w:val="16"/>
          <w:color w:val="auto"/>
        </w:rPr>
        <w:t>We have derived the historical financial data included in the following summary financial data from our audited and unaudited consolidated financial statements which are incorporated by reference. You should read the following information in conjunction with our consolidated financial statements and the related notes and the information contained in "Management's Discussion and Analysis of Financial Condition and Results of Operations," all of which we are incorporating in this prospectus.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QUARTER ENDED</w:t>
            </w:r>
          </w:p>
        </w:tc>
      </w:tr>
      <w:tr>
        <w:trPr>
          <w:trHeight w:val="180"/>
        </w:trPr>
        <w:tc>
          <w:tcPr>
            <w:tcW w:w="53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w:t>
            </w:r>
          </w:p>
        </w:tc>
        <w:tc>
          <w:tcPr>
            <w:tcW w:w="170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SEPTEMBER 30,</w:t>
            </w: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JANUARY 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JANUARY 1,</w:t>
            </w:r>
          </w:p>
        </w:tc>
      </w:tr>
      <w:tr>
        <w:trPr>
          <w:trHeight w:val="180"/>
        </w:trPr>
        <w:tc>
          <w:tcPr>
            <w:tcW w:w="534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1997</w:t>
            </w:r>
          </w:p>
        </w:tc>
        <w:tc>
          <w:tcPr>
            <w:tcW w:w="90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5"/>
                <w:szCs w:val="15"/>
                <w:color w:val="auto"/>
              </w:rPr>
            </w:pPr>
          </w:p>
        </w:tc>
        <w:tc>
          <w:tcPr>
            <w:tcW w:w="8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1999</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53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Sales.................................................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$899.3</w:t>
            </w:r>
          </w:p>
        </w:tc>
        <w:tc>
          <w:tcPr>
            <w:tcW w:w="9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$1,113.0</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$1,648.3</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$184.4</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$191.5</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Cost of sales.........................................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573.6</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715.0</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989.1</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119.7</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117.6</w:t>
            </w:r>
          </w:p>
        </w:tc>
      </w:tr>
      <w:tr>
        <w:trPr>
          <w:trHeight w:val="180"/>
        </w:trPr>
        <w:tc>
          <w:tcPr>
            <w:tcW w:w="53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Gross profit..........................................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325.7</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398.0</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659.9</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64.7</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73.9</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Commission earned from Roundup marketing agreement....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30.3</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5.0</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Advertising and promotion.............................</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83.9</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104.4</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189.0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16.7</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23.7</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Selling, general &amp; administrative.....................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131.6</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169.9</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281.2</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53.9</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68.1</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Amortization of goodwill and other intangibles........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10.2</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25.4</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4.9</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Restructuring and other charges.......................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15.4</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Other expense (income), net...........................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5.2</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w:t>
            </w:r>
          </w:p>
        </w:tc>
        <w:tc>
          <w:tcPr>
            <w:tcW w:w="2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(0.1)</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w:t>
            </w:r>
          </w:p>
        </w:tc>
      </w:tr>
      <w:tr>
        <w:trPr>
          <w:trHeight w:val="180"/>
        </w:trPr>
        <w:tc>
          <w:tcPr>
            <w:tcW w:w="53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Income (loss) from operations.........................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94.8</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94.1</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196.1</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(7.1)</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(26.1)</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Interest expense......................................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25.2</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32.2</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79.1</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9.8</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23.7</w:t>
            </w:r>
          </w:p>
        </w:tc>
      </w:tr>
      <w:tr>
        <w:trPr>
          <w:trHeight w:val="180"/>
        </w:trPr>
        <w:tc>
          <w:tcPr>
            <w:tcW w:w="53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Income (loss) before income taxes.....................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69.6</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61.9</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117.0</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(16.9)</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(49.8)</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Income taxes..........................................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30.1</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24.9</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47.9</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(6.9)</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(20.2)</w:t>
            </w:r>
          </w:p>
        </w:tc>
      </w:tr>
      <w:tr>
        <w:trPr>
          <w:trHeight w:val="180"/>
        </w:trPr>
        <w:tc>
          <w:tcPr>
            <w:tcW w:w="53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Income (loss) before extraordinary item...............</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39.5</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37.0</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69.1</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(10.0)</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(29.6)</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Extraordinary loss on early extinguishment of debt,</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w w:val="98"/>
              </w:rPr>
              <w:t>net of income tax benefit...........................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5.9</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0.4</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Net income (loss).....................................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39.5</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36.3</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63.2</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(10.4)</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(29.6)</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Preferred stock dividends.............................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9.8</w:t>
            </w:r>
          </w:p>
        </w:tc>
        <w:tc>
          <w:tcPr>
            <w:tcW w:w="2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w:t>
            </w:r>
          </w:p>
        </w:tc>
        <w:tc>
          <w:tcPr>
            <w:tcW w:w="28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9.7</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2.4</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w:t>
            </w:r>
          </w:p>
        </w:tc>
      </w:tr>
      <w:tr>
        <w:trPr>
          <w:trHeight w:val="180"/>
        </w:trPr>
        <w:tc>
          <w:tcPr>
            <w:tcW w:w="53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Income (loss) applicable to common shareholders.......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$ 29.7</w:t>
            </w:r>
          </w:p>
        </w:tc>
        <w:tc>
          <w:tcPr>
            <w:tcW w:w="2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53.5</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$(12.8)</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$(36.0)</w:t>
            </w:r>
          </w:p>
        </w:tc>
      </w:tr>
      <w:tr>
        <w:trPr>
          <w:trHeight w:val="180"/>
        </w:trPr>
        <w:tc>
          <w:tcPr>
            <w:tcW w:w="53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(loss) per common share before</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w w:val="98"/>
              </w:rPr>
              <w:t>extraordinary items.................................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$ 1.60</w:t>
            </w:r>
          </w:p>
        </w:tc>
        <w:tc>
          <w:tcPr>
            <w:tcW w:w="2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3.25</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$(0.68)</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Basic earnings (loss) per common share................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$ 1.60</w:t>
            </w:r>
          </w:p>
        </w:tc>
        <w:tc>
          <w:tcPr>
            <w:tcW w:w="2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2.93</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$(0.70)</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Diluted earnings (loss) per common share before</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w w:val="98"/>
              </w:rPr>
              <w:t>extraordinary items.................................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$ 1.35</w:t>
            </w:r>
          </w:p>
        </w:tc>
        <w:tc>
          <w:tcPr>
            <w:tcW w:w="2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2.27</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$(0.68)</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w w:val="99"/>
              </w:rPr>
              <w:t>Diluted earnings (loss) per common share..............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$ 1.35</w:t>
            </w:r>
          </w:p>
        </w:tc>
        <w:tc>
          <w:tcPr>
            <w:tcW w:w="2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2.08</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$(0.70)</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23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AS OF JANUARY 1, 2000</w:t>
            </w:r>
          </w:p>
        </w:tc>
      </w:tr>
      <w:tr>
        <w:trPr>
          <w:trHeight w:val="180"/>
        </w:trPr>
        <w:tc>
          <w:tcPr>
            <w:tcW w:w="5720" w:type="dxa"/>
            <w:vAlign w:val="bottom"/>
          </w:tcPr>
          <w:p>
            <w:pPr>
              <w:spacing w:after="0"/>
              <w:rPr>
                <w:sz w:val="15"/>
                <w:szCs w:val="15"/>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2340" w:type="dxa"/>
            <w:vAlign w:val="bottom"/>
          </w:tcPr>
          <w:p>
            <w:pPr>
              <w:spacing w:after="0"/>
              <w:rPr>
                <w:sz w:val="24"/>
                <w:szCs w:val="24"/>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Working capital.............................................</w:t>
            </w:r>
          </w:p>
        </w:tc>
        <w:tc>
          <w:tcPr>
            <w:tcW w:w="23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  358.1</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Total assets................................................</w:t>
            </w:r>
          </w:p>
        </w:tc>
        <w:tc>
          <w:tcPr>
            <w:tcW w:w="23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1,870.7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Total debt..................................................</w:t>
            </w:r>
          </w:p>
        </w:tc>
        <w:tc>
          <w:tcPr>
            <w:tcW w:w="23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1,126.9</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Total shareholders' equity..................................</w:t>
            </w:r>
          </w:p>
        </w:tc>
        <w:tc>
          <w:tcPr>
            <w:tcW w:w="23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383.1</w:t>
            </w:r>
          </w:p>
        </w:tc>
      </w:tr>
    </w:tbl>
    <w:p>
      <w:pPr>
        <w:spacing w:after="0" w:line="200" w:lineRule="exact"/>
        <w:rPr>
          <w:sz w:val="20"/>
          <w:szCs w:val="20"/>
          <w:color w:val="auto"/>
        </w:rPr>
      </w:pPr>
    </w:p>
    <w:p>
      <w:pPr>
        <w:sectPr>
          <w:pgSz w:w="11900" w:h="16838" w:orient="portrait"/>
          <w:cols w:equalWidth="0" w:num="1">
            <w:col w:w="10500"/>
          </w:cols>
          <w:pgMar w:left="240" w:top="293" w:right="1159" w:bottom="1440" w:gutter="0" w:footer="0" w:header="0"/>
        </w:sectPr>
      </w:pPr>
    </w:p>
    <w:p>
      <w:pPr>
        <w:spacing w:after="0" w:line="34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500"/>
          </w:cols>
          <w:pgMar w:left="240" w:top="293" w:right="1159"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RISK FACTORS</w:t>
      </w:r>
    </w:p>
    <w:p>
      <w:pPr>
        <w:spacing w:after="0" w:line="18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OUR SUBSTANTIAL INDEBTEDNESS COULD ADVERSELY AFFECT OUR FINANCIAL HEALTH AND PREVENT US FROM FULFILLING OUR OBLIGATIONS UNDER THE NOTES.</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table shows our outstanding indebtedness as of January 1,</w:t>
      </w:r>
    </w:p>
    <w:p>
      <w:pPr>
        <w:spacing w:after="0"/>
        <w:rPr>
          <w:sz w:val="20"/>
          <w:szCs w:val="20"/>
          <w:color w:val="auto"/>
        </w:rPr>
      </w:pPr>
      <w:r>
        <w:rPr>
          <w:rFonts w:ascii="Courier New" w:cs="Courier New" w:eastAsia="Courier New" w:hAnsi="Courier New"/>
          <w:sz w:val="16"/>
          <w:szCs w:val="16"/>
          <w:color w:val="auto"/>
        </w:rPr>
        <w:t>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20" w:type="dxa"/>
            <w:vAlign w:val="bottom"/>
          </w:tcPr>
          <w:p>
            <w:pPr>
              <w:spacing w:after="0"/>
              <w:rPr>
                <w:sz w:val="15"/>
                <w:szCs w:val="15"/>
                <w:color w:val="auto"/>
              </w:rPr>
            </w:pPr>
          </w:p>
        </w:tc>
        <w:tc>
          <w:tcPr>
            <w:tcW w:w="21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AT JANUARY 1, 2000</w:t>
            </w:r>
          </w:p>
        </w:tc>
      </w:tr>
      <w:tr>
        <w:trPr>
          <w:trHeight w:val="180"/>
        </w:trPr>
        <w:tc>
          <w:tcPr>
            <w:tcW w:w="5820" w:type="dxa"/>
            <w:vAlign w:val="bottom"/>
          </w:tcPr>
          <w:p>
            <w:pPr>
              <w:spacing w:after="0"/>
              <w:rPr>
                <w:sz w:val="15"/>
                <w:szCs w:val="15"/>
                <w:color w:val="auto"/>
              </w:rPr>
            </w:pPr>
          </w:p>
        </w:tc>
        <w:tc>
          <w:tcPr>
            <w:tcW w:w="21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8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(DOLLARS IN MILLIONS)</w:t>
            </w:r>
          </w:p>
        </w:tc>
      </w:tr>
      <w:tr>
        <w:trPr>
          <w:trHeight w:val="180"/>
        </w:trPr>
        <w:tc>
          <w:tcPr>
            <w:tcW w:w="58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820" w:type="dxa"/>
            <w:vAlign w:val="bottom"/>
          </w:tcPr>
          <w:p>
            <w:pPr>
              <w:spacing w:after="0"/>
              <w:rPr>
                <w:sz w:val="20"/>
                <w:szCs w:val="20"/>
                <w:color w:val="auto"/>
              </w:rPr>
            </w:pPr>
            <w:r>
              <w:rPr>
                <w:rFonts w:ascii="Courier New" w:cs="Courier New" w:eastAsia="Courier New" w:hAnsi="Courier New"/>
                <w:sz w:val="16"/>
                <w:szCs w:val="16"/>
                <w:color w:val="auto"/>
              </w:rPr>
              <w:t>Total debt..................................................</w:t>
            </w:r>
          </w:p>
        </w:tc>
        <w:tc>
          <w:tcPr>
            <w:tcW w:w="21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$1,126.9</w:t>
            </w:r>
          </w:p>
        </w:tc>
      </w:tr>
      <w:tr>
        <w:trPr>
          <w:trHeight w:val="180"/>
        </w:trPr>
        <w:tc>
          <w:tcPr>
            <w:tcW w:w="58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1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383.1</w:t>
            </w:r>
          </w:p>
        </w:tc>
      </w:tr>
      <w:tr>
        <w:trPr>
          <w:trHeight w:val="180"/>
        </w:trPr>
        <w:tc>
          <w:tcPr>
            <w:tcW w:w="5820" w:type="dxa"/>
            <w:vAlign w:val="bottom"/>
          </w:tcPr>
          <w:p>
            <w:pPr>
              <w:spacing w:after="0"/>
              <w:rPr>
                <w:sz w:val="20"/>
                <w:szCs w:val="20"/>
                <w:color w:val="auto"/>
              </w:rPr>
            </w:pPr>
            <w:r>
              <w:rPr>
                <w:rFonts w:ascii="Courier New" w:cs="Courier New" w:eastAsia="Courier New" w:hAnsi="Courier New"/>
                <w:sz w:val="16"/>
                <w:szCs w:val="16"/>
                <w:color w:val="auto"/>
              </w:rPr>
              <w:t>Debt to equity ratio........................................</w:t>
            </w:r>
          </w:p>
        </w:tc>
        <w:tc>
          <w:tcPr>
            <w:tcW w:w="21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2.94:1</w:t>
            </w:r>
          </w:p>
        </w:tc>
      </w:tr>
    </w:tbl>
    <w:p>
      <w:pPr>
        <w:spacing w:after="0" w:line="200" w:lineRule="exact"/>
        <w:rPr>
          <w:sz w:val="20"/>
          <w:szCs w:val="20"/>
          <w:color w:val="auto"/>
        </w:rPr>
      </w:pPr>
    </w:p>
    <w:p>
      <w:pPr>
        <w:spacing w:after="0" w:line="34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This substantial amount of indebtedness could have important consequences to you. For example, it could:</w:t>
      </w:r>
    </w:p>
    <w:p>
      <w:pPr>
        <w:spacing w:after="0" w:line="180" w:lineRule="exact"/>
        <w:rPr>
          <w:sz w:val="20"/>
          <w:szCs w:val="20"/>
          <w:color w:val="auto"/>
        </w:rPr>
      </w:pPr>
    </w:p>
    <w:p>
      <w:pPr>
        <w:ind w:left="660" w:hanging="195"/>
        <w:spacing w:after="0"/>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it more difficult for us to satisfy our obligations under the notes;</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vulnerability to general adverse economic and industry conditions;</w:t>
      </w:r>
    </w:p>
    <w:p>
      <w:pPr>
        <w:spacing w:after="0" w:line="184" w:lineRule="exact"/>
        <w:rPr>
          <w:rFonts w:ascii="Courier New" w:cs="Courier New" w:eastAsia="Courier New" w:hAnsi="Courier New"/>
          <w:sz w:val="16"/>
          <w:szCs w:val="16"/>
          <w:color w:val="auto"/>
        </w:rPr>
      </w:pPr>
    </w:p>
    <w:p>
      <w:pPr>
        <w:ind w:left="660" w:right="2819" w:hanging="195"/>
        <w:spacing w:after="0" w:line="263" w:lineRule="auto"/>
        <w:tabs>
          <w:tab w:leader="none" w:pos="6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fund future working capital, capital expenditures, research and development costs and other general corporate requirements;</w:t>
      </w:r>
    </w:p>
    <w:p>
      <w:pPr>
        <w:spacing w:after="0" w:line="168" w:lineRule="exact"/>
        <w:rPr>
          <w:rFonts w:ascii="Courier New" w:cs="Courier New" w:eastAsia="Courier New" w:hAnsi="Courier New"/>
          <w:sz w:val="15"/>
          <w:szCs w:val="15"/>
          <w:color w:val="auto"/>
        </w:rPr>
      </w:pPr>
    </w:p>
    <w:p>
      <w:pPr>
        <w:ind w:left="660" w:right="2899" w:hanging="195"/>
        <w:spacing w:after="0" w:line="257" w:lineRule="auto"/>
        <w:tabs>
          <w:tab w:leader="none" w:pos="6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our cash flow from operations to payments on our indebtedness, which would reduce the cash flow available to fund working capital, capital expenditures, research and development efforts and other general corporate requirements;</w:t>
      </w:r>
    </w:p>
    <w:p>
      <w:pPr>
        <w:spacing w:after="0" w:line="174" w:lineRule="exact"/>
        <w:rPr>
          <w:rFonts w:ascii="Courier New" w:cs="Courier New" w:eastAsia="Courier New" w:hAnsi="Courier New"/>
          <w:sz w:val="15"/>
          <w:szCs w:val="15"/>
          <w:color w:val="auto"/>
        </w:rPr>
      </w:pPr>
    </w:p>
    <w:p>
      <w:pPr>
        <w:ind w:left="660" w:right="3099" w:hanging="195"/>
        <w:spacing w:after="0" w:line="236"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flexibility in planning for, or reacting to, changes in our business and the industry in which we operate;</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us at a competitive disadvantage compared to our competitors that have less debt;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borrow additional funds.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we fail to comply with any of the financial or other restrictive covenants of our indebtedness, the indebtedness could become due and payable in full prior to its stated due date. We cannot be sure that our lenders would waive a default or that we could pay the indebtness in full if it were accelerated.</w:t>
      </w:r>
    </w:p>
    <w:p>
      <w:pPr>
        <w:spacing w:after="0" w:line="187" w:lineRule="exact"/>
        <w:rPr>
          <w:sz w:val="20"/>
          <w:szCs w:val="20"/>
          <w:color w:val="auto"/>
        </w:rPr>
      </w:pPr>
    </w:p>
    <w:p>
      <w:pPr>
        <w:ind w:right="2719"/>
        <w:spacing w:after="0" w:line="263" w:lineRule="auto"/>
        <w:rPr>
          <w:sz w:val="20"/>
          <w:szCs w:val="20"/>
          <w:color w:val="auto"/>
        </w:rPr>
      </w:pPr>
      <w:r>
        <w:rPr>
          <w:rFonts w:ascii="Courier New" w:cs="Courier New" w:eastAsia="Courier New" w:hAnsi="Courier New"/>
          <w:sz w:val="15"/>
          <w:szCs w:val="15"/>
          <w:color w:val="auto"/>
        </w:rPr>
        <w:t>DESPITE CURRENT INDEBTEDNESS LEVELS, WE MAY STILL BE ABLE TO INCUR SUBSTANTIALLY MORE DEBT. THIS COULD FURTHER EXACERBATE THE RISKS DESCRIBED ABOVE.</w:t>
      </w:r>
    </w:p>
    <w:p>
      <w:pPr>
        <w:spacing w:after="0" w:line="1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may be able to incur substantial additional indebtedness in the future. The terms of the indenture do not fully prohibit us from doing so. Our credit facility permits additional borrowings of up to $1.025 billion. All of those borrowings would be senior to the notes and the subsidiary guarantees. If new debt is added to our current debt levels, the related risks that we now face could intensify.</w:t>
      </w:r>
    </w:p>
    <w:p>
      <w:pPr>
        <w:spacing w:after="0" w:line="189"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TO SERVICE OUR INDEBTEDNESS, WE WILL REQUIRE A SIGNIFICANT AMOUNT OF CASH, WHICH WE MAY NOT BE ABLE TO GENERATE.</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Our ability to make payments on and to refinance our indebtedness, including the notes,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17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cannot assure you that our business will generate sufficient cash flow from operations or that currently anticipated cost savings and operating improvements will be realized on schedule or at all. We also cannot assure you that future borrowings will be available to us under our credit facility in amounts sufficient to enable us to pay our indebtedness, including the notes, or to fund our other liquidity needs. We may need to refinance all or a portion of our indebtedness, including the notes, on or before maturity. We cannot assure you that we will be able to refinance any of our indebtedness on commercially reasonable terms or at all.</w:t>
      </w:r>
    </w:p>
    <w:p>
      <w:pPr>
        <w:sectPr>
          <w:pgSz w:w="11900" w:h="16838" w:orient="portrait"/>
          <w:cols w:equalWidth="0" w:num="1">
            <w:col w:w="10219"/>
          </w:cols>
          <w:pgMar w:left="240" w:top="293" w:right="1440" w:bottom="468" w:gutter="0" w:footer="0" w:header="0"/>
        </w:sectPr>
      </w:pP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3" w:right="1440" w:bottom="468"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185"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6"/>
          <w:szCs w:val="16"/>
          <w:color w:val="auto"/>
        </w:rPr>
        <w:t>YOUR RIGHT TO RECEIVE PAYMENTS ON THE NOTES IS JUNIOR TO OUR EXISTING INDEBTEDNESS AND, POSSIBLY, ALL OF OUR FUTURE BORROWINGS.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The notes and the subsidiary guarantees rank behind all of our and the subsidiary guarantors' existing indebtedness and all of our and their future borrowings, except:</w:t>
      </w:r>
    </w:p>
    <w:p>
      <w:pPr>
        <w:spacing w:after="0" w:line="180" w:lineRule="exact"/>
        <w:rPr>
          <w:sz w:val="20"/>
          <w:szCs w:val="20"/>
          <w:color w:val="auto"/>
        </w:rPr>
      </w:pPr>
    </w:p>
    <w:p>
      <w:pPr>
        <w:ind w:left="660" w:hanging="195"/>
        <w:spacing w:after="0"/>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 payables;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future indebtedness that expressly provides that it ranks equal with, or is subordinated in right of payment to, the notes and the subsidiary guarantees.</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As a result, upon any distribution to our creditors or the creditors of the subsidiary guarantors in a bankruptcy, liquidation or reorganization or similar proceeding, the holders of senior debt will be entitled to be paid in full in cash before any payment may be made on the notes or the subsidiary guarantees.</w:t>
      </w:r>
    </w:p>
    <w:p>
      <w:pPr>
        <w:spacing w:after="0" w:line="17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addition, all payments on the notes and the subsidiary guarantees will be blocked in the event of a payment default on senior debt and may be blocked for up to 179 of 360 consecutive days in the event of uncured non-payment defaults on senior debt.</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the event of a bankruptcy, liquidation or reorganization or similar proceeding relating to Scotts or the subsidiary guarantors, holders of the notes will participate with trade creditors and all other holders of subordinated indebtedness in the assets remaining after we have paid all of the senior debt. Because the indenture requires that amounts otherwise payable to holders of the notes in a bankruptcy or similar proceeding be paid to holders of senior debt holders of the notes may receive less, ratably, than holders of trade payables in any bankruptcy or similar proceeding. In any of these cases, we and the subsidiary guarantors may not have sufficient funds to pay all of our creditors and holders of notes may receive less, ratably, than the holders of senior debt.</w:t>
      </w:r>
    </w:p>
    <w:p>
      <w:pPr>
        <w:spacing w:after="0" w:line="35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As of January 1, 2000, the notes and the subsidiary guarantees were subordinated to $768.0 million of senior debt, and approximately $212.7 million was available for borrowing as additional senior debt under our credit facility. We will be permitted to borrow substantial additional indebtedness, including senior debt, in the future under the terms of the indenture. In addition, the notes and the subsidiary guarantees will be effectively subordinated to the current operating liabilities, including trade payables, of all of our subsidiaries that are not subsidiary guarantors. See note 22 to our consolidated financial statements, which are incorporated by reference in this prospectus.</w:t>
      </w:r>
    </w:p>
    <w:p>
      <w:pPr>
        <w:spacing w:after="0" w:line="359"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We have made several substantial acquisitions in the past four years. The acquisition of the Ortho business represents the largest acquisition we have ever made. The success of any completed acquisition depends, and the success of the Ortho acquisition will depend, on our ability to integrate effectively the acquired business. We believe that our recent acquisitions provide us with significant cost saving opportunities. However, if we are not able to successfully integrate Ortho, Rhone-Poulenc Jardin or our other acquired businesses, we will not be able to maximize these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178"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Our top 10 North American retail customers together accounted for approximately 52% of our fiscal 1999 sales and 41% of our outstanding accounts receivable as of September 30, 1999. Our top three customers, The Home Depot, Wal-Mart and Kmart, represented approximately 17%, 12% and 9% of our fiscal 1999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w:t>
      </w:r>
    </w:p>
    <w:p>
      <w:pPr>
        <w:sectPr>
          <w:pgSz w:w="11900" w:h="16838" w:orient="portrait"/>
          <w:cols w:equalWidth="0" w:num="1">
            <w:col w:w="10219"/>
          </w:cols>
          <w:pgMar w:left="240" w:top="293" w:right="1440" w:bottom="1440" w:gutter="0" w:footer="0" w:header="0"/>
        </w:sectPr>
      </w:pP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18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shipments, fees, merchandise condition or related matters. Our inability to collect accounts receivable from any of these customers could also have a material adverse effect.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MONSANTO WERE TO TERMINATE THE MARKETING AGREEMENT FOR CONSUMER ROUNDUP(R)</w:t>
      </w:r>
    </w:p>
    <w:p>
      <w:pPr>
        <w:spacing w:after="0"/>
        <w:rPr>
          <w:sz w:val="20"/>
          <w:szCs w:val="20"/>
          <w:color w:val="auto"/>
        </w:rPr>
      </w:pPr>
      <w:r>
        <w:rPr>
          <w:rFonts w:ascii="Courier New" w:cs="Courier New" w:eastAsia="Courier New" w:hAnsi="Courier New"/>
          <w:sz w:val="16"/>
          <w:szCs w:val="16"/>
          <w:color w:val="auto"/>
        </w:rPr>
        <w:t>PRODUCTS, WE WOULD LOSE A SUBSTANTIAL SOURCE OF FUTURE EARNINGS.</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w:t>
      </w:r>
    </w:p>
    <w:p>
      <w:pPr>
        <w:spacing w:after="0" w:line="189"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Monsanto may also terminate the marketing agreement within a given region, including North America, without paying us a termination fee if sales to end user consumers, as opposed to retailers or distributors, in that region decline:</w:t>
      </w:r>
    </w:p>
    <w:p>
      <w:pPr>
        <w:spacing w:after="0" w:line="166" w:lineRule="exact"/>
        <w:rPr>
          <w:sz w:val="20"/>
          <w:szCs w:val="20"/>
          <w:color w:val="auto"/>
        </w:rPr>
      </w:pPr>
    </w:p>
    <w:p>
      <w:pPr>
        <w:ind w:left="660" w:hanging="195"/>
        <w:spacing w:after="0"/>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a cumulative three fiscal year period;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more than 5% for each of two consecutive fiscal years.</w:t>
      </w:r>
    </w:p>
    <w:p>
      <w:pPr>
        <w:spacing w:after="0" w:line="185" w:lineRule="exact"/>
        <w:rPr>
          <w:sz w:val="20"/>
          <w:szCs w:val="20"/>
          <w:color w:val="auto"/>
        </w:rPr>
      </w:pPr>
    </w:p>
    <w:p>
      <w:pPr>
        <w:ind w:right="3099" w:firstLine="469"/>
        <w:spacing w:after="0" w:line="257" w:lineRule="auto"/>
        <w:rPr>
          <w:sz w:val="20"/>
          <w:szCs w:val="20"/>
          <w:color w:val="auto"/>
        </w:rPr>
      </w:pPr>
      <w:r>
        <w:rPr>
          <w:rFonts w:ascii="Courier New" w:cs="Courier New" w:eastAsia="Courier New" w:hAnsi="Courier New"/>
          <w:sz w:val="15"/>
          <w:szCs w:val="15"/>
          <w:color w:val="auto"/>
        </w:rPr>
        <w:t>Monsanto may not terminate the marketing agreement, however, if we can demonstrate that the sales decline was caused by a severe decline in general economic conditions or a severe decline in the lawn and garden market in the region rather than by our failure to perform our duties under the agreement.</w:t>
      </w:r>
    </w:p>
    <w:p>
      <w:pPr>
        <w:spacing w:after="0" w:line="17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EXPIRATION OF PATENTS RELATING TO ROUNDUP(R) AND THE SCOTTS TURF BUILDER(R) LINE OF PRODUCTS COULD SUBSTANTIALLY INCREASE OUR COMPETITION IN THE UNITED STATES.</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Glyphosate, the active ingredient in Roundup(R), is covered by a patent in the United States which expires in September 2000. Sales in the United States may decline as a result of increased competition after the U.S. patent expires. Any decline in sales would adversely affect our net commission under the marketing agreement for consumer Roundup(R) products and, therefore, our financial results. A sales decline could also trigger Monsanto's regional termination right under the marketing agreement. For fiscal 1999, our commission under the Roundup marketing agreement constituted approximately 26% of our income before income taxes.</w:t>
      </w:r>
    </w:p>
    <w:p>
      <w:pPr>
        <w:spacing w:after="0" w:line="200" w:lineRule="exact"/>
        <w:rPr>
          <w:sz w:val="20"/>
          <w:szCs w:val="20"/>
          <w:color w:val="auto"/>
        </w:rPr>
      </w:pPr>
    </w:p>
    <w:p>
      <w:pPr>
        <w:spacing w:after="0" w:line="34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Our methylene-urea product composition patent, which covers Scotts Turf Builder(R), Scotts Turf Builder(R) Plus 2(TM) with Weed Control and Scotts Turf Builder(R) with Halts(R) Crabgrass Preventer, is due to expire in July 2001 and could also result in increased competition. Any decline in sales of Turf Builder(R) products after the expiration of the methylene-urea product composition patent could adversely affect our financial results. For fiscal 1999, sales of products utilizing our methylene-urea product composition patent accounted for approximately 18% of our total sales.</w:t>
      </w:r>
    </w:p>
    <w:p>
      <w:pPr>
        <w:spacing w:after="0" w:line="366"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THE INTERESTS OF THE FORMER MIRACLE-GRO SHAREHOLDERS COULD CONFLICT WITH THOSE OF OUR OTHER SHAREHOLDERS OR THE HOLDERS OF THE NOTES.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former shareholders of Stern's Miracle-Gro Products, Inc., through the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 or the holders of the notes.</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OUR HISTORICAL SEASONALITY COULD IMPAIR OUR ABILITY TO MAKE INTEREST PAYMENTS ON THE NOTES.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approximately 70% to 75% of our sales have occurred in the combined second and third fiscal quarters. Our working capital needs and our borrowings peak near the end of our first fiscal quarter because we are generating fewer revenues while incurring expenditures in preparation for the spring selling season. If cash on hand and revenues are insufficient to cover payments due on the notes at a time</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13</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when we are unable to draw on our credit facility, it could adversely affect our ability to make interest payments as required by the notes. Adverse weather conditions could heighten this risk.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ADVERSE WEATHER CONDITIONS COULD ADVERSELY IMPACT OUR FINANCIAL RESULTS.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369"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PUBLIC PERCEPTIONS THAT THE PRODUCTS WE PRODUCE AND MARKET ARE NOT SAFE COULD SIGNIFICANTLY REDUCE OUR SALES.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 by reducing our sales.</w:t>
      </w:r>
    </w:p>
    <w:p>
      <w:pPr>
        <w:spacing w:after="0" w:line="200" w:lineRule="exact"/>
        <w:rPr>
          <w:sz w:val="20"/>
          <w:szCs w:val="20"/>
          <w:color w:val="auto"/>
        </w:rPr>
      </w:pPr>
    </w:p>
    <w:p>
      <w:pPr>
        <w:spacing w:after="0" w:line="346"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COMPLIANCE WITH ENVIRONMENTAL AND OTHER PUBLIC HEALTH REGULATIONS COULD INCREASE OUR COST OF DOING BUSINESS.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All products containing pesticides must be registered with the U.S. Environmental Protection Agency and, in many cases, with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is evaluating the cumulative risks from dietary and non-dietary exposures to pesticides. The pesticides in our products, which are also used on foods, will be evaluated by the U.S. Environmental Protection Agency as part of this non-dietary exposure risk assessment. It is possible that the U.S. Environmental Protection Agency may decide that a pesticide we use in our products would be limited or made unavailable. We cannot predict the outcome or severity of the effect of the U.S. Environmental Protection Agency's evaluation.</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Regulations regarding the use of some pesticide and fertilizer products may include requirements that only certified or professional users may apply the products or that the products be used only in specified locations. Users may be required to post notices on properties to which products have been or will be applied and may be required to notify individuals in the vicinity that products will be applied in the future. The use of some ingredients has been banned. Even if we are able to comply with all applicable regulations and obtain all necessary registrations, we cannot be sure that our products, particularly pesticide products, will not cause injury to the environment or to people under all circumstances. The costs of compliance, remediation or products liability have adversely affected our operating results in the past and could materially affect our future quarterly or annual operating results.</w:t>
      </w:r>
    </w:p>
    <w:p>
      <w:pPr>
        <w:spacing w:after="0" w:line="188"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The harvesting of peat for our organics business has come under increasing regulatory and environmental scrutiny. In the United States, state regulations frequently require us to limit our harvesting and to restore the property to its intended residual use. In some locations we have been required to create water retention ponds to control the sediment content of discharged water. In the United Kingdom, our peat extraction efforts are also the subject of legislation. Since July 1990, we have been involved in litigation with the Philadelphia</w:t>
      </w:r>
    </w:p>
    <w:p>
      <w:pPr>
        <w:ind w:left="3660"/>
        <w:spacing w:after="0" w:line="238" w:lineRule="auto"/>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3"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365"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District of the U.S. Army Corps of Engineers involving our peat harvesting operations at Hyponex's Lafayette, New Jersey facility. The Corps of Engineers is seeking a permanent injunction against harvesting and civil penalties in an unspecified amount. While we are unable to predict the outcome of the negotiations on this matter, we have accrued for our estimate of the probable loss. If the ultimate settlement of this proceeding differs significantly from the amount we have accrued, it could materially impact our results of operations, financial position or cash flows.</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to the regulations already described, local, state, federal and foreign agencies regulate the disposal, handling and storage of waste and air and water discharges from our facilities. In June 1997, the Ohio Environmental Protection Agency gave us formal notice of an enforcement action concerning our old, decommissioned wastewater treatment plants that had once operated at our Marysville facility. The Ohio EPA action alleges potential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While we are currently unable to predict the ultimate outcome of this matter, as of September 30, 1999, we estimate that the range of possible loss that could be incurred in connection with this matter is $2 million to $10 million.</w:t>
      </w:r>
    </w:p>
    <w:p>
      <w:pPr>
        <w:spacing w:after="0" w:line="370"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During fiscal 1999, we made approximately $1.1 million in environmental capital expenditures and $5.9 million in other environmental expenses, compared with approximately $0.7 million in environmental capital expenditures and $3.1 million in other environmental expenses in fiscal 1998. We anticipate that environmental capital expenditures and other environmental expenses for fiscal 2000 will not differ significantly from those incurred in fiscal 1999. If we are required to significantly increase our actual capital expenditures and other environmental expenses, it could adversely affect our financial results.</w:t>
      </w:r>
    </w:p>
    <w:p>
      <w:pPr>
        <w:spacing w:after="0" w:line="354"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OUR SIGNIFICANT INTERNATIONAL OPERATIONS MAKE US MORE SUSCEPTIBLE TO FLUCTUATIONS IN CURRENCY EXCHANGE RATES AND TO THE COSTS OF INTERNATIONAL REGULATION.</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currently operate manufacturing, sales and service facilities outside of North America, particularly in the United Kingdom, Germany and France. Our international operations have increased with the acquisitions of Levington, Miracle Garden, Ortho and Rhone-Poulenc Jardin and with the marketing agreement for consumer Roundup(R) products. In fiscal 1999, international sales accounted for approximately 24% of our total sales. Accordingly, we are exposed to risks associated with operations in foreign countries, including:</w:t>
      </w:r>
    </w:p>
    <w:p>
      <w:pPr>
        <w:spacing w:after="0" w:line="180" w:lineRule="exact"/>
        <w:rPr>
          <w:sz w:val="20"/>
          <w:szCs w:val="20"/>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currency exchange rates;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conversion of foreign currencies into U.S. dollars;</w:t>
      </w:r>
    </w:p>
    <w:p>
      <w:pPr>
        <w:spacing w:after="0" w:line="184" w:lineRule="exact"/>
        <w:rPr>
          <w:rFonts w:ascii="Courier New" w:cs="Courier New" w:eastAsia="Courier New" w:hAnsi="Courier New"/>
          <w:sz w:val="16"/>
          <w:szCs w:val="16"/>
          <w:color w:val="auto"/>
        </w:rPr>
      </w:pPr>
    </w:p>
    <w:p>
      <w:pPr>
        <w:ind w:right="2819" w:firstLine="465"/>
        <w:spacing w:after="0" w:line="236" w:lineRule="auto"/>
        <w:tabs>
          <w:tab w:leader="none" w:pos="65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remittance of dividends and other payments by foreign subsidiaries;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costs of compliance with local regulations;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historically, higher rates of inflation than in the United States.</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 costs related to our international operations could adversely affect our operations and financial results in the future.</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YOUR RIGHT TO RECEIVE PAYMENTS ON THE NOTES COULD BE ADVERSELY AFFECTED IF ANY OF OUR NON-GUARANTOR SUBSIDIARIES DECLARES BANKRUPTCY, LIQUIDATES OR REORGANIZES.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Some but not all of our subsidiaries will guarantee the notes. In the event of a bankruptcy, liquidation or reorganization of any of the non-guarantor subsidiaries, holders of their indebtedness and their trade creditors will generally be entitled to payment of their claims from the assets of those subsidiaries before any assets are made available for distribution to us. The non-guarantor subsidiaries generated approximately 24.6% of our consolidated revenues in the year ended September 30, 1999 and held approximately 29.7% of our consolidated assets as of September 30, 1999.</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365" w:lineRule="exact"/>
        <w:rPr>
          <w:sz w:val="20"/>
          <w:szCs w:val="20"/>
          <w:color w:val="auto"/>
        </w:rPr>
      </w:pPr>
    </w:p>
    <w:p>
      <w:pPr>
        <w:ind w:right="3099"/>
        <w:spacing w:after="0" w:line="263" w:lineRule="auto"/>
        <w:rPr>
          <w:sz w:val="20"/>
          <w:szCs w:val="20"/>
          <w:color w:val="auto"/>
        </w:rPr>
      </w:pPr>
      <w:r>
        <w:rPr>
          <w:rFonts w:ascii="Courier New" w:cs="Courier New" w:eastAsia="Courier New" w:hAnsi="Courier New"/>
          <w:sz w:val="15"/>
          <w:szCs w:val="15"/>
          <w:color w:val="auto"/>
        </w:rPr>
        <w:t>WE COULD EXPERIENCE DIFFICULTIES WITH OUR IMPLEMENTATION OF SAP SOFTWARE FOR ENTERPRISE RESOURCE PLANNING THAT COULD ADVERSELY AFFECT OUR OPERATIONS.</w:t>
      </w:r>
    </w:p>
    <w:p>
      <w:pPr>
        <w:spacing w:after="0" w:line="200" w:lineRule="exact"/>
        <w:rPr>
          <w:sz w:val="20"/>
          <w:szCs w:val="20"/>
          <w:color w:val="auto"/>
        </w:rPr>
      </w:pPr>
    </w:p>
    <w:p>
      <w:pPr>
        <w:spacing w:after="0" w:line="32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Our implementation of SAP software for enterprise resource planning is in progress and is currently being utilized to provide information to three of our business groups. While the implementation has not created business interruption to this point, there can be no assurance that we will not experience difficulties in the remainder of the implementation process over the next several years.</w:t>
      </w:r>
    </w:p>
    <w:p>
      <w:pPr>
        <w:spacing w:after="0" w:line="369"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WE MAY NOT HAVE THE ABILITY TO RAISE THE FUNDS NECESSARY TO FINANCE THE CHANGE OF CONTROL OFFER REQUIRED BY THE INDENTURE.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Upon the occurrence of specific kinds of change of control events, we will be required to offer to repurchase all outstanding notes. It is possible that we will not have sufficient funds at the time of the change of control to make the required repurchase of notes or that restrictions in our credit facility will not allow repurchases. In addition, important corporate events, including leveraged recapitalizations that would increase the level of our indebtedness, would not constitute a "Change of Control" under the indenture. Therefore, if an event occurs that does not constitute a "Change of Control," we will not be required to make a repurchase offer, and you may be required to continue to hold your notes despite the event. See "Description of Notes -- Repurchase at the Option of Holders."</w:t>
      </w:r>
    </w:p>
    <w:p>
      <w:pPr>
        <w:spacing w:after="0" w:line="187"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FEDERAL AND STATE STATUTES ALLOW COURTS, UNDER SPECIFIC CIRCUMSTANCES, TO VOID THE NOTES AND THE GUARANTEES AND REQUIRE NOTEHOLDERS TO RETURN PAYMENTS RECEIVED FROM SCOTTS OR THE SUBSIDIARY GUARANTORS.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Under the federal bankruptcy law and comparable provisions of state fraudulent transfer laws, the notes and the subsidiary guarantees could be voided. Alternatively, claims in respect of the notes or the subsidiary guarantees could be subordinated to all other debts of Scotts or any subsidiary guarantor. Either of these events could occur if Scotts or the subsidiary guarantor, at the time it incurred the indebtedness evidenced by the notes or its subsidiary guarantee received less than reasonably equivalent value or fair consideration for the incurrence of the indebtedness, and:</w:t>
      </w:r>
    </w:p>
    <w:p>
      <w:pPr>
        <w:spacing w:after="0" w:line="173" w:lineRule="exact"/>
        <w:rPr>
          <w:sz w:val="20"/>
          <w:szCs w:val="20"/>
          <w:color w:val="auto"/>
        </w:rPr>
      </w:pPr>
    </w:p>
    <w:p>
      <w:pPr>
        <w:ind w:left="660" w:right="2999" w:hanging="195"/>
        <w:spacing w:after="0" w:line="236"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insolvent or rendered insolvent by reason of the incurrence of the indebtedness; or</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engaged in a business or transaction for which Scotts' or the subsidiary guarantor's remaining assets constituted unreasonably small capital; or</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intended to incur, or believed that it would incur, debts beyond its ability to pay as they mature.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addition, any payment by Scotts or any subsidiary guarantor under the notes or a subsidiary guarantee could be voided and required to be returned to Scotts or the subsidiary guarantor, or to a fund for the benefit of the creditors of Scotts or the subsidiary guarantor.</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measures of insolvency for purposes of these fraudulent transfer laws vary depending upon the law applied in any proceeding to determine whether a fraudulent transfer has occurred. Generally, however, Scotts or a subsidiary guarantor would be considered insolvent if:</w:t>
      </w:r>
    </w:p>
    <w:p>
      <w:pPr>
        <w:spacing w:after="0" w:line="186" w:lineRule="exact"/>
        <w:rPr>
          <w:sz w:val="20"/>
          <w:szCs w:val="20"/>
          <w:color w:val="auto"/>
        </w:rPr>
      </w:pPr>
    </w:p>
    <w:p>
      <w:pPr>
        <w:ind w:left="660" w:right="2719" w:hanging="195"/>
        <w:spacing w:after="0" w:line="236" w:lineRule="auto"/>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its debts, including contingent liabilities, were greater than the fair salable value of all of its assets;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present fair salable value of its assets were less than the amount that would be required to pay its probable liability on its existing debts, including contingent liabilities, as they become absolute and mature; or</w:t>
      </w:r>
    </w:p>
    <w:p>
      <w:pPr>
        <w:spacing w:after="0" w:line="18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could not pay its debts as they become due.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CANNOT BE SURE THAT AN ACTIVE TRADING MARKET WILL DEVELOP FOR THE NOTES.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notes are a new issue of securities with no established trading market and will not be listed on any securities exchange. We understand that Salomon Smith Barney is currently making a market in the original notes. However, they may cease their market-making at any time. In addition, the liquidity of the trading</w:t>
      </w:r>
    </w:p>
    <w:p>
      <w:pPr>
        <w:sectPr>
          <w:pgSz w:w="11900" w:h="16838" w:orient="portrait"/>
          <w:cols w:equalWidth="0" w:num="1">
            <w:col w:w="10219"/>
          </w:cols>
          <w:pgMar w:left="240" w:top="293" w:right="1440" w:bottom="1015"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015"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16</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market in the notes, and the market price quoted for the notes, may be adversely affected by changes in the overall market for high yield securities and by changes in our financial performance or prospects or in the prospects for companies in our industry generally. As a result, you cannot be sure that an active trading market will develop for the notes.</w:t>
      </w:r>
    </w:p>
    <w:p>
      <w:pPr>
        <w:spacing w:after="0" w:line="363"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RECENT DEVELOPMENTS</w:t>
      </w:r>
    </w:p>
    <w:p>
      <w:pPr>
        <w:spacing w:after="0" w:line="200" w:lineRule="exact"/>
        <w:rPr>
          <w:sz w:val="20"/>
          <w:szCs w:val="20"/>
          <w:color w:val="auto"/>
        </w:rPr>
      </w:pPr>
    </w:p>
    <w:p>
      <w:pPr>
        <w:spacing w:after="0" w:line="345" w:lineRule="exact"/>
        <w:rPr>
          <w:sz w:val="20"/>
          <w:szCs w:val="20"/>
          <w:color w:val="auto"/>
        </w:rPr>
      </w:pPr>
    </w:p>
    <w:p>
      <w:pPr>
        <w:ind w:right="3559" w:firstLine="469"/>
        <w:spacing w:after="0" w:line="237" w:lineRule="auto"/>
        <w:rPr>
          <w:sz w:val="20"/>
          <w:szCs w:val="20"/>
          <w:color w:val="auto"/>
        </w:rPr>
      </w:pPr>
      <w:r>
        <w:rPr>
          <w:rFonts w:ascii="Courier New" w:cs="Courier New" w:eastAsia="Courier New" w:hAnsi="Courier New"/>
          <w:sz w:val="16"/>
          <w:szCs w:val="16"/>
          <w:color w:val="auto"/>
        </w:rPr>
        <w:t>On April 3, 2000, Scotts announced that it had signed a definitive agreement to sell its North American Professional Turf business to The Andersons, Inc. and The Nu-Gro Corporation.</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Scotts will retain the professional horticulture and the turf seed segments of its North American Professional Business Group. In addition to their ongoing value, these segments are strategically important to Scotts' efforts to create and market value-added seeds and plants through biotechnology.</w:t>
      </w:r>
    </w:p>
    <w:p>
      <w:pPr>
        <w:spacing w:after="0" w:line="200" w:lineRule="exact"/>
        <w:rPr>
          <w:sz w:val="20"/>
          <w:szCs w:val="20"/>
          <w:color w:val="auto"/>
        </w:rPr>
      </w:pPr>
    </w:p>
    <w:p>
      <w:pPr>
        <w:spacing w:after="0" w:line="33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Under the Professional Turf sales agreement, The Andersons would acquire the rights in the U.S. only to the Pro-Turf(R), Contec(TM), AccuPro(TM) and other professional turf brands and their associated distribution network and product inventories. Nu-Gro would acquire the same brands and their associated distribution network and inventories in Canada. The Scotts(R) brand name is not part of this transaction, other than for certain transitional uses.</w:t>
      </w:r>
    </w:p>
    <w:p>
      <w:pPr>
        <w:spacing w:after="0" w:line="200" w:lineRule="exact"/>
        <w:rPr>
          <w:sz w:val="20"/>
          <w:szCs w:val="20"/>
          <w:color w:val="auto"/>
        </w:rPr>
      </w:pPr>
    </w:p>
    <w:p>
      <w:pPr>
        <w:spacing w:after="0" w:line="33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transaction also includes a supply agreement under which Scotts will use its proprietary manufacturing processes to produce a value-added professional turf products for The Andersons and Nu-Gro for the U.S. and Canada, respectively. Scotts expects the transaction to close during its third fiscal quarter.</w:t>
      </w:r>
    </w:p>
    <w:p>
      <w:pPr>
        <w:spacing w:after="0" w:line="36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The following table sets forth our ratio of earnings to fixed charges for each of the periods shown: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YEAR ENDED SEPTEMBER 30,</w:t>
      </w:r>
    </w:p>
    <w:p>
      <w:pPr>
        <w:ind w:left="4020"/>
        <w:spacing w:after="0"/>
        <w:tabs>
          <w:tab w:leader="none" w:pos="7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QUARTER ENDED</w:t>
      </w:r>
    </w:p>
    <w:p>
      <w:pPr>
        <w:jc w:val="both"/>
        <w:ind w:left="4020"/>
        <w:spacing w:after="0"/>
        <w:tabs>
          <w:tab w:leader="none" w:pos="4760" w:val="left"/>
          <w:tab w:leader="none" w:pos="5520" w:val="left"/>
          <w:tab w:leader="none" w:pos="6260" w:val="left"/>
          <w:tab w:leader="none" w:pos="7020" w:val="left"/>
          <w:tab w:leader="none" w:pos="7760" w:val="left"/>
        </w:tabs>
        <w:rPr>
          <w:sz w:val="20"/>
          <w:szCs w:val="20"/>
          <w:color w:val="auto"/>
        </w:rPr>
      </w:pP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JANUARY 1, 2000</w:t>
      </w:r>
    </w:p>
    <w:p>
      <w:pPr>
        <w:ind w:left="4020"/>
        <w:spacing w:after="0"/>
        <w:tabs>
          <w:tab w:leader="none" w:pos="4760" w:val="left"/>
          <w:tab w:leader="none" w:pos="5520" w:val="left"/>
          <w:tab w:leader="none" w:pos="6260" w:val="left"/>
          <w:tab w:leader="none" w:pos="7020" w:val="left"/>
          <w:tab w:leader="none" w:pos="77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79" w:lineRule="exact"/>
        <w:rPr>
          <w:sz w:val="20"/>
          <w:szCs w:val="20"/>
          <w:color w:val="auto"/>
        </w:rPr>
      </w:pPr>
    </w:p>
    <w:p>
      <w:pPr>
        <w:spacing w:after="0"/>
        <w:tabs>
          <w:tab w:leader="none" w:pos="4000" w:val="left"/>
          <w:tab w:leader="none" w:pos="4760" w:val="left"/>
          <w:tab w:leader="none" w:pos="5520" w:val="left"/>
          <w:tab w:leader="none" w:pos="6260" w:val="left"/>
          <w:tab w:leader="none" w:pos="7020" w:val="left"/>
        </w:tabs>
        <w:rPr>
          <w:sz w:val="20"/>
          <w:szCs w:val="20"/>
          <w:color w:val="auto"/>
        </w:rPr>
      </w:pPr>
      <w:r>
        <w:rPr>
          <w:rFonts w:ascii="Courier New" w:cs="Courier New" w:eastAsia="Courier New" w:hAnsi="Courier New"/>
          <w:sz w:val="16"/>
          <w:szCs w:val="16"/>
          <w:color w:val="auto"/>
        </w:rPr>
        <w:t>Ratio of earnings to fixed charges.......</w:t>
        <w:tab/>
        <w:t>2.2x</w:t>
      </w:r>
      <w:r>
        <w:rPr>
          <w:sz w:val="20"/>
          <w:szCs w:val="20"/>
          <w:color w:val="auto"/>
        </w:rPr>
        <w:tab/>
      </w:r>
      <w:r>
        <w:rPr>
          <w:rFonts w:ascii="Courier New" w:cs="Courier New" w:eastAsia="Courier New" w:hAnsi="Courier New"/>
          <w:sz w:val="16"/>
          <w:szCs w:val="16"/>
          <w:color w:val="auto"/>
        </w:rPr>
        <w:t>1.0x</w:t>
      </w:r>
      <w:r>
        <w:rPr>
          <w:sz w:val="20"/>
          <w:szCs w:val="20"/>
          <w:color w:val="auto"/>
        </w:rPr>
        <w:tab/>
      </w:r>
      <w:r>
        <w:rPr>
          <w:rFonts w:ascii="Courier New" w:cs="Courier New" w:eastAsia="Courier New" w:hAnsi="Courier New"/>
          <w:sz w:val="16"/>
          <w:szCs w:val="16"/>
          <w:color w:val="auto"/>
        </w:rPr>
        <w:t>3.3x</w:t>
      </w:r>
      <w:r>
        <w:rPr>
          <w:sz w:val="20"/>
          <w:szCs w:val="20"/>
          <w:color w:val="auto"/>
        </w:rPr>
        <w:tab/>
      </w:r>
      <w:r>
        <w:rPr>
          <w:rFonts w:ascii="Courier New" w:cs="Courier New" w:eastAsia="Courier New" w:hAnsi="Courier New"/>
          <w:sz w:val="16"/>
          <w:szCs w:val="16"/>
          <w:color w:val="auto"/>
        </w:rPr>
        <w:t>2.6x</w:t>
      </w:r>
      <w:r>
        <w:rPr>
          <w:sz w:val="20"/>
          <w:szCs w:val="20"/>
          <w:color w:val="auto"/>
        </w:rPr>
        <w:tab/>
      </w:r>
      <w:r>
        <w:rPr>
          <w:rFonts w:ascii="Courier New" w:cs="Courier New" w:eastAsia="Courier New" w:hAnsi="Courier New"/>
          <w:sz w:val="15"/>
          <w:szCs w:val="15"/>
          <w:color w:val="auto"/>
        </w:rPr>
        <w:t>2.3x</w:t>
      </w:r>
    </w:p>
    <w:p>
      <w:pPr>
        <w:spacing w:after="0"/>
        <w:rPr>
          <w:sz w:val="20"/>
          <w:szCs w:val="20"/>
          <w:color w:val="auto"/>
        </w:rPr>
      </w:pPr>
      <w:r>
        <w:rPr>
          <w:rFonts w:ascii="Courier New" w:cs="Courier New" w:eastAsia="Courier New" w:hAnsi="Courier New"/>
          <w:sz w:val="16"/>
          <w:szCs w:val="16"/>
          <w:color w:val="auto"/>
        </w:rPr>
        <w:t>Amount of deficiency to cover fixed</w:t>
      </w:r>
    </w:p>
    <w:p>
      <w:pPr>
        <w:ind w:left="180"/>
        <w:spacing w:after="0"/>
        <w:tabs>
          <w:tab w:leader="none" w:pos="4200" w:val="left"/>
          <w:tab w:leader="none" w:pos="4940" w:val="left"/>
          <w:tab w:leader="none" w:pos="5700" w:val="left"/>
          <w:tab w:leader="none" w:pos="6440" w:val="left"/>
          <w:tab w:leader="none" w:pos="7200" w:val="left"/>
          <w:tab w:leader="none" w:pos="8240" w:val="left"/>
        </w:tabs>
        <w:rPr>
          <w:sz w:val="20"/>
          <w:szCs w:val="20"/>
          <w:color w:val="auto"/>
        </w:rPr>
      </w:pPr>
      <w:r>
        <w:rPr>
          <w:rFonts w:ascii="Courier New" w:cs="Courier New" w:eastAsia="Courier New" w:hAnsi="Courier New"/>
          <w:sz w:val="16"/>
          <w:szCs w:val="16"/>
          <w:color w:val="auto"/>
        </w:rPr>
        <w:t>charges................................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$50.0</w:t>
      </w:r>
    </w:p>
    <w:p>
      <w:pPr>
        <w:spacing w:after="0" w:line="200" w:lineRule="exact"/>
        <w:rPr>
          <w:sz w:val="20"/>
          <w:szCs w:val="20"/>
          <w:color w:val="auto"/>
        </w:rPr>
      </w:pPr>
    </w:p>
    <w:p>
      <w:pPr>
        <w:spacing w:after="0" w:line="34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USE OF PROCEEDS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will not receive any proceeds from the issuance of these notes. The gross proceeds from the offering of the original notes, together with borrowings under our credit facility of approximately $100 million, were used:</w:t>
      </w:r>
    </w:p>
    <w:p>
      <w:pPr>
        <w:spacing w:after="0" w:line="185" w:lineRule="exact"/>
        <w:rPr>
          <w:sz w:val="20"/>
          <w:szCs w:val="20"/>
          <w:color w:val="auto"/>
        </w:rPr>
      </w:pPr>
    </w:p>
    <w:p>
      <w:pPr>
        <w:ind w:left="660" w:right="3279" w:hanging="195"/>
        <w:spacing w:after="0" w:line="237" w:lineRule="auto"/>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fund the payment of $300.0 million to Monsanto for the Ortho acquisition, excluding the amount of any normalized working capital adjustment;</w:t>
      </w:r>
    </w:p>
    <w:p>
      <w:pPr>
        <w:spacing w:after="0" w:line="184" w:lineRule="exact"/>
        <w:rPr>
          <w:rFonts w:ascii="Courier New" w:cs="Courier New" w:eastAsia="Courier New" w:hAnsi="Courier New"/>
          <w:sz w:val="16"/>
          <w:szCs w:val="16"/>
          <w:color w:val="auto"/>
        </w:rPr>
      </w:pPr>
    </w:p>
    <w:p>
      <w:pPr>
        <w:jc w:val="both"/>
        <w:ind w:left="660" w:right="2899" w:hanging="195"/>
        <w:spacing w:after="0" w:line="237" w:lineRule="auto"/>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repurchase our then outstanding 9 7/8% Senior Subordinated Notes Due 2004 for $108.7 million, including tender premium and accrued interest; and</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fees and expenses of approximately $21 million in connection with our recent acquisitions and the offering of the original notes.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17</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CAPITALIZATION</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table sets forth the capitalization of Scotts at January 1,</w:t>
      </w:r>
    </w:p>
    <w:p>
      <w:pPr>
        <w:spacing w:after="0"/>
        <w:rPr>
          <w:sz w:val="20"/>
          <w:szCs w:val="20"/>
          <w:color w:val="auto"/>
        </w:rPr>
      </w:pPr>
      <w:r>
        <w:rPr>
          <w:rFonts w:ascii="Courier New" w:cs="Courier New" w:eastAsia="Courier New" w:hAnsi="Courier New"/>
          <w:sz w:val="16"/>
          <w:szCs w:val="16"/>
          <w:color w:val="auto"/>
        </w:rPr>
        <w:t>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3840" w:type="dxa"/>
            <w:vAlign w:val="bottom"/>
          </w:tcPr>
          <w:p>
            <w:pPr>
              <w:jc w:val="center"/>
              <w:ind w:left="2362"/>
              <w:spacing w:after="0"/>
              <w:rPr>
                <w:sz w:val="20"/>
                <w:szCs w:val="20"/>
                <w:color w:val="auto"/>
              </w:rPr>
            </w:pPr>
            <w:r>
              <w:rPr>
                <w:rFonts w:ascii="Courier New" w:cs="Courier New" w:eastAsia="Courier New" w:hAnsi="Courier New"/>
                <w:sz w:val="16"/>
                <w:szCs w:val="16"/>
                <w:color w:val="auto"/>
                <w:w w:val="99"/>
              </w:rPr>
              <w:t>AS OF</w:t>
            </w:r>
          </w:p>
        </w:tc>
      </w:tr>
      <w:tr>
        <w:trPr>
          <w:trHeight w:val="180"/>
        </w:trPr>
        <w:tc>
          <w:tcPr>
            <w:tcW w:w="3660" w:type="dxa"/>
            <w:vAlign w:val="bottom"/>
          </w:tcPr>
          <w:p>
            <w:pPr>
              <w:spacing w:after="0"/>
              <w:rPr>
                <w:sz w:val="15"/>
                <w:szCs w:val="15"/>
                <w:color w:val="auto"/>
              </w:rPr>
            </w:pPr>
          </w:p>
        </w:tc>
        <w:tc>
          <w:tcPr>
            <w:tcW w:w="3840" w:type="dxa"/>
            <w:vAlign w:val="bottom"/>
          </w:tcPr>
          <w:p>
            <w:pPr>
              <w:jc w:val="center"/>
              <w:ind w:left="2362"/>
              <w:spacing w:after="0"/>
              <w:rPr>
                <w:sz w:val="20"/>
                <w:szCs w:val="20"/>
                <w:color w:val="auto"/>
              </w:rPr>
            </w:pPr>
            <w:r>
              <w:rPr>
                <w:rFonts w:ascii="Courier New" w:cs="Courier New" w:eastAsia="Courier New" w:hAnsi="Courier New"/>
                <w:sz w:val="16"/>
                <w:szCs w:val="16"/>
                <w:color w:val="auto"/>
                <w:w w:val="97"/>
              </w:rPr>
              <w:t>JANUARY 1, 2000</w:t>
            </w:r>
          </w:p>
        </w:tc>
      </w:tr>
      <w:tr>
        <w:trPr>
          <w:trHeight w:val="180"/>
        </w:trPr>
        <w:tc>
          <w:tcPr>
            <w:tcW w:w="3660" w:type="dxa"/>
            <w:vAlign w:val="bottom"/>
          </w:tcPr>
          <w:p>
            <w:pPr>
              <w:spacing w:after="0"/>
              <w:rPr>
                <w:sz w:val="15"/>
                <w:szCs w:val="15"/>
                <w:color w:val="auto"/>
              </w:rPr>
            </w:pPr>
          </w:p>
        </w:tc>
        <w:tc>
          <w:tcPr>
            <w:tcW w:w="3840" w:type="dxa"/>
            <w:vAlign w:val="bottom"/>
          </w:tcPr>
          <w:p>
            <w:pPr>
              <w:jc w:val="center"/>
              <w:ind w:left="236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660" w:type="dxa"/>
            <w:vAlign w:val="bottom"/>
          </w:tcPr>
          <w:p>
            <w:pPr>
              <w:spacing w:after="0"/>
              <w:rPr>
                <w:sz w:val="15"/>
                <w:szCs w:val="15"/>
                <w:color w:val="auto"/>
              </w:rPr>
            </w:pPr>
          </w:p>
        </w:tc>
        <w:tc>
          <w:tcPr>
            <w:tcW w:w="3840" w:type="dxa"/>
            <w:vAlign w:val="bottom"/>
          </w:tcPr>
          <w:p>
            <w:pPr>
              <w:jc w:val="center"/>
              <w:ind w:left="2342"/>
              <w:spacing w:after="0"/>
              <w:rPr>
                <w:sz w:val="20"/>
                <w:szCs w:val="20"/>
                <w:color w:val="auto"/>
              </w:rPr>
            </w:pPr>
            <w:r>
              <w:rPr>
                <w:rFonts w:ascii="Courier New" w:cs="Courier New" w:eastAsia="Courier New" w:hAnsi="Courier New"/>
                <w:sz w:val="16"/>
                <w:szCs w:val="16"/>
                <w:color w:val="auto"/>
                <w:w w:val="97"/>
              </w:rPr>
              <w:t>(IN MILLIONS)</w:t>
            </w:r>
          </w:p>
        </w:tc>
      </w:tr>
      <w:tr>
        <w:trPr>
          <w:trHeight w:val="361"/>
        </w:trPr>
        <w:tc>
          <w:tcPr>
            <w:tcW w:w="3660" w:type="dxa"/>
            <w:vAlign w:val="bottom"/>
          </w:tcPr>
          <w:p>
            <w:pPr>
              <w:jc w:val="right"/>
              <w:ind w:right="487"/>
              <w:spacing w:after="0"/>
              <w:rPr>
                <w:sz w:val="20"/>
                <w:szCs w:val="20"/>
                <w:color w:val="auto"/>
              </w:rPr>
            </w:pPr>
            <w:r>
              <w:rPr>
                <w:rFonts w:ascii="Courier New" w:cs="Courier New" w:eastAsia="Courier New" w:hAnsi="Courier New"/>
                <w:sz w:val="16"/>
                <w:szCs w:val="16"/>
                <w:color w:val="auto"/>
                <w:w w:val="97"/>
              </w:rPr>
              <w:t>Debt (including current portion):</w:t>
            </w:r>
          </w:p>
        </w:tc>
        <w:tc>
          <w:tcPr>
            <w:tcW w:w="3840" w:type="dxa"/>
            <w:vAlign w:val="bottom"/>
          </w:tcPr>
          <w:p>
            <w:pPr>
              <w:spacing w:after="0"/>
              <w:rPr>
                <w:sz w:val="24"/>
                <w:szCs w:val="24"/>
                <w:color w:val="auto"/>
              </w:rPr>
            </w:pPr>
          </w:p>
        </w:tc>
      </w:tr>
      <w:tr>
        <w:trPr>
          <w:trHeight w:val="180"/>
        </w:trPr>
        <w:tc>
          <w:tcPr>
            <w:tcW w:w="3660" w:type="dxa"/>
            <w:vAlign w:val="bottom"/>
          </w:tcPr>
          <w:p>
            <w:pPr>
              <w:jc w:val="right"/>
              <w:ind w:right="1907"/>
              <w:spacing w:after="0"/>
              <w:rPr>
                <w:sz w:val="20"/>
                <w:szCs w:val="20"/>
                <w:color w:val="auto"/>
              </w:rPr>
            </w:pPr>
            <w:r>
              <w:rPr>
                <w:rFonts w:ascii="Courier New" w:cs="Courier New" w:eastAsia="Courier New" w:hAnsi="Courier New"/>
                <w:sz w:val="16"/>
                <w:szCs w:val="16"/>
                <w:color w:val="auto"/>
              </w:rPr>
              <w:t>Credit facility:</w:t>
            </w:r>
          </w:p>
        </w:tc>
        <w:tc>
          <w:tcPr>
            <w:tcW w:w="3840" w:type="dxa"/>
            <w:vAlign w:val="bottom"/>
          </w:tcPr>
          <w:p>
            <w:pPr>
              <w:spacing w:after="0"/>
              <w:rPr>
                <w:sz w:val="15"/>
                <w:szCs w:val="15"/>
                <w:color w:val="auto"/>
              </w:rPr>
            </w:pP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w w:val="73"/>
              </w:rPr>
              <w:t>Revolving credit facility..............................</w:t>
            </w:r>
          </w:p>
        </w:tc>
        <w:tc>
          <w:tcPr>
            <w:tcW w:w="3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257.8</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w w:val="73"/>
              </w:rPr>
              <w:t>Term loans.............................................</w:t>
            </w:r>
          </w:p>
        </w:tc>
        <w:tc>
          <w:tcPr>
            <w:tcW w:w="3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502.9</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3"/>
                <w:szCs w:val="13"/>
                <w:color w:val="auto"/>
                <w:w w:val="80"/>
              </w:rPr>
              <w:t>8.625% senior subordinated notes..........................</w:t>
            </w:r>
          </w:p>
        </w:tc>
        <w:tc>
          <w:tcPr>
            <w:tcW w:w="3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318.3</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3"/>
                <w:szCs w:val="13"/>
                <w:color w:val="auto"/>
                <w:w w:val="80"/>
              </w:rPr>
              <w:t>Other debt................................................</w:t>
            </w:r>
          </w:p>
        </w:tc>
        <w:tc>
          <w:tcPr>
            <w:tcW w:w="3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47.9</w:t>
            </w:r>
          </w:p>
        </w:tc>
      </w:tr>
      <w:tr>
        <w:trPr>
          <w:trHeight w:val="180"/>
        </w:trPr>
        <w:tc>
          <w:tcPr>
            <w:tcW w:w="3660" w:type="dxa"/>
            <w:vAlign w:val="bottom"/>
          </w:tcPr>
          <w:p>
            <w:pPr>
              <w:spacing w:after="0"/>
              <w:rPr>
                <w:sz w:val="15"/>
                <w:szCs w:val="15"/>
                <w:color w:val="auto"/>
              </w:rPr>
            </w:pPr>
          </w:p>
        </w:tc>
        <w:tc>
          <w:tcPr>
            <w:tcW w:w="3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w w:val="71"/>
              </w:rPr>
              <w:t>Total debt...........................................</w:t>
            </w:r>
          </w:p>
        </w:tc>
        <w:tc>
          <w:tcPr>
            <w:tcW w:w="3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1,126.9</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3"/>
                <w:szCs w:val="13"/>
                <w:color w:val="auto"/>
                <w:w w:val="77"/>
              </w:rPr>
              <w:t>Shareholders' equity........................................</w:t>
            </w:r>
          </w:p>
        </w:tc>
        <w:tc>
          <w:tcPr>
            <w:tcW w:w="3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383.1</w:t>
            </w:r>
          </w:p>
        </w:tc>
      </w:tr>
      <w:tr>
        <w:trPr>
          <w:trHeight w:val="180"/>
        </w:trPr>
        <w:tc>
          <w:tcPr>
            <w:tcW w:w="3660" w:type="dxa"/>
            <w:vAlign w:val="bottom"/>
          </w:tcPr>
          <w:p>
            <w:pPr>
              <w:spacing w:after="0"/>
              <w:rPr>
                <w:sz w:val="15"/>
                <w:szCs w:val="15"/>
                <w:color w:val="auto"/>
              </w:rPr>
            </w:pPr>
          </w:p>
        </w:tc>
        <w:tc>
          <w:tcPr>
            <w:tcW w:w="3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w w:val="71"/>
              </w:rPr>
              <w:t>Total capitalization.................................</w:t>
            </w:r>
          </w:p>
        </w:tc>
        <w:tc>
          <w:tcPr>
            <w:tcW w:w="3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1,510.0</w:t>
            </w:r>
          </w:p>
        </w:tc>
      </w:tr>
      <w:tr>
        <w:trPr>
          <w:trHeight w:val="180"/>
        </w:trPr>
        <w:tc>
          <w:tcPr>
            <w:tcW w:w="3660" w:type="dxa"/>
            <w:vAlign w:val="bottom"/>
          </w:tcPr>
          <w:p>
            <w:pPr>
              <w:spacing w:after="0"/>
              <w:rPr>
                <w:sz w:val="15"/>
                <w:szCs w:val="15"/>
                <w:color w:val="auto"/>
              </w:rPr>
            </w:pPr>
          </w:p>
        </w:tc>
        <w:tc>
          <w:tcPr>
            <w:tcW w:w="3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721"/>
        </w:trPr>
        <w:tc>
          <w:tcPr>
            <w:tcW w:w="3660" w:type="dxa"/>
            <w:vAlign w:val="bottom"/>
          </w:tcPr>
          <w:p>
            <w:pPr>
              <w:spacing w:after="0"/>
              <w:rPr>
                <w:sz w:val="24"/>
                <w:szCs w:val="24"/>
                <w:color w:val="auto"/>
              </w:rPr>
            </w:pPr>
          </w:p>
        </w:tc>
        <w:tc>
          <w:tcPr>
            <w:tcW w:w="3840" w:type="dxa"/>
            <w:vAlign w:val="bottom"/>
          </w:tcPr>
          <w:p>
            <w:pPr>
              <w:jc w:val="right"/>
              <w:ind w:right="3582"/>
              <w:spacing w:after="0"/>
              <w:rPr>
                <w:sz w:val="20"/>
                <w:szCs w:val="20"/>
                <w:color w:val="auto"/>
              </w:rPr>
            </w:pPr>
            <w:r>
              <w:rPr>
                <w:rFonts w:ascii="Courier New" w:cs="Courier New" w:eastAsia="Courier New" w:hAnsi="Courier New"/>
                <w:sz w:val="16"/>
                <w:szCs w:val="16"/>
                <w:color w:val="auto"/>
                <w:w w:val="83"/>
              </w:rPr>
              <w:t>16</w:t>
            </w:r>
          </w:p>
        </w:tc>
      </w:tr>
    </w:tbl>
    <w:p>
      <w:pPr>
        <w:sectPr>
          <w:pgSz w:w="11900" w:h="16838" w:orient="portrait"/>
          <w:cols w:equalWidth="0" w:num="1">
            <w:col w:w="10219"/>
          </w:cols>
          <w:pgMar w:left="240" w:top="293"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18</w:t>
      </w:r>
    </w:p>
    <w:p>
      <w:pPr>
        <w:spacing w:after="0" w:line="179" w:lineRule="exact"/>
        <w:rPr>
          <w:sz w:val="20"/>
          <w:szCs w:val="20"/>
          <w:color w:val="auto"/>
        </w:rPr>
      </w:pPr>
    </w:p>
    <w:p>
      <w:pPr>
        <w:jc w:val="center"/>
        <w:ind w:right="2820"/>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85" w:lineRule="exact"/>
        <w:rPr>
          <w:sz w:val="20"/>
          <w:szCs w:val="20"/>
          <w:color w:val="auto"/>
        </w:rPr>
      </w:pPr>
    </w:p>
    <w:p>
      <w:pPr>
        <w:ind w:right="2920" w:firstLine="469"/>
        <w:spacing w:after="0" w:line="238" w:lineRule="auto"/>
        <w:rPr>
          <w:sz w:val="20"/>
          <w:szCs w:val="20"/>
          <w:color w:val="auto"/>
        </w:rPr>
      </w:pPr>
      <w:r>
        <w:rPr>
          <w:rFonts w:ascii="Courier New" w:cs="Courier New" w:eastAsia="Courier New" w:hAnsi="Courier New"/>
          <w:sz w:val="16"/>
          <w:szCs w:val="16"/>
          <w:color w:val="auto"/>
        </w:rPr>
        <w:t>We have derived the historical financial data included in the following summary financial data from our audited consolidated financial statements which we are incorporating in this prospectus. You should read the following information in conjunction with our consolidated financial statements and the associated notes, and the information contained in "Management's Discussion and Analysis of Financial Condition and Results of Operations," all of which are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3"/>
          </w:tcPr>
          <w:p>
            <w:pPr>
              <w:jc w:val="right"/>
              <w:ind w:right="402"/>
              <w:spacing w:after="0"/>
              <w:rPr>
                <w:sz w:val="20"/>
                <w:szCs w:val="20"/>
                <w:color w:val="auto"/>
              </w:rPr>
            </w:pPr>
            <w:r>
              <w:rPr>
                <w:rFonts w:ascii="Courier New" w:cs="Courier New" w:eastAsia="Courier New" w:hAnsi="Courier New"/>
                <w:sz w:val="16"/>
                <w:szCs w:val="16"/>
                <w:color w:val="auto"/>
              </w:rPr>
              <w:t>QUARTER ENDED</w:t>
            </w:r>
          </w:p>
        </w:tc>
      </w:tr>
      <w:tr>
        <w:trPr>
          <w:trHeight w:val="180"/>
        </w:trPr>
        <w:tc>
          <w:tcPr>
            <w:tcW w:w="3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8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YEAR ENDED SEPTEMBER 30,</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JANUARY 2,</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JANUARY 1,</w:t>
            </w:r>
          </w:p>
        </w:tc>
      </w:tr>
      <w:tr>
        <w:trPr>
          <w:trHeight w:val="180"/>
        </w:trPr>
        <w:tc>
          <w:tcPr>
            <w:tcW w:w="346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1995</w:t>
            </w: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1996</w:t>
            </w:r>
          </w:p>
        </w:tc>
        <w:tc>
          <w:tcPr>
            <w:tcW w:w="800" w:type="dxa"/>
            <w:vAlign w:val="bottom"/>
          </w:tcPr>
          <w:p>
            <w:pPr>
              <w:ind w:left="180"/>
              <w:spacing w:after="0"/>
              <w:rPr>
                <w:sz w:val="20"/>
                <w:szCs w:val="20"/>
                <w:color w:val="auto"/>
              </w:rPr>
            </w:pPr>
            <w:r>
              <w:rPr>
                <w:rFonts w:ascii="Courier New" w:cs="Courier New" w:eastAsia="Courier New" w:hAnsi="Courier New"/>
                <w:sz w:val="16"/>
                <w:szCs w:val="16"/>
                <w:color w:val="auto"/>
              </w:rPr>
              <w:t>1997</w:t>
            </w:r>
          </w:p>
        </w:tc>
        <w:tc>
          <w:tcPr>
            <w:tcW w:w="220" w:type="dxa"/>
            <w:vAlign w:val="bottom"/>
          </w:tcPr>
          <w:p>
            <w:pPr>
              <w:spacing w:after="0"/>
              <w:rPr>
                <w:sz w:val="15"/>
                <w:szCs w:val="15"/>
                <w:color w:val="auto"/>
              </w:rPr>
            </w:pP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spacing w:after="0"/>
              <w:rPr>
                <w:sz w:val="15"/>
                <w:szCs w:val="15"/>
                <w:color w:val="auto"/>
              </w:rPr>
            </w:pP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1999</w:t>
            </w:r>
          </w:p>
        </w:tc>
        <w:tc>
          <w:tcPr>
            <w:tcW w:w="320" w:type="dxa"/>
            <w:vAlign w:val="bottom"/>
          </w:tcPr>
          <w:p>
            <w:pPr>
              <w:spacing w:after="0"/>
              <w:rPr>
                <w:sz w:val="15"/>
                <w:szCs w:val="15"/>
                <w:color w:val="auto"/>
              </w:rPr>
            </w:pP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34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0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(DOLLARS IN MILLIONS)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1"/>
        </w:trPr>
        <w:tc>
          <w:tcPr>
            <w:tcW w:w="346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w w:val="99"/>
              </w:rPr>
              <w:t>Sales.............................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$731.1</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$750.4</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$899.3</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$1,113.0</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$1,648.3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184.4</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191.5</w:t>
            </w:r>
          </w:p>
        </w:tc>
      </w:tr>
      <w:tr>
        <w:trPr>
          <w:trHeight w:val="180"/>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w w:val="99"/>
              </w:rPr>
              <w:t>Cost of sales.....................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498.8</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512.4</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573.6</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715.0</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989.1</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119.7</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117.6</w:t>
            </w:r>
          </w:p>
        </w:tc>
      </w:tr>
      <w:tr>
        <w:trPr>
          <w:trHeight w:val="180"/>
        </w:trPr>
        <w:tc>
          <w:tcPr>
            <w:tcW w:w="34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Gross profit....................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232.3</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238.0</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325.7</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398.0</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659.2</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64.7</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73.9</w:t>
            </w:r>
          </w:p>
        </w:tc>
      </w:tr>
      <w:tr>
        <w:trPr>
          <w:trHeight w:val="180"/>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rPr>
              <w:t>Commission earned from Roundup(R)</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marketing agreement.............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30.3</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5.0</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Advertising and promotion.........</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64.5</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69.2</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83.9</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104.4</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189.0</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16.7</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23.7</w:t>
            </w:r>
          </w:p>
        </w:tc>
      </w:tr>
      <w:tr>
        <w:trPr>
          <w:trHeight w:val="180"/>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administrative..................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105.3</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116.6</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131.6</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169.9</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281.2</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53.9</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68.1</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Amortization of goodwill and other</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intangibles.....................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6.0</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8.8</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25.4</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4.9</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Restructuring and other charges...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17.7</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15.4</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Other expense (income), net.......</w:t>
            </w:r>
          </w:p>
        </w:tc>
        <w:tc>
          <w:tcPr>
            <w:tcW w:w="94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(4.4)</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5.2</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w:t>
            </w:r>
          </w:p>
        </w:tc>
        <w:tc>
          <w:tcPr>
            <w:tcW w:w="2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w:t>
            </w:r>
          </w:p>
        </w:tc>
        <w:tc>
          <w:tcPr>
            <w:tcW w:w="28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w:t>
            </w:r>
          </w:p>
        </w:tc>
      </w:tr>
      <w:tr>
        <w:trPr>
          <w:trHeight w:val="180"/>
        </w:trPr>
        <w:tc>
          <w:tcPr>
            <w:tcW w:w="34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Income (loss) from operations.....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60.9</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26.3</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94.8</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94.1</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196.1</w:t>
            </w:r>
          </w:p>
        </w:tc>
        <w:tc>
          <w:tcPr>
            <w:tcW w:w="28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(7.1)</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(26.1)</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Interest expense..................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24.6</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25.0</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25.2</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32.2</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79.1</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9.8</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23.7</w:t>
            </w:r>
          </w:p>
        </w:tc>
      </w:tr>
      <w:tr>
        <w:trPr>
          <w:trHeight w:val="180"/>
        </w:trPr>
        <w:tc>
          <w:tcPr>
            <w:tcW w:w="34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rPr>
              <w:t>Income (loss) before income</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taxes...........................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36.3</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69.6</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61.9</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117.0</w:t>
            </w:r>
          </w:p>
        </w:tc>
        <w:tc>
          <w:tcPr>
            <w:tcW w:w="28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(16.9)</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(49.8)</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Income taxes......................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13.9</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3.8</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30.1</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24.9</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47.9</w:t>
            </w:r>
          </w:p>
        </w:tc>
        <w:tc>
          <w:tcPr>
            <w:tcW w:w="28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(6.9)</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(20.2)</w:t>
            </w:r>
          </w:p>
        </w:tc>
      </w:tr>
      <w:tr>
        <w:trPr>
          <w:trHeight w:val="180"/>
        </w:trPr>
        <w:tc>
          <w:tcPr>
            <w:tcW w:w="34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rPr>
              <w:t>Net income (loss) before</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extraordinary item..............</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22.4</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39.5</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37.0</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69.1</w:t>
            </w:r>
          </w:p>
        </w:tc>
        <w:tc>
          <w:tcPr>
            <w:tcW w:w="28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(29.6)</w:t>
            </w:r>
          </w:p>
        </w:tc>
      </w:tr>
      <w:tr>
        <w:trPr>
          <w:trHeight w:val="180"/>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rPr>
              <w:t>Extraordinary loss on early</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extinguishment to debt, net.....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0.4</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Net income (loss).................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$ 18.8</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 (2.5)</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$ 39.5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63.2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(10.4)</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(29.6)</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Preferred stock dividends.........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3.6</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  9.8</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9.8</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w:t>
            </w:r>
          </w:p>
        </w:tc>
      </w:tr>
      <w:tr>
        <w:trPr>
          <w:trHeight w:val="180"/>
        </w:trPr>
        <w:tc>
          <w:tcPr>
            <w:tcW w:w="34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Income (loss) applicable to common</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shareholders....................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$ 18.8</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$(12.3)</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$ 29.7</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(36.0)</w:t>
            </w:r>
          </w:p>
        </w:tc>
      </w:tr>
      <w:tr>
        <w:trPr>
          <w:trHeight w:val="180"/>
        </w:trPr>
        <w:tc>
          <w:tcPr>
            <w:tcW w:w="34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(loss) per common</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46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share before extraordinary</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items...........................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$ 1.01</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$(0.65)</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$ 1.60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r>
      <w:tr>
        <w:trPr>
          <w:trHeight w:val="180"/>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(loss) per common</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share...........................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1.01</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(0.65)</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1.60</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2.93</w:t>
            </w:r>
          </w:p>
        </w:tc>
        <w:tc>
          <w:tcPr>
            <w:tcW w:w="28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(0.70)</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Diluted earnings (loss) per common</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46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share before extraordinary</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items...........................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0.99</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(0.65)</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1.35</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1.22</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2.27</w:t>
            </w:r>
          </w:p>
        </w:tc>
        <w:tc>
          <w:tcPr>
            <w:tcW w:w="28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(0.68)</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Diluted earnings (loss) per common</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share...........................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0.99</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(0.65)</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1.35</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1.20</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2.08</w:t>
            </w:r>
          </w:p>
        </w:tc>
        <w:tc>
          <w:tcPr>
            <w:tcW w:w="28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(0.70)</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r>
      <w:tr>
        <w:trPr>
          <w:trHeight w:val="361"/>
        </w:trPr>
        <w:tc>
          <w:tcPr>
            <w:tcW w:w="3460" w:type="dxa"/>
            <w:vAlign w:val="bottom"/>
          </w:tcPr>
          <w:p>
            <w:pPr>
              <w:spacing w:after="0"/>
              <w:rPr>
                <w:sz w:val="20"/>
                <w:szCs w:val="20"/>
                <w:color w:val="auto"/>
              </w:rPr>
            </w:pPr>
            <w:r>
              <w:rPr>
                <w:rFonts w:ascii="Courier New" w:cs="Courier New" w:eastAsia="Courier New" w:hAnsi="Courier New"/>
                <w:sz w:val="16"/>
                <w:szCs w:val="16"/>
                <w:color w:val="auto"/>
              </w:rPr>
              <w:t>BALANCE SHEET DATA (END OF PERIOD):</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Working capital...................</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$227.0</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$181.1</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$146.5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135.3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274.8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317.6</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358.1</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Total assets......................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809.0</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731.7</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787.6</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1,035.2</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1,769.6</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1,445.5</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1,870.7</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Total debt........................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272.5</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225.3</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221.3</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372.5</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950.0</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779.2</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1,126.9</w:t>
            </w:r>
          </w:p>
        </w:tc>
      </w:tr>
      <w:tr>
        <w:trPr>
          <w:trHeight w:val="180"/>
        </w:trPr>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Shareholders' equity..............</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380.8</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364.3</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389.2</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403.9</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443.3</w:t>
            </w:r>
          </w:p>
        </w:tc>
        <w:tc>
          <w:tcPr>
            <w:tcW w:w="28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391.1</w:t>
            </w:r>
          </w:p>
        </w:tc>
        <w:tc>
          <w:tcPr>
            <w:tcW w:w="3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383.1</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60" w:right="3380" w:hanging="559"/>
        <w:spacing w:after="0" w:line="236" w:lineRule="auto"/>
        <w:tabs>
          <w:tab w:leader="none" w:pos="540" w:val="left"/>
        </w:tabs>
        <w:rPr>
          <w:sz w:val="20"/>
          <w:szCs w:val="20"/>
          <w:color w:val="auto"/>
        </w:rPr>
      </w:pPr>
      <w:r>
        <w:rPr>
          <w:rFonts w:ascii="Courier New" w:cs="Courier New" w:eastAsia="Courier New" w:hAnsi="Courier New"/>
          <w:sz w:val="16"/>
          <w:szCs w:val="16"/>
          <w:color w:val="auto"/>
        </w:rPr>
        <w:t>NOTE:</w:t>
        <w:tab/>
        <w:t>Prior year presentations have been changed to conform to fiscal 1999 presentation; these changes did not impact net income.</w:t>
      </w:r>
    </w:p>
    <w:p>
      <w:pPr>
        <w:sectPr>
          <w:pgSz w:w="11900" w:h="16838" w:orient="portrait"/>
          <w:cols w:equalWidth="0" w:num="1">
            <w:col w:w="10320"/>
          </w:cols>
          <w:pgMar w:left="240" w:top="293" w:right="1339"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320"/>
          </w:cols>
          <w:pgMar w:left="240" w:top="293" w:right="1339"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19</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EXCHANGE OFFER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We are offering the holders of original notes the opportunity to exchange their original notes for new notes.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will use reasonable efforts to complete the exchange offer within 30 business days after the date on which the registration statement of which this prospectus is a part is declared effective by the Commission.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TRANSFER OF THE ORIGINAL NOTES</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 original notes may be offered, sold or otherwise transferred only in $500,000 minimums and only:</w:t>
      </w:r>
    </w:p>
    <w:p>
      <w:pPr>
        <w:spacing w:after="0" w:line="180" w:lineRule="exact"/>
        <w:rPr>
          <w:sz w:val="20"/>
          <w:szCs w:val="20"/>
          <w:color w:val="auto"/>
        </w:rPr>
      </w:pPr>
    </w:p>
    <w:p>
      <w:pPr>
        <w:ind w:left="940" w:hanging="193"/>
        <w:spacing w:after="0"/>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Scotts;</w:t>
      </w:r>
    </w:p>
    <w:p>
      <w:pPr>
        <w:spacing w:after="0" w:line="184"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a registration statement which has been declared effective under the Securities Act;</w:t>
      </w:r>
    </w:p>
    <w:p>
      <w:pPr>
        <w:spacing w:after="0" w:line="184" w:lineRule="exact"/>
        <w:rPr>
          <w:rFonts w:ascii="Courier New" w:cs="Courier New" w:eastAsia="Courier New" w:hAnsi="Courier New"/>
          <w:sz w:val="16"/>
          <w:szCs w:val="16"/>
          <w:color w:val="auto"/>
        </w:rPr>
      </w:pPr>
    </w:p>
    <w:p>
      <w:pPr>
        <w:ind w:left="940" w:right="3099" w:hanging="193"/>
        <w:spacing w:after="0" w:line="256" w:lineRule="auto"/>
        <w:tabs>
          <w:tab w:leader="none" w:pos="9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they are eligible for resale under Rule 144A, to a person the owner reasonably believes is a qualified institutional buyer purchasing for its own account or for the account of another qualified institutional buyer to whom notice is given that the transfer is being made in reliance to Rule 144A;</w:t>
      </w:r>
    </w:p>
    <w:p>
      <w:pPr>
        <w:spacing w:after="0" w:line="176" w:lineRule="exact"/>
        <w:rPr>
          <w:rFonts w:ascii="Courier New" w:cs="Courier New" w:eastAsia="Courier New" w:hAnsi="Courier New"/>
          <w:sz w:val="15"/>
          <w:szCs w:val="15"/>
          <w:color w:val="auto"/>
        </w:rPr>
      </w:pPr>
    </w:p>
    <w:p>
      <w:pPr>
        <w:ind w:left="940" w:right="2899" w:hanging="193"/>
        <w:spacing w:after="0" w:line="236" w:lineRule="auto"/>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purchaser that is able to represent, and represents in writing, that:</w:t>
      </w:r>
    </w:p>
    <w:p>
      <w:pPr>
        <w:spacing w:after="0" w:line="179" w:lineRule="exact"/>
        <w:rPr>
          <w:rFonts w:ascii="Courier New" w:cs="Courier New" w:eastAsia="Courier New" w:hAnsi="Courier New"/>
          <w:sz w:val="16"/>
          <w:szCs w:val="16"/>
          <w:color w:val="auto"/>
        </w:rPr>
      </w:pPr>
    </w:p>
    <w:p>
      <w:pPr>
        <w:ind w:left="1220" w:hanging="192"/>
        <w:spacing w:after="0"/>
        <w:tabs>
          <w:tab w:leader="none" w:pos="122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an "accredited investor" within the meaning of subparagraph</w:t>
      </w:r>
    </w:p>
    <w:p>
      <w:pPr>
        <w:spacing w:after="0" w:line="4" w:lineRule="exact"/>
        <w:rPr>
          <w:rFonts w:ascii="Courier New" w:cs="Courier New" w:eastAsia="Courier New" w:hAnsi="Courier New"/>
          <w:sz w:val="16"/>
          <w:szCs w:val="16"/>
          <w:color w:val="auto"/>
        </w:rPr>
      </w:pPr>
    </w:p>
    <w:p>
      <w:pPr>
        <w:ind w:left="1220" w:right="34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(2), (3) or (7) of paragraph (a) of Rule 501 under the Securities Act,</w:t>
      </w:r>
    </w:p>
    <w:p>
      <w:pPr>
        <w:spacing w:after="0" w:line="184" w:lineRule="exact"/>
        <w:rPr>
          <w:rFonts w:ascii="Courier New" w:cs="Courier New" w:eastAsia="Courier New" w:hAnsi="Courier New"/>
          <w:sz w:val="16"/>
          <w:szCs w:val="16"/>
          <w:color w:val="auto"/>
        </w:rPr>
      </w:pPr>
    </w:p>
    <w:p>
      <w:pPr>
        <w:ind w:left="1220" w:right="2719" w:hanging="192"/>
        <w:spacing w:after="0" w:line="236" w:lineRule="auto"/>
        <w:tabs>
          <w:tab w:leader="none" w:pos="122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acquiring the notes for its own account or for the account of another accredited investor, and</w:t>
      </w:r>
    </w:p>
    <w:p>
      <w:pPr>
        <w:spacing w:after="0" w:line="184" w:lineRule="exact"/>
        <w:rPr>
          <w:rFonts w:ascii="Courier New" w:cs="Courier New" w:eastAsia="Courier New" w:hAnsi="Courier New"/>
          <w:sz w:val="16"/>
          <w:szCs w:val="16"/>
          <w:color w:val="auto"/>
        </w:rPr>
      </w:pPr>
    </w:p>
    <w:p>
      <w:pPr>
        <w:ind w:left="1220" w:right="3279" w:hanging="192"/>
        <w:spacing w:after="0" w:line="236" w:lineRule="auto"/>
        <w:tabs>
          <w:tab w:leader="none" w:pos="122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acquiring the notes for investment purposes and not for distribution in violation of the Securities Act;</w:t>
      </w:r>
    </w:p>
    <w:p>
      <w:pPr>
        <w:spacing w:after="0" w:line="184" w:lineRule="exact"/>
        <w:rPr>
          <w:rFonts w:ascii="Courier New" w:cs="Courier New" w:eastAsia="Courier New" w:hAnsi="Courier New"/>
          <w:sz w:val="16"/>
          <w:szCs w:val="16"/>
          <w:color w:val="auto"/>
        </w:rPr>
      </w:pPr>
    </w:p>
    <w:p>
      <w:pPr>
        <w:ind w:left="940" w:right="2819" w:hanging="193"/>
        <w:spacing w:after="0" w:line="236" w:lineRule="auto"/>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 offshore transaction under Rule 903 or Rule 904 of Regulation S under the Securities Act; or</w:t>
      </w:r>
    </w:p>
    <w:p>
      <w:pPr>
        <w:spacing w:after="0" w:line="184" w:lineRule="exact"/>
        <w:rPr>
          <w:rFonts w:ascii="Courier New" w:cs="Courier New" w:eastAsia="Courier New" w:hAnsi="Courier New"/>
          <w:sz w:val="16"/>
          <w:szCs w:val="16"/>
          <w:color w:val="auto"/>
        </w:rPr>
      </w:pPr>
    </w:p>
    <w:p>
      <w:pPr>
        <w:ind w:left="940" w:right="3659" w:hanging="193"/>
        <w:spacing w:after="0" w:line="236" w:lineRule="auto"/>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to any other available exemption from the registration requirements of the Securities Act.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Prior to any offer, sale or other transfer of original notes to an accredited investor or pursuant to any other available exemption, the issuer and the trustee under the indenture may require the delivery of an opinion of counsel, certifications and/or other information satisfactory to each of them.</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may be required to file a second registration statement, known as a shelf registration statement, with the Commission to cover periodic resales of original notes in the following circumstances:</w:t>
      </w:r>
    </w:p>
    <w:p>
      <w:pPr>
        <w:spacing w:after="0" w:line="185" w:lineRule="exact"/>
        <w:rPr>
          <w:sz w:val="20"/>
          <w:szCs w:val="20"/>
          <w:color w:val="auto"/>
        </w:rPr>
      </w:pPr>
    </w:p>
    <w:p>
      <w:pPr>
        <w:ind w:left="940" w:right="2899" w:hanging="193"/>
        <w:spacing w:after="0" w:line="23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are not permitted to complete the exchange offer because it is not permitted by applicable law or Commission policy; or</w:t>
      </w:r>
    </w:p>
    <w:p>
      <w:pPr>
        <w:spacing w:after="0" w:line="184" w:lineRule="exact"/>
        <w:rPr>
          <w:rFonts w:ascii="Courier New" w:cs="Courier New" w:eastAsia="Courier New" w:hAnsi="Courier New"/>
          <w:sz w:val="16"/>
          <w:szCs w:val="16"/>
          <w:color w:val="auto"/>
        </w:rPr>
      </w:pPr>
    </w:p>
    <w:p>
      <w:pPr>
        <w:ind w:left="940" w:right="2899" w:hanging="193"/>
        <w:spacing w:after="0" w:line="23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holder of original notes notifies us before the 20th business day after the consummation of the exchange offer, that:</w:t>
      </w:r>
    </w:p>
    <w:p>
      <w:pPr>
        <w:spacing w:after="0" w:line="184" w:lineRule="exact"/>
        <w:rPr>
          <w:rFonts w:ascii="Courier New" w:cs="Courier New" w:eastAsia="Courier New" w:hAnsi="Courier New"/>
          <w:sz w:val="16"/>
          <w:szCs w:val="16"/>
          <w:color w:val="auto"/>
        </w:rPr>
      </w:pPr>
    </w:p>
    <w:p>
      <w:pPr>
        <w:ind w:left="1220" w:right="3099" w:hanging="192"/>
        <w:spacing w:after="0" w:line="236" w:lineRule="auto"/>
        <w:tabs>
          <w:tab w:leader="none" w:pos="12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a change in law or policy, the holder is not entitled to participate in the exchange offer;</w:t>
      </w:r>
    </w:p>
    <w:p>
      <w:pPr>
        <w:spacing w:after="0" w:line="184" w:lineRule="exact"/>
        <w:rPr>
          <w:rFonts w:ascii="Courier New" w:cs="Courier New" w:eastAsia="Courier New" w:hAnsi="Courier New"/>
          <w:sz w:val="16"/>
          <w:szCs w:val="16"/>
          <w:color w:val="auto"/>
        </w:rPr>
      </w:pPr>
    </w:p>
    <w:p>
      <w:pPr>
        <w:ind w:left="1220" w:right="2899" w:hanging="192"/>
        <w:spacing w:after="0" w:line="237" w:lineRule="auto"/>
        <w:tabs>
          <w:tab w:leader="none" w:pos="12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a change in law or policy, the holder may not resell the notes acquired by it in the exchange offer to the public without delivering a prospectus and this prospectus is not appropriate or available for a resale by the holder; or</w:t>
      </w:r>
    </w:p>
    <w:p>
      <w:pPr>
        <w:spacing w:after="0" w:line="185" w:lineRule="exact"/>
        <w:rPr>
          <w:rFonts w:ascii="Courier New" w:cs="Courier New" w:eastAsia="Courier New" w:hAnsi="Courier New"/>
          <w:sz w:val="16"/>
          <w:szCs w:val="16"/>
          <w:color w:val="auto"/>
        </w:rPr>
      </w:pPr>
    </w:p>
    <w:p>
      <w:pPr>
        <w:ind w:left="1220" w:right="3179" w:hanging="192"/>
        <w:spacing w:after="0" w:line="236" w:lineRule="auto"/>
        <w:tabs>
          <w:tab w:leader="none" w:pos="12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is a broker-dealer and owns original notes acquired directly from us or one of our affiliates.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3" w:right="1440"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20</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If we are required to file a shelf registration statement, we will do so within 30 days after the filing obligation arises. We will use our reasonable best efforts to cause the shelf registration statement to be declared effective by the Commission within 90 days after the filing obligation arises. We also will use our reasonable best efforts to keep any shelf registration statement continuously effective, supplemented and amended until the earlier of:</w:t>
      </w:r>
    </w:p>
    <w:p>
      <w:pPr>
        <w:spacing w:after="0" w:line="170" w:lineRule="exact"/>
        <w:rPr>
          <w:sz w:val="20"/>
          <w:szCs w:val="20"/>
          <w:color w:val="auto"/>
        </w:rPr>
      </w:pPr>
    </w:p>
    <w:p>
      <w:pPr>
        <w:ind w:left="660" w:hanging="195"/>
        <w:spacing w:after="0"/>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January 21, 2001,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all notes covered by the shelf registration statement have been sold.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TRANSFERABILITY OF NOTES RECEIVED IN THE EXCHANGE OFFER</w:t>
      </w:r>
    </w:p>
    <w:p>
      <w:pPr>
        <w:spacing w:after="0" w:line="18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Each holder who wishes to receive notes in the exchange offer will be required to make the following representations:</w:t>
      </w:r>
    </w:p>
    <w:p>
      <w:pPr>
        <w:spacing w:after="0" w:line="185" w:lineRule="exact"/>
        <w:rPr>
          <w:sz w:val="20"/>
          <w:szCs w:val="20"/>
          <w:color w:val="auto"/>
        </w:rPr>
      </w:pPr>
    </w:p>
    <w:p>
      <w:pPr>
        <w:ind w:left="660" w:right="3659" w:hanging="195"/>
        <w:spacing w:after="0" w:line="236" w:lineRule="auto"/>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is not an "affiliate," as defined in Rule 405 of the Securities Act, of Scotts;</w:t>
      </w:r>
    </w:p>
    <w:p>
      <w:pPr>
        <w:spacing w:after="0" w:line="184" w:lineRule="exact"/>
        <w:rPr>
          <w:rFonts w:ascii="Courier New" w:cs="Courier New" w:eastAsia="Courier New" w:hAnsi="Courier New"/>
          <w:sz w:val="16"/>
          <w:szCs w:val="16"/>
          <w:color w:val="auto"/>
        </w:rPr>
      </w:pPr>
    </w:p>
    <w:p>
      <w:pPr>
        <w:jc w:val="both"/>
        <w:ind w:left="660" w:right="2819" w:hanging="195"/>
        <w:spacing w:after="0" w:line="237" w:lineRule="auto"/>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received by the holder in the exchange offer are being acquired in the ordinary course of its business, for its own account, for investment and not for distribution;</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has no arrangement or understanding with any person to participate in the distribution of the notes;</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is not a broker-dealer, it is not engaged, and does not intend to engage, in the distribution of the notes;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is a broker-dealer:</w:t>
      </w:r>
    </w:p>
    <w:p>
      <w:pPr>
        <w:spacing w:after="0" w:line="179" w:lineRule="exact"/>
        <w:rPr>
          <w:rFonts w:ascii="Courier New" w:cs="Courier New" w:eastAsia="Courier New" w:hAnsi="Courier New"/>
          <w:sz w:val="16"/>
          <w:szCs w:val="16"/>
          <w:color w:val="auto"/>
        </w:rPr>
      </w:pPr>
    </w:p>
    <w:p>
      <w:pPr>
        <w:ind w:left="1400" w:hanging="184"/>
        <w:spacing w:after="0"/>
        <w:tabs>
          <w:tab w:leader="none" w:pos="140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original notes are held by it as a nominee, or</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original notes were acquired by it for its own account as a result of market-making activities or other trading activities and it will deliver a copy of this prospectus in connection with any resale.</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Based on no-action letters issued by the staff of the Commission to third parties, if the holder can make these representations, we believe the notes acquired in exchange for the original notes will be freely transferable, except notes acquired by:</w:t>
      </w:r>
    </w:p>
    <w:p>
      <w:pPr>
        <w:spacing w:after="0" w:line="186" w:lineRule="exact"/>
        <w:rPr>
          <w:sz w:val="20"/>
          <w:szCs w:val="20"/>
          <w:color w:val="auto"/>
        </w:rPr>
      </w:pPr>
    </w:p>
    <w:p>
      <w:pPr>
        <w:ind w:left="660" w:right="3179" w:hanging="195"/>
        <w:spacing w:after="0" w:line="237"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broker-dealers that purchased original notes directly from Scotts to resell under Rule 144A or any other available exemption under the Securities Act, and</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"affiliates" of Scotts within the meaning of Rule 405 under the Securities Act unless they comply with the registration and prospectus delivery requirements of the Securities Act.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the event our belief is inaccurate, holders of notes issued in the exchange offer who transfer the notes in violation of the prospectus delivery provisions of the Securities Act and without an exemption from registration may incur liability under the Securities Act. We do not assume or indemnify holders against liability under the Securities Act.</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Affiliates of Scotts and broker-dealers that purchased original notes directly from Scotts in the original offering must comply with the registration and prospectus delivery requirements of the Securities Act in connection with any sale or transfer of the notes, unless the sale or transfer is made under an exemption from these requirements.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Commission has taken the position that this prospectus, as it may be amended or supplemented from time to time, may be used by a broker-dealer to fulfill its prospectus delivery requirements in connection with resales of notes received in exchange for original notes acquired by the broker-dealer for its own account as a result of market-making activities or other trading activities. Therefore, we have agreed that during the period required by the Securities Act, we will provide broker-dealers copies of this prospectus. However, the Commission has recently proposed that its interpretations referred to above be repealed. We</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21</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cannot predict whether the Commission will act on this proposal prior to the completion of this exchange offer. If those interpretations are repealed prior to completion of this exchange offer, these broker-dealers will not be able to receive exchange notes in the exchange offer. Rather, as described above, we and the guarantor subsidiaries will be required to register the original notes on a new registration statement in connection with resales by holders of the notes.</w:t>
      </w:r>
    </w:p>
    <w:p>
      <w:pPr>
        <w:spacing w:after="0" w:line="17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 broker-dealer that delivers a prospectus to purchasers in connection with resales will be subject to the civil liability provisions of the Securities Act. In addition, it will be bound by the provisions of the registration rights agreement, including the indemnification rights and obligations. Although a broker-dealer may be an "underwriter" within the meaning of the Securities Act, the letter of transmittal states that a broker-dealer will not be deemed to be admitting it is an "underwriter" by its execution of the letter and its delivery of a prospectus.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All resales must be made in compliance with applicable state securities or "blue sky" laws. Compliance may require that:</w:t>
      </w:r>
    </w:p>
    <w:p>
      <w:pPr>
        <w:spacing w:after="0" w:line="185" w:lineRule="exact"/>
        <w:rPr>
          <w:sz w:val="20"/>
          <w:szCs w:val="20"/>
          <w:color w:val="auto"/>
        </w:rPr>
      </w:pPr>
    </w:p>
    <w:p>
      <w:pPr>
        <w:ind w:left="660" w:right="2999" w:hanging="195"/>
        <w:spacing w:after="0" w:line="236"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issued in the exchange offer be registered or qualified in a particular state,</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resales be made by or through a licensed broker-dealer, and/or</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make representations in addition to those listed above as required by applicable state law.</w:t>
      </w:r>
    </w:p>
    <w:p>
      <w:pPr>
        <w:spacing w:after="0" w:line="185" w:lineRule="exact"/>
        <w:rPr>
          <w:sz w:val="20"/>
          <w:szCs w:val="20"/>
          <w:color w:val="auto"/>
        </w:rPr>
      </w:pPr>
    </w:p>
    <w:p>
      <w:pPr>
        <w:ind w:right="3759" w:firstLine="469"/>
        <w:spacing w:after="0" w:line="236" w:lineRule="auto"/>
        <w:rPr>
          <w:sz w:val="20"/>
          <w:szCs w:val="20"/>
          <w:color w:val="auto"/>
        </w:rPr>
      </w:pPr>
      <w:r>
        <w:rPr>
          <w:rFonts w:ascii="Courier New" w:cs="Courier New" w:eastAsia="Courier New" w:hAnsi="Courier New"/>
          <w:sz w:val="16"/>
          <w:szCs w:val="16"/>
          <w:color w:val="auto"/>
        </w:rPr>
        <w:t>We assume no responsibility with regard to compliance with these requirements.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CONSEQUENCES OF FAILURE TO EXCHANGE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Original notes which are not exchanged in the exchange offer and are not included in a resale prospectus may be offered and sold only as described above under "-- Restrictions on Transfer of the Original Notes." These restrictions will continue until:</w:t>
      </w:r>
    </w:p>
    <w:p>
      <w:pPr>
        <w:spacing w:after="0" w:line="181" w:lineRule="exact"/>
        <w:rPr>
          <w:sz w:val="20"/>
          <w:szCs w:val="20"/>
          <w:color w:val="auto"/>
        </w:rPr>
      </w:pPr>
    </w:p>
    <w:p>
      <w:pPr>
        <w:ind w:left="660" w:hanging="195"/>
        <w:spacing w:after="0"/>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later of:</w:t>
      </w:r>
    </w:p>
    <w:p>
      <w:pPr>
        <w:spacing w:after="0" w:line="179" w:lineRule="exact"/>
        <w:rPr>
          <w:rFonts w:ascii="Courier New" w:cs="Courier New" w:eastAsia="Courier New" w:hAnsi="Courier New"/>
          <w:sz w:val="16"/>
          <w:szCs w:val="16"/>
          <w:color w:val="auto"/>
        </w:rPr>
      </w:pPr>
    </w:p>
    <w:p>
      <w:pPr>
        <w:ind w:left="1120" w:hanging="186"/>
        <w:spacing w:after="0"/>
        <w:tabs>
          <w:tab w:leader="none" w:pos="112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January 21, 2001, or</w:t>
      </w:r>
    </w:p>
    <w:p>
      <w:pPr>
        <w:spacing w:after="0" w:line="184" w:lineRule="exact"/>
        <w:rPr>
          <w:rFonts w:ascii="Courier New" w:cs="Courier New" w:eastAsia="Courier New" w:hAnsi="Courier New"/>
          <w:sz w:val="16"/>
          <w:szCs w:val="16"/>
          <w:color w:val="auto"/>
        </w:rPr>
      </w:pPr>
    </w:p>
    <w:p>
      <w:pPr>
        <w:ind w:left="1120" w:right="2999" w:hanging="186"/>
        <w:spacing w:after="0" w:line="236" w:lineRule="auto"/>
        <w:tabs>
          <w:tab w:leader="none" w:pos="112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anniversary of the last date that Scotts or one of its affiliates owned the note;</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an original note has been effectively registered under the Securities Act and disposed of in accordance with a shelf registration statement;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an original note is distributed to the public pursuant to Rule 144 under the Securities Act.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We may seek to acquire untendered original notes, to the extent permitted by applicable law, in open market or privately negotiated transactions, through subsequent exchange offers or otherwise. We have no present plans to acquire any original notes that are not tendered in the exchange offer or to file a registration statement to permit resales of any untendered original notes.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EXCHANGE OFFER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the terms and conditions in this prospectus and in the letter of transmittal, we will accept any and all original notes validly tendered and not withdrawn prior to the expiration date. We will issue $1,000 principal amount of notes in exchange for each $1,000 principal amount of original notes accepted in the exchange offer. Holders may tender some or all of their original notes. Original notes may be tendered only in integral multiples of $1,000 principal amount.</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form and terms of the notes to be issued in the exchange offer are the same as the form and terms of the original notes, except that:</w:t>
      </w:r>
    </w:p>
    <w:p>
      <w:pPr>
        <w:spacing w:after="0" w:line="185" w:lineRule="exact"/>
        <w:rPr>
          <w:sz w:val="20"/>
          <w:szCs w:val="20"/>
          <w:color w:val="auto"/>
        </w:rPr>
      </w:pPr>
    </w:p>
    <w:p>
      <w:pPr>
        <w:ind w:left="660" w:right="2899" w:hanging="195"/>
        <w:spacing w:after="0" w:line="237" w:lineRule="auto"/>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to be issued in the exchange offer have been registered under the Securities Act and, therefore, will not bear legends restricting their transfer; and</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22</w:t>
      </w:r>
    </w:p>
    <w:p>
      <w:pPr>
        <w:spacing w:after="0" w:line="185" w:lineRule="exact"/>
        <w:rPr>
          <w:sz w:val="20"/>
          <w:szCs w:val="20"/>
          <w:color w:val="auto"/>
        </w:rPr>
      </w:pPr>
    </w:p>
    <w:p>
      <w:pPr>
        <w:jc w:val="both"/>
        <w:ind w:left="660" w:right="2719" w:hanging="195"/>
        <w:spacing w:after="0" w:line="237" w:lineRule="auto"/>
        <w:tabs>
          <w:tab w:leader="none" w:pos="6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notes issued in the exchange offer will not be entitled to rights under the registration rights agreement, except under very limited circumstances.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notes to be issued in the exchange offer will evidence the same debt as the original notes which they replace and will be issued under, and be entitled to the benefits of, the same indenture.</w:t>
      </w:r>
    </w:p>
    <w:p>
      <w:pPr>
        <w:spacing w:after="0" w:line="18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Solely for reasons of administration, Scotts has fixed the close of</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business on , 2000, as the record date for the exchange offer for purposes of determining the persons to whom this prospectus and the letter of transmittal will be mailed initially. Only a registered holder of original notes, or the holder's legal representative or attorney-in-fact, as reflected on the records of the trustee under the indenture may participate in the exchange offer. There will be no fixed record date for determining registered holders of the original notes entitled to participate in the exchange offer.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of the original notes do not have any appraisal or dissenters' rights under the General Corporation Law of Ohio or under the indenture because of the exchange offer. Scotts intends to comply with the applicable requirements of the Exchange Act and the rules and regulations of the Commission in conducting the exchange offer.</w:t>
      </w:r>
    </w:p>
    <w:p>
      <w:pPr>
        <w:spacing w:after="0" w:line="187"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Scotts will be deemed to have accepted validly tendered original notes when, as and if it has given oral or written notice of acceptance to the exchange agent. The exchange agent will act as agent for the tendering holders of the original notes for purposes of receiving notes in the exchange offer.</w:t>
      </w:r>
    </w:p>
    <w:p>
      <w:pPr>
        <w:spacing w:after="0" w:line="174"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If any tendered original notes are not accepted for exchange, certificates for any unaccepted original notes will be returned without expense to the tendering holder as promptly as practicable after the expiration date.</w:t>
      </w:r>
    </w:p>
    <w:p>
      <w:pPr>
        <w:spacing w:after="0" w:line="17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who tender original notes in the exchange offer will not be required to pay brokerage commissions or fees or, except as described in the letter of transmittal, transfer taxes. We will pay all charges and expenses, other than applicable taxes, in connection with the exchange offer. See "-- Fees and Expenses."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 DATE; EXTENSION; AMENDMENTS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offer will expire at, and the expiration date will be, 5:00</w:t>
      </w:r>
    </w:p>
    <w:p>
      <w:pPr>
        <w:spacing w:after="0" w:line="4"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p.m., New York City time on , 2000. We may extend the exchange offer, in which case the expiration date will be the latest date and time to which it is extended.</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order to extend the exchange offer, we must notify the exchange agent and make a public announcement of the extension prior to 9:00 a.m., New York City time, on the next business day after the previously scheduled expiration date.</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reserve the right, in our sole discretion:</w:t>
      </w:r>
    </w:p>
    <w:p>
      <w:pPr>
        <w:spacing w:after="0" w:line="179" w:lineRule="exact"/>
        <w:rPr>
          <w:sz w:val="20"/>
          <w:szCs w:val="20"/>
          <w:color w:val="auto"/>
        </w:rPr>
      </w:pPr>
    </w:p>
    <w:p>
      <w:pPr>
        <w:ind w:left="940" w:hanging="193"/>
        <w:spacing w:after="0"/>
        <w:tabs>
          <w:tab w:leader="none" w:pos="9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delay accepting any original notes,</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extend the exchange offer,</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terminate the exchange offer if the condition described</w:t>
      </w:r>
    </w:p>
    <w:p>
      <w:pPr>
        <w:spacing w:after="0" w:line="4"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under "-- Condition of the Exchange Offer" has not been satisfied, or</w:t>
      </w:r>
    </w:p>
    <w:p>
      <w:pPr>
        <w:spacing w:after="0" w:line="185"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terms of the exchange offer in any manner.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must give oral or written notice of any delay, extension or termination to the exchange agent. Any delay, extension, termination or amendment will be followed as promptly as practicable by a public announcement. We do not have an obligation to publish, advertise or otherwise communicate a delay, extension, termination or amendment, other than by making a timely release to the Dow Jones News Service. If, however, we determine that any amendment constitutes a material change, we will promptly file a post-effective amendment with the Commission and distribute a prospectus to the registered holders of the original notes describing the amendment. If the exchange offer is scheduled to expire during the five to ten business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23</w:t>
      </w:r>
    </w:p>
    <w:p>
      <w:pPr>
        <w:spacing w:after="0" w:line="185"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5"/>
          <w:szCs w:val="15"/>
          <w:color w:val="auto"/>
        </w:rPr>
        <w:t>day period following a material amendment, it will be extended for a period of five to ten business days, as required by law, depending on the significance of the amendment and the manner of disclosure to the registered 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PROCEDURES FOR TENDERING</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Only a registered holder may tender original notes in the exchange offer.</w:t>
      </w:r>
    </w:p>
    <w:p>
      <w:pPr>
        <w:spacing w:after="0"/>
        <w:rPr>
          <w:sz w:val="20"/>
          <w:szCs w:val="20"/>
          <w:color w:val="auto"/>
        </w:rPr>
      </w:pPr>
      <w:r>
        <w:rPr>
          <w:rFonts w:ascii="Courier New" w:cs="Courier New" w:eastAsia="Courier New" w:hAnsi="Courier New"/>
          <w:sz w:val="16"/>
          <w:szCs w:val="16"/>
          <w:color w:val="auto"/>
        </w:rPr>
        <w:t>To tender in the exchange offer, the holder must:</w:t>
      </w:r>
    </w:p>
    <w:p>
      <w:pPr>
        <w:spacing w:after="0" w:line="179" w:lineRule="exact"/>
        <w:rPr>
          <w:sz w:val="20"/>
          <w:szCs w:val="20"/>
          <w:color w:val="auto"/>
        </w:rPr>
      </w:pPr>
    </w:p>
    <w:p>
      <w:pPr>
        <w:ind w:left="660" w:hanging="195"/>
        <w:spacing w:after="0"/>
        <w:tabs>
          <w:tab w:leader="none" w:pos="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sign and date the letter of transmittal;</w:t>
      </w:r>
    </w:p>
    <w:p>
      <w:pPr>
        <w:spacing w:after="0" w:line="184"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the signatures guaranteed if required by the letter of transmittal;</w:t>
      </w:r>
    </w:p>
    <w:p>
      <w:pPr>
        <w:spacing w:after="0" w:line="190" w:lineRule="exact"/>
        <w:rPr>
          <w:rFonts w:ascii="Courier New" w:cs="Courier New" w:eastAsia="Courier New" w:hAnsi="Courier New"/>
          <w:sz w:val="15"/>
          <w:szCs w:val="15"/>
          <w:color w:val="auto"/>
        </w:rPr>
      </w:pPr>
    </w:p>
    <w:p>
      <w:pPr>
        <w:ind w:left="660" w:right="3279" w:hanging="195"/>
        <w:spacing w:after="0" w:line="236" w:lineRule="auto"/>
        <w:tabs>
          <w:tab w:leader="none" w:pos="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mail or otherwise deliver the letter of transmittal to the exchange agent;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4" w:lineRule="exact"/>
        <w:rPr>
          <w:rFonts w:ascii="Courier New" w:cs="Courier New" w:eastAsia="Courier New" w:hAnsi="Courier New"/>
          <w:sz w:val="16"/>
          <w:szCs w:val="16"/>
          <w:color w:val="auto"/>
        </w:rPr>
      </w:pPr>
    </w:p>
    <w:p>
      <w:pPr>
        <w:ind w:left="1120" w:right="2999" w:hanging="186"/>
        <w:spacing w:after="0" w:line="236" w:lineRule="auto"/>
        <w:tabs>
          <w:tab w:leader="none" w:pos="112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certificates for the original notes to the exchange agent with the letter of transmittal;</w:t>
      </w:r>
    </w:p>
    <w:p>
      <w:pPr>
        <w:spacing w:after="0" w:line="184" w:lineRule="exact"/>
        <w:rPr>
          <w:rFonts w:ascii="Courier New" w:cs="Courier New" w:eastAsia="Courier New" w:hAnsi="Courier New"/>
          <w:sz w:val="16"/>
          <w:szCs w:val="16"/>
          <w:color w:val="auto"/>
        </w:rPr>
      </w:pPr>
    </w:p>
    <w:p>
      <w:pPr>
        <w:jc w:val="both"/>
        <w:ind w:left="1120" w:right="2819" w:hanging="186"/>
        <w:spacing w:after="0" w:line="237" w:lineRule="auto"/>
        <w:tabs>
          <w:tab w:leader="none" w:pos="112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exchange agent a timely confirmation of a book-entry transfer of the original notes into the exchange agent's account at The Depository Trust Company, as described below; or</w:t>
      </w:r>
    </w:p>
    <w:p>
      <w:pPr>
        <w:spacing w:after="0" w:line="179" w:lineRule="exact"/>
        <w:rPr>
          <w:rFonts w:ascii="Courier New" w:cs="Courier New" w:eastAsia="Courier New" w:hAnsi="Courier New"/>
          <w:sz w:val="16"/>
          <w:szCs w:val="16"/>
          <w:color w:val="auto"/>
        </w:rPr>
      </w:pPr>
    </w:p>
    <w:p>
      <w:pPr>
        <w:ind w:left="1120" w:hanging="186"/>
        <w:spacing w:after="0"/>
        <w:tabs>
          <w:tab w:leader="none" w:pos="112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the guaranteed delivery procedures described below.</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To be tendered effectively, the letter of transmittal and all other required documents must be received by the exchange agent at the address set forth below under "-- Exchange Agent" prior to the expiration date.</w:t>
      </w:r>
    </w:p>
    <w:p>
      <w:pPr>
        <w:spacing w:after="0" w:line="185"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The tender by a holder will constitute an agreement between the holder and us on the terms and conditions in this prospectus and the letter of transmittal.</w:t>
      </w:r>
    </w:p>
    <w:p>
      <w:pPr>
        <w:spacing w:after="0" w:line="16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METHOD OF DELIVERY OF THE ORIGINAL NOTES AND THE LETTER OF TRANSMITTAL AND ALL OTHER DOCUMENTS TO BE DELIVERED TO THE EXCHANGE AGENT IS AT THE ELECTION AND RISK OF THE HOLDER. INSTEAD OF DELIVERY BY MAIL, IT IS RECOMMENDED THAT HOLDERS USE AN OVERNIGHT OR HAND DELIVERY SERVICE. IN ALL CASES, SUFFICIENT TIME SHOULD BE ALLOWED TO ASSURE DELIVERY TO THE EXCHANGE AGENT BEFORE THE APPLICABLE EXPIRATION DATE. NO LETTER OF TRANSMITTAL OR ORIGINAL NOTES SHOULD BE SENT TO SCOTTS. HOLDERS MAY REQUEST THEIR RESPECTIVE BROKERS, DEALERS, COMMERCIAL BANKS, TRUST COMPANIES OR NOMINEES TO EFFECT THE ABOVE TRANSACTIONS FOR THEM.</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beneficial owner whose original notes are registered in the name of a broker, dealer, commercial bank, trust company or other nominee and who wishes to tender should contact the registered holder promptly and instruct the registered holder to tender on the beneficial owner's behalf. If the beneficial owner wishes to tender on the owner's behalf, the owner must, prior to completing and executing the letter of transmittal and delivering the owner's original notes, either make appropriate arrangements to register ownership of the original notes in the beneficial owner's name or obtain a properly completed bond power from the registered holder. The transfer of registered ownership may take considerable time.</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Signatures on a letter of transmittal or a notice of withdrawal must be guaranteed by an eligible institution unless the original notes tendered with the letter of transmittal are tendered:</w:t>
      </w:r>
    </w:p>
    <w:p>
      <w:pPr>
        <w:spacing w:after="0" w:line="185" w:lineRule="exact"/>
        <w:rPr>
          <w:sz w:val="20"/>
          <w:szCs w:val="20"/>
          <w:color w:val="auto"/>
        </w:rPr>
      </w:pPr>
    </w:p>
    <w:p>
      <w:pPr>
        <w:ind w:left="660" w:right="3099" w:hanging="195"/>
        <w:spacing w:after="0" w:line="236" w:lineRule="auto"/>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registered holder who has not completed the box on the letter of transmittal entitled "Special Delivery Instructions,"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account of an eligible institution.</w:t>
      </w:r>
    </w:p>
    <w:p>
      <w:pPr>
        <w:spacing w:after="0" w:line="185" w:lineRule="exact"/>
        <w:rPr>
          <w:sz w:val="20"/>
          <w:szCs w:val="20"/>
          <w:color w:val="auto"/>
        </w:rPr>
      </w:pPr>
    </w:p>
    <w:p>
      <w:pPr>
        <w:ind w:right="3099" w:firstLine="469"/>
        <w:spacing w:after="0" w:line="263" w:lineRule="auto"/>
        <w:rPr>
          <w:sz w:val="20"/>
          <w:szCs w:val="20"/>
          <w:color w:val="auto"/>
        </w:rPr>
      </w:pPr>
      <w:r>
        <w:rPr>
          <w:rFonts w:ascii="Courier New" w:cs="Courier New" w:eastAsia="Courier New" w:hAnsi="Courier New"/>
          <w:sz w:val="15"/>
          <w:szCs w:val="15"/>
          <w:color w:val="auto"/>
        </w:rPr>
        <w:t>An eligible institution is any participant in a recognized signature guarantee program within the meaning of Rule 17Ad-15 under the Exchange Act.</w:t>
      </w:r>
    </w:p>
    <w:p>
      <w:pPr>
        <w:spacing w:after="0" w:line="169"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If a letter of transmittal is signed by a person other than the registered holder of any original notes listed on the letter of transmittal, the notes must be endorsed or accompanied by a properly completed bond power, signed by the registered holder, with signature guaranteed by an eligible institution.</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24</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a letter of transmittal or any original notes or bond powers are signed by trustees, executors, administrators, guardians, attorneys-in-fact, officers of corporations or others acting in a fiduciary or representative capacity, the signatories should indicate their status when signing. In addition, evidence of their authority to sign satisfactory to Scotts must be submitted with the letter of transmittal.</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All questions as to the validity, form, eligibility, time of receipt, acceptance and withdrawal of tendered original notes will be determined by us in our sole discretion. Our determination will be final and binding. We reserve the absolute right to reject any and all original notes not properly tendered or any original notes the acceptance of which would, in the opinion of our counsel, be unlawful. We also reserve the right to waive any defects, irregularities or conditions of tender as to particular original notes. Unless waived, any defects or irregularities in connection with tenders of original notes must be cured within the time set by us. Although we intend to notify holders of defects or irregularities in their tenders, neither we, the exchange agent nor any other person will incur any liability for failing to give notice. Tenders of original notes will not be deemed to have been made until all defects or irregularities have been cured or waived.</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original notes received by the exchange agent that are not validly tendered and as to which the defects or irregularities have not been cured or waived will be returned to the tendering holder. If original notes are submitted in a principal amount greater than the principal amount of original notes being tendered by the tendering holder, the unaccepted or non-exchanged original notes will be returned to the tendering holders. In the case of original notes tendered by book-entry transfer into the exchange agent's account at DTC as described below, unaccepted or non-exchanged original notes will be credited to an account maintained with DTC. Unless otherwise provided in the letter of transmittal, returns will be made as soon as practicable following the applicable expiration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TRANSFER</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exchange agent will establish an account at The Depository Trust Company for purposes of the exchange offer. Any financial institution that is a participant in DTC's system may make book-entry delivery of original notes by causing DTC to transfer the original notes into the exchange agent's account with DTC. Although original notes may be delivered by book-entry transfer at DTC, you must also:</w:t>
      </w:r>
    </w:p>
    <w:p>
      <w:pPr>
        <w:spacing w:after="0" w:line="189" w:lineRule="exact"/>
        <w:rPr>
          <w:sz w:val="20"/>
          <w:szCs w:val="20"/>
          <w:color w:val="auto"/>
        </w:rPr>
      </w:pPr>
    </w:p>
    <w:p>
      <w:pPr>
        <w:ind w:left="660" w:right="2719" w:hanging="195"/>
        <w:spacing w:after="0" w:line="259" w:lineRule="auto"/>
        <w:tabs>
          <w:tab w:leader="none" w:pos="6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the letter of transmittal, with any required signature guarantees and any other documents, to the exchange agent at the address set forth below under "-- Exchange Agent" on or prior to the expiration date, or</w:t>
      </w:r>
    </w:p>
    <w:p>
      <w:pPr>
        <w:spacing w:after="0" w:line="166"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the guaranteed delivery procedures described below.</w:t>
      </w:r>
    </w:p>
    <w:p>
      <w:pPr>
        <w:spacing w:after="0" w:line="179"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GUARANTEED DELIVERY PROCEDURES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If you wish to tender original notes but your notes are not immediately available, or you cannot deliver the notes, the letter of transmittal or any other required documents to the exchange agent prior to the applicable expiration date, you may effect a tender if:</w:t>
      </w:r>
    </w:p>
    <w:p>
      <w:pPr>
        <w:spacing w:after="0" w:line="181" w:lineRule="exact"/>
        <w:rPr>
          <w:sz w:val="20"/>
          <w:szCs w:val="20"/>
          <w:color w:val="auto"/>
        </w:rPr>
      </w:pPr>
    </w:p>
    <w:p>
      <w:pPr>
        <w:ind w:left="660" w:hanging="195"/>
        <w:spacing w:after="0"/>
        <w:tabs>
          <w:tab w:leader="none" w:pos="6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is made through an eligible institution;</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expiration date, the eligible institution delivers a properly completed and duly executed notice of guaranteed delivery to the exchange agent:</w:t>
      </w:r>
    </w:p>
    <w:p>
      <w:pPr>
        <w:spacing w:after="0" w:line="184" w:lineRule="exact"/>
        <w:rPr>
          <w:rFonts w:ascii="Courier New" w:cs="Courier New" w:eastAsia="Courier New" w:hAnsi="Courier New"/>
          <w:sz w:val="16"/>
          <w:szCs w:val="16"/>
          <w:color w:val="auto"/>
        </w:rPr>
      </w:pPr>
    </w:p>
    <w:p>
      <w:pPr>
        <w:jc w:val="both"/>
        <w:ind w:left="1120" w:right="3179" w:hanging="186"/>
        <w:spacing w:after="0" w:line="237" w:lineRule="auto"/>
        <w:tabs>
          <w:tab w:leader="none" w:pos="11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setting forth the name and address of the holder, the principal amount of the original notes being tendered and the certificate number(s) of the original notes;</w:t>
      </w:r>
    </w:p>
    <w:p>
      <w:pPr>
        <w:spacing w:after="0" w:line="184" w:lineRule="exact"/>
        <w:rPr>
          <w:rFonts w:ascii="Courier New" w:cs="Courier New" w:eastAsia="Courier New" w:hAnsi="Courier New"/>
          <w:sz w:val="16"/>
          <w:szCs w:val="16"/>
          <w:color w:val="auto"/>
        </w:rPr>
      </w:pPr>
    </w:p>
    <w:p>
      <w:pPr>
        <w:ind w:left="1120" w:right="3179" w:hanging="186"/>
        <w:spacing w:after="0" w:line="236" w:lineRule="auto"/>
        <w:tabs>
          <w:tab w:leader="none" w:pos="11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stating that the tender is being made by means of the notice of guaranteed delivery; and</w:t>
      </w:r>
    </w:p>
    <w:p>
      <w:pPr>
        <w:spacing w:after="0" w:line="184" w:lineRule="exact"/>
        <w:rPr>
          <w:rFonts w:ascii="Courier New" w:cs="Courier New" w:eastAsia="Courier New" w:hAnsi="Courier New"/>
          <w:sz w:val="16"/>
          <w:szCs w:val="16"/>
          <w:color w:val="auto"/>
        </w:rPr>
      </w:pPr>
    </w:p>
    <w:p>
      <w:pPr>
        <w:ind w:left="1120" w:right="2719" w:hanging="186"/>
        <w:spacing w:after="0" w:line="237" w:lineRule="auto"/>
        <w:tabs>
          <w:tab w:leader="none" w:pos="11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guaranteeing that, within five business days after the applicable expiration date, the letter of transmittal, certificate(s) representing the original notes or a book-entry confirmation and any other documents required by the letter of transmittal will be delivered to the exchange agent; and</w:t>
      </w:r>
    </w:p>
    <w:p>
      <w:pPr>
        <w:spacing w:after="0" w:line="187" w:lineRule="exact"/>
        <w:rPr>
          <w:rFonts w:ascii="Courier New" w:cs="Courier New" w:eastAsia="Courier New" w:hAnsi="Courier New"/>
          <w:sz w:val="16"/>
          <w:szCs w:val="16"/>
          <w:color w:val="auto"/>
        </w:rPr>
      </w:pPr>
    </w:p>
    <w:p>
      <w:pPr>
        <w:jc w:val="both"/>
        <w:ind w:left="660" w:right="2719" w:hanging="195"/>
        <w:spacing w:after="0" w:line="254" w:lineRule="auto"/>
        <w:tabs>
          <w:tab w:leader="none" w:pos="6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properly completed and executed letter of transmittal, certificate(s) representing all tendered original notes in proper form for transfer or a</w:t>
      </w:r>
    </w:p>
    <w:p>
      <w:pPr>
        <w:ind w:left="660"/>
        <w:spacing w:after="0" w:line="234" w:lineRule="auto"/>
        <w:rPr>
          <w:sz w:val="20"/>
          <w:szCs w:val="20"/>
          <w:color w:val="auto"/>
        </w:rPr>
      </w:pPr>
      <w:r>
        <w:rPr>
          <w:rFonts w:ascii="Courier New" w:cs="Courier New" w:eastAsia="Courier New" w:hAnsi="Courier New"/>
          <w:sz w:val="16"/>
          <w:szCs w:val="16"/>
          <w:color w:val="auto"/>
        </w:rPr>
        <w:t>book-entry confirmation and all other documents</w:t>
      </w: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3"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25</w:t>
      </w:r>
    </w:p>
    <w:p>
      <w:pPr>
        <w:spacing w:after="0" w:line="185" w:lineRule="exact"/>
        <w:rPr>
          <w:sz w:val="20"/>
          <w:szCs w:val="20"/>
          <w:color w:val="auto"/>
        </w:rPr>
      </w:pPr>
    </w:p>
    <w:p>
      <w:pPr>
        <w:ind w:left="660" w:right="2819"/>
        <w:spacing w:after="0" w:line="236" w:lineRule="auto"/>
        <w:rPr>
          <w:sz w:val="20"/>
          <w:szCs w:val="20"/>
          <w:color w:val="auto"/>
        </w:rPr>
      </w:pPr>
      <w:r>
        <w:rPr>
          <w:rFonts w:ascii="Courier New" w:cs="Courier New" w:eastAsia="Courier New" w:hAnsi="Courier New"/>
          <w:sz w:val="16"/>
          <w:szCs w:val="16"/>
          <w:color w:val="auto"/>
        </w:rPr>
        <w:t>required by the letter of transmittal are received by the exchange agent within five business days after the applicable expiration date.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OF TENDERS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Except as otherwise provided in this prospectus, tenders of original notes may be withdrawn at any time prior to the expiration date.</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To be effective, a written or facsimile transmission notice of withdrawal must be received by the exchange agent at its address prior to the expiration date. Any notice of withdrawal must:</w:t>
      </w:r>
    </w:p>
    <w:p>
      <w:pPr>
        <w:spacing w:after="0" w:line="185" w:lineRule="exact"/>
        <w:rPr>
          <w:sz w:val="20"/>
          <w:szCs w:val="20"/>
          <w:color w:val="auto"/>
        </w:rPr>
      </w:pPr>
    </w:p>
    <w:p>
      <w:pPr>
        <w:ind w:left="660" w:right="3099" w:hanging="195"/>
        <w:spacing w:after="0" w:line="236"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specify the name of the person who deposited the original notes to be withdrawn;</w:t>
      </w:r>
    </w:p>
    <w:p>
      <w:pPr>
        <w:spacing w:after="0" w:line="184"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identify the original notes to be withdrawn, including the certificate number(s) and aggregate principal amount; and</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signed by the holder in the same manner as the original signature on the applicable letter of transmittal, including any required signature guarantees.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will determine all questions as to the validity, form, eligibility and time of receipt of notices of withdrawal in our sole discretion. Our determination will be final and binding on all parties.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Any original notes that are withdrawn will be deemed not to have been validly tendered. No notes will be issued in the exchange offer unless the original notes that were withdrawn are retendered. Properly withdrawn original notes may be retendered by following one of the procedures described above under "-- Procedures for Tendering" at any time prior to the expiration date.</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Any original notes which have been validly withdrawn will be returned to the holder, unless otherwise provided in the letter of transmittal, without cost to the holder:</w:t>
      </w:r>
    </w:p>
    <w:p>
      <w:pPr>
        <w:spacing w:after="0" w:line="180" w:lineRule="exact"/>
        <w:rPr>
          <w:sz w:val="20"/>
          <w:szCs w:val="20"/>
          <w:color w:val="auto"/>
        </w:rPr>
      </w:pPr>
    </w:p>
    <w:p>
      <w:pPr>
        <w:ind w:left="660" w:hanging="195"/>
        <w:spacing w:after="0"/>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possible following the expiration date or,</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requested in the notice of withdrawal, promptly after receipt of the notice of withdrawal.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 OF THE EXCHANGE OFFER</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exchange offer is subject to the condition that neither the offer nor any exchange by a holder violates any applicable law or interpretation of the staff of the Commission. If a change in Commission policy raises a substantial question as to whether the exchange offer is permitted by applicable federal law, we will seek a no-action letter or other decision from the Commission allowing us to consummate the exchange offer.</w:t>
      </w:r>
    </w:p>
    <w:p>
      <w:pPr>
        <w:spacing w:after="0" w:line="189"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If we determine that the exchange offer is not permitted by applicable federal law, we may:</w:t>
      </w:r>
    </w:p>
    <w:p>
      <w:pPr>
        <w:spacing w:after="0" w:line="185" w:lineRule="exact"/>
        <w:rPr>
          <w:sz w:val="20"/>
          <w:szCs w:val="20"/>
          <w:color w:val="auto"/>
        </w:rPr>
      </w:pPr>
    </w:p>
    <w:p>
      <w:pPr>
        <w:ind w:left="940" w:right="2899" w:hanging="193"/>
        <w:spacing w:after="0" w:line="236" w:lineRule="auto"/>
        <w:tabs>
          <w:tab w:leader="none" w:pos="9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the exchange offer and return any original notes that have been tendered;</w:t>
      </w:r>
    </w:p>
    <w:p>
      <w:pPr>
        <w:spacing w:after="0" w:line="184"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exchange offer and retain all original notes tendered prior to the new expiration date that are not withdrawn; or</w:t>
      </w:r>
    </w:p>
    <w:p>
      <w:pPr>
        <w:spacing w:after="0" w:line="184" w:lineRule="exact"/>
        <w:rPr>
          <w:rFonts w:ascii="Courier New" w:cs="Courier New" w:eastAsia="Courier New" w:hAnsi="Courier New"/>
          <w:sz w:val="16"/>
          <w:szCs w:val="16"/>
          <w:color w:val="auto"/>
        </w:rPr>
      </w:pPr>
    </w:p>
    <w:p>
      <w:pPr>
        <w:jc w:val="both"/>
        <w:ind w:left="940" w:right="3479" w:hanging="193"/>
        <w:spacing w:after="0" w:line="263" w:lineRule="auto"/>
        <w:tabs>
          <w:tab w:leader="none" w:pos="9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our right to terminate the exchange offer and accept all properly tendered original notes that have not been withdrawn.</w:t>
      </w:r>
    </w:p>
    <w:p>
      <w:pPr>
        <w:spacing w:after="0" w:line="16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If we determine our waiver of our right to terminate constitutes a material change in the exchange offer, we will promptly file a post-effective amendment with the Commission and distribute a prospectus supplement to the registered holders of the original notes. If the exchange offer is scheduled to expire during the five to ten business day period following the waiver, we will extend it for a period of five to ten business days depending on the significance of the waiver and the manner of disclosure to the registered holders.</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3"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AGENT</w:t>
      </w:r>
    </w:p>
    <w:p>
      <w:pPr>
        <w:spacing w:after="0" w:line="185"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State Street Bank and Trust Company has been appointed the exchange agent for the exchange offer. Questions, requests for assistance and requests for additional copies of this prospectus, the letter of transmittal or other documents should be directed to the exchange agent addressed as follows:</w:t>
      </w:r>
    </w:p>
    <w:p>
      <w:pPr>
        <w:spacing w:after="0" w:line="16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By Registered or Certified Mail or Hand or Overnight Delivery:</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State Street Bank and Trust Company</w:t>
      </w:r>
    </w:p>
    <w:p>
      <w:pPr>
        <w:ind w:left="660"/>
        <w:spacing w:after="0"/>
        <w:rPr>
          <w:sz w:val="20"/>
          <w:szCs w:val="20"/>
          <w:color w:val="auto"/>
        </w:rPr>
      </w:pPr>
      <w:r>
        <w:rPr>
          <w:rFonts w:ascii="Courier New" w:cs="Courier New" w:eastAsia="Courier New" w:hAnsi="Courier New"/>
          <w:sz w:val="16"/>
          <w:szCs w:val="16"/>
          <w:color w:val="auto"/>
        </w:rPr>
        <w:t>Two International Place</w:t>
      </w:r>
    </w:p>
    <w:p>
      <w:pPr>
        <w:ind w:left="660"/>
        <w:spacing w:after="0" w:line="237" w:lineRule="auto"/>
        <w:rPr>
          <w:sz w:val="20"/>
          <w:szCs w:val="20"/>
          <w:color w:val="auto"/>
        </w:rPr>
      </w:pPr>
      <w:r>
        <w:rPr>
          <w:rFonts w:ascii="Courier New" w:cs="Courier New" w:eastAsia="Courier New" w:hAnsi="Courier New"/>
          <w:sz w:val="16"/>
          <w:szCs w:val="16"/>
          <w:color w:val="auto"/>
        </w:rPr>
        <w:t>Fourth Floor</w:t>
      </w:r>
    </w:p>
    <w:p>
      <w:pPr>
        <w:ind w:left="660"/>
        <w:spacing w:after="0"/>
        <w:rPr>
          <w:sz w:val="20"/>
          <w:szCs w:val="20"/>
          <w:color w:val="auto"/>
        </w:rPr>
      </w:pPr>
      <w:r>
        <w:rPr>
          <w:rFonts w:ascii="Courier New" w:cs="Courier New" w:eastAsia="Courier New" w:hAnsi="Courier New"/>
          <w:sz w:val="16"/>
          <w:szCs w:val="16"/>
          <w:color w:val="auto"/>
        </w:rPr>
        <w:t>Boston, MA 02110</w:t>
      </w:r>
    </w:p>
    <w:p>
      <w:pPr>
        <w:ind w:left="660"/>
        <w:spacing w:after="0" w:line="238" w:lineRule="auto"/>
        <w:tabs>
          <w:tab w:leader="none" w:pos="308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 Corporate Trust Department</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Facsimile Transmissions: 617-664-3290</w:t>
      </w:r>
    </w:p>
    <w:p>
      <w:pPr>
        <w:ind w:left="660"/>
        <w:spacing w:after="0"/>
        <w:rPr>
          <w:sz w:val="20"/>
          <w:szCs w:val="20"/>
          <w:color w:val="auto"/>
        </w:rPr>
      </w:pPr>
      <w:r>
        <w:rPr>
          <w:rFonts w:ascii="Courier New" w:cs="Courier New" w:eastAsia="Courier New" w:hAnsi="Courier New"/>
          <w:sz w:val="16"/>
          <w:szCs w:val="16"/>
          <w:color w:val="auto"/>
        </w:rPr>
        <w:t>Confirm by Telephone: 617-664-5587</w:t>
      </w:r>
    </w:p>
    <w:p>
      <w:pPr>
        <w:ind w:left="660"/>
        <w:spacing w:after="0" w:line="237" w:lineRule="auto"/>
        <w:rPr>
          <w:sz w:val="20"/>
          <w:szCs w:val="20"/>
          <w:color w:val="auto"/>
        </w:rPr>
      </w:pPr>
      <w:r>
        <w:rPr>
          <w:rFonts w:ascii="Courier New" w:cs="Courier New" w:eastAsia="Courier New" w:hAnsi="Courier New"/>
          <w:sz w:val="16"/>
          <w:szCs w:val="16"/>
          <w:color w:val="auto"/>
        </w:rPr>
        <w:t>(ELIGIBLE INSTITUTIONS ONLY)</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Delivery to any other address or facsimile number will not constitute a valid delivery.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FEES AND EXPENSES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will pay the expenses of soliciting tenders. The principal solicitation is being made by mail. Additional solicitation may be made by telegraph, telephone or in person by officers and regular employees of Scotts and its affiliates.</w:t>
      </w:r>
    </w:p>
    <w:p>
      <w:pPr>
        <w:spacing w:after="0" w:line="186"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We have not retained any dealer-manager in connection with the exchange offer. No payments will be made to brokers, dealers or others soliciting acceptance of the exchange offer.</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We will pay reasonable and customary fees to the exchange agent for its service and will reimburse its reasonable out-of-pocket expenses.</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We will pay all cash expenses incurred in connection with the exchange offer, which we estimate will be $250,000. Expenses will include fees and expenses of the exchange agent and the trustee under the indenture, accounting and legal fees and printing costs. We will also pay transfer taxes, if any, applicable to the exchange of the original notes in the exchange offer.</w:t>
      </w:r>
    </w:p>
    <w:p>
      <w:pPr>
        <w:spacing w:after="0" w:line="17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If a transfer tax is imposed on the registered holder or any other person for any reason other than the exchange of the original notes in the exchange offer, the tendering holder must pay the transfer tax. The amount of this transfer tax will be billed directly to the tendering holder unless the holder submits with the letter of transmittal either:</w:t>
      </w:r>
    </w:p>
    <w:p>
      <w:pPr>
        <w:spacing w:after="0" w:line="182" w:lineRule="exact"/>
        <w:rPr>
          <w:sz w:val="20"/>
          <w:szCs w:val="20"/>
          <w:color w:val="auto"/>
        </w:rPr>
      </w:pPr>
    </w:p>
    <w:p>
      <w:pPr>
        <w:ind w:left="660" w:hanging="195"/>
        <w:spacing w:after="0"/>
        <w:tabs>
          <w:tab w:leader="none" w:pos="6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satisfactory evidence of payment of the transfer tax,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of an exemption from the transfer tax.</w:t>
      </w:r>
    </w:p>
    <w:p>
      <w:pPr>
        <w:spacing w:after="0" w:line="179"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TREATMENT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carrying values of the original notes are not expected to be materially different from the fair value of the notes issued in the exchange offer; accordingly, no gain or loss for accounting purposes will be recognized. The expenses of the exchange offer will be amortized over the term of the notes issued in the exchange offer.</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3"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27</w:t>
      </w:r>
    </w:p>
    <w:p>
      <w:pPr>
        <w:spacing w:after="0" w:line="360"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DESCRIPTION OF SENIOR CREDIT FACILITY</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description is a summary of material provisions of Scotts senior credit facility. It does not restate the credit facility in its entirety. We urge you to read the New Credit Facility because it, and not this description, define the terms of our other material outstanding indebtedness. Copies of the senior credit facility are available as set forth under "Where You Can Find More Information."</w:t>
      </w:r>
    </w:p>
    <w:p>
      <w:pPr>
        <w:spacing w:after="0" w:line="200" w:lineRule="exact"/>
        <w:rPr>
          <w:sz w:val="20"/>
          <w:szCs w:val="20"/>
          <w:color w:val="auto"/>
        </w:rPr>
      </w:pPr>
    </w:p>
    <w:p>
      <w:pPr>
        <w:spacing w:after="0" w:line="34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December 4, 1998, Scotts and most of our subsidiaries entered into a new credit facility, which is senior to the notes. This senior credit facility establishes aggregate financing for Scotts and the subsidiaries that are parties of up to $1.025 billion. The credit financing under the senior credit facility is provided by a lending syndicate group consisting of approximately thirty lenders worldwide, with The Chase Manhattan Bank serving as Administrative Agent.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ADDITIONAL CREDIT AVAILABLE</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senior credit facility provides for aggregate total senior secured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financing in the principal amount of up to $1.025 billion, consisting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 loan facilities in the aggregate amount of $525 million, and a revolving</w:t>
      </w:r>
    </w:p>
    <w:p>
      <w:pPr>
        <w:spacing w:after="0"/>
        <w:rPr>
          <w:sz w:val="20"/>
          <w:szCs w:val="20"/>
          <w:color w:val="auto"/>
        </w:rPr>
      </w:pPr>
      <w:r>
        <w:rPr>
          <w:rFonts w:ascii="Courier New" w:cs="Courier New" w:eastAsia="Courier New" w:hAnsi="Courier New"/>
          <w:sz w:val="16"/>
          <w:szCs w:val="16"/>
          <w:color w:val="auto"/>
        </w:rPr>
        <w:t>credit facility in the amount of $500 million. As of April 1, 2000, there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$479.7 million of term loan outstanding and $357.2 million outstanding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revolving credit facility.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SPECIFIC CREDIT FACILITIES</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term loan portion of the senior credit facility consists of three tranches. The Tranche A term loans consist of an aggregate approximate principal amount equal to $265 million, which is divided into three sub-tranches of French Francs, German Deutschemarks and British Pounds Sterling. The Tranche A term loans are to be repaid in quarterly principal installments over a 6 1/2 year period. The Tranche B term loans consist of an aggregate principal amount equal to $140 million, which is to be repaid in nominal quarterly installments for the first 6 1/2 years and in substantial quarterly installments in the final year. The Tranche C term loans consist of an aggregate principal amount equal to $120 million, which is to be repaid in nominal quarterly installments for the first 7 1/2 years and in substantial quarterly installments in the final year.</w:t>
      </w:r>
    </w:p>
    <w:p>
      <w:pPr>
        <w:spacing w:after="0" w:line="200" w:lineRule="exact"/>
        <w:rPr>
          <w:sz w:val="20"/>
          <w:szCs w:val="20"/>
          <w:color w:val="auto"/>
        </w:rPr>
      </w:pPr>
    </w:p>
    <w:p>
      <w:pPr>
        <w:spacing w:after="0" w:line="339"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$500 million revolving credit portion of the senior facility is available on a revolving basis for a term of 6 1/2 years. A portion of the revolving credit facility not to exceed $100 million is available for the issuance of letters of credit. In addition, a portion of the revolving credit facility not to exceed $225 million is available for borrowing in optional currencies, including German Deutschemarks, British Pound Sterling, French Francs, Belgian Francs, Italian Lira and other foreign currencies. However, no more than $120 million of this $225 million may be outstanding in foreign currencies other than British Pounds Sterling.</w:t>
      </w:r>
    </w:p>
    <w:p>
      <w:pPr>
        <w:spacing w:after="0" w:line="200" w:lineRule="exact"/>
        <w:rPr>
          <w:sz w:val="20"/>
          <w:szCs w:val="20"/>
          <w:color w:val="auto"/>
        </w:rPr>
      </w:pPr>
    </w:p>
    <w:p>
      <w:pPr>
        <w:spacing w:after="0" w:line="34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Scotts is required to reduce the outstanding principal amount of all revolving credit loans to no more than $150 million for at least 30 consecutive days during each calendar year.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PREPAYMENTS</w:t>
      </w:r>
    </w:p>
    <w:p>
      <w:pPr>
        <w:spacing w:after="0" w:line="200" w:lineRule="exact"/>
        <w:rPr>
          <w:sz w:val="20"/>
          <w:szCs w:val="20"/>
          <w:color w:val="auto"/>
        </w:rPr>
      </w:pPr>
    </w:p>
    <w:p>
      <w:pPr>
        <w:spacing w:after="0" w:line="34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Scotts may prepay the term loans at any time, subject to the applicable prepayment fees. However, optional prepayments of the term loans may not be reborrowed.</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Scotts is required to make mandatory prepayments out of the net proceeds of any sale or issuance of equity, the incurrence of additional senior indebtedness and any sale or other disposition of more than a de minimis amount of assets. In addition Scotts is required to make mandatory prepayments out of a portion of excess cash flow.</w:t>
      </w:r>
    </w:p>
    <w:p>
      <w:pPr>
        <w:sectPr>
          <w:pgSz w:w="11900" w:h="16838" w:orient="portrait"/>
          <w:cols w:equalWidth="0" w:num="1">
            <w:col w:w="10219"/>
          </w:cols>
          <w:pgMar w:left="240" w:top="293"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INTEREST</w:t>
      </w:r>
    </w:p>
    <w:p>
      <w:pPr>
        <w:spacing w:after="0" w:line="200" w:lineRule="exact"/>
        <w:rPr>
          <w:sz w:val="20"/>
          <w:szCs w:val="20"/>
          <w:color w:val="auto"/>
        </w:rPr>
      </w:pPr>
    </w:p>
    <w:p>
      <w:pPr>
        <w:spacing w:after="0" w:line="34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Interest rates for the revolving credit facility and the term loans vary depending upon Scotts' leverage ratio and on the interest rate option selected by Scotts. As of April 1, 2000, the weighted average interest rate for the senior credit facility was 8.2%.</w:t>
      </w: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97" w:right="1440" w:bottom="1440" w:gutter="0" w:footer="0" w:header="0"/>
        </w:sectPr>
      </w:pPr>
    </w:p>
    <w:bookmarkStart w:id="29" w:name="page30"/>
    <w:bookmarkEnd w:id="29"/>
    <w:p>
      <w:pPr>
        <w:spacing w:after="0" w:line="7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28</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GUARANTIES</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Scotts has guaranteed the performance of its subsidiaries under the senior credit facility. Additionally, most of Scotts domestic direct and indirect subsidiaries and some of Scotts direct foreign subsidiaries have guaranteed Scotts' performance under the senior credit facility.</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COLLATERAL</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Scotts and all of its domestic subsidiaries pledged substantially all of their personal property assets to secure the indebtedness and obligations under the senior credit facility. Additionally, Scotts and its domestic subsidiaries pledged any real property assets having a value in excess of $500,000, as well as substantially all of their intellectual property assets. Scotts and its direct and indirect subsidiaries also pledged primarily all of the stock which they owned in their own subsidiaries, unless the pledge was limited by the laws of a foreign country or would have resulted in adverse tax consequences to Scotts.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senior credit facility contains standard negative covenants, including covenants which impose limitations on the ability of Scotts to, among other things:</w:t>
      </w:r>
    </w:p>
    <w:p>
      <w:pPr>
        <w:spacing w:after="0" w:line="200" w:lineRule="exact"/>
        <w:rPr>
          <w:sz w:val="20"/>
          <w:szCs w:val="20"/>
          <w:color w:val="auto"/>
        </w:rPr>
      </w:pPr>
    </w:p>
    <w:p>
      <w:pPr>
        <w:spacing w:after="0" w:line="340" w:lineRule="exact"/>
        <w:rPr>
          <w:sz w:val="20"/>
          <w:szCs w:val="20"/>
          <w:color w:val="auto"/>
        </w:rPr>
      </w:pPr>
    </w:p>
    <w:p>
      <w:pPr>
        <w:ind w:left="660" w:hanging="195"/>
        <w:spacing w:after="0"/>
        <w:tabs>
          <w:tab w:leader="none" w:pos="6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liens on property, or incur contingent obligations;</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all or substantially all of their assets; or</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660" w:right="3839" w:hanging="195"/>
        <w:spacing w:after="0" w:line="236" w:lineRule="auto"/>
        <w:tabs>
          <w:tab w:leader="none" w:pos="6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fundamental changes, investments, loans, advances or acquisitions in excess of $100 million.</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senior credit facility also contains financial covenants consisting of the maintenance of a specified leverage ratio, a specified consolidated net worth, and an interest coverage ratio.</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DESCRIPTION OF NOTES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You can find the definitions of capitalized terms used in this description in quotation marks under the subheading "Definitions."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Scott issued the original notes, and will issue the notes to be delivered in the exchange offer, under the indenture dated as of January 21, 1999 among itself, the subsidiary guarantors and State Street Bank and Trust Company, as trustee. The terms of the notes include those stated in the indenture and those made part of the indenture by reference to the Trust Indenture Act.</w:t>
      </w:r>
    </w:p>
    <w:p>
      <w:pPr>
        <w:spacing w:after="0" w:line="17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following description is a summary of the material provisions of the indenture and the registration rights agreement. It does not restate those agreements in their entirety. We urge you to read the indenture and the registration rights agreement because they, and not this description, define your rights as holders of these notes. Copies of the indenture and the registration rights agreement are available as set forth below under "Where You Can Find More Information."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Notes</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Both the original notes and the notes issued in the exchange offer evidence the same debt and will be entitled to the benefits of the indenture. They will be treated as a single class of debt securities. The terms of the notes issued in the exchange offer will be the same as the original notes, except that:</w:t>
      </w:r>
    </w:p>
    <w:p>
      <w:pPr>
        <w:spacing w:after="0" w:line="174" w:lineRule="exact"/>
        <w:rPr>
          <w:sz w:val="20"/>
          <w:szCs w:val="20"/>
          <w:color w:val="auto"/>
        </w:rPr>
      </w:pPr>
    </w:p>
    <w:p>
      <w:pPr>
        <w:ind w:left="660" w:right="3279" w:hanging="195"/>
        <w:spacing w:after="0" w:line="236" w:lineRule="auto"/>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will be registered under the Securities Act and, therefore, will not bear legends restricting transfer; and</w:t>
      </w:r>
    </w:p>
    <w:p>
      <w:pPr>
        <w:spacing w:after="0" w:line="184" w:lineRule="exact"/>
        <w:rPr>
          <w:rFonts w:ascii="Courier New" w:cs="Courier New" w:eastAsia="Courier New" w:hAnsi="Courier New"/>
          <w:sz w:val="16"/>
          <w:szCs w:val="16"/>
          <w:color w:val="auto"/>
        </w:rPr>
      </w:pPr>
    </w:p>
    <w:p>
      <w:pPr>
        <w:ind w:left="660" w:right="3759" w:hanging="195"/>
        <w:spacing w:after="0" w:line="236" w:lineRule="auto"/>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will not be entitled to the benefits of the registration rights agreement.</w:t>
      </w:r>
    </w:p>
    <w:p>
      <w:pPr>
        <w:sectPr>
          <w:pgSz w:w="11900" w:h="16908" w:orient="portrait"/>
          <w:cols w:equalWidth="0" w:num="1">
            <w:col w:w="10219"/>
          </w:cols>
          <w:pgMar w:left="240" w:top="293" w:right="1440" w:bottom="0" w:gutter="0" w:footer="0" w:header="0"/>
        </w:sectPr>
      </w:pPr>
    </w:p>
    <w:bookmarkStart w:id="30" w:name="page31"/>
    <w:bookmarkEnd w:id="30"/>
    <w:p>
      <w:pPr>
        <w:ind w:right="2899" w:firstLine="469"/>
        <w:spacing w:after="0" w:line="237" w:lineRule="auto"/>
        <w:rPr>
          <w:sz w:val="20"/>
          <w:szCs w:val="20"/>
          <w:color w:val="auto"/>
        </w:rPr>
      </w:pPr>
      <w:r>
        <w:rPr>
          <w:rFonts w:ascii="Courier New" w:cs="Courier New" w:eastAsia="Courier New" w:hAnsi="Courier New"/>
          <w:sz w:val="16"/>
          <w:szCs w:val="16"/>
          <w:color w:val="auto"/>
        </w:rPr>
        <w:t>Holders of original notes who do not exchange their original notes in the exchange offer will vote together with holders of the exchange notes for all relevant purposes under the indenture.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22"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29</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All of the notes:</w:t>
      </w:r>
    </w:p>
    <w:p>
      <w:pPr>
        <w:spacing w:after="0" w:line="179" w:lineRule="exact"/>
        <w:rPr>
          <w:sz w:val="20"/>
          <w:szCs w:val="20"/>
          <w:color w:val="auto"/>
        </w:rPr>
      </w:pPr>
    </w:p>
    <w:p>
      <w:pPr>
        <w:ind w:left="660" w:hanging="195"/>
        <w:spacing w:after="0"/>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general obligations of Scotts;</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subordinated in right of payment to all our existing and future senior debt; and</w:t>
      </w:r>
    </w:p>
    <w:p>
      <w:pPr>
        <w:spacing w:after="0" w:line="184" w:lineRule="exact"/>
        <w:rPr>
          <w:rFonts w:ascii="Courier New" w:cs="Courier New" w:eastAsia="Courier New" w:hAnsi="Courier New"/>
          <w:sz w:val="16"/>
          <w:szCs w:val="16"/>
          <w:color w:val="auto"/>
        </w:rPr>
      </w:pPr>
    </w:p>
    <w:p>
      <w:pPr>
        <w:ind w:left="660" w:right="3559" w:hanging="195"/>
        <w:spacing w:after="0" w:line="236" w:lineRule="auto"/>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senior in right of payment to any future junior subordinated indebtedness we may incur.</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Guarantees</w:t>
      </w:r>
    </w:p>
    <w:p>
      <w:pPr>
        <w:spacing w:after="0" w:line="185" w:lineRule="exact"/>
        <w:rPr>
          <w:sz w:val="20"/>
          <w:szCs w:val="20"/>
          <w:color w:val="auto"/>
        </w:rPr>
      </w:pPr>
    </w:p>
    <w:p>
      <w:pPr>
        <w:jc w:val="both"/>
        <w:ind w:right="3099" w:firstLine="469"/>
        <w:spacing w:after="0" w:line="263" w:lineRule="auto"/>
        <w:rPr>
          <w:sz w:val="20"/>
          <w:szCs w:val="20"/>
          <w:color w:val="auto"/>
        </w:rPr>
      </w:pPr>
      <w:r>
        <w:rPr>
          <w:rFonts w:ascii="Courier New" w:cs="Courier New" w:eastAsia="Courier New" w:hAnsi="Courier New"/>
          <w:sz w:val="15"/>
          <w:szCs w:val="15"/>
          <w:color w:val="auto"/>
        </w:rPr>
        <w:t>These notes will be guaranteed by all of our existing and future wholly owned domestic subsidiaries, except any that are designated as unrestricted.</w:t>
      </w:r>
    </w:p>
    <w:p>
      <w:pPr>
        <w:spacing w:after="0" w:line="169" w:lineRule="exact"/>
        <w:rPr>
          <w:sz w:val="20"/>
          <w:szCs w:val="20"/>
          <w:color w:val="auto"/>
        </w:rPr>
      </w:pPr>
    </w:p>
    <w:p>
      <w:pPr>
        <w:ind w:right="3659" w:firstLine="469"/>
        <w:spacing w:after="0" w:line="236" w:lineRule="auto"/>
        <w:rPr>
          <w:sz w:val="20"/>
          <w:szCs w:val="20"/>
          <w:color w:val="auto"/>
        </w:rPr>
      </w:pPr>
      <w:r>
        <w:rPr>
          <w:rFonts w:ascii="Courier New" w:cs="Courier New" w:eastAsia="Courier New" w:hAnsi="Courier New"/>
          <w:sz w:val="16"/>
          <w:szCs w:val="16"/>
          <w:color w:val="auto"/>
        </w:rPr>
        <w:t>As of the date of this prospectus, the following subsidiaries are guarantors of the notes: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Scotts' Miracle-Gro Products, Inc.</w:t>
      </w:r>
    </w:p>
    <w:p>
      <w:pPr>
        <w:ind w:left="840"/>
        <w:spacing w:after="0"/>
        <w:rPr>
          <w:sz w:val="20"/>
          <w:szCs w:val="20"/>
          <w:color w:val="auto"/>
        </w:rPr>
      </w:pPr>
      <w:r>
        <w:rPr>
          <w:rFonts w:ascii="Courier New" w:cs="Courier New" w:eastAsia="Courier New" w:hAnsi="Courier New"/>
          <w:sz w:val="16"/>
          <w:szCs w:val="16"/>
          <w:color w:val="auto"/>
        </w:rPr>
        <w:t>Miracle-Gro Lawn Products, Inc.</w:t>
      </w:r>
    </w:p>
    <w:p>
      <w:pPr>
        <w:ind w:left="840"/>
        <w:spacing w:after="0" w:line="237" w:lineRule="auto"/>
        <w:rPr>
          <w:sz w:val="20"/>
          <w:szCs w:val="20"/>
          <w:color w:val="auto"/>
        </w:rPr>
      </w:pPr>
      <w:r>
        <w:rPr>
          <w:rFonts w:ascii="Courier New" w:cs="Courier New" w:eastAsia="Courier New" w:hAnsi="Courier New"/>
          <w:sz w:val="16"/>
          <w:szCs w:val="16"/>
          <w:color w:val="auto"/>
        </w:rPr>
        <w:t>Miracle-Gro Products Ltd.</w:t>
      </w:r>
    </w:p>
    <w:p>
      <w:pPr>
        <w:ind w:left="840"/>
        <w:spacing w:after="0"/>
        <w:rPr>
          <w:sz w:val="20"/>
          <w:szCs w:val="20"/>
          <w:color w:val="auto"/>
        </w:rPr>
      </w:pPr>
      <w:r>
        <w:rPr>
          <w:rFonts w:ascii="Courier New" w:cs="Courier New" w:eastAsia="Courier New" w:hAnsi="Courier New"/>
          <w:sz w:val="16"/>
          <w:szCs w:val="16"/>
          <w:color w:val="auto"/>
        </w:rPr>
        <w:t>OMS Investments, Inc.</w:t>
      </w:r>
    </w:p>
    <w:p>
      <w:pPr>
        <w:ind w:left="840"/>
        <w:spacing w:after="0" w:line="238" w:lineRule="auto"/>
        <w:rPr>
          <w:sz w:val="20"/>
          <w:szCs w:val="20"/>
          <w:color w:val="auto"/>
        </w:rPr>
      </w:pPr>
      <w:r>
        <w:rPr>
          <w:rFonts w:ascii="Courier New" w:cs="Courier New" w:eastAsia="Courier New" w:hAnsi="Courier New"/>
          <w:sz w:val="16"/>
          <w:szCs w:val="16"/>
          <w:color w:val="auto"/>
        </w:rPr>
        <w:t>Old Fort Financial Corp.</w:t>
      </w:r>
    </w:p>
    <w:p>
      <w:pPr>
        <w:ind w:left="840"/>
        <w:spacing w:after="0"/>
        <w:rPr>
          <w:sz w:val="20"/>
          <w:szCs w:val="20"/>
          <w:color w:val="auto"/>
        </w:rPr>
      </w:pPr>
      <w:r>
        <w:rPr>
          <w:rFonts w:ascii="Courier New" w:cs="Courier New" w:eastAsia="Courier New" w:hAnsi="Courier New"/>
          <w:sz w:val="16"/>
          <w:szCs w:val="16"/>
          <w:color w:val="auto"/>
        </w:rPr>
        <w:t>Hyponex Corporation</w:t>
      </w:r>
    </w:p>
    <w:p>
      <w:pPr>
        <w:ind w:left="840"/>
        <w:spacing w:after="0" w:line="238" w:lineRule="auto"/>
        <w:rPr>
          <w:sz w:val="20"/>
          <w:szCs w:val="20"/>
          <w:color w:val="auto"/>
        </w:rPr>
      </w:pPr>
      <w:r>
        <w:rPr>
          <w:rFonts w:ascii="Courier New" w:cs="Courier New" w:eastAsia="Courier New" w:hAnsi="Courier New"/>
          <w:sz w:val="16"/>
          <w:szCs w:val="16"/>
          <w:color w:val="auto"/>
        </w:rPr>
        <w:t>EarthGro, Inc.</w:t>
      </w:r>
    </w:p>
    <w:p>
      <w:pPr>
        <w:ind w:left="840"/>
        <w:spacing w:after="0"/>
        <w:rPr>
          <w:sz w:val="20"/>
          <w:szCs w:val="20"/>
          <w:color w:val="auto"/>
        </w:rPr>
      </w:pPr>
      <w:r>
        <w:rPr>
          <w:rFonts w:ascii="Courier New" w:cs="Courier New" w:eastAsia="Courier New" w:hAnsi="Courier New"/>
          <w:sz w:val="16"/>
          <w:szCs w:val="16"/>
          <w:color w:val="auto"/>
        </w:rPr>
        <w:t>Scotts Products Co.</w:t>
      </w:r>
    </w:p>
    <w:p>
      <w:pPr>
        <w:ind w:left="840"/>
        <w:spacing w:after="0" w:line="237" w:lineRule="auto"/>
        <w:rPr>
          <w:sz w:val="20"/>
          <w:szCs w:val="20"/>
          <w:color w:val="auto"/>
        </w:rPr>
      </w:pPr>
      <w:r>
        <w:rPr>
          <w:rFonts w:ascii="Courier New" w:cs="Courier New" w:eastAsia="Courier New" w:hAnsi="Courier New"/>
          <w:sz w:val="16"/>
          <w:szCs w:val="16"/>
          <w:color w:val="auto"/>
        </w:rPr>
        <w:t>Scotts Professional Products Co.</w:t>
      </w:r>
    </w:p>
    <w:p>
      <w:pPr>
        <w:ind w:left="840"/>
        <w:spacing w:after="0"/>
        <w:rPr>
          <w:sz w:val="20"/>
          <w:szCs w:val="20"/>
          <w:color w:val="auto"/>
        </w:rPr>
      </w:pPr>
      <w:r>
        <w:rPr>
          <w:rFonts w:ascii="Courier New" w:cs="Courier New" w:eastAsia="Courier New" w:hAnsi="Courier New"/>
          <w:sz w:val="16"/>
          <w:szCs w:val="16"/>
          <w:color w:val="auto"/>
        </w:rPr>
        <w:t>Republic Tool &amp; Manufacturing Corp.</w:t>
      </w:r>
    </w:p>
    <w:p>
      <w:pPr>
        <w:ind w:left="840"/>
        <w:spacing w:after="0" w:line="238" w:lineRule="auto"/>
        <w:rPr>
          <w:sz w:val="20"/>
          <w:szCs w:val="20"/>
          <w:color w:val="auto"/>
        </w:rPr>
      </w:pPr>
      <w:r>
        <w:rPr>
          <w:rFonts w:ascii="Courier New" w:cs="Courier New" w:eastAsia="Courier New" w:hAnsi="Courier New"/>
          <w:sz w:val="16"/>
          <w:szCs w:val="16"/>
          <w:color w:val="auto"/>
        </w:rPr>
        <w:t>Scotts-Sierra Horticultural Products Company</w:t>
      </w:r>
    </w:p>
    <w:p>
      <w:pPr>
        <w:ind w:left="840"/>
        <w:spacing w:after="0"/>
        <w:rPr>
          <w:sz w:val="20"/>
          <w:szCs w:val="20"/>
          <w:color w:val="auto"/>
        </w:rPr>
      </w:pPr>
      <w:r>
        <w:rPr>
          <w:rFonts w:ascii="Courier New" w:cs="Courier New" w:eastAsia="Courier New" w:hAnsi="Courier New"/>
          <w:sz w:val="16"/>
          <w:szCs w:val="16"/>
          <w:color w:val="auto"/>
        </w:rPr>
        <w:t>Scotts-Sierra Crop Protection Company</w:t>
      </w:r>
    </w:p>
    <w:p>
      <w:pPr>
        <w:ind w:left="840"/>
        <w:spacing w:after="0" w:line="238" w:lineRule="auto"/>
        <w:rPr>
          <w:sz w:val="20"/>
          <w:szCs w:val="20"/>
          <w:color w:val="auto"/>
        </w:rPr>
      </w:pPr>
      <w:r>
        <w:rPr>
          <w:rFonts w:ascii="Courier New" w:cs="Courier New" w:eastAsia="Courier New" w:hAnsi="Courier New"/>
          <w:sz w:val="16"/>
          <w:szCs w:val="16"/>
          <w:color w:val="auto"/>
        </w:rPr>
        <w:t>Scotts-Sierra Investments, Inc.</w:t>
      </w:r>
    </w:p>
    <w:p>
      <w:pPr>
        <w:ind w:left="840"/>
        <w:spacing w:after="0"/>
        <w:rPr>
          <w:sz w:val="20"/>
          <w:szCs w:val="20"/>
          <w:color w:val="auto"/>
        </w:rPr>
      </w:pPr>
      <w:r>
        <w:rPr>
          <w:rFonts w:ascii="Courier New" w:cs="Courier New" w:eastAsia="Courier New" w:hAnsi="Courier New"/>
          <w:sz w:val="16"/>
          <w:szCs w:val="16"/>
          <w:color w:val="auto"/>
        </w:rPr>
        <w:t>Swiss Farms Products, Inc.</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These subsidiaries that are guaranteeing the notes constitute our primary domestic subsidiaries. The assets of the Ortho business that we acquired from Monsanto are held by Scotts and by some of the guarantor subsidiaries, as well as by some of our foreign subsidiaries. There is not a separate subsidiary for the Ortho assets. None of our foreign subsidiaries is a guarantor of the notes, and none is required to be under the indenture.</w:t>
      </w:r>
    </w:p>
    <w:p>
      <w:pPr>
        <w:spacing w:after="0" w:line="189"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We have not designated any of our domestic, wholly-owned subsidiaries as unrestricted, but we are permitted to do so under the indenture. Unrestricted subsidiaries are not subject to many of the restrictive covenants in the indenture and are ignored for purposes of calculating some of the relevant financial ratios in the covenants. If we designate any subsidiaries as unrestricted, they will cease to guarantee the notes. We have no present intention to do so.</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guarantees:</w:t>
      </w:r>
    </w:p>
    <w:p>
      <w:pPr>
        <w:spacing w:after="0" w:line="179" w:lineRule="exact"/>
        <w:rPr>
          <w:sz w:val="20"/>
          <w:szCs w:val="20"/>
          <w:color w:val="auto"/>
        </w:rPr>
      </w:pPr>
    </w:p>
    <w:p>
      <w:pPr>
        <w:ind w:left="660" w:hanging="195"/>
        <w:spacing w:after="0"/>
        <w:tabs>
          <w:tab w:leader="none" w:pos="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general obligations of each guarantor;</w:t>
      </w:r>
    </w:p>
    <w:p>
      <w:pPr>
        <w:spacing w:after="0" w:line="184"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subordinated in right of payment to all existing and future senior debt of each guarantor; and</w:t>
      </w:r>
    </w:p>
    <w:p>
      <w:pPr>
        <w:spacing w:after="0" w:line="184" w:lineRule="exact"/>
        <w:rPr>
          <w:rFonts w:ascii="Courier New" w:cs="Courier New" w:eastAsia="Courier New" w:hAnsi="Courier New"/>
          <w:sz w:val="16"/>
          <w:szCs w:val="16"/>
          <w:color w:val="auto"/>
        </w:rPr>
      </w:pPr>
    </w:p>
    <w:p>
      <w:pPr>
        <w:ind w:left="660" w:right="3559" w:hanging="195"/>
        <w:spacing w:after="0" w:line="236" w:lineRule="auto"/>
        <w:tabs>
          <w:tab w:leader="none" w:pos="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senior in right of payment to any future junior subordinated indebtedness of each guarantor.</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Not all of our restricted subsidiaries guarantee the notes. In particular, our foreign subsidiaries are not guarantors. In the event of a bankruptcy, liquidation or reorganization of any of these non-guarantor subsidiaries, these non-guarantor subsidiaries will pay the holders of their debt and their trade creditors before they will be able to distribute any of their assets to us. The non-guarantor subsidiaries generated approximately 24.6% of our consolidated revenues for the year ended September 30, 1999 and held approximately 29.7% of our consolidated assets as of September 30, 1999. See note 22 to our consolidated financial statements that we have are incorporated in this prospectus for more detail about the division of our consolidated revenues and assets between our guarantor and non-guarantor subsidiaries.</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3"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MATURITY AND INTEREST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indenture provides that we may issue notes with a maximum aggregate principal amount of up to $400 million, of which $330 million is represented by the notes. The notes are issued only in denominations of $1,000 and integral multiples of $1,000. The notes will mature on January 15, 2009.</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Interest on the notes accrues at the rate of 8.625% per annum and is payable semi-annually in arrears on January 15 and July 15, commencing on July 15, 1999. We will make each interest payment to the holders of record of the notes on the immediately preceding January 1 and July 1.</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METHODS OF RECEIVING PAYMENTS ON THE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 holder has given us wire transfer instructions, we will make all principal, premium and interest and liquidated damages, if any, payments on the notes owned by the holder in accordance with those instructions. All other payments on these notes will be made at the office or agency of the paying agent and registrar within the City and State of New York unless we elect to make interest payments by check mailed to the holders at their address set forth in the register of 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PAYING AGENT AND REGISTRAR FOR THE NOTES</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trustee is currently the paying agent and registrar. We may change the paying agent or registrar without prior notice to the holders of the notes. Scotts or any of our subsidiaries may act as paying agent or registrar.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AND EXCHANGE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 holder may transfer or exchange notes in accordance with the indenture. The registrar and the trustee may require a holder to furnish appropriate endorsements and transfer documents, and we may require a holder to pay any taxes and fees required by law or permitted by the indenture.</w:t>
      </w:r>
    </w:p>
    <w:p>
      <w:pPr>
        <w:spacing w:after="0" w:line="186"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registered holder of a note will be treated as the owner of it for all purposes.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GUARANTEES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subsidiary guarantors jointly and severally guarantee our obligations under the notes. Each subsidiary guarantee is subordinated to the prior payment in full of all senior debt of that subsidiary guarantor. The obligations of each subsidiary guarantor under its subsidiary guarantee are limited as necessary to prevent that subsidiary guarantee from being a fraudulent conveyance under applicable law.</w:t>
      </w:r>
    </w:p>
    <w:p>
      <w:pPr>
        <w:spacing w:after="0" w:line="189" w:lineRule="exact"/>
        <w:rPr>
          <w:sz w:val="20"/>
          <w:szCs w:val="20"/>
          <w:color w:val="auto"/>
        </w:rPr>
      </w:pPr>
    </w:p>
    <w:p>
      <w:pPr>
        <w:ind w:right="3279" w:firstLine="469"/>
        <w:spacing w:after="0" w:line="237" w:lineRule="auto"/>
        <w:rPr>
          <w:sz w:val="20"/>
          <w:szCs w:val="20"/>
          <w:color w:val="auto"/>
        </w:rPr>
      </w:pPr>
      <w:r>
        <w:rPr>
          <w:rFonts w:ascii="Courier New" w:cs="Courier New" w:eastAsia="Courier New" w:hAnsi="Courier New"/>
          <w:sz w:val="16"/>
          <w:szCs w:val="16"/>
          <w:color w:val="auto"/>
        </w:rPr>
        <w:t>A subsidiary guarantor may not sell or otherwise dispose of all or substantially all of its assets, or consolidate with or merge with or into another person unless:</w:t>
      </w:r>
    </w:p>
    <w:p>
      <w:pPr>
        <w:spacing w:after="0" w:line="185" w:lineRule="exact"/>
        <w:rPr>
          <w:sz w:val="20"/>
          <w:szCs w:val="20"/>
          <w:color w:val="auto"/>
        </w:rPr>
      </w:pPr>
    </w:p>
    <w:p>
      <w:pPr>
        <w:ind w:left="660" w:right="2819" w:hanging="195"/>
        <w:spacing w:after="0" w:line="236" w:lineRule="auto"/>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that transaction, no default or event of default exists under the indenture;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4"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acquiring the property in the sale or disposition or the person formed by or surviving the consolidation or merger assumes all the obligations of that subsidiary guarantor under its subsidiary guarantee; or</w:t>
      </w:r>
    </w:p>
    <w:p>
      <w:pPr>
        <w:spacing w:after="0" w:line="185" w:lineRule="exact"/>
        <w:rPr>
          <w:rFonts w:ascii="Courier New" w:cs="Courier New" w:eastAsia="Courier New" w:hAnsi="Courier New"/>
          <w:sz w:val="16"/>
          <w:szCs w:val="16"/>
          <w:color w:val="auto"/>
        </w:rPr>
      </w:pPr>
    </w:p>
    <w:p>
      <w:pPr>
        <w:ind w:left="940" w:right="3279" w:hanging="193"/>
        <w:spacing w:after="0" w:line="236" w:lineRule="auto"/>
        <w:tabs>
          <w:tab w:leader="none" w:pos="94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proceeds of the sale or other disposition are applied as dictated by the indenture.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93"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31</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subsidiary guarantee of a subsidiary guarantor will be released:</w:t>
      </w:r>
    </w:p>
    <w:p>
      <w:pPr>
        <w:spacing w:after="0" w:line="185" w:lineRule="exact"/>
        <w:rPr>
          <w:sz w:val="20"/>
          <w:szCs w:val="20"/>
          <w:color w:val="auto"/>
        </w:rPr>
      </w:pPr>
    </w:p>
    <w:p>
      <w:pPr>
        <w:ind w:left="660" w:right="2819" w:hanging="195"/>
        <w:spacing w:after="0" w:line="257" w:lineRule="auto"/>
        <w:tabs>
          <w:tab w:leader="none" w:pos="6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or other disposition of all or substantially all of the assets of that subsidiary guarantor, including by way of merger or consolidation, so long as we apply the net proceeds of that sale or other disposition as dictated by the indenture; or</w:t>
      </w:r>
    </w:p>
    <w:p>
      <w:pPr>
        <w:spacing w:after="0" w:line="174" w:lineRule="exact"/>
        <w:rPr>
          <w:rFonts w:ascii="Courier New" w:cs="Courier New" w:eastAsia="Courier New" w:hAnsi="Courier New"/>
          <w:sz w:val="15"/>
          <w:szCs w:val="15"/>
          <w:color w:val="auto"/>
        </w:rPr>
      </w:pPr>
    </w:p>
    <w:p>
      <w:pPr>
        <w:ind w:left="660" w:right="2819" w:hanging="195"/>
        <w:spacing w:after="0" w:line="237" w:lineRule="auto"/>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sale of all of the capital stock of a subsidiary guarantor, so long as we apply the net proceeds of that sale as dictated by the indenture;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designate any restricted subsidiary that is a subsidiary guarantor as an unrestricted subsidiary.</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indenture, however, does not prevent one subsidiary guarantor from selling or otherwise disposing of all or substantially all of its assets to, or consolidating with or merging into, Scotts or another subsidiary guarantor.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payment of principal, premium, interest and liquidated damages, if any, on the notes will be subordinated to the prior payment in full of all our senior debt.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holders of senior debt will be entitled to receive payment in full of all obligations due in respect of their senior debt before the holders of notes will be entitled to receive any payment on the notes in the event of any distribution to our creditors in any of the following circumstances:</w:t>
      </w:r>
    </w:p>
    <w:p>
      <w:pPr>
        <w:spacing w:after="0" w:line="181" w:lineRule="exact"/>
        <w:rPr>
          <w:sz w:val="20"/>
          <w:szCs w:val="20"/>
          <w:color w:val="auto"/>
        </w:rPr>
      </w:pPr>
    </w:p>
    <w:p>
      <w:pPr>
        <w:ind w:left="660" w:hanging="195"/>
        <w:spacing w:after="0"/>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liquidation or dissolution of Scotts;</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bankruptcy, reorganization, insolvency, receivership or similar proceeding;</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assignment for the benefit of our creditors;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marshaling of our assets and liabilities.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also may not make any payment on the notes if:</w:t>
      </w:r>
    </w:p>
    <w:p>
      <w:pPr>
        <w:spacing w:after="0" w:line="185" w:lineRule="exact"/>
        <w:rPr>
          <w:sz w:val="20"/>
          <w:szCs w:val="20"/>
          <w:color w:val="auto"/>
        </w:rPr>
      </w:pPr>
    </w:p>
    <w:p>
      <w:pPr>
        <w:ind w:left="660" w:right="2999" w:hanging="195"/>
        <w:spacing w:after="0" w:line="236" w:lineRule="auto"/>
        <w:tabs>
          <w:tab w:leader="none" w:pos="6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payment default occurs and is continuing beyond any applicable grace period under:</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credit facility, or</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senior debt of greater than $10 million that we designate; or</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default occurs and is continuing under our credit facility or the designated senior debt described above that permits the holders of the indebtedness to accelerate its maturity and the trustee receives a notice of the default under the indenture.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events are known as payment blockages.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Payments on the notes will be resumed:</w:t>
      </w:r>
    </w:p>
    <w:p>
      <w:pPr>
        <w:spacing w:after="0" w:line="185" w:lineRule="exact"/>
        <w:rPr>
          <w:sz w:val="20"/>
          <w:szCs w:val="20"/>
          <w:color w:val="auto"/>
        </w:rPr>
      </w:pPr>
    </w:p>
    <w:p>
      <w:pPr>
        <w:ind w:left="660" w:right="3179" w:hanging="195"/>
        <w:spacing w:after="0" w:line="236" w:lineRule="auto"/>
        <w:tabs>
          <w:tab w:leader="none" w:pos="6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payment default, as soon as the default is cured or waived;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 nonpayment default, on the earlier of the date on which the nonpayment default is cured or waived or 179 days after the date on which the applicable notice of a payment blockage is received, unless the maturity of the indebtedness leading to the payment blockage has been accelerated.</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 new notice of a payment blockage may be delivered unless and until:</w:t>
      </w:r>
    </w:p>
    <w:p>
      <w:pPr>
        <w:spacing w:after="0" w:line="185" w:lineRule="exact"/>
        <w:rPr>
          <w:sz w:val="20"/>
          <w:szCs w:val="20"/>
          <w:color w:val="auto"/>
        </w:rPr>
      </w:pPr>
    </w:p>
    <w:p>
      <w:pPr>
        <w:ind w:left="660" w:right="2999" w:hanging="195"/>
        <w:spacing w:after="0" w:line="236" w:lineRule="auto"/>
        <w:tabs>
          <w:tab w:leader="none" w:pos="6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360 days have elapsed since the effectiveness of the immediately prior notice of a payment blockage; and</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scheduled payments of principal, premium and interest and liquidated damages, if any, on the notes that have come due have been paid in full in cash.</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3"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32</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No nonpayment default that existed or was continuing on the date of delivery of any notice of a payment blockage to the trustee may be the basis for a subsequent notice of a payment blockage unless the default leading to the notice shall have been cured or waived for a period of not less than 180 days.</w:t>
      </w:r>
    </w:p>
    <w:p>
      <w:pPr>
        <w:spacing w:after="0" w:line="174" w:lineRule="exact"/>
        <w:rPr>
          <w:sz w:val="20"/>
          <w:szCs w:val="20"/>
          <w:color w:val="auto"/>
        </w:rPr>
      </w:pPr>
    </w:p>
    <w:p>
      <w:pPr>
        <w:ind w:right="2999" w:firstLine="469"/>
        <w:spacing w:after="0" w:line="263" w:lineRule="auto"/>
        <w:rPr>
          <w:sz w:val="20"/>
          <w:szCs w:val="20"/>
          <w:color w:val="auto"/>
        </w:rPr>
      </w:pPr>
      <w:r>
        <w:rPr>
          <w:rFonts w:ascii="Courier New" w:cs="Courier New" w:eastAsia="Courier New" w:hAnsi="Courier New"/>
          <w:sz w:val="15"/>
          <w:szCs w:val="15"/>
          <w:color w:val="auto"/>
        </w:rPr>
        <w:t>Scotts must promptly notify holders of our senior debt if payment of the notes is accelerated because of an event of default under the indenture.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As a result</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w w:val="98"/>
              </w:rPr>
              <w:t>of the subordination provisions described above,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in</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the event</w:t>
            </w:r>
          </w:p>
        </w:tc>
      </w:tr>
      <w:tr>
        <w:trPr>
          <w:trHeight w:val="180"/>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6"/>
              </w:rPr>
              <w:t>of a bankruptcy,</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w w:val="98"/>
              </w:rPr>
              <w:t>liquidation or reorganization of Scotts, holders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these notes</w:t>
            </w:r>
          </w:p>
        </w:tc>
      </w:tr>
      <w:tr>
        <w:trPr>
          <w:trHeight w:val="180"/>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6"/>
              </w:rPr>
              <w:t>may recover less</w:t>
            </w:r>
          </w:p>
        </w:tc>
        <w:tc>
          <w:tcPr>
            <w:tcW w:w="59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ratably than creditors who are holders of our senior debt.</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During the first 36 months after January 21, 1999, we may on any one or more occasions redeem up to 35% of the aggregate principal amount of notes originally issued under the indenture at a redemption price of 108.625% of the principal amount thereof, plus accrued and unpaid interest and liquidated damages, if any, to the redemption date, with the net cash proceeds of one or more public equity offerings, so long as:</w:t>
      </w:r>
    </w:p>
    <w:p>
      <w:pPr>
        <w:spacing w:after="0" w:line="189" w:lineRule="exact"/>
        <w:rPr>
          <w:sz w:val="20"/>
          <w:szCs w:val="20"/>
          <w:color w:val="auto"/>
        </w:rPr>
      </w:pPr>
    </w:p>
    <w:p>
      <w:pPr>
        <w:ind w:left="660" w:right="3379" w:hanging="195"/>
        <w:spacing w:after="0" w:line="263" w:lineRule="auto"/>
        <w:tabs>
          <w:tab w:leader="none" w:pos="6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65% of the notes remain outstanding immediately after the occurrence of the redemption, excluding any notes held by us; and</w:t>
      </w:r>
    </w:p>
    <w:p>
      <w:pPr>
        <w:spacing w:after="0" w:line="168" w:lineRule="exact"/>
        <w:rPr>
          <w:rFonts w:ascii="Courier New" w:cs="Courier New" w:eastAsia="Courier New" w:hAnsi="Courier New"/>
          <w:sz w:val="15"/>
          <w:szCs w:val="15"/>
          <w:color w:val="auto"/>
        </w:rPr>
      </w:pPr>
    </w:p>
    <w:p>
      <w:pPr>
        <w:ind w:left="660" w:right="2999" w:hanging="195"/>
        <w:spacing w:after="0" w:line="236" w:lineRule="auto"/>
        <w:tabs>
          <w:tab w:leader="none" w:pos="6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occurs within 90 days of the date of the closing of the public equity offering.</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Otherwise, the notes will not be redeemable prior to January 15, 2004.</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After January 15, 2004, we may redeem all or a part of these notes by giving at least 30 but no more than 60 days' notice. The redemption price will be equal to the percentage of principal amount shown in the following table plus accrued and unpaid interest and liquidated damages, if any, to the applicable redemption date:</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20" w:type="dxa"/>
            <w:vAlign w:val="bottom"/>
          </w:tcPr>
          <w:p>
            <w:pPr>
              <w:spacing w:after="0"/>
              <w:rPr>
                <w:sz w:val="15"/>
                <w:szCs w:val="15"/>
                <w:color w:val="auto"/>
              </w:rPr>
            </w:pPr>
          </w:p>
        </w:tc>
        <w:tc>
          <w:tcPr>
            <w:tcW w:w="3800" w:type="dxa"/>
            <w:vAlign w:val="bottom"/>
          </w:tcPr>
          <w:p>
            <w:pPr>
              <w:ind w:left="600"/>
              <w:spacing w:after="0"/>
              <w:rPr>
                <w:sz w:val="20"/>
                <w:szCs w:val="20"/>
                <w:color w:val="auto"/>
              </w:rPr>
            </w:pPr>
            <w:r>
              <w:rPr>
                <w:rFonts w:ascii="Courier New" w:cs="Courier New" w:eastAsia="Courier New" w:hAnsi="Courier New"/>
                <w:sz w:val="16"/>
                <w:szCs w:val="16"/>
                <w:color w:val="auto"/>
              </w:rPr>
              <w:t>YEAR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PERCENTAGE</w:t>
            </w:r>
          </w:p>
        </w:tc>
      </w:tr>
      <w:tr>
        <w:trPr>
          <w:trHeight w:val="180"/>
        </w:trPr>
        <w:tc>
          <w:tcPr>
            <w:tcW w:w="2020" w:type="dxa"/>
            <w:vAlign w:val="bottom"/>
          </w:tcPr>
          <w:p>
            <w:pPr>
              <w:spacing w:after="0"/>
              <w:rPr>
                <w:sz w:val="15"/>
                <w:szCs w:val="15"/>
                <w:color w:val="auto"/>
              </w:rPr>
            </w:pPr>
          </w:p>
        </w:tc>
        <w:tc>
          <w:tcPr>
            <w:tcW w:w="380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020" w:type="dxa"/>
            <w:vAlign w:val="bottom"/>
          </w:tcPr>
          <w:p>
            <w:pPr>
              <w:spacing w:after="0"/>
              <w:rPr>
                <w:sz w:val="20"/>
                <w:szCs w:val="20"/>
                <w:color w:val="auto"/>
              </w:rPr>
            </w:pPr>
            <w:r>
              <w:rPr>
                <w:rFonts w:ascii="Courier New" w:cs="Courier New" w:eastAsia="Courier New" w:hAnsi="Courier New"/>
                <w:sz w:val="16"/>
                <w:szCs w:val="16"/>
                <w:color w:val="auto"/>
                <w:w w:val="99"/>
              </w:rPr>
              <w:t>From January 15, 2004</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through January 14, 2005..............</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104.313%</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w w:val="99"/>
              </w:rPr>
              <w:t>From January 15, 2005</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through January 14, 2006..............</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102.875%</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w w:val="99"/>
              </w:rPr>
              <w:t>From January 15, 2006</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through January 14, 2007..............</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101.438%</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w w:val="99"/>
              </w:rPr>
              <w:t>From January 15, 2007</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and thereafter........................</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100.00%</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REDEMPTION</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The indenture does not provide for mandatory redemption or sinking fund payments.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 AT THE OPTION OF HOLDERS</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Change of Control</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 "Change of Control" occurs, each holder of notes will have the right to require us to repurchase all or any part, in multiples of $1,000, of that holder's notes at an offer price in cash equal to 101% of the aggregate principal amount of notes repurchased plus accrued and unpaid interest and liquidated damages, if any, to the date of purchase. Within 30 days following any "Change of Control," we will mail a notice to each holder describing the transaction or transactions that constitute the "Change of Control" and offering to repurchase notes on the date specified in the notice. We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18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93"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33</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In connection with any offer upon a "Change in Control," we will, to the extent lawful:</w:t>
      </w:r>
    </w:p>
    <w:p>
      <w:pPr>
        <w:spacing w:after="0" w:line="180" w:lineRule="exact"/>
        <w:rPr>
          <w:sz w:val="20"/>
          <w:szCs w:val="20"/>
          <w:color w:val="auto"/>
        </w:rPr>
      </w:pPr>
    </w:p>
    <w:p>
      <w:pPr>
        <w:ind w:left="660" w:hanging="195"/>
        <w:spacing w:after="0"/>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for payment all notes or portions thereof properly tendered;</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 with the paying agent an amount equal to the required payment in respect of all notes or portions thereof so tendered; and</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or cause to be delivered to the trustee the notes so accepted together with the applicable officers certificate.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paying agent will promptly mail to each holder of notes tendered the applicable payment for the notes tendered. The trustee also will promptly authenticate and mail, or cause to be transferred by book entry, to each holder a new note equal in principal amount to any unpurchased portion of the notes surrendered, if any.</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Prior to complying with any of the provisions of this "Change of Control" covenant, but in any event within 90 days following a "Change of Control," we must either repay all outstanding senior debt or obtain the requisite consents, if any, under all agreements governing outstanding senior debt to permit the repurchase of notes required by this covenant. We will publicly announce the results of the offer to repurchase on or as soon as practicable after the payment date.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provisions described above that require us to make an offer to repurchase following a "Change of Control" will be applicable regardless of whether or not any other provisions of the indenture are applicable. The indenture does not contain any other provisions that permit the holders of the notes to require us to repurchase or redeem the notes in the event of a takeover, recapitalization or similar transaction.</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outstanding senior debt currently prohibits us from purchasing any notes under any circumstances, and also contains separate change of control events that would constitute a default under the agreements governing the senior debt. Any future credit agreements or other agreements relating to senior debt may contain similar restrictions and provisions. In the event a "Change of Control" occurs at a time when we are prohibited from purchasing notes, we could seek the consent of our senior lenders to the purchase of notes or could attempt to refinance the borrowings that contain the prohibition. If we do not obtain a consent or repay the borrowings that contain the prohibitions, we will be unable to complete the repurchase of the tendered notes, which would constitute an event of default under the indenture and would, in turn, likely constitute a default under our senior debt. In these circumstances, the subordination provisions in the indenture would likely restrict payments to the holders of notes.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will not be required to make a repurchase offer upon a "Change of Control" if a third party makes the repurchase offer in the manner, at the times and otherwise in compliance with the requirements set forth in the indenture and purchases all notes validly tendered and not withdrawn under the repurchase offer.</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definition of "Change of Control" includes a phrase relating to the sale, lease, transfer, conveyance or other disposition of "all or substantially all" of the assets of Scotts and its subsidiaries taken as a whole. Although there is a limited body of case law interpreting the phrase "substantially all," there is no precise established definition of the phrase under applicable law. Accordingly, the ability of a holder of notes to require Scotts to repurchase notes as a result of a sale, lease, transfer, conveyance or other disposition of less than all of the assets of the Scotts and its subsidiaries taken as a whole to another person or group may be uncertain.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 SALES</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Scotts will not, and will not permit any of its restricted subsidiaries to, consummate an "Asset Sale" unless:</w:t>
      </w:r>
    </w:p>
    <w:p>
      <w:pPr>
        <w:spacing w:after="0" w:line="185" w:lineRule="exact"/>
        <w:rPr>
          <w:sz w:val="20"/>
          <w:szCs w:val="20"/>
          <w:color w:val="auto"/>
        </w:rPr>
      </w:pPr>
    </w:p>
    <w:p>
      <w:pPr>
        <w:ind w:left="660" w:right="2719" w:hanging="195"/>
        <w:spacing w:after="0" w:line="237" w:lineRule="auto"/>
        <w:tabs>
          <w:tab w:leader="none" w:pos="6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or the subsidiary receives consideration at the time of the "Asset Sale" at least equal to the fair market value of the assets or equity interests issued or sold or otherwise disposed of, as determined in good faith by Scotts' Board of Directors; and</w:t>
      </w:r>
    </w:p>
    <w:p>
      <w:pPr>
        <w:spacing w:after="0" w:line="18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ectPr>
          <w:pgSz w:w="11900" w:h="16838" w:orient="portrait"/>
          <w:cols w:equalWidth="0" w:num="1">
            <w:col w:w="10219"/>
          </w:cols>
          <w:pgMar w:left="240" w:top="293" w:right="1440" w:bottom="1440" w:gutter="0" w:footer="0" w:header="0"/>
        </w:sectPr>
      </w:pP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3" w:right="1440" w:bottom="1440" w:gutter="0" w:footer="0" w:header="0"/>
          <w:type w:val="continuous"/>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34</w:t>
      </w:r>
    </w:p>
    <w:p>
      <w:pPr>
        <w:spacing w:after="0" w:line="185" w:lineRule="exact"/>
        <w:rPr>
          <w:sz w:val="20"/>
          <w:szCs w:val="20"/>
          <w:color w:val="auto"/>
        </w:rPr>
      </w:pPr>
    </w:p>
    <w:p>
      <w:pPr>
        <w:ind w:left="1400" w:right="2719" w:hanging="184"/>
        <w:spacing w:after="0" w:line="263" w:lineRule="auto"/>
        <w:tabs>
          <w:tab w:leader="none" w:pos="14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or the subsidiary issues equity interests as consideration or transfers assets in a tax-deferred exchange; or</w:t>
      </w:r>
    </w:p>
    <w:p>
      <w:pPr>
        <w:spacing w:after="0" w:line="168" w:lineRule="exact"/>
        <w:rPr>
          <w:rFonts w:ascii="Courier New" w:cs="Courier New" w:eastAsia="Courier New" w:hAnsi="Courier New"/>
          <w:sz w:val="15"/>
          <w:szCs w:val="15"/>
          <w:color w:val="auto"/>
        </w:rPr>
      </w:pPr>
    </w:p>
    <w:p>
      <w:pPr>
        <w:ind w:left="1400" w:right="2819" w:hanging="184"/>
        <w:spacing w:after="0" w:line="259" w:lineRule="auto"/>
        <w:tabs>
          <w:tab w:leader="none" w:pos="14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75% of the consideration received by Scotts or the subsidiary is in the form of cash or cash equivalents, including assumed liabilities that are subordinate to the notes.</w:t>
      </w:r>
    </w:p>
    <w:p>
      <w:pPr>
        <w:spacing w:after="0" w:line="17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Within 360 days after the receipt of any net proceeds from an "Asset Sale,"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apply the net proceeds:</w:t>
      </w:r>
    </w:p>
    <w:p>
      <w:pPr>
        <w:spacing w:after="0" w:line="185" w:lineRule="exact"/>
        <w:rPr>
          <w:sz w:val="20"/>
          <w:szCs w:val="20"/>
          <w:color w:val="auto"/>
        </w:rPr>
      </w:pPr>
    </w:p>
    <w:p>
      <w:pPr>
        <w:ind w:left="660" w:right="2719" w:hanging="195"/>
        <w:spacing w:after="0" w:line="236" w:lineRule="auto"/>
        <w:tabs>
          <w:tab w:leader="none" w:pos="6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repay senior debt, and to make a corresponding commitment reduction if the senior debt is revolving;</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a related business;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 capital expenditure; and/or</w:t>
      </w:r>
    </w:p>
    <w:p>
      <w:pPr>
        <w:spacing w:after="0" w:line="184" w:lineRule="exact"/>
        <w:rPr>
          <w:rFonts w:ascii="Courier New" w:cs="Courier New" w:eastAsia="Courier New" w:hAnsi="Courier New"/>
          <w:sz w:val="16"/>
          <w:szCs w:val="16"/>
          <w:color w:val="auto"/>
        </w:rPr>
      </w:pPr>
    </w:p>
    <w:p>
      <w:pPr>
        <w:ind w:left="660" w:right="3559" w:hanging="195"/>
        <w:spacing w:after="0" w:line="236" w:lineRule="auto"/>
        <w:tabs>
          <w:tab w:leader="none" w:pos="6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other long-term assets that are used or useful to our businesses.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net proceeds from "Asset Sales" that are not applied or invested as provided above will constitute excess proceeds. When the aggregate amount of excess proceeds exceeds $10.0 million, we are required to make an offer to repurchase as much of the notes and any similarly situated indebtedness as we can out of the excess proceeds. The offer price in this type of repurchase offer will be equal to 100% of the principal amount plus accrued and unpaid interest and liquidated damages, if any, to the date of purchase, and will be payable in cash. If the amount of the excess proceeds exceeds the purchase price of the notes and similarly situated indebtedness, we may use the remaining excess proceeds for any purpose not otherwise prohibited by the indenture. If the aggregate principal amount of notes and other similarly situated indebtedness tendered exceeds the amount of excess proceeds, the trustee will select the notes and other indebtedness to be purchased on a pro rata basis. Upon completion of each asset sale repurchase offer, the amount of excess proceeds shall be reset at zero.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SELECTION AND NOTICE</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If less than all of the notes are to be redeemed at any time, the trustee will select notes for redemption as follows:</w:t>
      </w:r>
    </w:p>
    <w:p>
      <w:pPr>
        <w:spacing w:after="0" w:line="185" w:lineRule="exact"/>
        <w:rPr>
          <w:sz w:val="20"/>
          <w:szCs w:val="20"/>
          <w:color w:val="auto"/>
        </w:rPr>
      </w:pPr>
    </w:p>
    <w:p>
      <w:pPr>
        <w:ind w:left="660" w:right="2819" w:hanging="195"/>
        <w:spacing w:after="0" w:line="263" w:lineRule="auto"/>
        <w:tabs>
          <w:tab w:leader="none" w:pos="6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notes are listed, in compliance with the requirements of the principal national securities exchange on which the notes are listed; or</w:t>
      </w:r>
    </w:p>
    <w:p>
      <w:pPr>
        <w:spacing w:after="0" w:line="168" w:lineRule="exact"/>
        <w:rPr>
          <w:rFonts w:ascii="Courier New" w:cs="Courier New" w:eastAsia="Courier New" w:hAnsi="Courier New"/>
          <w:sz w:val="15"/>
          <w:szCs w:val="15"/>
          <w:color w:val="auto"/>
        </w:rPr>
      </w:pPr>
    </w:p>
    <w:p>
      <w:pPr>
        <w:ind w:left="660" w:right="2999" w:hanging="195"/>
        <w:spacing w:after="0" w:line="236" w:lineRule="auto"/>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notes are not listed, on a pro rata basis, by lot or by another method that the trustee deems fair and appropriate.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Notices of redemption will be mailed by first class mail at least 30 but not more than 60 days before the redemption date to each holder of notes to be redeemed at its registered address. Notices of redemption may not be conditional.</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any note is to be redeemed in part only, the notice of redemption that relates to that note should state the portion of the principal amount to be redeemed. A new note in principal amount equal to the unredeemed portion will be issued in the name of the holder upon cancellation of the original note. Notes called for redemption become due on the date fixed for redemption. On and after the redemption date, interest ceases to accrue on notes or portions of them called for redemption.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COVENANTS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Restricted Payments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Generally, we have agreed that we will not, and will not permit any of our restricted subsidiaries to, directly or indirectly:</w:t>
      </w:r>
    </w:p>
    <w:p>
      <w:pPr>
        <w:spacing w:after="0" w:line="185" w:lineRule="exact"/>
        <w:rPr>
          <w:sz w:val="20"/>
          <w:szCs w:val="20"/>
          <w:color w:val="auto"/>
        </w:rPr>
      </w:pPr>
    </w:p>
    <w:p>
      <w:pPr>
        <w:ind w:left="660" w:right="3559" w:hanging="195"/>
        <w:spacing w:after="0" w:line="237" w:lineRule="auto"/>
        <w:tabs>
          <w:tab w:leader="none" w:pos="6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any dividend or make any other similar payment or distribution to our stockholders, other than stock dividends or distributions;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3" w:right="1440"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35</w:t>
      </w:r>
    </w:p>
    <w:p>
      <w:pPr>
        <w:spacing w:after="0" w:line="185" w:lineRule="exact"/>
        <w:rPr>
          <w:sz w:val="20"/>
          <w:szCs w:val="20"/>
          <w:color w:val="auto"/>
        </w:rPr>
      </w:pPr>
    </w:p>
    <w:p>
      <w:pPr>
        <w:ind w:left="660" w:right="3099" w:hanging="195"/>
        <w:spacing w:after="0" w:line="263" w:lineRule="auto"/>
        <w:tabs>
          <w:tab w:leader="none" w:pos="6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redeem or otherwise acquire or retire for value any capital stock held by persons other than Scotts or a restricted subsidiary;</w:t>
      </w:r>
    </w:p>
    <w:p>
      <w:pPr>
        <w:spacing w:after="0" w:line="168" w:lineRule="exact"/>
        <w:rPr>
          <w:rFonts w:ascii="Courier New" w:cs="Courier New" w:eastAsia="Courier New" w:hAnsi="Courier New"/>
          <w:sz w:val="15"/>
          <w:szCs w:val="15"/>
          <w:color w:val="auto"/>
        </w:rPr>
      </w:pPr>
    </w:p>
    <w:p>
      <w:pPr>
        <w:ind w:left="660" w:right="2899" w:hanging="195"/>
        <w:spacing w:after="0" w:line="237" w:lineRule="auto"/>
        <w:tabs>
          <w:tab w:leader="none" w:pos="6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down, purchase, redeem, defease or otherwise acquire or retire for value any indebtedness that is subordinated to the notes or the subsidiary guarantees, except a payment of interest or principal at the stated maturity of the subordinated indebtedness; or</w:t>
      </w:r>
    </w:p>
    <w:p>
      <w:pPr>
        <w:spacing w:after="0" w:line="18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restricted investment.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indenture refers to all of these payments or expenditures as restricted payments. We may make a restricted payment if, upon giving effect to the restricted payment, the following conditions are met:</w:t>
      </w:r>
    </w:p>
    <w:p>
      <w:pPr>
        <w:spacing w:after="0" w:line="185" w:lineRule="exact"/>
        <w:rPr>
          <w:sz w:val="20"/>
          <w:szCs w:val="20"/>
          <w:color w:val="auto"/>
        </w:rPr>
      </w:pPr>
    </w:p>
    <w:p>
      <w:pPr>
        <w:ind w:left="660" w:right="2899" w:hanging="195"/>
        <w:spacing w:after="0" w:line="236"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existing defaults or events of default under the indenture and the restricted payment would not trigger one; and</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restricted payment had actually been made at the beginning of the applicable four-quarter period, we still could have incurred at least $1.00 of additional indebtedness under the fixed charge coverage ratio test described below under the caption " -- Incurrence of Indebtedness and Issuance of Preferred Stock"; and</w:t>
      </w:r>
    </w:p>
    <w:p>
      <w:pPr>
        <w:spacing w:after="0" w:line="187"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restricted payment, together with the aggregate amount of all other restricted payments not otherwise permitted by the indenture, is less than the sum of:</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of our "Consolidated Net Income" for the period from January 3, 1999 to the end of our most recently ended fiscal quarter for which internal financial statements are available at the time of the restricted payment. If "Consolidated Net Income" for this period is a deficit, 100% of the deficit will be added instead; plus</w:t>
      </w:r>
    </w:p>
    <w:p>
      <w:pPr>
        <w:spacing w:after="0" w:line="188" w:lineRule="exact"/>
        <w:rPr>
          <w:rFonts w:ascii="Courier New" w:cs="Courier New" w:eastAsia="Courier New" w:hAnsi="Courier New"/>
          <w:sz w:val="16"/>
          <w:szCs w:val="16"/>
          <w:color w:val="auto"/>
        </w:rPr>
      </w:pPr>
    </w:p>
    <w:p>
      <w:pPr>
        <w:ind w:left="1400" w:right="2719" w:hanging="184"/>
        <w:spacing w:after="0" w:line="237" w:lineRule="auto"/>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aggregate net cash proceeds from most contributions to capital or sales of capital stock that occur after January 21, 1999; plus</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received upon the liquidation of restricted investments valued at the lesser of the cash received and the initial amount of the restricted investment; plus</w:t>
      </w:r>
    </w:p>
    <w:p>
      <w:pPr>
        <w:spacing w:after="0" w:line="179" w:lineRule="exact"/>
        <w:rPr>
          <w:rFonts w:ascii="Courier New" w:cs="Courier New" w:eastAsia="Courier New" w:hAnsi="Courier New"/>
          <w:sz w:val="16"/>
          <w:szCs w:val="16"/>
          <w:color w:val="auto"/>
        </w:rPr>
      </w:pPr>
    </w:p>
    <w:p>
      <w:pPr>
        <w:ind w:left="1400" w:hanging="184"/>
        <w:spacing w:after="0"/>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 million.</w:t>
      </w:r>
    </w:p>
    <w:p>
      <w:pPr>
        <w:spacing w:after="0" w:line="185"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In addition, as long as there are no existing defaults under the indenture and none would be caused by a restricted payment we may also make the following restricted payments:</w:t>
      </w:r>
    </w:p>
    <w:p>
      <w:pPr>
        <w:spacing w:after="0" w:line="185" w:lineRule="exact"/>
        <w:rPr>
          <w:sz w:val="20"/>
          <w:szCs w:val="20"/>
          <w:color w:val="auto"/>
        </w:rPr>
      </w:pPr>
    </w:p>
    <w:p>
      <w:pPr>
        <w:ind w:left="660" w:right="2719" w:hanging="195"/>
        <w:spacing w:after="0" w:line="237" w:lineRule="auto"/>
        <w:tabs>
          <w:tab w:leader="none" w:pos="6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any dividend within 60 days after the date of declaration, if at the date of declaration the payment would have complied with the provisions of the indenture;</w:t>
      </w:r>
    </w:p>
    <w:p>
      <w:pPr>
        <w:spacing w:after="0" w:line="184" w:lineRule="exact"/>
        <w:rPr>
          <w:rFonts w:ascii="Courier New" w:cs="Courier New" w:eastAsia="Courier New" w:hAnsi="Courier New"/>
          <w:sz w:val="16"/>
          <w:szCs w:val="16"/>
          <w:color w:val="auto"/>
        </w:rPr>
      </w:pPr>
    </w:p>
    <w:p>
      <w:pPr>
        <w:ind w:left="660" w:right="2819" w:hanging="195"/>
        <w:spacing w:after="0" w:line="263" w:lineRule="auto"/>
        <w:tabs>
          <w:tab w:leader="none" w:pos="6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 defeasance or other acquisition of our 9 7/8% Senior Subordinated Notes due 2004 or of any of the notes;</w:t>
      </w:r>
    </w:p>
    <w:p>
      <w:pPr>
        <w:spacing w:after="0" w:line="168" w:lineRule="exact"/>
        <w:rPr>
          <w:rFonts w:ascii="Courier New" w:cs="Courier New" w:eastAsia="Courier New" w:hAnsi="Courier New"/>
          <w:sz w:val="15"/>
          <w:szCs w:val="15"/>
          <w:color w:val="auto"/>
        </w:rPr>
      </w:pPr>
    </w:p>
    <w:p>
      <w:pPr>
        <w:ind w:left="660" w:right="2719" w:hanging="195"/>
        <w:spacing w:after="0" w:line="238" w:lineRule="auto"/>
        <w:tabs>
          <w:tab w:leader="none" w:pos="6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repurchase, retirement, defeasance or other acquisition of any subordinated indebtedness or capital stock in exchange for, or out of the net cash proceeds of the substantially concurrent sale of, capital stock, provided that the amount of the net cash proceeds that are utilized for any redemption, repurchase, retirement, defeasance or other acquisition will not also count toward the calculation of the sum in the preceding paragraph;</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repurchase, retirement, defeasance or other acquisition of subordinated indebtedness or short-lived or mandatorily redeemable capital stock with the net cash proceeds from an incurrence of permitted refinancing indebtedness;</w:t>
      </w:r>
    </w:p>
    <w:p>
      <w:pPr>
        <w:spacing w:after="0" w:line="185"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any dividend to holders of our Class A Convertible Preferred Stock;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repurchase, redemption or other acquisition or retirement for value of up to $5.0 million in any 12 month period of any capital stock held by members of management under a subscription agreement or stock option agreement.</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3" w:right="1440" w:bottom="1440"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INCURRENCE OF INDEBTEDNESS AND ISSUANCE OF PREFERRED STOCK</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We have agreed that we will not and will not permit any of our restricted subsidiaries to, directly or indirectly, incur or otherwise become liable for any indebtedness or issue any short-lived or mandatorily redeemable capital stock, unless the following condition has been met. The condition is that at the time of issuance or incurrence the "Fixed Charge Coverage Ratio" for the most recently ended four full fiscal quarters for which internal financial statements are available immediately preceding the date of incurrence or issuance would have been at least 2.0 to 1.0. For purposes of calculating the ratio we will assume that the additional indebtedness had been incurred or the capital stock had been issued at the beginning of the applicable four-quarter period.</w:t>
      </w:r>
    </w:p>
    <w:p>
      <w:pPr>
        <w:spacing w:after="0" w:line="179"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Whether or not we can meet the "Fixed Charge Coverage Ratio" the following incurrences are permitted:</w:t>
      </w:r>
    </w:p>
    <w:p>
      <w:pPr>
        <w:spacing w:after="0" w:line="185" w:lineRule="exact"/>
        <w:rPr>
          <w:sz w:val="20"/>
          <w:szCs w:val="20"/>
          <w:color w:val="auto"/>
        </w:rPr>
      </w:pPr>
    </w:p>
    <w:p>
      <w:pPr>
        <w:ind w:left="660" w:right="2899" w:hanging="195"/>
        <w:spacing w:after="0" w:line="237"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indebtedness and letters of credit under our credit facility in an aggregate principal amount not to exceed $1.125 billion, less any repayments or commitment reductions as a result of asset sales under the covenant described above under the caption "Repurchase at the Option of Holders -- Asset Sales";</w:t>
      </w:r>
    </w:p>
    <w:p>
      <w:pPr>
        <w:spacing w:after="0" w:line="182"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existing indebtedness as of January 21, 1999;</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indebtedness under the indenture;</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indebtedness for the purpose of financing all or any part of the purchase price or cost of construction or improvement of property, plant or equipment used in our business, or in a sale and leaseback transaction, in an aggregate principal amount not to exceed $20.0 million at any time outstanding;</w:t>
      </w:r>
    </w:p>
    <w:p>
      <w:pPr>
        <w:spacing w:after="0" w:line="187"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permitted refinancing indebtedness in exchange for, or the net proceeds of which are used to refund, refinance or replace, indebtedness, other than intercompany indebtedness, that is either existing indebtedness or that was permitted to be incurred by the indenture;</w:t>
      </w:r>
    </w:p>
    <w:p>
      <w:pPr>
        <w:spacing w:after="0" w:line="187" w:lineRule="exact"/>
        <w:rPr>
          <w:rFonts w:ascii="Courier New" w:cs="Courier New" w:eastAsia="Courier New" w:hAnsi="Courier New"/>
          <w:sz w:val="16"/>
          <w:szCs w:val="16"/>
          <w:color w:val="auto"/>
        </w:rPr>
      </w:pPr>
    </w:p>
    <w:p>
      <w:pPr>
        <w:jc w:val="both"/>
        <w:ind w:left="660" w:right="2899" w:hanging="195"/>
        <w:spacing w:after="0" w:line="237"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intercompany indebtedness between or among Scotts and any of its restricted subsidiaries, as long as the following conditions have been met:</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indebtedness that is held by a restricted subsidiary that is not a guarantor must be expressly subordinated to the prior payment in full in cash of all obligations under the notes and</w:t>
      </w:r>
    </w:p>
    <w:p>
      <w:pPr>
        <w:spacing w:after="0" w:line="184" w:lineRule="exact"/>
        <w:rPr>
          <w:rFonts w:ascii="Courier New" w:cs="Courier New" w:eastAsia="Courier New" w:hAnsi="Courier New"/>
          <w:sz w:val="16"/>
          <w:szCs w:val="16"/>
          <w:color w:val="auto"/>
        </w:rPr>
      </w:pPr>
    </w:p>
    <w:p>
      <w:pPr>
        <w:ind w:left="1400" w:right="2719" w:hanging="184"/>
        <w:spacing w:after="0" w:line="237" w:lineRule="auto"/>
        <w:tabs>
          <w:tab w:leader="none" w:pos="140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intercompany indebtedness is transferred subsequently to a person other than Scotts or a restricted subsidiary, it will be deemed to constitute a new incurrence of indebtedness that must comply with the terms of the indenture;</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Scotts or any of its restricted subsidiaries of hedging obligations that are incurred for the purpose of fixing or hedging interest rate risk on any floating rate indebtedness that is permitted by the terms of the indenture or exchange rate risk or raw materials price risk;</w:t>
      </w:r>
    </w:p>
    <w:p>
      <w:pPr>
        <w:spacing w:after="0" w:line="187"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 of indebtedness by Scotts or a restricted subsidiary that was otherwise permitted to be incurred;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195,000 shares of Class A Convertible Preferred Stock outstanding as of the date of the indenture, all of which have since been converted into common shares;</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our foreign subsidiaries of up to $60.0 million of indebtedness at any one time;</w:t>
      </w:r>
    </w:p>
    <w:p>
      <w:pPr>
        <w:spacing w:after="0" w:line="184" w:lineRule="exact"/>
        <w:rPr>
          <w:rFonts w:ascii="Courier New" w:cs="Courier New" w:eastAsia="Courier New" w:hAnsi="Courier New"/>
          <w:sz w:val="16"/>
          <w:szCs w:val="16"/>
          <w:color w:val="auto"/>
        </w:rPr>
      </w:pPr>
    </w:p>
    <w:p>
      <w:pPr>
        <w:ind w:left="660" w:right="2999" w:hanging="195"/>
        <w:spacing w:after="0" w:line="263" w:lineRule="auto"/>
        <w:tabs>
          <w:tab w:leader="none" w:pos="6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indebtedness by borrowing against our accounts receivables or equipment in qualified securitization transactions; and</w:t>
      </w:r>
    </w:p>
    <w:p>
      <w:pPr>
        <w:spacing w:after="0" w:line="168" w:lineRule="exact"/>
        <w:rPr>
          <w:rFonts w:ascii="Courier New" w:cs="Courier New" w:eastAsia="Courier New" w:hAnsi="Courier New"/>
          <w:sz w:val="15"/>
          <w:szCs w:val="15"/>
          <w:color w:val="auto"/>
        </w:rPr>
      </w:pPr>
    </w:p>
    <w:p>
      <w:pPr>
        <w:ind w:left="660" w:right="2899" w:hanging="195"/>
        <w:spacing w:after="0" w:line="236"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Scotts or any of its restricted subsidiaries of up to $40.0 million additional indebtedness at any one time.</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3" w:right="1440" w:bottom="144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37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SENIOR SUBORDINATED DEBT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We have agreed that we will not incur or otherwise become liable for any indebtedness that is subordinate or junior in right of payment to any senior debt and senior in right of payment to the notes. Similarly, none of our subsidiary guarantors will incur or otherwise become liable for any indebtedness that is subordinate or junior in right of payment to any senior debt of the subsidiary guarantor and senior in right of payment to its subsidiary guarantee.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LIENS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have agreed that we will not directly or indirectly:</w:t>
      </w:r>
    </w:p>
    <w:p>
      <w:pPr>
        <w:spacing w:after="0" w:line="179" w:lineRule="exact"/>
        <w:rPr>
          <w:sz w:val="20"/>
          <w:szCs w:val="20"/>
          <w:color w:val="auto"/>
        </w:rPr>
      </w:pPr>
    </w:p>
    <w:p>
      <w:pPr>
        <w:ind w:left="660" w:hanging="195"/>
        <w:spacing w:after="0"/>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 or convey any right to receive income on any of our assets or</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or allow to exist any lien of any kind securing indebtedness or trade payables on any of our assets or on any income or profits from the assets except "Permitted Liens,"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unless the notes and the guarantees, as applicable, are either</w:t>
      </w:r>
    </w:p>
    <w:p>
      <w:pPr>
        <w:spacing w:after="0" w:line="185" w:lineRule="exact"/>
        <w:rPr>
          <w:sz w:val="20"/>
          <w:szCs w:val="20"/>
          <w:color w:val="auto"/>
        </w:rPr>
      </w:pPr>
    </w:p>
    <w:p>
      <w:pPr>
        <w:ind w:left="660" w:right="3179" w:hanging="195"/>
        <w:spacing w:after="0" w:line="237"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by a lien on the property, assets, income or profits that is senior in priority to the lien securing the other subordinated obligations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by a lien on the property, assets, income or profits to the same extent as the lien securing the other obligations, if the obligations are pari passu in right of payment with the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AND OTHER PAYMENT RESTRICTIONS AFFECTING SUBSIDIARIES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We have agreed that we will not directly or indirectly impair the ability of any restricted subsidiary to:</w:t>
      </w:r>
    </w:p>
    <w:p>
      <w:pPr>
        <w:spacing w:after="0" w:line="185" w:lineRule="exact"/>
        <w:rPr>
          <w:sz w:val="20"/>
          <w:szCs w:val="20"/>
          <w:color w:val="auto"/>
        </w:rPr>
      </w:pPr>
    </w:p>
    <w:p>
      <w:pPr>
        <w:ind w:left="660" w:right="2719" w:hanging="195"/>
        <w:spacing w:after="0" w:line="237" w:lineRule="auto"/>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dividends or make any other distributions to us or any of our restricted subsidiaries, or pay any indebtedness owed to us or any of our restricted subsidiaries;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loans or advances to us or any of our restricted subsidiaries; or</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any of its properties or assets to us or any of our restricted subsidiaries.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Restrictions in the following will not be affected by this covenant:</w:t>
      </w:r>
    </w:p>
    <w:p>
      <w:pPr>
        <w:spacing w:after="0" w:line="185" w:lineRule="exact"/>
        <w:rPr>
          <w:sz w:val="20"/>
          <w:szCs w:val="20"/>
          <w:color w:val="auto"/>
        </w:rPr>
      </w:pPr>
    </w:p>
    <w:p>
      <w:pPr>
        <w:ind w:left="660" w:right="2719" w:hanging="195"/>
        <w:spacing w:after="0" w:line="237" w:lineRule="auto"/>
        <w:tabs>
          <w:tab w:leader="none" w:pos="6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existing on January 21, 1999 or any refinancings of that existing indebtedness as long as the terms of the refinancing are no more restrictive than these restrictions;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the notes and the guarantees;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existing indebtedness or capital stock of an acquired entity that was not incurred in connection with the acquisition as long as the indebtedness itself could be incurred under the indenture;</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customary non-assignment provisions in leases, licenses, contracts and other agreements entered into in the ordinary course of business and consistent with past practices;</w:t>
      </w:r>
    </w:p>
    <w:p>
      <w:pPr>
        <w:spacing w:after="0" w:line="184" w:lineRule="exact"/>
        <w:rPr>
          <w:rFonts w:ascii="Courier New" w:cs="Courier New" w:eastAsia="Courier New" w:hAnsi="Courier New"/>
          <w:sz w:val="16"/>
          <w:szCs w:val="16"/>
          <w:color w:val="auto"/>
        </w:rPr>
      </w:pPr>
    </w:p>
    <w:p>
      <w:pPr>
        <w:ind w:left="660" w:right="2899" w:hanging="195"/>
        <w:spacing w:after="0" w:line="263" w:lineRule="auto"/>
        <w:tabs>
          <w:tab w:leader="none" w:pos="6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obligations for property acquired in the ordinary course of business that impose normal restrictions on the property acquired;</w:t>
      </w:r>
    </w:p>
    <w:p>
      <w:pPr>
        <w:spacing w:after="0" w:line="168" w:lineRule="exact"/>
        <w:rPr>
          <w:rFonts w:ascii="Courier New" w:cs="Courier New" w:eastAsia="Courier New" w:hAnsi="Courier New"/>
          <w:sz w:val="15"/>
          <w:szCs w:val="15"/>
          <w:color w:val="auto"/>
        </w:rPr>
      </w:pPr>
    </w:p>
    <w:p>
      <w:pPr>
        <w:ind w:left="660" w:right="3179" w:hanging="195"/>
        <w:spacing w:after="0" w:line="237" w:lineRule="auto"/>
        <w:tabs>
          <w:tab w:leader="none" w:pos="6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for the sale or other disposition of a restricted subsidiary that restricts distributions by the restricted subsidiary pending its sale;</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refinanced indebtedness as long as the restrictions governing the refinanced indebtedness are no more restrictive;</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relating to the disposition or distribution of assets or property in joint venture agreements and other similar agreements entered into in the ordinary course of business;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3" w:right="1440" w:bottom="144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38</w:t>
      </w:r>
    </w:p>
    <w:p>
      <w:pPr>
        <w:spacing w:after="0" w:line="185" w:lineRule="exact"/>
        <w:rPr>
          <w:sz w:val="20"/>
          <w:szCs w:val="20"/>
          <w:color w:val="auto"/>
        </w:rPr>
      </w:pPr>
    </w:p>
    <w:p>
      <w:pPr>
        <w:ind w:left="660" w:right="3479" w:hanging="195"/>
        <w:spacing w:after="0" w:line="236" w:lineRule="auto"/>
        <w:tabs>
          <w:tab w:leader="none" w:pos="6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customary provisions under indebtedness of any foreign subsidiary permitted to be incurred under the indenture;</w:t>
      </w:r>
    </w:p>
    <w:p>
      <w:pPr>
        <w:spacing w:after="0" w:line="184" w:lineRule="exact"/>
        <w:rPr>
          <w:rFonts w:ascii="Courier New" w:cs="Courier New" w:eastAsia="Courier New" w:hAnsi="Courier New"/>
          <w:sz w:val="16"/>
          <w:szCs w:val="16"/>
          <w:color w:val="auto"/>
        </w:rPr>
      </w:pPr>
    </w:p>
    <w:p>
      <w:pPr>
        <w:ind w:left="660" w:right="2819" w:hanging="195"/>
        <w:spacing w:after="0" w:line="263" w:lineRule="auto"/>
        <w:tabs>
          <w:tab w:leader="none" w:pos="6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cash or other deposits or net worth imposed by customers under contracts entered into in the ordinary course of business; and</w:t>
      </w:r>
    </w:p>
    <w:p>
      <w:pPr>
        <w:spacing w:after="0" w:line="168" w:lineRule="exact"/>
        <w:rPr>
          <w:rFonts w:ascii="Courier New" w:cs="Courier New" w:eastAsia="Courier New" w:hAnsi="Courier New"/>
          <w:sz w:val="15"/>
          <w:szCs w:val="15"/>
          <w:color w:val="auto"/>
        </w:rPr>
      </w:pPr>
    </w:p>
    <w:p>
      <w:pPr>
        <w:ind w:left="660" w:right="3379" w:hanging="195"/>
        <w:spacing w:after="0" w:line="236" w:lineRule="auto"/>
        <w:tabs>
          <w:tab w:leader="none" w:pos="6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created in connection with a qualified securitization transaction.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CONSOLIDATION, OR SALE OF ASSETS</w:t>
      </w:r>
    </w:p>
    <w:p>
      <w:pPr>
        <w:spacing w:after="0" w:line="185"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We have agreed that we will not directly or indirectly: (1) consolidate or merge with or into another entity (whether or not we are the surviving corporation); or (2) sell, assign, transfer, convey or otherwise dispose of all or substantially all of our properties or assets to another entity; unless:</w:t>
      </w:r>
    </w:p>
    <w:p>
      <w:pPr>
        <w:spacing w:after="0" w:line="174" w:lineRule="exact"/>
        <w:rPr>
          <w:sz w:val="20"/>
          <w:szCs w:val="20"/>
          <w:color w:val="auto"/>
        </w:rPr>
      </w:pPr>
    </w:p>
    <w:p>
      <w:pPr>
        <w:ind w:left="660" w:right="3099" w:hanging="195"/>
        <w:spacing w:after="0" w:line="236" w:lineRule="auto"/>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we are the surviving corporation or the surviving or acquiring entity is a U.S. corporation;</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surviving or acquiring entity assumes all of our obligations under the notes, the indenture and the registration rights agreement in agreements reasonably satisfactory to the trustee;</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the transaction no default or event of default exists;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a merger entered into solely for the purpose of reincorporating Scotts or any restricted subsidiary in another jurisdiction, Scotts or the surviving or acquiring entity would have been able to incur at least $1.00 of additional indebtedness under the terms of the indenture after assuming that the transaction and any related financings had previously occurred.</w:t>
      </w:r>
    </w:p>
    <w:p>
      <w:pPr>
        <w:spacing w:after="0" w:line="18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addition, we may not, directly or indirectly, lease all or substantially all of our properties or assets, in one or more related transactions, to any other entity. This "Merger, Consolidation, or Sale of Assets" covenant will not apply to a sale, assignment, transfer, conveyance or other disposition of assets between or among Scotts and any of our wholly-owned restricted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WITH AFFILIATES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have agreed that neither we nor any of our restricted subsidiaries will make any payment to, or enter into purchase or sale agreements or loans with, any of our affiliates, unless:</w:t>
      </w:r>
    </w:p>
    <w:p>
      <w:pPr>
        <w:spacing w:after="0" w:line="185" w:lineRule="exact"/>
        <w:rPr>
          <w:sz w:val="20"/>
          <w:szCs w:val="20"/>
          <w:color w:val="auto"/>
        </w:rPr>
      </w:pPr>
    </w:p>
    <w:p>
      <w:pPr>
        <w:ind w:left="660" w:right="3099" w:hanging="195"/>
        <w:spacing w:after="0" w:line="236"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with the affiliate is on no less favorable terms than those that we would have with an unrelated person;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deliver to the trustee, either:</w:t>
      </w:r>
    </w:p>
    <w:p>
      <w:pPr>
        <w:spacing w:after="0" w:line="184" w:lineRule="exact"/>
        <w:rPr>
          <w:rFonts w:ascii="Courier New" w:cs="Courier New" w:eastAsia="Courier New" w:hAnsi="Courier New"/>
          <w:sz w:val="16"/>
          <w:szCs w:val="16"/>
          <w:color w:val="auto"/>
        </w:rPr>
      </w:pPr>
    </w:p>
    <w:p>
      <w:pPr>
        <w:ind w:left="940" w:right="2719" w:hanging="193"/>
        <w:spacing w:after="0" w:line="237" w:lineRule="auto"/>
        <w:tabs>
          <w:tab w:leader="none" w:pos="94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transaction is larger than $3.0 million, a certified resolution of the Board of Directors stating that the transaction complies with this covenant and that it has been approved by a majority of the disinterested members of the Board of Directors; or</w:t>
      </w:r>
    </w:p>
    <w:p>
      <w:pPr>
        <w:spacing w:after="0" w:line="185" w:lineRule="exact"/>
        <w:rPr>
          <w:rFonts w:ascii="Courier New" w:cs="Courier New" w:eastAsia="Courier New" w:hAnsi="Courier New"/>
          <w:sz w:val="16"/>
          <w:szCs w:val="16"/>
          <w:color w:val="auto"/>
        </w:rPr>
      </w:pPr>
    </w:p>
    <w:p>
      <w:pPr>
        <w:ind w:left="940" w:right="3279" w:hanging="193"/>
        <w:spacing w:after="0" w:line="237" w:lineRule="auto"/>
        <w:tabs>
          <w:tab w:leader="none" w:pos="94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transaction is larger than $10.0 million, a certified resolution and fairness opinion from an accounting, appraisal or investment banking firm of national standing.</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items are not subject to these restrictions:</w:t>
      </w:r>
    </w:p>
    <w:p>
      <w:pPr>
        <w:spacing w:after="0" w:line="185" w:lineRule="exact"/>
        <w:rPr>
          <w:sz w:val="20"/>
          <w:szCs w:val="20"/>
          <w:color w:val="auto"/>
        </w:rPr>
      </w:pPr>
    </w:p>
    <w:p>
      <w:pPr>
        <w:ind w:left="660" w:right="2719" w:hanging="195"/>
        <w:spacing w:after="0" w:line="237"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consulting or similar agreements entered into in the ordinary course of business or any payment of directors' and officers' insurance premiums;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between or among Scotts and the restricted subsidiaries;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reasonable directors fees to non-affiliate directors;</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or any repurchases of any shares of any series or class of our equity securities;</w:t>
      </w:r>
    </w:p>
    <w:p>
      <w:pPr>
        <w:spacing w:after="0" w:line="184" w:lineRule="exact"/>
        <w:rPr>
          <w:rFonts w:ascii="Courier New" w:cs="Courier New" w:eastAsia="Courier New" w:hAnsi="Courier New"/>
          <w:sz w:val="16"/>
          <w:szCs w:val="16"/>
          <w:color w:val="auto"/>
        </w:rPr>
      </w:pPr>
    </w:p>
    <w:p>
      <w:pPr>
        <w:ind w:left="660" w:right="3659" w:hanging="195"/>
        <w:spacing w:after="0" w:line="236"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payments that are permitted by the provisions of the indenture;</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3"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39</w:t>
      </w:r>
    </w:p>
    <w:p>
      <w:pPr>
        <w:spacing w:after="0" w:line="185" w:lineRule="exact"/>
        <w:rPr>
          <w:sz w:val="20"/>
          <w:szCs w:val="20"/>
          <w:color w:val="auto"/>
        </w:rPr>
      </w:pPr>
    </w:p>
    <w:p>
      <w:pPr>
        <w:ind w:left="660" w:right="2719" w:hanging="195"/>
        <w:spacing w:after="0" w:line="237" w:lineRule="auto"/>
        <w:tabs>
          <w:tab w:leader="none" w:pos="6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merger between or among Scotts or any of its restricted subsidiaries solely for the purpose of reincorporating in another jurisdiction for tax purposes; and</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in connection with qualified securitization transactions or an industrial revenue bond financing.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SUBSIDIARY GUARANTEES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We have agreed that any newly acquired or created wholly owned domestic restricted subsidiary or any new significant, non-wholly owned domestic restricted subsidiary will promptly become a subsidiary guarantor and will deliver appropriate documentation to the trustee.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AND LEASEBACK TRANSACTIONS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We have agreed that neither we nor any of our restricted subsidiaries will enter into any sale and leaseback transaction, unless:</w:t>
      </w:r>
    </w:p>
    <w:p>
      <w:pPr>
        <w:spacing w:after="0" w:line="185" w:lineRule="exact"/>
        <w:rPr>
          <w:sz w:val="20"/>
          <w:szCs w:val="20"/>
          <w:color w:val="auto"/>
        </w:rPr>
      </w:pPr>
    </w:p>
    <w:p>
      <w:pPr>
        <w:ind w:left="660" w:right="2819" w:hanging="195"/>
        <w:spacing w:after="0" w:line="237" w:lineRule="auto"/>
        <w:tabs>
          <w:tab w:leader="none" w:pos="6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could have incurred indebtedness in an amount equal to the "Attributable Debt" relating to the sale and leaseback transaction under the indenture and could have incurred a lien to secure the indebtedness under the indenture;</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 cash proceeds of that sale and leaseback transaction are at least equal to the fair market value of the property that is the subject of the sale and leaseback transaction;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 of assets in the sale and leaseback transaction is permitted by, and we apply the proceeds of the transaction in compliance with, the terms of the indenture.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FOR CONSENT</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We have agreed that we will not directly or indirectly pay any holder of notes for any consent, waiver or amendment of any of the terms or provisions of the indenture or the notes unless the consideration is paid to all holders of the notes that consent, waive or agree to amend in the time frame set forth in the solicitation documents relating to the consent, waiver or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REPORTS</w:t>
      </w:r>
    </w:p>
    <w:p>
      <w:pPr>
        <w:spacing w:after="0" w:line="17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Whether or not required by the Commission, as long as any notes are</w:t>
      </w:r>
    </w:p>
    <w:p>
      <w:pPr>
        <w:spacing w:after="0"/>
        <w:rPr>
          <w:sz w:val="20"/>
          <w:szCs w:val="20"/>
          <w:color w:val="auto"/>
        </w:rPr>
      </w:pPr>
      <w:r>
        <w:rPr>
          <w:rFonts w:ascii="Courier New" w:cs="Courier New" w:eastAsia="Courier New" w:hAnsi="Courier New"/>
          <w:sz w:val="16"/>
          <w:szCs w:val="16"/>
          <w:color w:val="auto"/>
        </w:rPr>
        <w:t>outstanding, we will furnish to you, within the time periods specified in the</w:t>
      </w:r>
    </w:p>
    <w:p>
      <w:pPr>
        <w:spacing w:after="0" w:line="237" w:lineRule="auto"/>
        <w:rPr>
          <w:sz w:val="20"/>
          <w:szCs w:val="20"/>
          <w:color w:val="auto"/>
        </w:rPr>
      </w:pPr>
      <w:r>
        <w:rPr>
          <w:rFonts w:ascii="Courier New" w:cs="Courier New" w:eastAsia="Courier New" w:hAnsi="Courier New"/>
          <w:sz w:val="16"/>
          <w:szCs w:val="16"/>
          <w:color w:val="auto"/>
        </w:rPr>
        <w:t>Commission's rules and regulations:</w:t>
      </w:r>
    </w:p>
    <w:p>
      <w:pPr>
        <w:spacing w:after="0" w:line="185" w:lineRule="exact"/>
        <w:rPr>
          <w:sz w:val="20"/>
          <w:szCs w:val="20"/>
          <w:color w:val="auto"/>
        </w:rPr>
      </w:pPr>
    </w:p>
    <w:p>
      <w:pPr>
        <w:jc w:val="both"/>
        <w:ind w:left="660" w:right="2819" w:hanging="195"/>
        <w:spacing w:after="0" w:line="263" w:lineRule="auto"/>
        <w:tabs>
          <w:tab w:leader="none" w:pos="6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quarterly and annual financial information that would be required to be contained in a filing with the Commission on Forms 10-Q and 10-K; and</w:t>
      </w:r>
    </w:p>
    <w:p>
      <w:pPr>
        <w:spacing w:after="0" w:line="168" w:lineRule="exact"/>
        <w:rPr>
          <w:rFonts w:ascii="Courier New" w:cs="Courier New" w:eastAsia="Courier New" w:hAnsi="Courier New"/>
          <w:sz w:val="15"/>
          <w:szCs w:val="15"/>
          <w:color w:val="auto"/>
        </w:rPr>
      </w:pPr>
    </w:p>
    <w:p>
      <w:pPr>
        <w:ind w:left="660" w:right="3659" w:hanging="195"/>
        <w:spacing w:after="0" w:line="236"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reports that would be required to be filed with the Commission on Form 8-K.</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addition, whether or not required by the Commission, we will file a copy of all of the information and reports referred to above with the Commission for public availability within the time periods specified in the Commission's rules and regulations and make the information available to securities analysts and prospective investors upon request.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 AND REMEDIES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Each of the following is an event of default:</w:t>
      </w:r>
    </w:p>
    <w:p>
      <w:pPr>
        <w:spacing w:after="0" w:line="185" w:lineRule="exact"/>
        <w:rPr>
          <w:sz w:val="20"/>
          <w:szCs w:val="20"/>
          <w:color w:val="auto"/>
        </w:rPr>
      </w:pPr>
    </w:p>
    <w:p>
      <w:pPr>
        <w:ind w:left="660" w:right="2899" w:hanging="195"/>
        <w:spacing w:after="0" w:line="236" w:lineRule="auto"/>
        <w:tabs>
          <w:tab w:leader="none" w:pos="6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pay interest on the notes or liquidated damages within 30 days of the due date for any reason;</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make a payment of the principal of or premium, if any, on the notes when due for any reason;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293"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40</w:t>
      </w:r>
    </w:p>
    <w:p>
      <w:pPr>
        <w:spacing w:after="0" w:line="185" w:lineRule="exact"/>
        <w:rPr>
          <w:sz w:val="20"/>
          <w:szCs w:val="20"/>
          <w:color w:val="auto"/>
        </w:rPr>
      </w:pPr>
    </w:p>
    <w:p>
      <w:pPr>
        <w:ind w:left="660" w:right="2719" w:hanging="195"/>
        <w:spacing w:after="0" w:line="256" w:lineRule="auto"/>
        <w:tabs>
          <w:tab w:leader="none" w:pos="6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fail to comply with the provisions described under the captions "Repurchase at the Option of Holders -- Change of Control," "Repurchase at the Option of Holders -- Asset Sales," "Certain Covenants -- Restricted Payments" or "Certain Covenants -- Incurrence of Indebtedness and Issuance of Preferred Stock" for 30 days after notice of the failure;</w:t>
      </w:r>
    </w:p>
    <w:p>
      <w:pPr>
        <w:spacing w:after="0" w:line="176" w:lineRule="exact"/>
        <w:rPr>
          <w:rFonts w:ascii="Courier New" w:cs="Courier New" w:eastAsia="Courier New" w:hAnsi="Courier New"/>
          <w:sz w:val="15"/>
          <w:szCs w:val="15"/>
          <w:color w:val="auto"/>
        </w:rPr>
      </w:pPr>
    </w:p>
    <w:p>
      <w:pPr>
        <w:ind w:left="660" w:right="2999" w:hanging="195"/>
        <w:spacing w:after="0" w:line="236" w:lineRule="auto"/>
        <w:tabs>
          <w:tab w:leader="none" w:pos="6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comply with any of the other agreements in the indenture for 60 days after notice of the failure;</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default under any one or more mortgage, indenture or other debt instrument of more than $10.0 million, if that default:</w:t>
      </w:r>
    </w:p>
    <w:p>
      <w:pPr>
        <w:spacing w:after="0" w:line="184" w:lineRule="exact"/>
        <w:rPr>
          <w:rFonts w:ascii="Courier New" w:cs="Courier New" w:eastAsia="Courier New" w:hAnsi="Courier New"/>
          <w:sz w:val="16"/>
          <w:szCs w:val="16"/>
          <w:color w:val="auto"/>
        </w:rPr>
      </w:pPr>
    </w:p>
    <w:p>
      <w:pPr>
        <w:jc w:val="both"/>
        <w:ind w:left="1400" w:right="2719" w:hanging="184"/>
        <w:spacing w:after="0" w:line="237" w:lineRule="auto"/>
        <w:tabs>
          <w:tab w:leader="none" w:pos="140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caused by a failure to pay principal of or premium, if any, or interest on the indebtedness prior to the expiration of the grace period provided in the indebtedness; or</w:t>
      </w:r>
    </w:p>
    <w:p>
      <w:pPr>
        <w:spacing w:after="0" w:line="184" w:lineRule="exact"/>
        <w:rPr>
          <w:rFonts w:ascii="Courier New" w:cs="Courier New" w:eastAsia="Courier New" w:hAnsi="Courier New"/>
          <w:sz w:val="16"/>
          <w:szCs w:val="16"/>
          <w:color w:val="auto"/>
        </w:rPr>
      </w:pPr>
    </w:p>
    <w:p>
      <w:pPr>
        <w:ind w:left="1400" w:right="3179" w:hanging="184"/>
        <w:spacing w:after="0" w:line="236" w:lineRule="auto"/>
        <w:tabs>
          <w:tab w:leader="none" w:pos="140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results in the acceleration of the indebtedness prior to its express maturity;</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pay final judgments aggregating in excess of $10.0 million within 60 days, unless the judgments are discharged or stayed within that period;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guarantees of one or more significant subsidiaries or non-significant subsidiaries that collectively would be significant to us are found by a court to be unenforceable or invalid or if any subsidiary guarantor that is a significant subsidiary or any group of subsidiary guarantors that collectively would be significant denies or disaffirms its obligations under its subsidiary guarantee; and</w:t>
      </w:r>
    </w:p>
    <w:p>
      <w:pPr>
        <w:spacing w:after="0" w:line="188"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or any of our significant subsidiaries goes bankrupt or becomes insolvent.</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the case of an event of default arising from the bankruptcy or insolvency of Scotts, any significant subsidiary or any group of subsidiaries that collectively are significant,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Holders of the notes may not enforce the indenture or the notes except as provided in the indenture. Generally,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holders of a majority in aggregate principal amount of the notes then outstanding may on behalf of the holders of all of the notes waive any existing default or event of default and its consequences under the indenture except a continuing default or event of default in the payment of interest on or the principal of the notes.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case of any event of default occurring by reason of any willful action or inaction taken or not taken by or on behalf of Scotts with the intention of avoiding payment of the premium that Scotts would have had to pay if we then had elected to redeem the notes under the optional redemption provisions of the indenture, an equivalent premium will also become immediately due and payable to the extent permitted by law upon the acceleration of the notes. If an event of default occurs prior to January 15, 2004, by reason of any willful action or inaction taken or not taken by or on behalf of Scotts with the intention of avoiding the prohibition on redemption of the notes prior to January 15, 2004, then the premium specified in the indenture will also become immediately due and payable to the extent permitted by law upon the acceleration of the notes.</w:t>
      </w:r>
    </w:p>
    <w:p>
      <w:pPr>
        <w:spacing w:after="0" w:line="188"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We are required to deliver to the trustee annually a statement regarding compliance with the indenture. Upon becoming aware of any default or event of default, we are required to deliver to the trustee a statement specifying the default or event of default.</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3"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PERSONAL LIABILITY OF DIRECTORS, OFFICERS, EMPLOYEES AND STOCKHOLDERS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No director, officer, employee, incorporator or stockholder of Scotts or any subsidiary guarantor shall have any liability for any obligations under the notes, the indenture, the subsidiary guarantees, the registration rights agreement agreements or for any claim based on obligations or their creation. Each holder of notes by accepting a note waives and releases all of this liability. The waiver and release are part of the consideration for issuance of the notes. The waiver may not be effective to waive liabilities under the federal securities laws.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DEFEASANCE AND COVENANT DEFEASANCE</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We may at any time elect to have all of our obligations discharged under the notes and the subsidiary guarantees except for:</w:t>
      </w:r>
    </w:p>
    <w:p>
      <w:pPr>
        <w:spacing w:after="0" w:line="185" w:lineRule="exact"/>
        <w:rPr>
          <w:sz w:val="20"/>
          <w:szCs w:val="20"/>
          <w:color w:val="auto"/>
        </w:rPr>
      </w:pPr>
    </w:p>
    <w:p>
      <w:pPr>
        <w:ind w:left="660" w:right="2999" w:hanging="195"/>
        <w:spacing w:after="0" w:line="237" w:lineRule="auto"/>
        <w:tabs>
          <w:tab w:leader="none" w:pos="6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holders of outstanding notes to receive payments of the principal of, premium, if any, and interest and liquidated damages, if any, on the notes when the payments are due from the trust referred to below;</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obligations concerning issuing temporary notes, registration of notes, mutilated, destroyed, lost or stolen notes and the maintenance of an office or agency for payment and money for security payments held in trust;</w:t>
      </w:r>
    </w:p>
    <w:p>
      <w:pPr>
        <w:spacing w:after="0" w:line="185"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powers, trusts, duties and immunities of the trustee, and our related obligations;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legal defeasance provisions of the indenture.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addition, we may at any time elect to have our obligations released under the more onerous covenants that are described in the indenture. Thereafter any omission to comply with those covenants will not constitute a default or event of default.</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order to exercise either type of defeasance described above:</w:t>
      </w:r>
    </w:p>
    <w:p>
      <w:pPr>
        <w:spacing w:after="0" w:line="185" w:lineRule="exact"/>
        <w:rPr>
          <w:sz w:val="20"/>
          <w:szCs w:val="20"/>
          <w:color w:val="auto"/>
        </w:rPr>
      </w:pPr>
    </w:p>
    <w:p>
      <w:pPr>
        <w:ind w:left="660" w:right="3099" w:hanging="195"/>
        <w:spacing w:after="0" w:line="237"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irrevocably deposit with the trustee sufficient cash or non-callable government securities to pay all amounts owing on the outstanding notes through the stated maturity or on the applicable redemption date. We will specify to the trustee whether the notes are being defeased to maturity or to a particular redemption date;</w:t>
      </w:r>
    </w:p>
    <w:p>
      <w:pPr>
        <w:spacing w:after="0" w:line="187" w:lineRule="exact"/>
        <w:rPr>
          <w:rFonts w:ascii="Courier New" w:cs="Courier New" w:eastAsia="Courier New" w:hAnsi="Courier New"/>
          <w:sz w:val="16"/>
          <w:szCs w:val="16"/>
          <w:color w:val="auto"/>
        </w:rPr>
      </w:pPr>
    </w:p>
    <w:p>
      <w:pPr>
        <w:ind w:left="660" w:right="2819" w:hanging="195"/>
        <w:spacing w:after="0" w:line="238"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want to completely defease the notes, we must deliver to the trustee an opinion of counsel reasonably acceptable to the trustee confirming that there has been an Internal Revenue Service ruling or a change in the applicable federal income tax law to the effect that the holders of the outstanding notes will not recognize income, gain or loss for federal income tax purposes as a result of the complete defeasance and will be subject to federal income tax on the same amounts, in the same manner and at the same times as would have been the case if the complete defeasance had not occurred;</w:t>
      </w:r>
    </w:p>
    <w:p>
      <w:pPr>
        <w:spacing w:after="0" w:line="186" w:lineRule="exact"/>
        <w:rPr>
          <w:rFonts w:ascii="Courier New" w:cs="Courier New" w:eastAsia="Courier New" w:hAnsi="Courier New"/>
          <w:sz w:val="16"/>
          <w:szCs w:val="16"/>
          <w:color w:val="auto"/>
        </w:rPr>
      </w:pPr>
    </w:p>
    <w:p>
      <w:pPr>
        <w:ind w:left="660" w:right="2719" w:hanging="195"/>
        <w:spacing w:after="0" w:line="238"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merely want to defease the onerous covenants, we must deliver to the trustee an opinion of counsel reasonably acceptable to the trustee confirming that the holders of the outstanding notes will not recognize income, gain or loss for federal income tax purposes as a result of the covenant defeasance and will be subject to federal income tax on the same amounts, in the same manner and at the same times as would have been the case if the covenant defeasance had not occurred;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shall have occurred and be continuing either on the date of the deposit or, in the case of bankruptcy or insolvency events, at any time in the period ending on the 91st day after the date of deposit;</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defeasance will not result in a breach or violation of, or constitute a default under, any material agreement or instrument other than the indenture to which we or any of our subsidiaries is a party;</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3"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42</w:t>
      </w:r>
    </w:p>
    <w:p>
      <w:pPr>
        <w:spacing w:after="0" w:line="185" w:lineRule="exact"/>
        <w:rPr>
          <w:sz w:val="20"/>
          <w:szCs w:val="20"/>
          <w:color w:val="auto"/>
        </w:rPr>
      </w:pPr>
    </w:p>
    <w:p>
      <w:pPr>
        <w:ind w:left="660" w:right="2819" w:hanging="195"/>
        <w:spacing w:after="0" w:line="237" w:lineRule="auto"/>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deliver to the trustee an opinion of counsel that after the 91st day following the deposit, the trust funds will not be subject to the effect of any bankruptcy, insolvency, reorganization or similar laws affecting creditors' rights generally;</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deliver to the trustee an officers' certificate stating that the deposit was not made with the intent of preferring the holders of notes over our other creditors or with the intent of defeating, hindering, delaying or defrauding our creditors; and</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deliver to the trustee an officers' certificate and an opinion of counsel stating that we have complied with all conditions precedent relating to the defeasance.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SUPPLEMENT AND WAIVER</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Without the consent of each holder affected, an amendment or waiver may</w:t>
      </w:r>
    </w:p>
    <w:p>
      <w:pPr>
        <w:spacing w:after="0"/>
        <w:rPr>
          <w:sz w:val="20"/>
          <w:szCs w:val="20"/>
          <w:color w:val="auto"/>
        </w:rPr>
      </w:pPr>
      <w:r>
        <w:rPr>
          <w:rFonts w:ascii="Courier New" w:cs="Courier New" w:eastAsia="Courier New" w:hAnsi="Courier New"/>
          <w:sz w:val="16"/>
          <w:szCs w:val="16"/>
          <w:color w:val="auto"/>
        </w:rPr>
        <w:t>not:</w:t>
      </w:r>
    </w:p>
    <w:p>
      <w:pPr>
        <w:spacing w:after="0" w:line="184" w:lineRule="exact"/>
        <w:rPr>
          <w:sz w:val="20"/>
          <w:szCs w:val="20"/>
          <w:color w:val="auto"/>
        </w:rPr>
      </w:pPr>
    </w:p>
    <w:p>
      <w:pPr>
        <w:ind w:left="660" w:right="3099" w:hanging="195"/>
        <w:spacing w:after="0" w:line="236" w:lineRule="auto"/>
        <w:tabs>
          <w:tab w:leader="none" w:pos="6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amount of notes whose holders must consent to an amendment, supplement or waiver;</w:t>
      </w:r>
    </w:p>
    <w:p>
      <w:pPr>
        <w:spacing w:after="0" w:line="184" w:lineRule="exact"/>
        <w:rPr>
          <w:rFonts w:ascii="Courier New" w:cs="Courier New" w:eastAsia="Courier New" w:hAnsi="Courier New"/>
          <w:sz w:val="16"/>
          <w:szCs w:val="16"/>
          <w:color w:val="auto"/>
        </w:rPr>
      </w:pPr>
    </w:p>
    <w:p>
      <w:pPr>
        <w:ind w:left="660" w:right="2719" w:hanging="195"/>
        <w:spacing w:after="0" w:line="259" w:lineRule="auto"/>
        <w:tabs>
          <w:tab w:leader="none" w:pos="6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or change the maturity date of any note or alter the redemption provisions other than provisions relating to the covenants described above under the caption "Repurchase at the Option of Holders";</w:t>
      </w:r>
    </w:p>
    <w:p>
      <w:pPr>
        <w:spacing w:after="0" w:line="171" w:lineRule="exact"/>
        <w:rPr>
          <w:rFonts w:ascii="Courier New" w:cs="Courier New" w:eastAsia="Courier New" w:hAnsi="Courier New"/>
          <w:sz w:val="15"/>
          <w:szCs w:val="15"/>
          <w:color w:val="auto"/>
        </w:rPr>
      </w:pPr>
    </w:p>
    <w:p>
      <w:pPr>
        <w:ind w:left="660" w:right="3179" w:hanging="195"/>
        <w:spacing w:after="0" w:line="236" w:lineRule="auto"/>
        <w:tabs>
          <w:tab w:leader="none" w:pos="6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rate of or change the time for payment of interest on any note;</w:t>
      </w:r>
    </w:p>
    <w:p>
      <w:pPr>
        <w:spacing w:after="0" w:line="184" w:lineRule="exact"/>
        <w:rPr>
          <w:rFonts w:ascii="Courier New" w:cs="Courier New" w:eastAsia="Courier New" w:hAnsi="Courier New"/>
          <w:sz w:val="16"/>
          <w:szCs w:val="16"/>
          <w:color w:val="auto"/>
        </w:rPr>
      </w:pPr>
    </w:p>
    <w:p>
      <w:pPr>
        <w:ind w:left="660" w:right="2719" w:hanging="195"/>
        <w:spacing w:after="0" w:line="257" w:lineRule="auto"/>
        <w:tabs>
          <w:tab w:leader="none" w:pos="6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default or event of default in the payment of principal, premium, or interest, except a rescission of acceleration of the notes by the holders of at least a majority in aggregate principal amount of the notes and a waiver of the payment default that resulted from such acceleration;</w:t>
      </w:r>
    </w:p>
    <w:p>
      <w:pPr>
        <w:spacing w:after="0" w:line="169"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note payable in money other than U.S. dollars;</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the provisions of the indenture relating to waivers of past defaults or the rights of holders of notes to receive payments of principal, premium, if any, or interest;</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 redemption payment other than a payment required by one of the covenants described above under the caption "Repurchase at the Option of Holders";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the preceding amendment and waiver provisions, except as set forth below.</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addition, any amendment or waiver relating to subordination that adversely affects the rights of the holders of the notes will require the consent of the holders of at least 75% in aggregate principal amount of notes then outstanding.</w:t>
      </w:r>
    </w:p>
    <w:p>
      <w:pPr>
        <w:spacing w:after="0" w:line="186"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In any event, without the consent of any holder of notes, Scotts and the trustee may amend or supplement the indenture or the notes:</w:t>
      </w:r>
    </w:p>
    <w:p>
      <w:pPr>
        <w:spacing w:after="0" w:line="180" w:lineRule="exact"/>
        <w:rPr>
          <w:sz w:val="20"/>
          <w:szCs w:val="20"/>
          <w:color w:val="auto"/>
        </w:rPr>
      </w:pPr>
    </w:p>
    <w:p>
      <w:pPr>
        <w:ind w:left="660" w:hanging="195"/>
        <w:spacing w:after="0"/>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defect or inconsistency;</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uncertificated notes in addition to or in place of certificated notes;</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the assumption of our obligations to holders of notes in the case of a merger or consolidation or sale of all or substantially all of our assets;</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that would provide any additional rights or benefits to the holders of notes or that does not adversely affect the legal rights under the indenture of any holder;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 guarantor; and</w:t>
      </w:r>
    </w:p>
    <w:p>
      <w:pPr>
        <w:spacing w:after="0" w:line="184" w:lineRule="exact"/>
        <w:rPr>
          <w:rFonts w:ascii="Courier New" w:cs="Courier New" w:eastAsia="Courier New" w:hAnsi="Courier New"/>
          <w:sz w:val="16"/>
          <w:szCs w:val="16"/>
          <w:color w:val="auto"/>
        </w:rPr>
      </w:pPr>
    </w:p>
    <w:p>
      <w:pPr>
        <w:ind w:left="660" w:right="309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requirements of the Commission in order to effect or maintain the qualification of the indenture under the Trust Indenture Act.</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3" w:right="1440" w:bottom="1440" w:gutter="0" w:footer="0" w:header="0"/>
          <w:type w:val="continuous"/>
        </w:sectPr>
      </w:pPr>
    </w:p>
    <w:bookmarkStart w:id="45" w:name="page46"/>
    <w:bookmarkEnd w:id="45"/>
    <w:p>
      <w:pPr>
        <w:ind w:left="284"/>
        <w:spacing w:after="0"/>
        <w:rPr>
          <w:sz w:val="20"/>
          <w:szCs w:val="20"/>
          <w:color w:val="auto"/>
        </w:rPr>
      </w:pPr>
      <w:r>
        <w:rPr>
          <w:rFonts w:ascii="Courier New" w:cs="Courier New" w:eastAsia="Courier New" w:hAnsi="Courier New"/>
          <w:sz w:val="16"/>
          <w:szCs w:val="16"/>
          <w:color w:val="auto"/>
        </w:rPr>
        <w:t>43</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CONCERNING THE TRUSTEE</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If the trustee becomes a creditor of Scotts or any subsidiary guarantor, the indenture limits the trustee's right to obtain payment of claims or to realize on property received for a claim as security. The trustee will be permitted to engage in other transactions. However, if it acquires any conflicting interest it must eliminate the conflict within 90 days, apply to the Commission for permission to continue or resign.</w:t>
      </w:r>
    </w:p>
    <w:p>
      <w:pPr>
        <w:spacing w:after="0" w:line="189"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holders of a majority in principal amount of the then outstanding notes will have the right to direct the time, method and place of conducting any proceeding for exercising any remedy available to the trustee, subject to limited exceptions. The indenture provides that if an event of default occurs and is continuing, the trustee will be required to use the degree of care of a prudent man in the conduct of his own affairs. Except to comply with these provisions, the trustee will be under no obligation to exercise any of its rights or powers under the indenture at the request of any holder of notes, unless the holder offers to the trustee security and indemnity satisfactory to it against any loss, liability or expense.</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BOOK-ENTRY, DELIVERY AND FORM</w:t>
      </w:r>
    </w:p>
    <w:p>
      <w:pPr>
        <w:spacing w:after="0" w:line="185" w:lineRule="exact"/>
        <w:rPr>
          <w:sz w:val="20"/>
          <w:szCs w:val="20"/>
          <w:color w:val="auto"/>
        </w:rPr>
      </w:pPr>
    </w:p>
    <w:p>
      <w:pPr>
        <w:ind w:left="4" w:right="3559" w:firstLine="469"/>
        <w:spacing w:after="0" w:line="237" w:lineRule="auto"/>
        <w:rPr>
          <w:sz w:val="20"/>
          <w:szCs w:val="20"/>
          <w:color w:val="auto"/>
        </w:rPr>
      </w:pPr>
      <w:r>
        <w:rPr>
          <w:rFonts w:ascii="Courier New" w:cs="Courier New" w:eastAsia="Courier New" w:hAnsi="Courier New"/>
          <w:sz w:val="16"/>
          <w:szCs w:val="16"/>
          <w:color w:val="auto"/>
        </w:rPr>
        <w:t>Except as set forth below, the notes were, and will be, issued in registered, global form in minimum denominations of $1,000 and integral multiples of $1,000 in excess thereof.</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notes are and will continue to be represented by two permanent notes in registered, global form without interest coupons. The global notes are registered in the name of The Depository Trust Company in New York, New York, or its nominee, for credit to an account of a direct or indirect participant in DTC as described below.</w:t>
      </w:r>
    </w:p>
    <w:p>
      <w:pPr>
        <w:spacing w:after="0" w:line="187"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Generally,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w:t>
      </w:r>
    </w:p>
    <w:p>
      <w:pPr>
        <w:spacing w:after="0" w:line="2" w:lineRule="exact"/>
        <w:rPr>
          <w:sz w:val="20"/>
          <w:szCs w:val="20"/>
          <w:color w:val="auto"/>
        </w:rPr>
      </w:pPr>
    </w:p>
    <w:p>
      <w:pPr>
        <w:ind w:left="4" w:right="2719" w:hanging="4"/>
        <w:spacing w:after="0" w:line="238" w:lineRule="auto"/>
        <w:tabs>
          <w:tab w:leader="none" w:pos="19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Exchange of Book-Entry Notes for Certificated Notes." Except in the limited circumstances described below, owners of beneficial interests in the global notes will not be entitled to receive physical delivery of certificated notes. In addition, transfers of beneficial interests in the global notes will be subject to the rules and procedures of DTC and its direct or indirect participants, including, if applicable, those of Euroclear and Cedel, which may change from time to time.</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Initially, the trustee will act as paying agent and registrar. The notes may be presented for registration of transfer and exchange at the offices of the registrar.</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DEPOSITORY PROCEDURES</w:t>
      </w:r>
    </w:p>
    <w:p>
      <w:pPr>
        <w:spacing w:after="0" w:line="185" w:lineRule="exact"/>
        <w:rPr>
          <w:sz w:val="20"/>
          <w:szCs w:val="20"/>
          <w:color w:val="auto"/>
        </w:rPr>
      </w:pPr>
    </w:p>
    <w:p>
      <w:pPr>
        <w:ind w:left="4" w:right="2999" w:firstLine="469"/>
        <w:spacing w:after="0" w:line="256" w:lineRule="auto"/>
        <w:rPr>
          <w:sz w:val="20"/>
          <w:szCs w:val="20"/>
          <w:color w:val="auto"/>
        </w:rPr>
      </w:pPr>
      <w:r>
        <w:rPr>
          <w:rFonts w:ascii="Courier New" w:cs="Courier New" w:eastAsia="Courier New" w:hAnsi="Courier New"/>
          <w:sz w:val="15"/>
          <w:szCs w:val="15"/>
          <w:color w:val="auto"/>
        </w:rPr>
        <w:t>The following description of the operations and procedures of DTC, Euroclear and Cedel are provided solely as a matter of convenience. These operations and procedures are solely within the control of these settlement systems and are subject to changes by them from time to time. Scotts takes no responsibility for these operations and procedures and urges investors to contact the system or their participants directly to discuss these matters.</w:t>
      </w:r>
    </w:p>
    <w:p>
      <w:pPr>
        <w:spacing w:after="0" w:line="17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DTC has advised us that it is a limited-purpose trust company created to hold securities for its participating organizations and to facilitate the clearance and settlement of transactions in those securities between participating organizations through electronic book-entry changes in accounts of its participating organizations. The participating organizations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participating organization, either directly or indirectly. Persons who are not participating organizations may beneficially own securities held by or on behalf of DTC only through the participating organizations, either directly or indirectly. The ownership interests and transfers of ownership interests in each security held by or on behalf of DTC are recorded on the records of the participating organization.</w:t>
      </w:r>
    </w:p>
    <w:p>
      <w:pPr>
        <w:sectPr>
          <w:pgSz w:w="11900" w:h="16838" w:orient="portrait"/>
          <w:cols w:equalWidth="0" w:num="1">
            <w:col w:w="10223"/>
          </w:cols>
          <w:pgMar w:left="236" w:top="293" w:right="1440" w:bottom="1440" w:gutter="0" w:footer="0" w:header="0"/>
        </w:sectPr>
      </w:pPr>
    </w:p>
    <w:p>
      <w:pPr>
        <w:spacing w:after="0" w:line="178"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3"/>
          </w:cols>
          <w:pgMar w:left="236" w:top="293"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44</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DTC has also advised us that its procedures require that ownership of interests in the global notes will be shown on records maintained by DTC for the participating organizations or by the participating organizations for other owners of beneficial interest in the global notes. Transfers of ownership will be reflected in a similar manner.</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All interests in a global note may be subject to the procedures and requirements of DTC. Those interests held through Euroclear or Cedel may also be subject to the procedures and requirements of those systems. The laws of some states require that persons take physical delivery in definitive form of securities that they own. Consequently, the ability to transfer beneficial interests in a global note to these individuals will be limited to that extent. Because DTC can act only on behalf of direct participating organizations, which in turn act on behalf of indirect participating organizations, the ability of a person having beneficial interests in a global note to pledge those interests to persons or entities that do not participate in the DTC system may be affected by the lack of a physical certificate evidencing their interests.</w:t>
      </w:r>
    </w:p>
    <w:p>
      <w:pPr>
        <w:spacing w:after="0" w:line="17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EXCEPT AS DESCRIBED BELOW, OWNERS OF INTERESTS IN THE GLOBAL NOTES WILL NOT HAVE NOTES REGISTERED IN THEIR NAMES, WILL NOT RECEIVE PHYSICAL DELIVERY OF NOTES IN CERTIFICATED FORM AND WILL NOT BE CONSIDERED THE REGISTERED OWNERS OR "HOLDERS" OF THE NOTES UNDER THE INDENTURE FOR ANY PURPOSE.</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Payments of principal, premium, if any, liquidated damages, if any, and interest for a global note registered in the name of DTC or its nominee, will be payable to DTC in its capacity as the registered holder under the indenture. Under the indenture, Scotts and the trustee will treat the persons in whose names the notes are registered as the owners for the purpose of receiving these payments and for any and all other purposes. Consequently, neither Scotts, the trustee nor any agent of Scotts or the trustee has or will have any responsibility or liability for:</w:t>
      </w:r>
    </w:p>
    <w:p>
      <w:pPr>
        <w:spacing w:after="0" w:line="185" w:lineRule="exact"/>
        <w:rPr>
          <w:sz w:val="20"/>
          <w:szCs w:val="20"/>
          <w:color w:val="auto"/>
        </w:rPr>
      </w:pPr>
    </w:p>
    <w:p>
      <w:pPr>
        <w:ind w:left="660" w:right="2719" w:hanging="195"/>
        <w:spacing w:after="0" w:line="237" w:lineRule="auto"/>
        <w:tabs>
          <w:tab w:leader="none" w:pos="6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aspect of DTC's records or any participating organization's or indirect participating organization's records relating to or payments made on account of beneficial ownership interest in the global notes, or for maintaining, supervising or reviewing any of DTC's records or any participating organization's records relating to the beneficial ownership interests in the global notes; or</w:t>
      </w:r>
    </w:p>
    <w:p>
      <w:pPr>
        <w:spacing w:after="0" w:line="188"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matter relating to the actions and practices of DTC or any of its direct or indirect participating organization.</w:t>
      </w:r>
    </w:p>
    <w:p>
      <w:pPr>
        <w:spacing w:after="0" w:line="185" w:lineRule="exact"/>
        <w:rPr>
          <w:sz w:val="20"/>
          <w:szCs w:val="20"/>
          <w:color w:val="auto"/>
        </w:rPr>
      </w:pPr>
    </w:p>
    <w:p>
      <w:pPr>
        <w:ind w:right="2999" w:firstLine="469"/>
        <w:spacing w:after="0" w:line="256" w:lineRule="auto"/>
        <w:rPr>
          <w:sz w:val="20"/>
          <w:szCs w:val="20"/>
          <w:color w:val="auto"/>
        </w:rPr>
      </w:pPr>
      <w:r>
        <w:rPr>
          <w:rFonts w:ascii="Courier New" w:cs="Courier New" w:eastAsia="Courier New" w:hAnsi="Courier New"/>
          <w:sz w:val="15"/>
          <w:szCs w:val="15"/>
          <w:color w:val="auto"/>
        </w:rPr>
        <w:t>DTC has advised Scotts that its current practice upon receipt of any payment is to credit the accounts of the relevant participating organizations with the payment on the payment date, in amounts proportionate to their respective holdings in the principal amount of beneficial interest in the relevant security as shown on the records of DTC unless DTC has reason to believe it will not receive payment on the payment date.</w:t>
      </w:r>
    </w:p>
    <w:p>
      <w:pPr>
        <w:spacing w:after="0" w:line="17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Payments by the participating organizations and the indirect participating organizations to the beneficial owners of notes will be governed by standing instructions and customary practices and will be the responsibility of the participating organizations and will not be the responsibility of DTC, the trustee or Scotts. Neither Scotts nor the trustee will be liable for any delay by DTC or any of its participating organizations in identifying the beneficial owners of the notes. Scotts and the trustee may conclusively rely on and will be protected in relying on instructions from DTC or its nominee for all purposes.</w:t>
      </w:r>
    </w:p>
    <w:p>
      <w:pPr>
        <w:spacing w:after="0" w:line="173"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Except for trades involving only Euroclear and Cedel participants, interest in the global notes are expected to be eligible to trade in DTC's Same-Day Funds Settlement System. Secondary market trading activity in these interests will settle in immediately available funds, subject in all cases to the rules and procedures of DTC and its participating organizations. See " --Same Day Settlement and Payment."</w:t>
      </w:r>
    </w:p>
    <w:p>
      <w:pPr>
        <w:spacing w:after="0" w:line="189"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Transfers between participating organizations in DTC will be effected in accordance with DTC's procedures, and will be settled in same day funds. Transfers between participants in Euroclear and Cedel will be effected in the ordinary way in accordance with their rules and operating procedures.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Subject to compliance with the transfer restrictions applicable to the notes, cross-market transfers between the participating organizations in DTC, on the one hand, and Euroclear or Cedel participants, on the other hand, will be effected through DTC in accordance with DTC's rules on behalf of Euroclear or Cedel. However, any cross-market transactions will require delivery of instructions to Euroclear or Cedel by the</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293"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45</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counterparty in that system in accordance with the rules and procedures and within the established deadlines (Brussels time) of that system. Euroclear or Cedel will, if the transaction meets its settlement requirements, deliver instructions to its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Cedel participants may not deliver instructions directly to the depositories for Euroclear or Cedel.</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DTC has advised us that it will take any action permitted to be taken by a holder of notes only at the direction of one or more participating organizations to whose account DTC has credited the interests in the global notes and only for the portion of the aggregate principal amount of the notes as to which a participating organization has given direction. However, if there is an event of default under the notes, DTC reserves the right to exchange the global notes for notes in certificated form, and to distribute the certificated notes to its participating organizations.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Although DTC, Euroclear and Cedel have agreed to these procedures to facilitate transfers of interests in the global notes among participants in DTC, Euroclear and Cedel, they are under no obligation to perform or to continue to perform these procedures, and these procedures may be discontinued at any time. Neither Scotts nor the trustee nor any of their agents will have any responsibility for the performance by DTC, Euroclear or Cedel or their participants or indirect participants under the rules and procedures governing their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OF BOOK-ENTRY NOTES FOR CERTIFICATED NOTES</w:t>
      </w:r>
    </w:p>
    <w:p>
      <w:pPr>
        <w:spacing w:after="0" w:line="185" w:lineRule="exact"/>
        <w:rPr>
          <w:sz w:val="20"/>
          <w:szCs w:val="20"/>
          <w:color w:val="auto"/>
        </w:rPr>
      </w:pPr>
    </w:p>
    <w:p>
      <w:pPr>
        <w:ind w:right="3759" w:firstLine="469"/>
        <w:spacing w:after="0" w:line="236" w:lineRule="auto"/>
        <w:rPr>
          <w:sz w:val="20"/>
          <w:szCs w:val="20"/>
          <w:color w:val="auto"/>
        </w:rPr>
      </w:pPr>
      <w:r>
        <w:rPr>
          <w:rFonts w:ascii="Courier New" w:cs="Courier New" w:eastAsia="Courier New" w:hAnsi="Courier New"/>
          <w:sz w:val="16"/>
          <w:szCs w:val="16"/>
          <w:color w:val="auto"/>
        </w:rPr>
        <w:t>A global note is exchangeable for definitive notes in registered certificated form if:</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DTC:</w:t>
      </w:r>
    </w:p>
    <w:p>
      <w:pPr>
        <w:spacing w:after="0" w:line="185" w:lineRule="exact"/>
        <w:rPr>
          <w:sz w:val="20"/>
          <w:szCs w:val="20"/>
          <w:color w:val="auto"/>
        </w:rPr>
      </w:pPr>
    </w:p>
    <w:p>
      <w:pPr>
        <w:ind w:left="1400" w:right="2999" w:hanging="184"/>
        <w:spacing w:after="0" w:line="237" w:lineRule="auto"/>
        <w:tabs>
          <w:tab w:leader="none" w:pos="140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notifies us that it is unwilling or unable to continue as depositary for the global notes and we are unable to appoint a successor depositary; or</w:t>
      </w:r>
    </w:p>
    <w:p>
      <w:pPr>
        <w:spacing w:after="0" w:line="184" w:lineRule="exact"/>
        <w:rPr>
          <w:rFonts w:ascii="Courier New" w:cs="Courier New" w:eastAsia="Courier New" w:hAnsi="Courier New"/>
          <w:sz w:val="16"/>
          <w:szCs w:val="16"/>
          <w:color w:val="auto"/>
        </w:rPr>
      </w:pPr>
    </w:p>
    <w:p>
      <w:pPr>
        <w:ind w:left="1400" w:right="2819" w:hanging="184"/>
        <w:spacing w:after="0" w:line="236" w:lineRule="auto"/>
        <w:tabs>
          <w:tab w:leader="none" w:pos="140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ceased to be a clearing agency registered under the Exchange Act;</w:t>
      </w:r>
    </w:p>
    <w:p>
      <w:pPr>
        <w:spacing w:after="0" w:line="184" w:lineRule="exact"/>
        <w:rPr>
          <w:rFonts w:ascii="Courier New" w:cs="Courier New" w:eastAsia="Courier New" w:hAnsi="Courier New"/>
          <w:sz w:val="16"/>
          <w:szCs w:val="16"/>
          <w:color w:val="auto"/>
        </w:rPr>
      </w:pPr>
    </w:p>
    <w:p>
      <w:pPr>
        <w:ind w:left="660" w:right="3379" w:hanging="195"/>
        <w:spacing w:after="0" w:line="236" w:lineRule="auto"/>
        <w:tabs>
          <w:tab w:leader="none" w:pos="6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notifies the trustee in writing that it elects to cause the issuance of the certificated notes; or</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and be continuing a default or event of default.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a global note will be registered in the names, and issued in any approved denominations, requested by or on behalf of the depositary and may bear a restrictive legend if Scotts determines a legend is required to comply with applicable law.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OF CERTIFICATED NOTES FOR BOOK-ENTRY NOTES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Notes issued in certificated form may not be exchanged for beneficial interests in any global note unless the transferor first delivers to the trustee a written certificate to the effect that the transfer will comply with the appropriate transfer restrictions applicable to the notes.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 DAY SETTLEMENT AND PAYMENT</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indenture requires that payments on the global notes be made by wire transfer of immediately available funds to the accounts specified by the holder of the global notes. For certificated notes, Scotts will make all payments by wire transfer of immediately available funds to the accounts specified by the holders thereof or, if no such account is specified, by mailing a check to each such holder's registered address. The notes represented by the global notes are expected to be eligible to trade in the PORTAL market and to trade in DTC's Same-Day Funds Settlement System. Any permitted secondary market trading activity in the notes</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3" w:right="1440" w:bottom="1440" w:gutter="0" w:footer="0" w:header="0"/>
          <w:type w:val="continuous"/>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46</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will be required by DTC to be settled in immediately available funds. Scotts expects that secondary trading in any certificated notes will also be settled in immediately available funds.</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Because of time zone differences, the securities account of a Euroclear or Cedel participant purchasing an interest in a global note from a participant in DTC will be credited, and any such crediting will be reported to the relevant Euroclear or Cedel participant, during the securities settlement processing day immediately following the settlement date of DTC. DTC has advised Scotts that cash received in Euroclear or Cedel as a result of sales of interests in a global note by or through a Euroclear or Cedel participant to a participant in DTC will be received with value on the settlement date of DTC but will be available in the relevant Euroclear or Cedel cash account only as of the business day for Euroclear or Cedel following DTC's settlement date.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 LIQUIDATED DAMAGES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connection with the offering of the original notes, Scotts, the subsidiary guarantors and Salomon Smith Barney entered into the registration rights agreement. In the registration rights agreement, we agreed to file with the Commission the registration statement of which this prospectus is a part. Upon the effectiveness of this registration statement, holders of original notes who are able to make the representations required by the registration rights agreement will have the opportunity to receive new registered notes.</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If some of the holders are unable to participate in the exchange offer because of applicable law or the Commission's policies or because of their status as an affiliate of Scotts or as a broker-dealer who acquired notes directly from us or one or our affiliates, we are required to file another registration statement with the Commission. This second registration statement would cover periodic resales of the original unregistered notes by the holders who are unable to participate in the exchange offer.</w:t>
      </w:r>
    </w:p>
    <w:p>
      <w:pPr>
        <w:spacing w:after="0" w:line="185"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The registration rights agreement requires that we use our reasonable best efforts to cause the applicable registration statement to be declared effective as promptly as possible by the Commission.</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registration rights agreement also requires that:</w:t>
      </w:r>
    </w:p>
    <w:p>
      <w:pPr>
        <w:spacing w:after="0" w:line="185" w:lineRule="exact"/>
        <w:rPr>
          <w:sz w:val="20"/>
          <w:szCs w:val="20"/>
          <w:color w:val="auto"/>
        </w:rPr>
      </w:pPr>
    </w:p>
    <w:p>
      <w:pPr>
        <w:ind w:left="660" w:right="2999" w:hanging="195"/>
        <w:spacing w:after="0" w:line="236" w:lineRule="auto"/>
        <w:tabs>
          <w:tab w:leader="none" w:pos="6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 this registration statement with the Commission on or prior to April 21, 1999, which we did;</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use our reasonable best efforts to have this registration statement declared effective by the Commission on or prior to October 18, 1999, which we did not do;</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commence the exchange offer and use our reasonable best efforts to complete the exchange offer within 30 business days after the Commission declares this registration statement effective;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are required to file the registration statement covering resales by holders who cannot participate in the exchange offer, we will use our reasonable best efforts to file that registration statement on or prior to 30 days after the filing obligation arises and to cause that registration statement to be declared effective by the Commission within 90 days after the obligation arises.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registration rights agreement further provides that we must pay liquidated damages in the form of additional interest to each holder of original notes if:</w:t>
      </w:r>
    </w:p>
    <w:p>
      <w:pPr>
        <w:spacing w:after="0" w:line="185" w:lineRule="exact"/>
        <w:rPr>
          <w:sz w:val="20"/>
          <w:szCs w:val="20"/>
          <w:color w:val="auto"/>
        </w:rPr>
      </w:pPr>
    </w:p>
    <w:p>
      <w:pPr>
        <w:ind w:left="660" w:right="2719" w:hanging="195"/>
        <w:spacing w:after="0" w:line="263" w:lineRule="auto"/>
        <w:tabs>
          <w:tab w:leader="none" w:pos="6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file any of the registration statements required by the registration rights agreement on or before the date specified for filing;</w:t>
      </w:r>
    </w:p>
    <w:p>
      <w:pPr>
        <w:spacing w:after="0" w:line="168" w:lineRule="exact"/>
        <w:rPr>
          <w:rFonts w:ascii="Courier New" w:cs="Courier New" w:eastAsia="Courier New" w:hAnsi="Courier New"/>
          <w:sz w:val="15"/>
          <w:szCs w:val="15"/>
          <w:color w:val="auto"/>
        </w:rPr>
      </w:pPr>
    </w:p>
    <w:p>
      <w:pPr>
        <w:ind w:left="660" w:right="3279" w:hanging="195"/>
        <w:spacing w:after="0" w:line="263" w:lineRule="auto"/>
        <w:tabs>
          <w:tab w:leader="none" w:pos="6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registration statements is not declared effective by the Commission on or prior to the date specified for effectiveness;</w:t>
      </w:r>
    </w:p>
    <w:p>
      <w:pPr>
        <w:spacing w:after="0" w:line="168" w:lineRule="exact"/>
        <w:rPr>
          <w:rFonts w:ascii="Courier New" w:cs="Courier New" w:eastAsia="Courier New" w:hAnsi="Courier New"/>
          <w:sz w:val="15"/>
          <w:szCs w:val="15"/>
          <w:color w:val="auto"/>
        </w:rPr>
      </w:pPr>
    </w:p>
    <w:p>
      <w:pPr>
        <w:ind w:left="660" w:right="3279" w:hanging="195"/>
        <w:spacing w:after="0" w:line="236" w:lineRule="auto"/>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consummate the exchange offer within 30 business days of October 18, 1999;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of the registration statements is declared effective but ceases to be effective or usable in connection with resales of original notes during the periods specified in the registration rights agreement.</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3"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47</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amount of liquidated damages will be $.05 per week per $1,000 principal amount of notes held by each holder for the first 90-day period immediately following the event requiring payment of liquidated damages. Liquidated damages will increase by $.05 per week per $1,000 principal amount of notes for each subsequent 90-day period until all defaults under the registration rights agreement have been cured, up to a maximum amount of liquidated damages $.50 per week per $1,000 principal amount of notes. All accrued liquidated damages will be paid to DTC or another holder of a global note by wire transfer of immediately available funds or by federal funds check and to holders of certificated notes by wire transfer to the accounts specified by them or by mailing checks to their registered addresses if no accounts have been specified. Following the cure of all defaults under the registration rights agreement, the accrual of liquidated damages will cease.</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Because we were unable to have the registration statement of which this prospectus is a part declared effective by October 18, 1999, we began accruing liquidated damages as of October 19, 1999. As of January 1, 2000 the total amount of liquidated damages has been approximately $200,000, all of which will be paid out in accordance with the terms of the indenture. The liquidated damages will stop accruing upon the effective date of the registration statement of which this prospectus is a part.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DEFINITIONS</w:t>
      </w:r>
    </w:p>
    <w:p>
      <w:pPr>
        <w:spacing w:after="0" w:line="185" w:lineRule="exact"/>
        <w:rPr>
          <w:sz w:val="20"/>
          <w:szCs w:val="20"/>
          <w:color w:val="auto"/>
        </w:rPr>
      </w:pPr>
    </w:p>
    <w:p>
      <w:pPr>
        <w:ind w:right="2899" w:firstLine="469"/>
        <w:spacing w:after="0" w:line="259" w:lineRule="auto"/>
        <w:rPr>
          <w:sz w:val="20"/>
          <w:szCs w:val="20"/>
          <w:color w:val="auto"/>
        </w:rPr>
      </w:pPr>
      <w:r>
        <w:rPr>
          <w:rFonts w:ascii="Courier New" w:cs="Courier New" w:eastAsia="Courier New" w:hAnsi="Courier New"/>
          <w:sz w:val="15"/>
          <w:szCs w:val="15"/>
          <w:color w:val="auto"/>
        </w:rPr>
        <w:t>Set forth below are defined terms used in the indenture that we have used in this description of the indenture. The indenture includes many more definitions that you should review but that are not used in this description.</w:t>
      </w:r>
    </w:p>
    <w:p>
      <w:pPr>
        <w:spacing w:after="0" w:line="16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"Asset Sale" means:</w:t>
      </w:r>
    </w:p>
    <w:p>
      <w:pPr>
        <w:spacing w:after="0" w:line="185" w:lineRule="exact"/>
        <w:rPr>
          <w:sz w:val="20"/>
          <w:szCs w:val="20"/>
          <w:color w:val="auto"/>
        </w:rPr>
      </w:pPr>
    </w:p>
    <w:p>
      <w:pPr>
        <w:ind w:left="940" w:right="3179" w:hanging="193"/>
        <w:spacing w:after="0" w:line="237" w:lineRule="auto"/>
        <w:tabs>
          <w:tab w:leader="none" w:pos="9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conveyance or other disposition of any assets or rights, other than sales of inventory in the ordinary course of business consistent with past practices; and</w:t>
      </w:r>
    </w:p>
    <w:p>
      <w:pPr>
        <w:spacing w:after="0" w:line="184" w:lineRule="exact"/>
        <w:rPr>
          <w:rFonts w:ascii="Courier New" w:cs="Courier New" w:eastAsia="Courier New" w:hAnsi="Courier New"/>
          <w:sz w:val="16"/>
          <w:szCs w:val="16"/>
          <w:color w:val="auto"/>
        </w:rPr>
      </w:pPr>
    </w:p>
    <w:p>
      <w:pPr>
        <w:ind w:left="940" w:right="2719" w:hanging="193"/>
        <w:spacing w:after="0" w:line="263" w:lineRule="auto"/>
        <w:tabs>
          <w:tab w:leader="none" w:pos="9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equity interests by any of our restricted subsidiaries or the sale of equity interests in any of our subsidiaries.</w:t>
      </w:r>
    </w:p>
    <w:p>
      <w:pPr>
        <w:spacing w:after="0" w:line="1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Despite this definition, the following do not constitute "Asset Sales":</w:t>
      </w:r>
    </w:p>
    <w:p>
      <w:pPr>
        <w:spacing w:after="0" w:line="185" w:lineRule="exact"/>
        <w:rPr>
          <w:sz w:val="20"/>
          <w:szCs w:val="20"/>
          <w:color w:val="auto"/>
        </w:rPr>
      </w:pPr>
    </w:p>
    <w:p>
      <w:pPr>
        <w:jc w:val="both"/>
        <w:ind w:left="940" w:right="2719" w:hanging="193"/>
        <w:spacing w:after="0" w:line="237" w:lineRule="auto"/>
        <w:tabs>
          <w:tab w:leader="none" w:pos="9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single transaction or series of related transactions that involves assets having a fair market value of less than $2.5 million or results in net proceeds of less than $2.5 million;</w:t>
      </w:r>
    </w:p>
    <w:p>
      <w:pPr>
        <w:spacing w:after="0" w:line="184"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most transfers of assets within the group consisting of Scotts and its restricted subsidiaries;</w:t>
      </w:r>
    </w:p>
    <w:p>
      <w:pPr>
        <w:spacing w:after="0" w:line="184"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issuance of equity interests by a restricted subsidiary to Scotts Company or to a another restricted subsidiary as long as it is wholly owned by Scotts;</w:t>
      </w:r>
    </w:p>
    <w:p>
      <w:pPr>
        <w:spacing w:after="0" w:line="184" w:lineRule="exact"/>
        <w:rPr>
          <w:rFonts w:ascii="Courier New" w:cs="Courier New" w:eastAsia="Courier New" w:hAnsi="Courier New"/>
          <w:sz w:val="16"/>
          <w:szCs w:val="16"/>
          <w:color w:val="auto"/>
        </w:rPr>
      </w:pPr>
    </w:p>
    <w:p>
      <w:pPr>
        <w:ind w:left="940" w:right="2719" w:hanging="193"/>
        <w:spacing w:after="0" w:line="259" w:lineRule="auto"/>
        <w:tabs>
          <w:tab w:leader="none" w:pos="9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transfer or discount of any receivables to lenders under any of our credit facilities or to special purpose entities formed to borrow from lenders under credit facilities against the receivables;</w:t>
      </w:r>
    </w:p>
    <w:p>
      <w:pPr>
        <w:spacing w:after="0" w:line="171" w:lineRule="exact"/>
        <w:rPr>
          <w:rFonts w:ascii="Courier New" w:cs="Courier New" w:eastAsia="Courier New" w:hAnsi="Courier New"/>
          <w:sz w:val="15"/>
          <w:szCs w:val="15"/>
          <w:color w:val="auto"/>
        </w:rPr>
      </w:pPr>
    </w:p>
    <w:p>
      <w:pPr>
        <w:ind w:left="940" w:right="2719" w:hanging="193"/>
        <w:spacing w:after="0" w:line="237" w:lineRule="auto"/>
        <w:tabs>
          <w:tab w:leader="none" w:pos="9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of assets by Scotts or any of its restricted subsidiaries prior to September 30, 2002 for fair market value and as long as the aggregate fair market value of all assets sold in any fiscal year does not exceed an amount equal to:</w:t>
      </w:r>
    </w:p>
    <w:p>
      <w:pPr>
        <w:spacing w:after="0" w:line="180" w:lineRule="exact"/>
        <w:rPr>
          <w:rFonts w:ascii="Courier New" w:cs="Courier New" w:eastAsia="Courier New" w:hAnsi="Courier New"/>
          <w:sz w:val="16"/>
          <w:szCs w:val="16"/>
          <w:color w:val="auto"/>
        </w:rPr>
      </w:pPr>
    </w:p>
    <w:p>
      <w:pPr>
        <w:ind w:left="1400" w:hanging="184"/>
        <w:spacing w:after="0"/>
        <w:tabs>
          <w:tab w:leader="none" w:pos="1400"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$25,000,000 for fiscal 1999, and</w:t>
      </w:r>
    </w:p>
    <w:p>
      <w:pPr>
        <w:spacing w:after="0" w:line="184" w:lineRule="exact"/>
        <w:rPr>
          <w:rFonts w:ascii="Courier New" w:cs="Courier New" w:eastAsia="Courier New" w:hAnsi="Courier New"/>
          <w:sz w:val="16"/>
          <w:szCs w:val="16"/>
          <w:color w:val="auto"/>
        </w:rPr>
      </w:pPr>
    </w:p>
    <w:p>
      <w:pPr>
        <w:ind w:left="1400" w:right="2719" w:hanging="184"/>
        <w:spacing w:after="0" w:line="237" w:lineRule="auto"/>
        <w:tabs>
          <w:tab w:leader="none" w:pos="1400"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fiscal year ended September 30, 2000, 2001 and 2002, the sum of $25,000,000 plus the difference between $25,000,000 and the aggregate consideration received by the Scotts and its restricted subsidiaries for all sales of assets during the previous fiscal year;</w:t>
      </w:r>
    </w:p>
    <w:p>
      <w:pPr>
        <w:spacing w:after="0" w:line="187"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restricted payment that is permitted by the covenant described above under the caption " -- Restricted Payments"; and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293"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48</w:t>
      </w:r>
    </w:p>
    <w:p>
      <w:pPr>
        <w:spacing w:after="0" w:line="185" w:lineRule="exact"/>
        <w:rPr>
          <w:sz w:val="20"/>
          <w:szCs w:val="20"/>
          <w:color w:val="auto"/>
        </w:rPr>
      </w:pPr>
    </w:p>
    <w:p>
      <w:pPr>
        <w:ind w:left="940" w:right="3099" w:hanging="193"/>
        <w:spacing w:after="0" w:line="259" w:lineRule="auto"/>
        <w:tabs>
          <w:tab w:leader="none" w:pos="9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disposition of inventory in the ordinary course of business or a disposition of obsolete equipment or equipment that is no longer useful and that is disposed of in the ordinary course of business.</w:t>
      </w:r>
    </w:p>
    <w:p>
      <w:pPr>
        <w:spacing w:after="0" w:line="171"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"Attributable Debt" in respect of a sale and leaseback transaction means, at the time of determination, the present value of the obligation of the lessee for net rental payments during the remaining term of the lease included in the sale and leaseback transaction. This present value will be calculated using a discount rate equal to the rate of interest implicit in the transaction, determined in accordance with GAAP.</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"Capital Lease Obligation" means, at the time of determination, the amount of the liability for a capital lease that would at that time be required to be capitalized on a balance sheet in accordance with GAAP.</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"Change of Control" means the occurrence of any of the following:</w:t>
      </w:r>
    </w:p>
    <w:p>
      <w:pPr>
        <w:spacing w:after="0" w:line="185" w:lineRule="exact"/>
        <w:rPr>
          <w:sz w:val="20"/>
          <w:szCs w:val="20"/>
          <w:color w:val="auto"/>
        </w:rPr>
      </w:pPr>
    </w:p>
    <w:p>
      <w:pPr>
        <w:ind w:left="940" w:right="2719" w:hanging="193"/>
        <w:spacing w:after="0" w:line="237" w:lineRule="auto"/>
        <w:tabs>
          <w:tab w:leader="none" w:pos="94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transfer, conveyance or other disposition other than by way of merger or consolidation of all or substantially all of the assets of Scotts and its restricted subsidiaries taken as a whole to any person or entity other than the Hagedorn Partnership, L.P., or any of its partners or affiliates;</w:t>
      </w:r>
    </w:p>
    <w:p>
      <w:pPr>
        <w:spacing w:after="0" w:line="187" w:lineRule="exact"/>
        <w:rPr>
          <w:rFonts w:ascii="Courier New" w:cs="Courier New" w:eastAsia="Courier New" w:hAnsi="Courier New"/>
          <w:sz w:val="16"/>
          <w:szCs w:val="16"/>
          <w:color w:val="auto"/>
        </w:rPr>
      </w:pPr>
    </w:p>
    <w:p>
      <w:pPr>
        <w:ind w:left="940" w:right="2899" w:hanging="193"/>
        <w:spacing w:after="0" w:line="236" w:lineRule="auto"/>
        <w:tabs>
          <w:tab w:leader="none" w:pos="94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a plan relating to the liquidation or dissolution of Scotts;</w:t>
      </w:r>
    </w:p>
    <w:p>
      <w:pPr>
        <w:spacing w:after="0" w:line="184"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any transaction the result of which is that any person or entity other than the Hagedorn Partnership, L.P., or any of its partners or affiliates acquires beneficial ownership of more than 30% of the voting stock of Scotts, measured by voting power rather than number of shares;</w:t>
      </w:r>
    </w:p>
    <w:p>
      <w:pPr>
        <w:spacing w:after="0" w:line="187" w:lineRule="exact"/>
        <w:rPr>
          <w:rFonts w:ascii="Courier New" w:cs="Courier New" w:eastAsia="Courier New" w:hAnsi="Courier New"/>
          <w:sz w:val="16"/>
          <w:szCs w:val="16"/>
          <w:color w:val="auto"/>
        </w:rPr>
      </w:pPr>
    </w:p>
    <w:p>
      <w:pPr>
        <w:ind w:left="940" w:right="3279" w:hanging="193"/>
        <w:spacing w:after="0" w:line="236" w:lineRule="auto"/>
        <w:tabs>
          <w:tab w:leader="none" w:pos="94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day on which a majority of the members of the Board of Directors of Scotts are not "Continuing Directors"; or</w:t>
      </w:r>
    </w:p>
    <w:p>
      <w:pPr>
        <w:spacing w:after="0" w:line="184" w:lineRule="exact"/>
        <w:rPr>
          <w:rFonts w:ascii="Courier New" w:cs="Courier New" w:eastAsia="Courier New" w:hAnsi="Courier New"/>
          <w:sz w:val="16"/>
          <w:szCs w:val="16"/>
          <w:color w:val="auto"/>
        </w:rPr>
      </w:pPr>
    </w:p>
    <w:p>
      <w:pPr>
        <w:ind w:left="940" w:right="2819" w:hanging="193"/>
        <w:spacing w:after="0" w:line="238" w:lineRule="auto"/>
        <w:tabs>
          <w:tab w:leader="none" w:pos="94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consolidation or merger of Scotts with or into any entity, or the consolidation or merger of any entity with or into the Scotts, in which any of the outstanding voting stock of Scotts is converted into or exchanged for cash, securities or other property, except where the Scotts shareholder would continue to control a majority of the outstanding shares of voting stock of the surviving or transferee entity.</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"Consolidated Cash Flow" is similar to EBITDA before extraordinary items. Specifically, it means, as applied to Scotts, the "Consolidated Net Income" of Scotts for the applicable period plus:</w:t>
      </w:r>
    </w:p>
    <w:p>
      <w:pPr>
        <w:spacing w:after="0" w:line="185" w:lineRule="exact"/>
        <w:rPr>
          <w:sz w:val="20"/>
          <w:szCs w:val="20"/>
          <w:color w:val="auto"/>
        </w:rPr>
      </w:pPr>
    </w:p>
    <w:p>
      <w:pPr>
        <w:ind w:left="940" w:right="2719" w:hanging="193"/>
        <w:spacing w:after="0" w:line="237" w:lineRule="auto"/>
        <w:tabs>
          <w:tab w:leader="none" w:pos="9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extraordinary gain or loss and any net gain or loss realized in connection with an "Asset Sale" or any other asset sale involving more than $2.5 million, if these gains or losses were excluded in computing "Consolidated Net Income"; plus</w:t>
      </w:r>
    </w:p>
    <w:p>
      <w:pPr>
        <w:spacing w:after="0" w:line="185" w:lineRule="exact"/>
        <w:rPr>
          <w:rFonts w:ascii="Courier New" w:cs="Courier New" w:eastAsia="Courier New" w:hAnsi="Courier New"/>
          <w:sz w:val="16"/>
          <w:szCs w:val="16"/>
          <w:color w:val="auto"/>
        </w:rPr>
      </w:pPr>
    </w:p>
    <w:p>
      <w:pPr>
        <w:jc w:val="both"/>
        <w:ind w:left="940" w:right="2819" w:hanging="193"/>
        <w:spacing w:after="0" w:line="259" w:lineRule="auto"/>
        <w:tabs>
          <w:tab w:leader="none" w:pos="9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income taxes for Scotts and its restricted subsidiaries for the applicable period to the extent that this provision for taxes was deducted in computing "Consolidated Net Income"; plus</w:t>
      </w:r>
    </w:p>
    <w:p>
      <w:pPr>
        <w:spacing w:after="0" w:line="171" w:lineRule="exact"/>
        <w:rPr>
          <w:rFonts w:ascii="Courier New" w:cs="Courier New" w:eastAsia="Courier New" w:hAnsi="Courier New"/>
          <w:sz w:val="15"/>
          <w:szCs w:val="15"/>
          <w:color w:val="auto"/>
        </w:rPr>
      </w:pPr>
    </w:p>
    <w:p>
      <w:pPr>
        <w:ind w:left="940" w:right="2999" w:hanging="193"/>
        <w:spacing w:after="0" w:line="237" w:lineRule="auto"/>
        <w:tabs>
          <w:tab w:leader="none" w:pos="9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net interest expense of Scotts and its restricted subsidiaries for the applicable period, whether paid or accrued and whether or not capitalized to the extent deducted in computing "Consolidated Net Income"; plus</w:t>
      </w:r>
    </w:p>
    <w:p>
      <w:pPr>
        <w:spacing w:after="0" w:line="185" w:lineRule="exact"/>
        <w:rPr>
          <w:rFonts w:ascii="Courier New" w:cs="Courier New" w:eastAsia="Courier New" w:hAnsi="Courier New"/>
          <w:sz w:val="16"/>
          <w:szCs w:val="16"/>
          <w:color w:val="auto"/>
        </w:rPr>
      </w:pPr>
    </w:p>
    <w:p>
      <w:pPr>
        <w:ind w:left="940" w:right="2719" w:hanging="193"/>
        <w:spacing w:after="0" w:line="238" w:lineRule="auto"/>
        <w:tabs>
          <w:tab w:leader="none" w:pos="9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amortization other non-cash expense and restructuring charges recorded in Scotts' fourth fiscal quarter of fiscal 1998 in an amount not to exceed $20.4 million in the aggregate for the applicable period to the extent that this depreciation, amortization and other non-cash expenses were deducted in computing "Consolidated Net Income". Amortization includes amortization of goodwill and other intangibles but excludes amortization of prepaid cash expenses that were paid in a prior period. Non-cash expenses includes any non-cash expense to the extent that it represents an accrual of or reserve for cash expenses in any future period or amortization of a prepaid cash expense that was paid in a prior period; minus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3" w:right="1440" w:bottom="1440" w:gutter="0" w:footer="0" w:header="0"/>
          <w:type w:val="continuous"/>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49</w:t>
      </w:r>
    </w:p>
    <w:p>
      <w:pPr>
        <w:spacing w:after="0" w:line="185" w:lineRule="exact"/>
        <w:rPr>
          <w:sz w:val="20"/>
          <w:szCs w:val="20"/>
          <w:color w:val="auto"/>
        </w:rPr>
      </w:pPr>
    </w:p>
    <w:p>
      <w:pPr>
        <w:ind w:left="940" w:right="2719" w:hanging="193"/>
        <w:spacing w:after="0" w:line="237" w:lineRule="auto"/>
        <w:tabs>
          <w:tab w:leader="none" w:pos="9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non-cash items increasing "Consolidated Net Income" for the applicable period, other than items that were accrued in the ordinary course of business on a consolidated basis and determined in accordance with GAAP.</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calculating "Consolidated Cash Flow," the provision for income taxes of, and the depreciation and amortization and other non-cash charges of, a restricted subsidiary of Scotts will be added to "Consolidated Net Income" to compute "Consolidated Cash Flow" only to the extent that a corresponding amount would be permitted at the date of determination to be dividended to Scotts by the restricted subsidiary pursuant to the terms of its charter and all agreements, instruments, judgments, decrees, orders, statutes, rules and governmental regulations applicable to that subsidiary or its stockholders, other than restrictions in effect as of January 21, 1999 and other than restrictions that are created or exist in compliance with the covenant under the caption "Dividends and Other Payment Restrictions Affecting Subsidiaries".</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"Consolidated Net Income" means, as to Scotts, the aggregate of the "Net Income" of Scotts and its restricted subsidiaries on a consolidated basis determined in accordance with GAAP, with the following exceptions:</w:t>
      </w:r>
    </w:p>
    <w:p>
      <w:pPr>
        <w:spacing w:after="0" w:line="185" w:lineRule="exact"/>
        <w:rPr>
          <w:sz w:val="20"/>
          <w:szCs w:val="20"/>
          <w:color w:val="auto"/>
        </w:rPr>
      </w:pPr>
    </w:p>
    <w:p>
      <w:pPr>
        <w:ind w:left="940" w:right="2719" w:hanging="193"/>
        <w:spacing w:after="0" w:line="237" w:lineRule="auto"/>
        <w:tabs>
          <w:tab w:leader="none" w:pos="9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but not loss of any entity that is not a restricted subsidiary or that is accounted for by the equity method of accounting shall be included only to the extent of the amount of dividends or distributions paid in cash to Scotts or one of its restricted subsidiaries;</w:t>
      </w:r>
    </w:p>
    <w:p>
      <w:pPr>
        <w:spacing w:after="0" w:line="187" w:lineRule="exact"/>
        <w:rPr>
          <w:rFonts w:ascii="Courier New" w:cs="Courier New" w:eastAsia="Courier New" w:hAnsi="Courier New"/>
          <w:sz w:val="16"/>
          <w:szCs w:val="16"/>
          <w:color w:val="auto"/>
        </w:rPr>
      </w:pPr>
    </w:p>
    <w:p>
      <w:pPr>
        <w:ind w:left="940" w:right="2719" w:hanging="193"/>
        <w:spacing w:after="0" w:line="237" w:lineRule="auto"/>
        <w:tabs>
          <w:tab w:leader="none" w:pos="9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of any restricted subsidiary will be excluded to the extent that the restricted subsidiary could not dividend or distribute its "Net Income" to Scotts under applicable law, its agreements or the indenture;</w:t>
      </w:r>
    </w:p>
    <w:p>
      <w:pPr>
        <w:spacing w:after="0" w:line="185"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of any entity acquired in a pooling of interests transaction for any period prior to the date of the acquisition shall be excluded;</w:t>
      </w:r>
    </w:p>
    <w:p>
      <w:pPr>
        <w:spacing w:after="0" w:line="184" w:lineRule="exact"/>
        <w:rPr>
          <w:rFonts w:ascii="Courier New" w:cs="Courier New" w:eastAsia="Courier New" w:hAnsi="Courier New"/>
          <w:sz w:val="16"/>
          <w:szCs w:val="16"/>
          <w:color w:val="auto"/>
        </w:rPr>
      </w:pPr>
    </w:p>
    <w:p>
      <w:pPr>
        <w:ind w:left="940" w:right="2899" w:hanging="193"/>
        <w:spacing w:after="0" w:line="236" w:lineRule="auto"/>
        <w:tabs>
          <w:tab w:leader="none" w:pos="9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but not loss of any unrestricted subsidiary will be excluded, whether or not distributed to the Scotts;</w:t>
      </w:r>
    </w:p>
    <w:p>
      <w:pPr>
        <w:spacing w:after="0" w:line="184" w:lineRule="exact"/>
        <w:rPr>
          <w:rFonts w:ascii="Courier New" w:cs="Courier New" w:eastAsia="Courier New" w:hAnsi="Courier New"/>
          <w:sz w:val="16"/>
          <w:szCs w:val="16"/>
          <w:color w:val="auto"/>
        </w:rPr>
      </w:pPr>
    </w:p>
    <w:p>
      <w:pPr>
        <w:ind w:left="940" w:right="3099" w:hanging="193"/>
        <w:spacing w:after="0" w:line="237" w:lineRule="auto"/>
        <w:tabs>
          <w:tab w:leader="none" w:pos="9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charges and write-offs recorded prior to January 21, 2000, in an aggregate amount of $12.5 million or less will be excluded; and</w:t>
      </w:r>
    </w:p>
    <w:p>
      <w:pPr>
        <w:spacing w:after="0" w:line="184" w:lineRule="exact"/>
        <w:rPr>
          <w:rFonts w:ascii="Courier New" w:cs="Courier New" w:eastAsia="Courier New" w:hAnsi="Courier New"/>
          <w:sz w:val="16"/>
          <w:szCs w:val="16"/>
          <w:color w:val="auto"/>
        </w:rPr>
      </w:pPr>
    </w:p>
    <w:p>
      <w:pPr>
        <w:ind w:left="940" w:right="3099" w:hanging="193"/>
        <w:spacing w:after="0" w:line="236" w:lineRule="auto"/>
        <w:tabs>
          <w:tab w:leader="none" w:pos="9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cumulative effect of a change in accounting principles will be excluded.</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"Continuing Directors" means any member of the Board of Directors of Scotts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w:t>
      </w:r>
    </w:p>
    <w:p>
      <w:pPr>
        <w:spacing w:after="0" w:line="179" w:lineRule="exact"/>
        <w:rPr>
          <w:sz w:val="20"/>
          <w:szCs w:val="20"/>
          <w:color w:val="auto"/>
        </w:rPr>
      </w:pPr>
    </w:p>
    <w:p>
      <w:pPr>
        <w:ind w:left="940" w:hanging="193"/>
        <w:spacing w:after="0"/>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a member of the Board of Directors on January 21, 1999; or</w:t>
      </w:r>
    </w:p>
    <w:p>
      <w:pPr>
        <w:spacing w:after="0" w:line="184" w:lineRule="exact"/>
        <w:rPr>
          <w:rFonts w:ascii="Courier New" w:cs="Courier New" w:eastAsia="Courier New" w:hAnsi="Courier New"/>
          <w:sz w:val="16"/>
          <w:szCs w:val="16"/>
          <w:color w:val="auto"/>
        </w:rPr>
      </w:pPr>
    </w:p>
    <w:p>
      <w:pPr>
        <w:ind w:left="940" w:right="2899" w:hanging="193"/>
        <w:spacing w:after="0" w:line="259" w:lineRule="auto"/>
        <w:tabs>
          <w:tab w:leader="none" w:pos="9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nominated for election or elected to the Board of Directors with the approval of a majority of the "Continuing Directors" who were members of the Board at the time of the nomination or election.</w:t>
      </w:r>
    </w:p>
    <w:p>
      <w:pPr>
        <w:spacing w:after="0" w:line="17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"Fixed Charges" means, as applied to Scotts, the sum, without duplication,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w:t>
      </w:r>
    </w:p>
    <w:p>
      <w:pPr>
        <w:spacing w:after="0" w:line="185" w:lineRule="exact"/>
        <w:rPr>
          <w:sz w:val="20"/>
          <w:szCs w:val="20"/>
          <w:color w:val="auto"/>
        </w:rPr>
      </w:pPr>
    </w:p>
    <w:p>
      <w:pPr>
        <w:ind w:left="940" w:right="2719" w:hanging="193"/>
        <w:spacing w:after="0" w:line="238" w:lineRule="auto"/>
        <w:tabs>
          <w:tab w:leader="none" w:pos="9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net interest expense of Scotts and its restricted subsidiaries for the applicable period including amortization of original issue discount, non-cash interest payments, the interest component of any deferred payment obligations, the interest component of all payments associated with "Capital Lease Obligations," imputed interest on "Attributable Debt," commissions, discounts and other fees and charges incurred on letter of credit or bankers' acceptance financings, and net payments on hedging obligations, but excluding amortization of debt issuance costs and other non-cash amortization; plus</w:t>
      </w:r>
    </w:p>
    <w:p>
      <w:pPr>
        <w:spacing w:after="0" w:line="186" w:lineRule="exact"/>
        <w:rPr>
          <w:rFonts w:ascii="Courier New" w:cs="Courier New" w:eastAsia="Courier New" w:hAnsi="Courier New"/>
          <w:sz w:val="16"/>
          <w:szCs w:val="16"/>
          <w:color w:val="auto"/>
        </w:rPr>
      </w:pPr>
    </w:p>
    <w:p>
      <w:pPr>
        <w:ind w:left="940" w:right="2999" w:hanging="193"/>
        <w:spacing w:after="0" w:line="263" w:lineRule="auto"/>
        <w:tabs>
          <w:tab w:leader="none" w:pos="9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interest of Scotts and its restricted subsidiaries that was capitalized during the applicable period; plus</w:t>
      </w:r>
    </w:p>
    <w:p>
      <w:pPr>
        <w:spacing w:after="0" w:line="168" w:lineRule="exact"/>
        <w:rPr>
          <w:rFonts w:ascii="Courier New" w:cs="Courier New" w:eastAsia="Courier New" w:hAnsi="Courier New"/>
          <w:sz w:val="15"/>
          <w:szCs w:val="15"/>
          <w:color w:val="auto"/>
        </w:rPr>
      </w:pPr>
    </w:p>
    <w:p>
      <w:pPr>
        <w:ind w:left="940" w:right="2819" w:hanging="193"/>
        <w:spacing w:after="0" w:line="237" w:lineRule="auto"/>
        <w:tabs>
          <w:tab w:leader="none" w:pos="9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expense on indebtedness of another entity that is guaranteed by Scotts or one of its restricted subsidiaries or secured by a lien on assets of Scotts or one of its restricted subsidiaries; plus</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3" w:right="1440" w:bottom="1440" w:gutter="0" w:footer="0" w:header="0"/>
          <w:type w:val="continuous"/>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50</w:t>
      </w:r>
    </w:p>
    <w:p>
      <w:pPr>
        <w:spacing w:after="0" w:line="179" w:lineRule="exact"/>
        <w:rPr>
          <w:sz w:val="20"/>
          <w:szCs w:val="20"/>
          <w:color w:val="auto"/>
        </w:rPr>
      </w:pPr>
    </w:p>
    <w:p>
      <w:pPr>
        <w:ind w:left="940" w:hanging="193"/>
        <w:spacing w:after="0"/>
        <w:tabs>
          <w:tab w:leader="none" w:pos="94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dividend payments, whether or not in cash, on any series of preferred stock of Scotts or any of its restricted subsidiaries, other than dividend payments on payable solely in non-redeemable capital stock of Scotts or to Scotts or a restricted subsidiary, times</w:t>
      </w:r>
    </w:p>
    <w:p>
      <w:pPr>
        <w:spacing w:after="0" w:line="187"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fraction, the numerator of which is one and the denominator of which is one minus the then current combined federal, state and local statutory tax rate of Scotts, expressed as a decimal, on a consolidated basis and in accordance with GAAP.</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"Fixed Charge Coverage Ratio," as applied to Scotts, means, the ratio of "Consolidated Cash Flow" to "Fixed Charges" for the applicable period. In the event that Scotts or any of its restricted subsidiaries incurs, assumes, guarantees or redeems any indebtedness other than revolving credit borrowings or issues or redeems preferred stock during the applicable period, then the "Fixed Charge Coverage Ratio" shall be calculated, based on the assumption that the incurrence, assumption, guarantee or redemption of Indebtedness, or such issuance or redemption of preferred stock, had occurred at the beginning of the applicable four-quarter reference period.</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addition, for purposes of calculating the "Fixed Charge Coverage Ratio":</w:t>
      </w:r>
    </w:p>
    <w:p>
      <w:pPr>
        <w:spacing w:after="0" w:line="191" w:lineRule="exact"/>
        <w:rPr>
          <w:sz w:val="20"/>
          <w:szCs w:val="20"/>
          <w:color w:val="auto"/>
        </w:rPr>
      </w:pPr>
    </w:p>
    <w:p>
      <w:pPr>
        <w:ind w:left="940" w:right="2899" w:hanging="193"/>
        <w:spacing w:after="0" w:line="237"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by Scotts or any of its restricted subsidiaries and any related financing transactions that occurs during the applicable period will be assumed to have occurred on the first day of the four-quarter reference period;</w:t>
      </w:r>
    </w:p>
    <w:p>
      <w:pPr>
        <w:spacing w:after="0" w:line="185"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Cash Flow" attributable to discontinued operations, as determined in accordance with GAAP, and operations or businesses disposed of prior to the date triggering calculation of the "Fixed Charge Coverage Ratio" will be excluded; and</w:t>
      </w:r>
    </w:p>
    <w:p>
      <w:pPr>
        <w:spacing w:after="0" w:line="185" w:lineRule="exact"/>
        <w:rPr>
          <w:rFonts w:ascii="Courier New" w:cs="Courier New" w:eastAsia="Courier New" w:hAnsi="Courier New"/>
          <w:sz w:val="16"/>
          <w:szCs w:val="16"/>
          <w:color w:val="auto"/>
        </w:rPr>
      </w:pPr>
    </w:p>
    <w:p>
      <w:pPr>
        <w:ind w:left="940" w:right="2819" w:hanging="193"/>
        <w:spacing w:after="0" w:line="238"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"Fixed Charges" attributable to discontinued operations, as determined in accordance with GAAP, and operations or businesses disposed of prior to the date triggering calculation of the "Fixed Charge Coverage Ratio" will be excluded, but only to the extent that the obligations giving rise to the "Fixed Charges" will not be obligations of Scotts or any of its restricted subsidiaries following that date.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"Net Income", as applied to Scotts, means the net income or loss of Scotts and its restricted subsidiaries, determined in accordance with GAAP and before any reduction for preferred stock dividends. However, "Net Income" excludes the following items:</w:t>
      </w:r>
    </w:p>
    <w:p>
      <w:pPr>
        <w:spacing w:after="0" w:line="186" w:lineRule="exact"/>
        <w:rPr>
          <w:sz w:val="20"/>
          <w:szCs w:val="20"/>
          <w:color w:val="auto"/>
        </w:rPr>
      </w:pPr>
    </w:p>
    <w:p>
      <w:pPr>
        <w:ind w:left="940" w:right="3279" w:hanging="193"/>
        <w:spacing w:after="0" w:line="236" w:lineRule="auto"/>
        <w:tabs>
          <w:tab w:leader="none" w:pos="9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gain or loss, together with any related provision for taxes, realized in connection with:</w:t>
      </w:r>
    </w:p>
    <w:p>
      <w:pPr>
        <w:spacing w:after="0" w:line="184" w:lineRule="exact"/>
        <w:rPr>
          <w:rFonts w:ascii="Courier New" w:cs="Courier New" w:eastAsia="Courier New" w:hAnsi="Courier New"/>
          <w:sz w:val="16"/>
          <w:szCs w:val="16"/>
          <w:color w:val="auto"/>
        </w:rPr>
      </w:pPr>
    </w:p>
    <w:p>
      <w:pPr>
        <w:ind w:left="1220" w:right="2899" w:hanging="192"/>
        <w:spacing w:after="0" w:line="237" w:lineRule="auto"/>
        <w:tabs>
          <w:tab w:leader="none" w:pos="122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 Sale" or any other asset sale involving more than $2.5 million, other than sales of inventory in the ordinary course of business; or</w:t>
      </w:r>
    </w:p>
    <w:p>
      <w:pPr>
        <w:spacing w:after="0" w:line="184" w:lineRule="exact"/>
        <w:rPr>
          <w:rFonts w:ascii="Courier New" w:cs="Courier New" w:eastAsia="Courier New" w:hAnsi="Courier New"/>
          <w:sz w:val="16"/>
          <w:szCs w:val="16"/>
          <w:color w:val="auto"/>
        </w:rPr>
      </w:pPr>
    </w:p>
    <w:p>
      <w:pPr>
        <w:ind w:left="1220" w:right="2899" w:hanging="192"/>
        <w:spacing w:after="0" w:line="259" w:lineRule="auto"/>
        <w:tabs>
          <w:tab w:leader="none" w:pos="122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disposition of any securities by Scotts or any of its restricted subsidiaries or the extinguishment of any indebtedness of Scotts or any of its restricted subsidiaries; and</w:t>
      </w:r>
    </w:p>
    <w:p>
      <w:pPr>
        <w:spacing w:after="0" w:line="171" w:lineRule="exact"/>
        <w:rPr>
          <w:rFonts w:ascii="Courier New" w:cs="Courier New" w:eastAsia="Courier New" w:hAnsi="Courier New"/>
          <w:sz w:val="15"/>
          <w:szCs w:val="15"/>
          <w:color w:val="auto"/>
        </w:rPr>
      </w:pPr>
    </w:p>
    <w:p>
      <w:pPr>
        <w:ind w:left="940" w:right="2999" w:hanging="193"/>
        <w:spacing w:after="0" w:line="236" w:lineRule="auto"/>
        <w:tabs>
          <w:tab w:leader="none" w:pos="9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extraordinary gain or loss, together with any related provision for taxes; and</w:t>
      </w:r>
    </w:p>
    <w:p>
      <w:pPr>
        <w:spacing w:after="0" w:line="184" w:lineRule="exact"/>
        <w:rPr>
          <w:rFonts w:ascii="Courier New" w:cs="Courier New" w:eastAsia="Courier New" w:hAnsi="Courier New"/>
          <w:sz w:val="16"/>
          <w:szCs w:val="16"/>
          <w:color w:val="auto"/>
        </w:rPr>
      </w:pPr>
    </w:p>
    <w:p>
      <w:pPr>
        <w:ind w:left="940" w:right="2819" w:hanging="193"/>
        <w:spacing w:after="0" w:line="236" w:lineRule="auto"/>
        <w:tabs>
          <w:tab w:leader="none" w:pos="9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non-cash expenses attributable to grants or exercises of employee stock options.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"Permitted Liens" means:</w:t>
      </w:r>
    </w:p>
    <w:p>
      <w:pPr>
        <w:spacing w:after="0" w:line="185" w:lineRule="exact"/>
        <w:rPr>
          <w:sz w:val="20"/>
          <w:szCs w:val="20"/>
          <w:color w:val="auto"/>
        </w:rPr>
      </w:pPr>
    </w:p>
    <w:p>
      <w:pPr>
        <w:ind w:left="940" w:right="3179" w:hanging="193"/>
        <w:spacing w:after="0" w:line="236" w:lineRule="auto"/>
        <w:tabs>
          <w:tab w:leader="none" w:pos="9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senior debt that was permitted by the terms of the indenture to be incurred;</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favor of Scotts or the subsidiary guarantors;</w:t>
      </w:r>
    </w:p>
    <w:p>
      <w:pPr>
        <w:spacing w:after="0" w:line="184" w:lineRule="exact"/>
        <w:rPr>
          <w:rFonts w:ascii="Courier New" w:cs="Courier New" w:eastAsia="Courier New" w:hAnsi="Courier New"/>
          <w:sz w:val="16"/>
          <w:szCs w:val="16"/>
          <w:color w:val="auto"/>
        </w:rPr>
      </w:pPr>
    </w:p>
    <w:p>
      <w:pPr>
        <w:ind w:left="940" w:right="2999" w:hanging="193"/>
        <w:spacing w:after="0" w:line="263" w:lineRule="auto"/>
        <w:tabs>
          <w:tab w:leader="none" w:pos="9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pre-existing liens on property of acquired entities, as long as the liens were not entered into in contemplation of the acquisition;</w:t>
      </w:r>
    </w:p>
    <w:p>
      <w:pPr>
        <w:spacing w:after="0" w:line="168" w:lineRule="exact"/>
        <w:rPr>
          <w:rFonts w:ascii="Courier New" w:cs="Courier New" w:eastAsia="Courier New" w:hAnsi="Courier New"/>
          <w:sz w:val="15"/>
          <w:szCs w:val="15"/>
          <w:color w:val="auto"/>
        </w:rPr>
      </w:pPr>
    </w:p>
    <w:p>
      <w:pPr>
        <w:ind w:left="940" w:right="2819" w:hanging="193"/>
        <w:spacing w:after="0" w:line="237" w:lineRule="auto"/>
        <w:tabs>
          <w:tab w:leader="none" w:pos="9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the performance of statutory obligations, surety or appeal bonds, performance bonds or other obligations of a like nature incurred in the ordinary course of business;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3" w:right="1440" w:bottom="1440" w:gutter="0" w:footer="0" w:header="0"/>
          <w:type w:val="continuous"/>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51</w:t>
      </w:r>
    </w:p>
    <w:p>
      <w:pPr>
        <w:spacing w:after="0" w:line="185" w:lineRule="exact"/>
        <w:rPr>
          <w:sz w:val="20"/>
          <w:szCs w:val="20"/>
          <w:color w:val="auto"/>
        </w:rPr>
      </w:pPr>
    </w:p>
    <w:p>
      <w:pPr>
        <w:ind w:left="940" w:right="2999" w:hanging="193"/>
        <w:spacing w:after="0" w:line="237" w:lineRule="auto"/>
        <w:tabs>
          <w:tab w:leader="none" w:pos="9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indebtedness, including "Capital Lease Obligations" permitted by the covenant entitled "Incurrence of Indebtedness and Issuance of Preferred Stock" covering only the assets acquired with the indebtedness;</w:t>
      </w:r>
    </w:p>
    <w:p>
      <w:pPr>
        <w:spacing w:after="0" w:line="180"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existing on January 21, 1999;</w:t>
      </w:r>
    </w:p>
    <w:p>
      <w:pPr>
        <w:spacing w:after="0" w:line="184" w:lineRule="exact"/>
        <w:rPr>
          <w:rFonts w:ascii="Courier New" w:cs="Courier New" w:eastAsia="Courier New" w:hAnsi="Courier New"/>
          <w:sz w:val="16"/>
          <w:szCs w:val="16"/>
          <w:color w:val="auto"/>
        </w:rPr>
      </w:pPr>
    </w:p>
    <w:p>
      <w:pPr>
        <w:ind w:left="940" w:right="2719" w:hanging="193"/>
        <w:spacing w:after="0" w:line="237" w:lineRule="auto"/>
        <w:tabs>
          <w:tab w:leader="none" w:pos="9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subsidiary guarantors to secure senior debt of that subsidiary guarantor that was permitted by the indenture to be incurred;</w:t>
      </w:r>
    </w:p>
    <w:p>
      <w:pPr>
        <w:spacing w:after="0" w:line="184" w:lineRule="exact"/>
        <w:rPr>
          <w:rFonts w:ascii="Courier New" w:cs="Courier New" w:eastAsia="Courier New" w:hAnsi="Courier New"/>
          <w:sz w:val="16"/>
          <w:szCs w:val="16"/>
          <w:color w:val="auto"/>
        </w:rPr>
      </w:pPr>
    </w:p>
    <w:p>
      <w:pPr>
        <w:ind w:left="940" w:right="2819" w:hanging="193"/>
        <w:spacing w:after="0" w:line="257" w:lineRule="auto"/>
        <w:tabs>
          <w:tab w:leader="none" w:pos="9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or governmental charges or claims that are not yet delinquent or that are being contested in good faith by appropriate proceedings promptly instituted and diligently concluded, as long as an adequate reserve has been established under GAAP;</w:t>
      </w:r>
    </w:p>
    <w:p>
      <w:pPr>
        <w:spacing w:after="0" w:line="174" w:lineRule="exact"/>
        <w:rPr>
          <w:rFonts w:ascii="Courier New" w:cs="Courier New" w:eastAsia="Courier New" w:hAnsi="Courier New"/>
          <w:sz w:val="15"/>
          <w:szCs w:val="15"/>
          <w:color w:val="auto"/>
        </w:rPr>
      </w:pPr>
    </w:p>
    <w:p>
      <w:pPr>
        <w:ind w:left="940" w:right="2999" w:hanging="193"/>
        <w:spacing w:after="0" w:line="236" w:lineRule="auto"/>
        <w:tabs>
          <w:tab w:leader="none" w:pos="9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incurred in the ordinary course of business on obligations of $5.0 million or less at any one time outstanding; and</w:t>
      </w:r>
    </w:p>
    <w:p>
      <w:pPr>
        <w:spacing w:after="0" w:line="184" w:lineRule="exact"/>
        <w:rPr>
          <w:rFonts w:ascii="Courier New" w:cs="Courier New" w:eastAsia="Courier New" w:hAnsi="Courier New"/>
          <w:sz w:val="16"/>
          <w:szCs w:val="16"/>
          <w:color w:val="auto"/>
        </w:rPr>
      </w:pPr>
    </w:p>
    <w:p>
      <w:pPr>
        <w:ind w:left="940" w:right="2819" w:hanging="193"/>
        <w:spacing w:after="0" w:line="236" w:lineRule="auto"/>
        <w:tabs>
          <w:tab w:leader="none" w:pos="9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unrestricted subsidiaries that secure non-recourse debt of unrestricted subsidiaries.</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UNITED STATES FEDERAL TAX CONSIDERATIONS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is a general discussion of U.S. federal income tax consequences of the exchange offer. This discussion is based on the current provisions of the Internal Revenue Code of 1986, applicable Treasury regulations, judicial authority and administrative rulings and practice. This discussion is generally limited to the tax consequences to holders that hold notes as capital assets within the meaning of Section 1221 of the Code. There can be no assurance that the Internal Revenue Service will not take a contrary view, and no ruling from the IRS has been or will be sought. Legislative, judicial or administrative changes or interpretations may be forthcoming that could alter or modify these statements and conditions. Any changes or interpretations may or may not be retroactive and could affect the tax consequences to holders. Some holders, including insurance companies, tax-exempt organizations, financial institutions, broker-dealers, foreign corporations and persons who are not citizens or residents of the United States, may be subject to special rules not discussed below.</w:t>
      </w:r>
    </w:p>
    <w:p>
      <w:pPr>
        <w:spacing w:after="0" w:line="190"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For U.S. federal income tax purposes, the exchange of original notes for new, registered notes in the exchange offer should not be treated as a taxable transaction. As a result, there should be no federal income tax consequences to holders exchanging original notes for new, registered notes in the exchange offer. A holder should have the same adjusted basis and holding period in a new, registered note as it had in an original note immediately prior to the exchange.</w:t>
      </w:r>
    </w:p>
    <w:p>
      <w:pPr>
        <w:spacing w:after="0" w:line="17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LEGAL MATTERS</w:t>
      </w:r>
    </w:p>
    <w:p>
      <w:pPr>
        <w:spacing w:after="0" w:line="185"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Legal matters relating to the exchange offer are being passed upon for Scotts by Vorys, Sater, Seymour and Pease LLP, Columbus, Ohio, our outside counsel.</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INDEPENDENT PUBLIC ACCOUNTANTS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audited consolidated financial statements of The Scotts Company and its Subsidiaries as of September 30, 1998 and 1999 and for the years ended September 30, 1997, 1998 and 1999 incorporated by reference in this prospectus have been audited by PricewaterhouseCoopers LLP, independent certified public accountants, as indicated in their report with respect thereto and incorporated by reference herein.</w:t>
      </w:r>
    </w:p>
    <w:p>
      <w:pPr>
        <w:spacing w:after="0" w:line="18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Scotts is required to comply with the reporting requirements of the Exchange Act and must file annual, quarterly and other reports with the Commission. Scotts is also subject to the proxy solicitation requirements of the Exchange Act and, accordingly, will furnish audited financial statements to our shareholders in connection with our annual meetings of shareholders.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293"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52</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Scotts has filed with the Commission a registration statement under the Securities Act covering the notes to be issued in the exchange offer. As permitted by the Commission's rules, this prospectus omits information included in the registration statement. For further information pertaining to the notes, we refer you to the registration statement, including its exhibits. We are also incorporating the following documents into this prospectus by reference:</w:t>
      </w:r>
    </w:p>
    <w:p>
      <w:pPr>
        <w:spacing w:after="0" w:line="175" w:lineRule="exact"/>
        <w:rPr>
          <w:sz w:val="20"/>
          <w:szCs w:val="20"/>
          <w:color w:val="auto"/>
        </w:rPr>
      </w:pPr>
    </w:p>
    <w:p>
      <w:pPr>
        <w:ind w:left="660" w:right="3279" w:hanging="195"/>
        <w:spacing w:after="0" w:line="236" w:lineRule="auto"/>
        <w:tabs>
          <w:tab w:leader="none" w:pos="6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 on Form 10-Q for the three month period ending January 1, 2000;</w:t>
      </w:r>
    </w:p>
    <w:p>
      <w:pPr>
        <w:spacing w:after="0" w:line="184"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fiscal year ended September 30, 1999;</w:t>
      </w:r>
    </w:p>
    <w:p>
      <w:pPr>
        <w:spacing w:after="0" w:line="184"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proxy statement for our 2000 annual meeting of shareholders, as filed with the Commission on January 14, 2000; and</w:t>
      </w:r>
    </w:p>
    <w:p>
      <w:pPr>
        <w:spacing w:after="0" w:line="184" w:lineRule="exact"/>
        <w:rPr>
          <w:rFonts w:ascii="Courier New" w:cs="Courier New" w:eastAsia="Courier New" w:hAnsi="Courier New"/>
          <w:sz w:val="16"/>
          <w:szCs w:val="16"/>
          <w:color w:val="auto"/>
        </w:rPr>
      </w:pPr>
    </w:p>
    <w:p>
      <w:pPr>
        <w:ind w:left="660" w:right="2719" w:hanging="195"/>
        <w:spacing w:after="0" w:line="263" w:lineRule="auto"/>
        <w:tabs>
          <w:tab w:leader="none" w:pos="6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documents that we file under Sections 13(a), 13(c), 14 or 15(d) of the Exchange Act prior to the consummation of the exchange offer.</w:t>
      </w:r>
    </w:p>
    <w:p>
      <w:pPr>
        <w:spacing w:after="0" w:line="16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Any statements made in this prospectus concerning the contents of any contract, agreement or other document constitute summaries of the material terms thereof are not necessarily complete summaries of all of the terms. If we have filed a contract, agreement or other document as an exhibit to the registration statement, you should read the exhibit for a more complete understanding of the document or matter involved. You may read and copy any of the information we file with the Commission at the Commission's public reference rooms at Room 1024, 450 Fifth Street, N.W., Washington, D.C., at 7 World Trade Center, 13th. Floor, New York, New York 10048 and at Citicorp Center, 500 West Madison Street, Suite 1400, Chicago, Illinois 60661-2511. You can also obtain copies of filed documents by mail from the public reference section of the Commission at Room 1024, 450 Fifth Street, N.W., Washington, D.C. 20549 at prescribed rates. Please call the Commission at 1-800-SEC-0330 for further information on the public reference rooms. Filed documents are also available to the public on the Commission's web site at http://www.sec.gov.</w:t>
      </w:r>
    </w:p>
    <w:p>
      <w:pPr>
        <w:spacing w:after="0" w:line="178"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Copies of documents incorporated in this prospectus by reference may be obtained upon request without charge by the contacting us at the following address: The Scotts Company, World Headquarters, 41 South High Street, Suite 3500, Columbus, Ohio 43215, Attention: Treasurer.</w:t>
      </w:r>
    </w:p>
    <w:p>
      <w:pPr>
        <w:spacing w:after="0" w:line="181"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DISCLOSURE REGARDING FORWARD-LOOKING STATEMENTS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This prospectus includes and incorporates by reference "forward looking statements" within the meaning of Section 27A of the Securities Act and Section 21E of the Exchange Act including, in particular, the statements about our plans, strategies and prospects under the headings "Prospectus Summary," "Selected Consolidated Financial Data," "Management's Discussion and Analysis of Financial Condition and Results of Operations" and "Business." Although we believe that our plans, intentions and expectations reflected in or suggested by the forward-looking statements are reasonable, we can give no assurance that our plans, intentions or expectations will be achieved. Important factors that could cause actual results to differ materially from the forward looking statements we make in this prospectus are set forth above under the caption "Risk Factors" and incorporated by reference to "Management's Discussion and Analysis of Financial Condition and Results of Operations -- Forward-Looking Statements" in our Annual Report on Form 10-K for the fiscal year ended September 30, 1999.</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293"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6"/>
          <w:szCs w:val="16"/>
          <w:color w:val="auto"/>
        </w:rPr>
        <w:t>53</w:t>
      </w:r>
    </w:p>
    <w:p>
      <w:pPr>
        <w:spacing w:after="0" w:line="17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$330,000,000</w:t>
      </w:r>
    </w:p>
    <w:p>
      <w:pPr>
        <w:spacing w:after="0" w:line="17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THE SCOTTS COMPANY</w:t>
      </w:r>
    </w:p>
    <w:p>
      <w:pPr>
        <w:spacing w:after="0" w:line="17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6"/>
          <w:szCs w:val="16"/>
          <w:color w:val="auto"/>
        </w:rPr>
        <w:t>8.625% SENIOR SUBORDINATED NOTES DUE 2009</w:t>
      </w:r>
    </w:p>
    <w:p>
      <w:pPr>
        <w:spacing w:after="0" w:line="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REGISTERED UNDER THE SECURITIES ACT OF 1933, AS AMENDED</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[THE SCOTTS COMPANY LOGO]</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PROSPECTUS</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 2000</w:t>
      </w:r>
    </w:p>
    <w:p>
      <w:pPr>
        <w:sectPr>
          <w:pgSz w:w="11900" w:h="16838" w:orient="portrait"/>
          <w:cols w:equalWidth="0" w:num="1">
            <w:col w:w="9939"/>
          </w:cols>
          <w:pgMar w:left="520" w:top="293"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54</w:t>
      </w:r>
    </w:p>
    <w:p>
      <w:pPr>
        <w:jc w:val="center"/>
        <w:ind w:right="2619"/>
        <w:spacing w:after="0"/>
        <w:rPr>
          <w:sz w:val="20"/>
          <w:szCs w:val="20"/>
          <w:color w:val="auto"/>
        </w:rPr>
      </w:pPr>
      <w:r>
        <w:rPr>
          <w:rFonts w:ascii="Courier New" w:cs="Courier New" w:eastAsia="Courier New" w:hAnsi="Courier New"/>
          <w:sz w:val="16"/>
          <w:szCs w:val="16"/>
          <w:color w:val="auto"/>
        </w:rPr>
        <w:t>PART II</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20.</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5" w:lineRule="exact"/>
        <w:rPr>
          <w:sz w:val="20"/>
          <w:szCs w:val="20"/>
          <w:color w:val="auto"/>
        </w:rPr>
      </w:pPr>
    </w:p>
    <w:p>
      <w:pPr>
        <w:ind w:right="3379" w:firstLine="844"/>
        <w:spacing w:after="0" w:line="236" w:lineRule="auto"/>
        <w:rPr>
          <w:sz w:val="20"/>
          <w:szCs w:val="20"/>
          <w:color w:val="auto"/>
        </w:rPr>
      </w:pPr>
      <w:r>
        <w:rPr>
          <w:rFonts w:ascii="Courier New" w:cs="Courier New" w:eastAsia="Courier New" w:hAnsi="Courier New"/>
          <w:sz w:val="16"/>
          <w:szCs w:val="16"/>
          <w:color w:val="auto"/>
        </w:rPr>
        <w:t>Division (E) of Section 1701.13 of the Ohio Revised Code governs indemnification by a corporation and provides as follows:</w:t>
      </w:r>
    </w:p>
    <w:p>
      <w:pPr>
        <w:spacing w:after="0" w:line="185" w:lineRule="exact"/>
        <w:rPr>
          <w:sz w:val="20"/>
          <w:szCs w:val="20"/>
          <w:color w:val="auto"/>
        </w:rPr>
      </w:pPr>
    </w:p>
    <w:p>
      <w:pPr>
        <w:ind w:left="840" w:right="2819" w:firstLine="844"/>
        <w:spacing w:after="0" w:line="255" w:lineRule="auto"/>
        <w:rPr>
          <w:sz w:val="20"/>
          <w:szCs w:val="20"/>
          <w:color w:val="auto"/>
        </w:rPr>
      </w:pPr>
      <w:r>
        <w:rPr>
          <w:rFonts w:ascii="Courier New" w:cs="Courier New" w:eastAsia="Courier New" w:hAnsi="Courier New"/>
          <w:sz w:val="15"/>
          <w:szCs w:val="15"/>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member, manager, or agent of the corporation, or is or was serving at the request of the corporation as a director, trustee, officer, associate,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357" w:lineRule="exact"/>
        <w:rPr>
          <w:sz w:val="20"/>
          <w:szCs w:val="20"/>
          <w:color w:val="auto"/>
        </w:rPr>
      </w:pPr>
    </w:p>
    <w:p>
      <w:pPr>
        <w:ind w:left="840" w:right="2719" w:firstLine="844"/>
        <w:spacing w:after="0" w:line="255" w:lineRule="auto"/>
        <w:tabs>
          <w:tab w:leader="none" w:pos="205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member, manager,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77" w:lineRule="exact"/>
        <w:rPr>
          <w:rFonts w:ascii="Courier New" w:cs="Courier New" w:eastAsia="Courier New" w:hAnsi="Courier New"/>
          <w:sz w:val="15"/>
          <w:szCs w:val="15"/>
          <w:color w:val="auto"/>
        </w:rPr>
      </w:pPr>
    </w:p>
    <w:p>
      <w:pPr>
        <w:ind w:left="1680" w:right="2719" w:firstLine="849"/>
        <w:spacing w:after="0" w:line="238" w:lineRule="auto"/>
        <w:tabs>
          <w:tab w:leader="none" w:pos="2899"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29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55</w:t>
      </w:r>
    </w:p>
    <w:p>
      <w:pPr>
        <w:spacing w:after="0" w:line="4" w:lineRule="exact"/>
        <w:rPr>
          <w:sz w:val="20"/>
          <w:szCs w:val="20"/>
          <w:color w:val="auto"/>
        </w:rPr>
      </w:pPr>
    </w:p>
    <w:p>
      <w:pPr>
        <w:ind w:left="1400" w:right="2819" w:firstLine="849"/>
        <w:spacing w:after="0" w:line="237" w:lineRule="auto"/>
        <w:tabs>
          <w:tab w:leader="none" w:pos="2619"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or suit in which the only liability asserted against a director is pursuant to section 1701.95 of the Revised Code.</w:t>
      </w:r>
    </w:p>
    <w:p>
      <w:pPr>
        <w:spacing w:after="0" w:line="184" w:lineRule="exact"/>
        <w:rPr>
          <w:rFonts w:ascii="Courier New" w:cs="Courier New" w:eastAsia="Courier New" w:hAnsi="Courier New"/>
          <w:sz w:val="16"/>
          <w:szCs w:val="16"/>
          <w:color w:val="auto"/>
        </w:rPr>
      </w:pPr>
    </w:p>
    <w:p>
      <w:pPr>
        <w:ind w:left="560" w:right="2719" w:firstLine="844"/>
        <w:spacing w:after="0" w:line="238" w:lineRule="auto"/>
        <w:tabs>
          <w:tab w:leader="none" w:pos="1779"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84" w:lineRule="exact"/>
        <w:rPr>
          <w:rFonts w:ascii="Courier New" w:cs="Courier New" w:eastAsia="Courier New" w:hAnsi="Courier New"/>
          <w:sz w:val="16"/>
          <w:szCs w:val="16"/>
          <w:color w:val="auto"/>
        </w:rPr>
      </w:pPr>
    </w:p>
    <w:p>
      <w:pPr>
        <w:ind w:left="560" w:right="2719" w:firstLine="844"/>
        <w:spacing w:after="0" w:line="238" w:lineRule="auto"/>
        <w:tabs>
          <w:tab w:leader="none" w:pos="1779"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(E)(1) or (2) of this section. Such determination shall be made as follows:</w:t>
      </w:r>
    </w:p>
    <w:p>
      <w:pPr>
        <w:spacing w:after="0" w:line="184" w:lineRule="exact"/>
        <w:rPr>
          <w:rFonts w:ascii="Courier New" w:cs="Courier New" w:eastAsia="Courier New" w:hAnsi="Courier New"/>
          <w:sz w:val="16"/>
          <w:szCs w:val="16"/>
          <w:color w:val="auto"/>
        </w:rPr>
      </w:pPr>
    </w:p>
    <w:p>
      <w:pPr>
        <w:ind w:left="1400" w:right="2719" w:firstLine="849"/>
        <w:spacing w:after="0" w:line="237" w:lineRule="auto"/>
        <w:tabs>
          <w:tab w:leader="none" w:pos="2619"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majority vote of a quorum consisting of directors of the indemnifying corporation who were not and are not parties to or threatened by the action, suit, or proceeding referred to in division (E)(1) or (2) of this section;</w:t>
      </w:r>
    </w:p>
    <w:p>
      <w:pPr>
        <w:spacing w:after="0" w:line="187" w:lineRule="exact"/>
        <w:rPr>
          <w:rFonts w:ascii="Courier New" w:cs="Courier New" w:eastAsia="Courier New" w:hAnsi="Courier New"/>
          <w:sz w:val="16"/>
          <w:szCs w:val="16"/>
          <w:color w:val="auto"/>
        </w:rPr>
      </w:pPr>
    </w:p>
    <w:p>
      <w:pPr>
        <w:ind w:left="1400" w:right="2819" w:firstLine="849"/>
        <w:spacing w:after="0" w:line="256" w:lineRule="auto"/>
        <w:tabs>
          <w:tab w:leader="none" w:pos="2619"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69" w:lineRule="exact"/>
        <w:rPr>
          <w:rFonts w:ascii="Courier New" w:cs="Courier New" w:eastAsia="Courier New" w:hAnsi="Courier New"/>
          <w:sz w:val="15"/>
          <w:szCs w:val="15"/>
          <w:color w:val="auto"/>
        </w:rPr>
      </w:pPr>
    </w:p>
    <w:p>
      <w:pPr>
        <w:ind w:left="2620" w:hanging="371"/>
        <w:spacing w:after="0"/>
        <w:tabs>
          <w:tab w:leader="none" w:pos="2620"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shareholders; or</w:t>
      </w:r>
    </w:p>
    <w:p>
      <w:pPr>
        <w:spacing w:after="0" w:line="184" w:lineRule="exact"/>
        <w:rPr>
          <w:rFonts w:ascii="Courier New" w:cs="Courier New" w:eastAsia="Courier New" w:hAnsi="Courier New"/>
          <w:sz w:val="16"/>
          <w:szCs w:val="16"/>
          <w:color w:val="auto"/>
        </w:rPr>
      </w:pPr>
    </w:p>
    <w:p>
      <w:pPr>
        <w:ind w:left="1400" w:right="2819" w:firstLine="849"/>
        <w:spacing w:after="0" w:line="237" w:lineRule="auto"/>
        <w:tabs>
          <w:tab w:leader="none" w:pos="2619"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court of common pleas or the court in which such action, suit or proceeding referred to in division (E)(1) or (2) of this section was brought.</w:t>
      </w:r>
    </w:p>
    <w:p>
      <w:pPr>
        <w:spacing w:after="0" w:line="185" w:lineRule="exact"/>
        <w:rPr>
          <w:sz w:val="20"/>
          <w:szCs w:val="20"/>
          <w:color w:val="auto"/>
        </w:rPr>
      </w:pPr>
    </w:p>
    <w:p>
      <w:pPr>
        <w:ind w:left="560" w:right="2719" w:firstLine="844"/>
        <w:spacing w:after="0" w:line="256" w:lineRule="auto"/>
        <w:rPr>
          <w:sz w:val="20"/>
          <w:szCs w:val="20"/>
          <w:color w:val="auto"/>
        </w:rPr>
      </w:pPr>
      <w:r>
        <w:rPr>
          <w:rFonts w:ascii="Courier New" w:cs="Courier New" w:eastAsia="Courier New" w:hAnsi="Courier New"/>
          <w:sz w:val="15"/>
          <w:szCs w:val="15"/>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73" w:lineRule="exact"/>
        <w:rPr>
          <w:sz w:val="20"/>
          <w:szCs w:val="20"/>
          <w:color w:val="auto"/>
        </w:rPr>
      </w:pPr>
    </w:p>
    <w:p>
      <w:pPr>
        <w:ind w:left="560" w:right="2719" w:firstLine="844"/>
        <w:spacing w:after="0" w:line="255" w:lineRule="auto"/>
        <w:rPr>
          <w:sz w:val="20"/>
          <w:szCs w:val="20"/>
          <w:color w:val="auto"/>
        </w:rPr>
      </w:pPr>
      <w:r>
        <w:rPr>
          <w:rFonts w:ascii="Courier New" w:cs="Courier New" w:eastAsia="Courier New" w:hAnsi="Courier New"/>
          <w:sz w:val="15"/>
          <w:szCs w:val="15"/>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both of the following:</w:t>
      </w:r>
    </w:p>
    <w:p>
      <w:pPr>
        <w:spacing w:after="0" w:line="178" w:lineRule="exact"/>
        <w:rPr>
          <w:sz w:val="20"/>
          <w:szCs w:val="20"/>
          <w:color w:val="auto"/>
        </w:rPr>
      </w:pPr>
    </w:p>
    <w:p>
      <w:pPr>
        <w:ind w:left="2240" w:right="2719" w:firstLine="853"/>
        <w:spacing w:after="0" w:line="259" w:lineRule="auto"/>
        <w:tabs>
          <w:tab w:leader="none" w:pos="345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 such amount if it is proved by clear and convincing evidence in a court of competent jurisdiction that his action or failure to act</w:t>
      </w:r>
    </w:p>
    <w:p>
      <w:pPr>
        <w:spacing w:after="0" w:line="34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9939"/>
          </w:cols>
          <w:pgMar w:left="520" w:top="293"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56</w:t>
      </w:r>
    </w:p>
    <w:p>
      <w:pPr>
        <w:ind w:left="2240"/>
        <w:spacing w:after="0"/>
        <w:rPr>
          <w:sz w:val="20"/>
          <w:szCs w:val="20"/>
          <w:color w:val="auto"/>
        </w:rPr>
      </w:pPr>
      <w:r>
        <w:rPr>
          <w:rFonts w:ascii="Courier New" w:cs="Courier New" w:eastAsia="Courier New" w:hAnsi="Courier New"/>
          <w:sz w:val="16"/>
          <w:szCs w:val="16"/>
          <w:color w:val="auto"/>
        </w:rPr>
        <w:t>involved an act or omission undertaken with</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deliberate intent to cause injury to the corporation</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or undertaken with reckless disregard for the best</w:t>
      </w:r>
    </w:p>
    <w:p>
      <w:pPr>
        <w:ind w:left="2240"/>
        <w:spacing w:after="0"/>
        <w:rPr>
          <w:sz w:val="20"/>
          <w:szCs w:val="20"/>
          <w:color w:val="auto"/>
        </w:rPr>
      </w:pPr>
      <w:r>
        <w:rPr>
          <w:rFonts w:ascii="Courier New" w:cs="Courier New" w:eastAsia="Courier New" w:hAnsi="Courier New"/>
          <w:sz w:val="16"/>
          <w:szCs w:val="16"/>
          <w:color w:val="auto"/>
        </w:rPr>
        <w:t>interests of the corporation;</w:t>
      </w:r>
    </w:p>
    <w:p>
      <w:pPr>
        <w:spacing w:after="0" w:line="184" w:lineRule="exact"/>
        <w:rPr>
          <w:sz w:val="20"/>
          <w:szCs w:val="20"/>
          <w:color w:val="auto"/>
        </w:rPr>
      </w:pPr>
    </w:p>
    <w:p>
      <w:pPr>
        <w:jc w:val="both"/>
        <w:ind w:left="2240" w:right="3659" w:firstLine="853"/>
        <w:spacing w:after="0" w:line="237" w:lineRule="auto"/>
        <w:tabs>
          <w:tab w:leader="none" w:pos="3553" w:val="left"/>
        </w:tabs>
        <w:numPr>
          <w:ilvl w:val="2"/>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cooperate with the corporation concerning the action, suit, or proceeding.</w:t>
      </w:r>
    </w:p>
    <w:p>
      <w:pPr>
        <w:spacing w:after="0" w:line="184" w:lineRule="exact"/>
        <w:rPr>
          <w:rFonts w:ascii="Courier New" w:cs="Courier New" w:eastAsia="Courier New" w:hAnsi="Courier New"/>
          <w:sz w:val="16"/>
          <w:szCs w:val="16"/>
          <w:color w:val="auto"/>
        </w:rPr>
      </w:pPr>
    </w:p>
    <w:p>
      <w:pPr>
        <w:ind w:left="1400" w:right="2719" w:firstLine="849"/>
        <w:spacing w:after="0" w:line="238" w:lineRule="auto"/>
        <w:tabs>
          <w:tab w:leader="none" w:pos="2619"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87" w:lineRule="exact"/>
        <w:rPr>
          <w:rFonts w:ascii="Courier New" w:cs="Courier New" w:eastAsia="Courier New" w:hAnsi="Courier New"/>
          <w:sz w:val="16"/>
          <w:szCs w:val="16"/>
          <w:color w:val="auto"/>
        </w:rPr>
      </w:pPr>
    </w:p>
    <w:p>
      <w:pPr>
        <w:ind w:left="560" w:right="2819" w:firstLine="844"/>
        <w:spacing w:after="0" w:line="238" w:lineRule="auto"/>
        <w:tabs>
          <w:tab w:leader="none" w:pos="177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86" w:lineRule="exact"/>
        <w:rPr>
          <w:rFonts w:ascii="Courier New" w:cs="Courier New" w:eastAsia="Courier New" w:hAnsi="Courier New"/>
          <w:sz w:val="16"/>
          <w:szCs w:val="16"/>
          <w:color w:val="auto"/>
        </w:rPr>
      </w:pPr>
    </w:p>
    <w:p>
      <w:pPr>
        <w:ind w:left="560" w:right="2719" w:firstLine="844"/>
        <w:spacing w:after="0" w:line="238" w:lineRule="auto"/>
        <w:tabs>
          <w:tab w:leader="none" w:pos="177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89" w:lineRule="exact"/>
        <w:rPr>
          <w:rFonts w:ascii="Courier New" w:cs="Courier New" w:eastAsia="Courier New" w:hAnsi="Courier New"/>
          <w:sz w:val="16"/>
          <w:szCs w:val="16"/>
          <w:color w:val="auto"/>
        </w:rPr>
      </w:pPr>
    </w:p>
    <w:p>
      <w:pPr>
        <w:ind w:left="560" w:right="2819" w:firstLine="844"/>
        <w:spacing w:after="0" w:line="254" w:lineRule="auto"/>
        <w:tabs>
          <w:tab w:leader="none" w:pos="177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authority of a corporation to indemnify persons pursuant to division (E)(1) or (2) of this section does not limit the payment of expenses as they are incurred, indemnification, insurance, or other protection that may be provided pursuant to divisions (E)(5),</w:t>
      </w:r>
    </w:p>
    <w:p>
      <w:pPr>
        <w:spacing w:after="0" w:line="2" w:lineRule="exact"/>
        <w:rPr>
          <w:rFonts w:ascii="Courier New" w:cs="Courier New" w:eastAsia="Courier New" w:hAnsi="Courier New"/>
          <w:sz w:val="15"/>
          <w:szCs w:val="15"/>
          <w:color w:val="auto"/>
        </w:rPr>
      </w:pPr>
    </w:p>
    <w:p>
      <w:pPr>
        <w:ind w:left="560" w:right="28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(6), and (7) of this section. Divisions (E)(1) and (2) of this section do not create any obligation to repay or return payments made by the corporation pursuant to division (E)(5), (6), or (7).</w:t>
      </w:r>
    </w:p>
    <w:p>
      <w:pPr>
        <w:spacing w:after="0" w:line="184" w:lineRule="exact"/>
        <w:rPr>
          <w:rFonts w:ascii="Courier New" w:cs="Courier New" w:eastAsia="Courier New" w:hAnsi="Courier New"/>
          <w:sz w:val="15"/>
          <w:szCs w:val="15"/>
          <w:color w:val="auto"/>
        </w:rPr>
      </w:pPr>
    </w:p>
    <w:p>
      <w:pPr>
        <w:ind w:left="560" w:right="2719" w:firstLine="844"/>
        <w:spacing w:after="0" w:line="238" w:lineRule="auto"/>
        <w:tabs>
          <w:tab w:leader="none" w:pos="177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w:t>
      </w:r>
    </w:p>
    <w:p>
      <w:pPr>
        <w:spacing w:after="0" w:line="36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939"/>
          </w:cols>
          <w:pgMar w:left="520" w:top="293" w:right="1440" w:bottom="1440" w:gutter="0" w:footer="0" w:header="0"/>
        </w:sectPr>
      </w:pPr>
    </w:p>
    <w:bookmarkStart w:id="59" w:name="page60"/>
    <w:bookmarkEnd w:id="59"/>
    <w:p>
      <w:pPr>
        <w:ind w:left="284"/>
        <w:spacing w:after="0"/>
        <w:rPr>
          <w:sz w:val="20"/>
          <w:szCs w:val="20"/>
          <w:color w:val="auto"/>
        </w:rPr>
      </w:pPr>
      <w:r>
        <w:rPr>
          <w:rFonts w:ascii="Courier New" w:cs="Courier New" w:eastAsia="Courier New" w:hAnsi="Courier New"/>
          <w:sz w:val="16"/>
          <w:szCs w:val="16"/>
          <w:color w:val="auto"/>
        </w:rPr>
        <w:t>57</w:t>
      </w:r>
    </w:p>
    <w:p>
      <w:pPr>
        <w:ind w:left="844"/>
        <w:spacing w:after="0"/>
        <w:rPr>
          <w:sz w:val="20"/>
          <w:szCs w:val="20"/>
          <w:color w:val="auto"/>
        </w:rPr>
      </w:pPr>
      <w:r>
        <w:rPr>
          <w:rFonts w:ascii="Courier New" w:cs="Courier New" w:eastAsia="Courier New" w:hAnsi="Courier New"/>
          <w:sz w:val="16"/>
          <w:szCs w:val="16"/>
          <w:color w:val="auto"/>
        </w:rPr>
        <w:t>surviving corporation in the same capacity.</w:t>
      </w:r>
    </w:p>
    <w:p>
      <w:pPr>
        <w:spacing w:after="0" w:line="184" w:lineRule="exact"/>
        <w:rPr>
          <w:sz w:val="20"/>
          <w:szCs w:val="20"/>
          <w:color w:val="auto"/>
        </w:rPr>
      </w:pPr>
    </w:p>
    <w:p>
      <w:pPr>
        <w:ind w:left="4" w:right="3759" w:firstLine="844"/>
        <w:spacing w:after="0" w:line="236" w:lineRule="auto"/>
        <w:rPr>
          <w:sz w:val="20"/>
          <w:szCs w:val="20"/>
          <w:color w:val="auto"/>
        </w:rPr>
      </w:pPr>
      <w:r>
        <w:rPr>
          <w:rFonts w:ascii="Courier New" w:cs="Courier New" w:eastAsia="Courier New" w:hAnsi="Courier New"/>
          <w:sz w:val="16"/>
          <w:szCs w:val="16"/>
          <w:color w:val="auto"/>
        </w:rPr>
        <w:t>Section 5.01 of the Registrant's Code of Regulations governs indemnification by Registrant and provides as follows:</w:t>
      </w:r>
    </w:p>
    <w:p>
      <w:pPr>
        <w:spacing w:after="0" w:line="185" w:lineRule="exact"/>
        <w:rPr>
          <w:sz w:val="20"/>
          <w:szCs w:val="20"/>
          <w:color w:val="auto"/>
        </w:rPr>
      </w:pPr>
    </w:p>
    <w:p>
      <w:pPr>
        <w:ind w:left="844" w:right="2719" w:firstLine="844"/>
        <w:spacing w:after="0" w:line="255" w:lineRule="auto"/>
        <w:rPr>
          <w:sz w:val="20"/>
          <w:szCs w:val="20"/>
          <w:color w:val="auto"/>
        </w:rPr>
      </w:pPr>
      <w:r>
        <w:rPr>
          <w:rFonts w:ascii="Courier New" w:cs="Courier New" w:eastAsia="Courier New" w:hAnsi="Courier New"/>
          <w:sz w:val="15"/>
          <w:szCs w:val="15"/>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76" w:lineRule="exact"/>
        <w:rPr>
          <w:sz w:val="20"/>
          <w:szCs w:val="20"/>
          <w:color w:val="auto"/>
        </w:rPr>
      </w:pPr>
    </w:p>
    <w:p>
      <w:pPr>
        <w:jc w:val="both"/>
        <w:ind w:left="4" w:right="2899" w:firstLine="844"/>
        <w:spacing w:after="0" w:line="237" w:lineRule="auto"/>
        <w:rPr>
          <w:sz w:val="20"/>
          <w:szCs w:val="20"/>
          <w:color w:val="auto"/>
        </w:rPr>
      </w:pPr>
      <w:r>
        <w:rPr>
          <w:rFonts w:ascii="Courier New" w:cs="Courier New" w:eastAsia="Courier New" w:hAnsi="Courier New"/>
          <w:sz w:val="16"/>
          <w:szCs w:val="16"/>
          <w:color w:val="auto"/>
        </w:rPr>
        <w:t>In addition, the Registrant currently provides insurance coverage to its directors and officers against certain liabilities which might be incurred by them in such capacity.</w:t>
      </w:r>
    </w:p>
    <w:p>
      <w:pPr>
        <w:spacing w:after="0" w:line="360" w:lineRule="exact"/>
        <w:rPr>
          <w:sz w:val="20"/>
          <w:szCs w:val="20"/>
          <w:color w:val="auto"/>
        </w:rPr>
      </w:pPr>
    </w:p>
    <w:p>
      <w:pPr>
        <w:ind w:left="4"/>
        <w:spacing w:after="0"/>
        <w:tabs>
          <w:tab w:leader="none" w:pos="1283" w:val="left"/>
        </w:tabs>
        <w:rPr>
          <w:sz w:val="20"/>
          <w:szCs w:val="20"/>
          <w:color w:val="auto"/>
        </w:rPr>
      </w:pPr>
      <w:r>
        <w:rPr>
          <w:rFonts w:ascii="Courier New" w:cs="Courier New" w:eastAsia="Courier New" w:hAnsi="Courier New"/>
          <w:sz w:val="16"/>
          <w:szCs w:val="16"/>
          <w:color w:val="auto"/>
        </w:rPr>
        <w:t>ITEM 21.</w:t>
      </w:r>
      <w:r>
        <w:rPr>
          <w:sz w:val="20"/>
          <w:szCs w:val="20"/>
          <w:color w:val="auto"/>
        </w:rPr>
        <w:tab/>
      </w:r>
      <w:r>
        <w:rPr>
          <w:rFonts w:ascii="Courier New" w:cs="Courier New" w:eastAsia="Courier New" w:hAnsi="Courier New"/>
          <w:sz w:val="15"/>
          <w:szCs w:val="15"/>
          <w:color w:val="auto"/>
        </w:rPr>
        <w:t>EXHIBITS AND FINANCIAL STATEMENT SCHEDULES</w:t>
      </w:r>
    </w:p>
    <w:p>
      <w:pPr>
        <w:spacing w:after="0" w:line="179" w:lineRule="exact"/>
        <w:rPr>
          <w:sz w:val="20"/>
          <w:szCs w:val="20"/>
          <w:color w:val="auto"/>
        </w:rPr>
      </w:pPr>
    </w:p>
    <w:p>
      <w:pPr>
        <w:ind w:left="1304"/>
        <w:spacing w:after="0"/>
        <w:tabs>
          <w:tab w:leader="none" w:pos="1863" w:val="left"/>
        </w:tabs>
        <w:rPr>
          <w:sz w:val="20"/>
          <w:szCs w:val="20"/>
          <w:color w:val="auto"/>
        </w:rPr>
      </w:pPr>
      <w:r>
        <w:rPr>
          <w:rFonts w:ascii="Courier New" w:cs="Courier New" w:eastAsia="Courier New" w:hAnsi="Courier New"/>
          <w:sz w:val="16"/>
          <w:szCs w:val="16"/>
          <w:color w:val="auto"/>
        </w:rPr>
        <w:t>(a)</w:t>
        <w:tab/>
        <w:t>EXHIBITS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Exhibit</w:t>
      </w:r>
    </w:p>
    <w:p>
      <w:pPr>
        <w:ind w:left="184"/>
        <w:spacing w:after="0"/>
        <w:tabs>
          <w:tab w:leader="none" w:pos="1483"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Description</w:t>
      </w:r>
    </w:p>
    <w:p>
      <w:pPr>
        <w:ind w:left="184"/>
        <w:spacing w:after="0" w:line="237" w:lineRule="auto"/>
        <w:tabs>
          <w:tab w:leader="none" w:pos="148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60" w:lineRule="exact"/>
        <w:rPr>
          <w:sz w:val="20"/>
          <w:szCs w:val="20"/>
          <w:color w:val="auto"/>
        </w:rPr>
      </w:pPr>
    </w:p>
    <w:p>
      <w:pPr>
        <w:ind w:left="4"/>
        <w:spacing w:after="0"/>
        <w:tabs>
          <w:tab w:leader="none" w:pos="1483"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Asset Purchase Agreement dated as of November 11, 1998, between</w:t>
      </w:r>
    </w:p>
    <w:p>
      <w:pPr>
        <w:ind w:left="1504"/>
        <w:spacing w:after="0"/>
        <w:rPr>
          <w:sz w:val="20"/>
          <w:szCs w:val="20"/>
          <w:color w:val="auto"/>
        </w:rPr>
      </w:pPr>
      <w:r>
        <w:rPr>
          <w:rFonts w:ascii="Courier New" w:cs="Courier New" w:eastAsia="Courier New" w:hAnsi="Courier New"/>
          <w:sz w:val="16"/>
          <w:szCs w:val="16"/>
          <w:color w:val="auto"/>
        </w:rPr>
        <w:t>Monsanto Company and the Registrant (incorporated herein by</w:t>
      </w:r>
    </w:p>
    <w:p>
      <w:pPr>
        <w:ind w:left="1504"/>
        <w:spacing w:after="0" w:line="237" w:lineRule="auto"/>
        <w:rPr>
          <w:sz w:val="20"/>
          <w:szCs w:val="20"/>
          <w:color w:val="auto"/>
        </w:rPr>
      </w:pPr>
      <w:r>
        <w:rPr>
          <w:rFonts w:ascii="Courier New" w:cs="Courier New" w:eastAsia="Courier New" w:hAnsi="Courier New"/>
          <w:sz w:val="16"/>
          <w:szCs w:val="16"/>
          <w:color w:val="auto"/>
        </w:rPr>
        <w:t>reference to Exhibit 2(d) to the Registrant's Annual Report</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5"/>
          <w:szCs w:val="15"/>
          <w:color w:val="auto"/>
        </w:rPr>
        <w:t>on Form 10-K for the fiscal year ended September 30, 1999 (File</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No. 001-13292)). Certain portions of this exhibit have been</w:t>
      </w:r>
    </w:p>
    <w:p>
      <w:pPr>
        <w:ind w:left="1504"/>
        <w:spacing w:after="0"/>
        <w:rPr>
          <w:sz w:val="20"/>
          <w:szCs w:val="20"/>
          <w:color w:val="auto"/>
        </w:rPr>
      </w:pPr>
      <w:r>
        <w:rPr>
          <w:rFonts w:ascii="Courier New" w:cs="Courier New" w:eastAsia="Courier New" w:hAnsi="Courier New"/>
          <w:sz w:val="16"/>
          <w:szCs w:val="16"/>
          <w:color w:val="auto"/>
        </w:rPr>
        <w:t>omitted based upon a request for confidential treatment filed</w:t>
      </w:r>
    </w:p>
    <w:p>
      <w:pPr>
        <w:ind w:left="1504"/>
        <w:spacing w:after="0" w:line="237" w:lineRule="auto"/>
        <w:rPr>
          <w:sz w:val="20"/>
          <w:szCs w:val="20"/>
          <w:color w:val="auto"/>
        </w:rPr>
      </w:pPr>
      <w:r>
        <w:rPr>
          <w:rFonts w:ascii="Courier New" w:cs="Courier New" w:eastAsia="Courier New" w:hAnsi="Courier New"/>
          <w:sz w:val="16"/>
          <w:szCs w:val="16"/>
          <w:color w:val="auto"/>
        </w:rPr>
        <w:t>with the Commission. The non-public information has been filed</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5"/>
          <w:szCs w:val="15"/>
          <w:color w:val="auto"/>
        </w:rPr>
        <w:t>separately with the Commission in connection with that request.</w:t>
      </w:r>
    </w:p>
    <w:p>
      <w:pPr>
        <w:spacing w:after="0" w:line="186" w:lineRule="exact"/>
        <w:rPr>
          <w:sz w:val="20"/>
          <w:szCs w:val="20"/>
          <w:color w:val="auto"/>
        </w:rPr>
      </w:pPr>
    </w:p>
    <w:p>
      <w:pPr>
        <w:ind w:left="4"/>
        <w:spacing w:after="0"/>
        <w:tabs>
          <w:tab w:leader="none" w:pos="1483"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5"/>
          <w:szCs w:val="15"/>
          <w:color w:val="auto"/>
        </w:rPr>
        <w:t>Amended and Restated Agency and Marketing Agreement dated as of</w:t>
      </w:r>
    </w:p>
    <w:p>
      <w:pPr>
        <w:ind w:left="1504"/>
        <w:spacing w:after="0"/>
        <w:rPr>
          <w:sz w:val="20"/>
          <w:szCs w:val="20"/>
          <w:color w:val="auto"/>
        </w:rPr>
      </w:pPr>
      <w:r>
        <w:rPr>
          <w:rFonts w:ascii="Courier New" w:cs="Courier New" w:eastAsia="Courier New" w:hAnsi="Courier New"/>
          <w:sz w:val="16"/>
          <w:szCs w:val="16"/>
          <w:color w:val="auto"/>
        </w:rPr>
        <w:t>September 30, 1998 between Monsanto Company and the Registrant</w:t>
      </w:r>
    </w:p>
    <w:p>
      <w:pPr>
        <w:ind w:left="1504"/>
        <w:spacing w:after="0" w:line="237" w:lineRule="auto"/>
        <w:rPr>
          <w:sz w:val="20"/>
          <w:szCs w:val="20"/>
          <w:color w:val="auto"/>
        </w:rPr>
      </w:pPr>
      <w:r>
        <w:rPr>
          <w:rFonts w:ascii="Courier New" w:cs="Courier New" w:eastAsia="Courier New" w:hAnsi="Courier New"/>
          <w:sz w:val="16"/>
          <w:szCs w:val="16"/>
          <w:color w:val="auto"/>
        </w:rPr>
        <w:t>(incorporated herein by reference to Exhibit 10(v) to the</w:t>
      </w:r>
    </w:p>
    <w:p>
      <w:pPr>
        <w:ind w:left="1504"/>
        <w:spacing w:after="0"/>
        <w:rPr>
          <w:sz w:val="20"/>
          <w:szCs w:val="20"/>
          <w:color w:val="auto"/>
        </w:rPr>
      </w:pPr>
      <w:r>
        <w:rPr>
          <w:rFonts w:ascii="Courier New" w:cs="Courier New" w:eastAsia="Courier New" w:hAnsi="Courier New"/>
          <w:sz w:val="16"/>
          <w:szCs w:val="16"/>
          <w:color w:val="auto"/>
        </w:rPr>
        <w:t>Registrant's Annual Report on Form 10-K for the fiscal</w:t>
      </w:r>
    </w:p>
    <w:p>
      <w:pPr>
        <w:ind w:left="1504"/>
        <w:spacing w:after="0" w:line="238" w:lineRule="auto"/>
        <w:rPr>
          <w:sz w:val="20"/>
          <w:szCs w:val="20"/>
          <w:color w:val="auto"/>
        </w:rPr>
      </w:pPr>
      <w:r>
        <w:rPr>
          <w:rFonts w:ascii="Courier New" w:cs="Courier New" w:eastAsia="Courier New" w:hAnsi="Courier New"/>
          <w:sz w:val="16"/>
          <w:szCs w:val="16"/>
          <w:color w:val="auto"/>
        </w:rPr>
        <w:t>year ended September 30, 1999 (File No. 001-13292)). Certain</w:t>
      </w:r>
    </w:p>
    <w:p>
      <w:pPr>
        <w:spacing w:after="0" w:line="4" w:lineRule="exact"/>
        <w:rPr>
          <w:sz w:val="20"/>
          <w:szCs w:val="20"/>
          <w:color w:val="auto"/>
        </w:rPr>
      </w:pPr>
    </w:p>
    <w:p>
      <w:pPr>
        <w:ind w:left="1504"/>
        <w:spacing w:after="0"/>
        <w:rPr>
          <w:sz w:val="20"/>
          <w:szCs w:val="20"/>
          <w:color w:val="auto"/>
        </w:rPr>
      </w:pPr>
      <w:r>
        <w:rPr>
          <w:rFonts w:ascii="Courier New" w:cs="Courier New" w:eastAsia="Courier New" w:hAnsi="Courier New"/>
          <w:sz w:val="15"/>
          <w:szCs w:val="15"/>
          <w:color w:val="auto"/>
        </w:rPr>
        <w:t>portions of this exhibit have been omitted based upon a request</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for confidential treatment filed with the Commission. The</w:t>
      </w:r>
    </w:p>
    <w:p>
      <w:pPr>
        <w:ind w:left="1504"/>
        <w:spacing w:after="0"/>
        <w:rPr>
          <w:sz w:val="20"/>
          <w:szCs w:val="20"/>
          <w:color w:val="auto"/>
        </w:rPr>
      </w:pPr>
      <w:r>
        <w:rPr>
          <w:rFonts w:ascii="Courier New" w:cs="Courier New" w:eastAsia="Courier New" w:hAnsi="Courier New"/>
          <w:sz w:val="16"/>
          <w:szCs w:val="16"/>
          <w:color w:val="auto"/>
        </w:rPr>
        <w:t>non-public information has been filed separately with the</w:t>
      </w:r>
    </w:p>
    <w:p>
      <w:pPr>
        <w:ind w:left="1504"/>
        <w:spacing w:after="0" w:line="237" w:lineRule="auto"/>
        <w:rPr>
          <w:sz w:val="20"/>
          <w:szCs w:val="20"/>
          <w:color w:val="auto"/>
        </w:rPr>
      </w:pPr>
      <w:r>
        <w:rPr>
          <w:rFonts w:ascii="Courier New" w:cs="Courier New" w:eastAsia="Courier New" w:hAnsi="Courier New"/>
          <w:sz w:val="16"/>
          <w:szCs w:val="16"/>
          <w:color w:val="auto"/>
        </w:rPr>
        <w:t>Commission in connection with that request.</w:t>
      </w:r>
    </w:p>
    <w:p>
      <w:pPr>
        <w:spacing w:after="0" w:line="360" w:lineRule="exact"/>
        <w:rPr>
          <w:sz w:val="20"/>
          <w:szCs w:val="20"/>
          <w:color w:val="auto"/>
        </w:rPr>
      </w:pPr>
    </w:p>
    <w:p>
      <w:pPr>
        <w:ind w:left="4"/>
        <w:spacing w:after="0"/>
        <w:tabs>
          <w:tab w:leader="none" w:pos="1483"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Indenture dated as January 20, 1999 between The Scotts Company</w:t>
      </w:r>
    </w:p>
    <w:p>
      <w:pPr>
        <w:ind w:left="1504"/>
        <w:spacing w:after="0"/>
        <w:rPr>
          <w:sz w:val="20"/>
          <w:szCs w:val="20"/>
          <w:color w:val="auto"/>
        </w:rPr>
      </w:pPr>
      <w:r>
        <w:rPr>
          <w:rFonts w:ascii="Courier New" w:cs="Courier New" w:eastAsia="Courier New" w:hAnsi="Courier New"/>
          <w:sz w:val="16"/>
          <w:szCs w:val="16"/>
          <w:color w:val="auto"/>
        </w:rPr>
        <w:t>and State Street Bank and Trust Company, as trustee</w:t>
      </w:r>
    </w:p>
    <w:p>
      <w:pPr>
        <w:spacing w:after="0" w:line="179" w:lineRule="exact"/>
        <w:rPr>
          <w:sz w:val="20"/>
          <w:szCs w:val="20"/>
          <w:color w:val="auto"/>
        </w:rPr>
      </w:pPr>
    </w:p>
    <w:p>
      <w:pPr>
        <w:ind w:left="1504" w:hanging="1504"/>
        <w:spacing w:after="0"/>
        <w:tabs>
          <w:tab w:leader="none" w:pos="150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Vorys, Sater, Seymour and Pease LLP</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9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380" w:type="dxa"/>
            <w:vAlign w:val="bottom"/>
          </w:tcPr>
          <w:p>
            <w:pPr>
              <w:ind w:left="560"/>
              <w:spacing w:after="0"/>
              <w:rPr>
                <w:sz w:val="20"/>
                <w:szCs w:val="20"/>
                <w:color w:val="auto"/>
              </w:rPr>
            </w:pPr>
            <w:r>
              <w:rPr>
                <w:rFonts w:ascii="Courier New" w:cs="Courier New" w:eastAsia="Courier New" w:hAnsi="Courier New"/>
                <w:sz w:val="16"/>
                <w:szCs w:val="16"/>
                <w:color w:val="auto"/>
              </w:rPr>
              <w:t>Computation of Ratio of Earnings to Fixed Charges</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380" w:type="dxa"/>
            <w:vAlign w:val="bottom"/>
          </w:tcPr>
          <w:p>
            <w:pPr>
              <w:ind w:left="560"/>
              <w:spacing w:after="0"/>
              <w:rPr>
                <w:sz w:val="20"/>
                <w:szCs w:val="20"/>
                <w:color w:val="auto"/>
              </w:rPr>
            </w:pPr>
            <w:r>
              <w:rPr>
                <w:rFonts w:ascii="Courier New" w:cs="Courier New" w:eastAsia="Courier New" w:hAnsi="Courier New"/>
                <w:sz w:val="16"/>
                <w:szCs w:val="16"/>
                <w:color w:val="auto"/>
                <w:w w:val="97"/>
              </w:rPr>
              <w:t>Consent of PricewaterhouseCoopers LLP, Independent Accountants</w:t>
            </w:r>
          </w:p>
        </w:tc>
      </w:tr>
    </w:tbl>
    <w:p>
      <w:pPr>
        <w:spacing w:after="0" w:line="200" w:lineRule="exact"/>
        <w:rPr>
          <w:sz w:val="20"/>
          <w:szCs w:val="20"/>
          <w:color w:val="auto"/>
        </w:rPr>
      </w:pPr>
    </w:p>
    <w:p>
      <w:pPr>
        <w:sectPr>
          <w:pgSz w:w="11900" w:h="16838" w:orient="portrait"/>
          <w:cols w:equalWidth="0" w:num="1">
            <w:col w:w="10223"/>
          </w:cols>
          <w:pgMar w:left="236" w:top="293" w:right="1440" w:bottom="1440" w:gutter="0" w:footer="0" w:header="0"/>
        </w:sectPr>
      </w:pPr>
    </w:p>
    <w:p>
      <w:pPr>
        <w:spacing w:after="0" w:line="165"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3"/>
          </w:cols>
          <w:pgMar w:left="236" w:top="293" w:right="1440" w:bottom="1440" w:gutter="0" w:footer="0" w:header="0"/>
          <w:type w:val="continuous"/>
        </w:sectPr>
      </w:pPr>
    </w:p>
    <w:bookmarkStart w:id="60" w:name="page61"/>
    <w:bookmarkEnd w:id="60"/>
    <w:p>
      <w:pPr>
        <w:spacing w:after="0" w:line="7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58</w:t>
            </w:r>
          </w:p>
        </w:tc>
        <w:tc>
          <w:tcPr>
            <w:tcW w:w="5960" w:type="dxa"/>
            <w:vAlign w:val="bottom"/>
          </w:tcPr>
          <w:p>
            <w:pPr>
              <w:spacing w:after="0"/>
              <w:rPr>
                <w:sz w:val="15"/>
                <w:szCs w:val="15"/>
                <w:color w:val="auto"/>
              </w:rPr>
            </w:pPr>
          </w:p>
        </w:tc>
      </w:tr>
      <w:tr>
        <w:trPr>
          <w:trHeight w:val="180"/>
        </w:trPr>
        <w:tc>
          <w:tcPr>
            <w:tcW w:w="108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8"/>
              </w:rPr>
              <w:t>Exhibit</w:t>
            </w:r>
          </w:p>
        </w:tc>
        <w:tc>
          <w:tcPr>
            <w:tcW w:w="5960" w:type="dxa"/>
            <w:vAlign w:val="bottom"/>
          </w:tcPr>
          <w:p>
            <w:pPr>
              <w:spacing w:after="0"/>
              <w:rPr>
                <w:sz w:val="15"/>
                <w:szCs w:val="15"/>
                <w:color w:val="auto"/>
              </w:rPr>
            </w:pPr>
          </w:p>
        </w:tc>
      </w:tr>
      <w:tr>
        <w:trPr>
          <w:trHeight w:val="180"/>
        </w:trPr>
        <w:tc>
          <w:tcPr>
            <w:tcW w:w="1080" w:type="dxa"/>
            <w:vAlign w:val="bottom"/>
          </w:tcPr>
          <w:p>
            <w:pPr>
              <w:jc w:val="center"/>
              <w:ind w:right="362"/>
              <w:spacing w:after="0"/>
              <w:rPr>
                <w:sz w:val="20"/>
                <w:szCs w:val="20"/>
                <w:color w:val="auto"/>
              </w:rPr>
            </w:pPr>
            <w:r>
              <w:rPr>
                <w:rFonts w:ascii="Courier New" w:cs="Courier New" w:eastAsia="Courier New" w:hAnsi="Courier New"/>
                <w:sz w:val="16"/>
                <w:szCs w:val="16"/>
                <w:color w:val="auto"/>
                <w:w w:val="97"/>
              </w:rPr>
              <w:t>No.</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Description</w:t>
            </w:r>
          </w:p>
        </w:tc>
      </w:tr>
      <w:tr>
        <w:trPr>
          <w:trHeight w:val="180"/>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w w:val="97"/>
              </w:rPr>
              <w:t>Consent of Vorys, Sater, Seymour and Pease LLP (included in</w:t>
            </w:r>
          </w:p>
        </w:tc>
      </w:tr>
      <w:tr>
        <w:trPr>
          <w:trHeight w:val="180"/>
        </w:trPr>
        <w:tc>
          <w:tcPr>
            <w:tcW w:w="1080" w:type="dxa"/>
            <w:vAlign w:val="bottom"/>
          </w:tcPr>
          <w:p>
            <w:pPr>
              <w:spacing w:after="0"/>
              <w:rPr>
                <w:sz w:val="15"/>
                <w:szCs w:val="15"/>
                <w:color w:val="auto"/>
              </w:rPr>
            </w:pP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Exhibit 5)</w:t>
            </w:r>
          </w:p>
        </w:tc>
      </w:tr>
      <w:tr>
        <w:trPr>
          <w:trHeight w:val="541"/>
        </w:trPr>
        <w:tc>
          <w:tcPr>
            <w:tcW w:w="108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Powers of Attorney</w:t>
            </w:r>
          </w:p>
        </w:tc>
      </w:tr>
      <w:tr>
        <w:trPr>
          <w:trHeight w:val="541"/>
        </w:trPr>
        <w:tc>
          <w:tcPr>
            <w:tcW w:w="1080" w:type="dxa"/>
            <w:vAlign w:val="bottom"/>
          </w:tcPr>
          <w:p>
            <w:pPr>
              <w:spacing w:after="0"/>
              <w:rPr>
                <w:sz w:val="20"/>
                <w:szCs w:val="20"/>
                <w:color w:val="auto"/>
              </w:rPr>
            </w:pPr>
            <w:r>
              <w:rPr>
                <w:rFonts w:ascii="Courier New" w:cs="Courier New" w:eastAsia="Courier New" w:hAnsi="Courier New"/>
                <w:sz w:val="16"/>
                <w:szCs w:val="16"/>
                <w:color w:val="auto"/>
              </w:rPr>
              <w:t>25**</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Form T-1 - Statement of Eligibility of Trustee</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Letter of Transmittal</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960" w:type="dxa"/>
            <w:vAlign w:val="bottom"/>
          </w:tcPr>
          <w:p>
            <w:pPr>
              <w:spacing w:after="0"/>
              <w:rPr>
                <w:sz w:val="24"/>
                <w:szCs w:val="24"/>
                <w:color w:val="auto"/>
              </w:rPr>
            </w:pPr>
          </w:p>
        </w:tc>
      </w:tr>
    </w:tbl>
    <w:p>
      <w:pPr>
        <w:spacing w:after="0" w:line="185" w:lineRule="exact"/>
        <w:rPr>
          <w:sz w:val="20"/>
          <w:szCs w:val="20"/>
          <w:color w:val="auto"/>
        </w:rPr>
      </w:pPr>
    </w:p>
    <w:p>
      <w:pPr>
        <w:ind w:left="4" w:right="7499" w:hanging="4"/>
        <w:spacing w:after="0" w:line="518" w:lineRule="auto"/>
        <w:tabs>
          <w:tab w:leader="none" w:pos="37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 Previously filed.</w:t>
      </w:r>
    </w:p>
    <w:p>
      <w:pPr>
        <w:spacing w:after="0" w:line="348" w:lineRule="exact"/>
        <w:rPr>
          <w:rFonts w:ascii="Courier New" w:cs="Courier New" w:eastAsia="Courier New" w:hAnsi="Courier New"/>
          <w:sz w:val="15"/>
          <w:szCs w:val="15"/>
          <w:color w:val="auto"/>
        </w:rPr>
      </w:pPr>
    </w:p>
    <w:p>
      <w:pPr>
        <w:ind w:left="1884" w:right="5619" w:hanging="571"/>
        <w:spacing w:after="0" w:line="471" w:lineRule="auto"/>
        <w:tabs>
          <w:tab w:leader="none" w:pos="1884"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SCHEDULES None</w:t>
      </w:r>
    </w:p>
    <w:p>
      <w:pPr>
        <w:spacing w:after="0" w:line="5" w:lineRule="exact"/>
        <w:rPr>
          <w:sz w:val="20"/>
          <w:szCs w:val="20"/>
          <w:color w:val="auto"/>
        </w:rPr>
      </w:pPr>
    </w:p>
    <w:p>
      <w:pPr>
        <w:ind w:left="4"/>
        <w:spacing w:after="0"/>
        <w:tabs>
          <w:tab w:leader="none" w:pos="1283" w:val="left"/>
        </w:tabs>
        <w:rPr>
          <w:sz w:val="20"/>
          <w:szCs w:val="20"/>
          <w:color w:val="auto"/>
        </w:rPr>
      </w:pPr>
      <w:r>
        <w:rPr>
          <w:rFonts w:ascii="Courier New" w:cs="Courier New" w:eastAsia="Courier New" w:hAnsi="Courier New"/>
          <w:sz w:val="16"/>
          <w:szCs w:val="16"/>
          <w:color w:val="auto"/>
        </w:rPr>
        <w:t>ITEM 22.</w:t>
      </w:r>
      <w:r>
        <w:rPr>
          <w:sz w:val="20"/>
          <w:szCs w:val="20"/>
          <w:color w:val="auto"/>
        </w:rPr>
        <w:tab/>
      </w:r>
      <w:r>
        <w:rPr>
          <w:rFonts w:ascii="Courier New" w:cs="Courier New" w:eastAsia="Courier New" w:hAnsi="Courier New"/>
          <w:sz w:val="15"/>
          <w:szCs w:val="15"/>
          <w:color w:val="auto"/>
        </w:rPr>
        <w:t>UNDERTAKINGS.</w:t>
      </w:r>
    </w:p>
    <w:p>
      <w:pPr>
        <w:spacing w:after="0" w:line="185" w:lineRule="exact"/>
        <w:rPr>
          <w:sz w:val="20"/>
          <w:szCs w:val="20"/>
          <w:color w:val="auto"/>
        </w:rPr>
      </w:pPr>
    </w:p>
    <w:p>
      <w:pPr>
        <w:ind w:left="4" w:right="2719" w:firstLine="840"/>
        <w:spacing w:after="0" w:line="238" w:lineRule="auto"/>
        <w:tabs>
          <w:tab w:leader="none" w:pos="1223"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5" w:lineRule="exact"/>
        <w:rPr>
          <w:rFonts w:ascii="Courier New" w:cs="Courier New" w:eastAsia="Courier New" w:hAnsi="Courier New"/>
          <w:sz w:val="16"/>
          <w:szCs w:val="16"/>
          <w:color w:val="auto"/>
        </w:rPr>
      </w:pPr>
    </w:p>
    <w:p>
      <w:pPr>
        <w:ind w:left="4" w:right="2819" w:firstLine="840"/>
        <w:spacing w:after="0" w:line="255" w:lineRule="auto"/>
        <w:tabs>
          <w:tab w:leader="none" w:pos="122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145,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4" w:right="2819" w:firstLine="840"/>
        <w:spacing w:after="0" w:line="238" w:lineRule="auto"/>
        <w:tabs>
          <w:tab w:leader="none" w:pos="1223"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0" w:lineRule="exact"/>
        <w:rPr>
          <w:rFonts w:ascii="Courier New" w:cs="Courier New" w:eastAsia="Courier New" w:hAnsi="Courier New"/>
          <w:sz w:val="16"/>
          <w:szCs w:val="16"/>
          <w:color w:val="auto"/>
        </w:rPr>
      </w:pPr>
    </w:p>
    <w:p>
      <w:pPr>
        <w:ind w:left="4" w:right="2819" w:firstLine="840"/>
        <w:spacing w:after="0" w:line="237" w:lineRule="auto"/>
        <w:tabs>
          <w:tab w:leader="none" w:pos="1223"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80" w:lineRule="exact"/>
        <w:rPr>
          <w:rFonts w:ascii="Courier New" w:cs="Courier New" w:eastAsia="Courier New" w:hAnsi="Courier New"/>
          <w:sz w:val="16"/>
          <w:szCs w:val="16"/>
          <w:color w:val="auto"/>
        </w:rPr>
      </w:pPr>
    </w:p>
    <w:p>
      <w:pPr>
        <w:ind w:left="1224" w:hanging="380"/>
        <w:spacing w:after="0"/>
        <w:tabs>
          <w:tab w:leader="none" w:pos="1224"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4" w:lineRule="exact"/>
        <w:rPr>
          <w:rFonts w:ascii="Courier New" w:cs="Courier New" w:eastAsia="Courier New" w:hAnsi="Courier New"/>
          <w:sz w:val="16"/>
          <w:szCs w:val="16"/>
          <w:color w:val="auto"/>
        </w:rPr>
      </w:pPr>
    </w:p>
    <w:p>
      <w:pPr>
        <w:ind w:left="1604" w:right="3099" w:hanging="384"/>
        <w:spacing w:after="0" w:line="237" w:lineRule="auto"/>
        <w:tabs>
          <w:tab w:leader="none" w:pos="1604"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4" w:lineRule="exact"/>
        <w:rPr>
          <w:rFonts w:ascii="Courier New" w:cs="Courier New" w:eastAsia="Courier New" w:hAnsi="Courier New"/>
          <w:sz w:val="16"/>
          <w:szCs w:val="16"/>
          <w:color w:val="auto"/>
        </w:rPr>
      </w:pPr>
    </w:p>
    <w:p>
      <w:pPr>
        <w:ind w:left="2164" w:right="2719" w:hanging="569"/>
        <w:spacing w:after="0" w:line="236" w:lineRule="auto"/>
        <w:tabs>
          <w:tab w:leader="none" w:pos="2164" w:val="left"/>
        </w:tabs>
        <w:numPr>
          <w:ilvl w:val="2"/>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4" w:lineRule="exact"/>
        <w:rPr>
          <w:rFonts w:ascii="Courier New" w:cs="Courier New" w:eastAsia="Courier New" w:hAnsi="Courier New"/>
          <w:sz w:val="16"/>
          <w:szCs w:val="16"/>
          <w:color w:val="auto"/>
        </w:rPr>
      </w:pPr>
    </w:p>
    <w:p>
      <w:pPr>
        <w:ind w:left="2164" w:right="2819" w:hanging="569"/>
        <w:spacing w:after="0" w:line="255" w:lineRule="auto"/>
        <w:tabs>
          <w:tab w:leader="none" w:pos="2164" w:val="left"/>
        </w:tabs>
        <w:numPr>
          <w:ilvl w:val="2"/>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w:t>
      </w:r>
    </w:p>
    <w:p>
      <w:pPr>
        <w:sectPr>
          <w:pgSz w:w="11900" w:h="16914" w:orient="portrait"/>
          <w:cols w:equalWidth="0" w:num="1">
            <w:col w:w="10223"/>
          </w:cols>
          <w:pgMar w:left="236" w:top="293" w:right="1440" w:bottom="0" w:gutter="0" w:footer="0" w:header="0"/>
        </w:sectPr>
      </w:pPr>
    </w:p>
    <w:bookmarkStart w:id="61" w:name="page62"/>
    <w:bookmarkEnd w:id="61"/>
    <w:p>
      <w:pPr>
        <w:ind w:left="1320" w:right="2719"/>
        <w:spacing w:after="0" w:line="238" w:lineRule="auto"/>
        <w:rPr>
          <w:sz w:val="20"/>
          <w:szCs w:val="20"/>
          <w:color w:val="auto"/>
        </w:rPr>
      </w:pPr>
      <w:r>
        <w:rPr>
          <w:rFonts w:ascii="Courier New" w:cs="Courier New" w:eastAsia="Courier New" w:hAnsi="Courier New"/>
          <w:sz w:val="16"/>
          <w:szCs w:val="16"/>
          <w:color w:val="auto"/>
        </w:rPr>
        <w:t>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5" w:lineRule="exact"/>
        <w:rPr>
          <w:sz w:val="20"/>
          <w:szCs w:val="20"/>
          <w:color w:val="auto"/>
        </w:rPr>
      </w:pPr>
    </w:p>
    <w:p>
      <w:pPr>
        <w:ind w:left="1320" w:right="2899" w:hanging="569"/>
        <w:spacing w:after="0" w:line="237" w:lineRule="auto"/>
        <w:tabs>
          <w:tab w:leader="none" w:pos="1320" w:val="left"/>
        </w:tabs>
        <w:numPr>
          <w:ilvl w:val="2"/>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nay material change to such information in the registration statement.</w:t>
      </w:r>
    </w:p>
    <w:p>
      <w:pPr>
        <w:spacing w:after="0" w:line="185" w:lineRule="exact"/>
        <w:rPr>
          <w:rFonts w:ascii="Courier New" w:cs="Courier New" w:eastAsia="Courier New" w:hAnsi="Courier New"/>
          <w:sz w:val="16"/>
          <w:szCs w:val="16"/>
          <w:color w:val="auto"/>
        </w:rPr>
      </w:pPr>
    </w:p>
    <w:p>
      <w:pPr>
        <w:ind w:left="760" w:right="2819" w:hanging="384"/>
        <w:spacing w:after="0" w:line="237" w:lineRule="auto"/>
        <w:tabs>
          <w:tab w:leader="none" w:pos="760"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Courier New" w:cs="Courier New" w:eastAsia="Courier New" w:hAnsi="Courier New"/>
          <w:sz w:val="16"/>
          <w:szCs w:val="16"/>
          <w:color w:val="auto"/>
        </w:rPr>
      </w:pPr>
    </w:p>
    <w:p>
      <w:pPr>
        <w:ind w:left="760" w:right="2899" w:hanging="384"/>
        <w:spacing w:after="0" w:line="237" w:lineRule="auto"/>
        <w:tabs>
          <w:tab w:leader="none" w:pos="760"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4" w:lineRule="exact"/>
        <w:rPr>
          <w:rFonts w:ascii="Courier New" w:cs="Courier New" w:eastAsia="Courier New" w:hAnsi="Courier New"/>
          <w:sz w:val="16"/>
          <w:szCs w:val="16"/>
          <w:color w:val="auto"/>
        </w:rPr>
      </w:pPr>
    </w:p>
    <w:p>
      <w:pPr>
        <w:ind w:left="760" w:right="2719" w:hanging="384"/>
        <w:spacing w:after="0" w:line="238" w:lineRule="auto"/>
        <w:tabs>
          <w:tab w:leader="none" w:pos="760"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registrant is a foreign private issuer, to file a post-effective amendment to the registration statement to include any financial statements required by Rule 3-19 of regulation S-X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w:t>
      </w:r>
    </w:p>
    <w:p>
      <w:pPr>
        <w:spacing w:after="0" w:line="5" w:lineRule="exact"/>
        <w:rPr>
          <w:rFonts w:ascii="Courier New" w:cs="Courier New" w:eastAsia="Courier New" w:hAnsi="Courier New"/>
          <w:sz w:val="16"/>
          <w:szCs w:val="16"/>
          <w:color w:val="auto"/>
        </w:rPr>
      </w:pPr>
    </w:p>
    <w:p>
      <w:pPr>
        <w:ind w:left="760"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(5)(d)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87" w:lineRule="exact"/>
        <w:rPr>
          <w:rFonts w:ascii="Courier New" w:cs="Courier New" w:eastAsia="Courier New" w:hAnsi="Courier New"/>
          <w:sz w:val="16"/>
          <w:szCs w:val="16"/>
          <w:color w:val="auto"/>
        </w:rPr>
      </w:pPr>
    </w:p>
    <w:p>
      <w:pPr>
        <w:ind w:left="-840" w:right="2819" w:firstLine="840"/>
        <w:spacing w:after="0" w:line="255" w:lineRule="auto"/>
        <w:tabs>
          <w:tab w:leader="none" w:pos="56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840" w:right="2719" w:firstLine="840"/>
        <w:spacing w:after="0" w:line="237" w:lineRule="auto"/>
        <w:tabs>
          <w:tab w:leader="none" w:pos="567"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87" w:lineRule="exact"/>
        <w:rPr>
          <w:rFonts w:ascii="Courier New" w:cs="Courier New" w:eastAsia="Courier New" w:hAnsi="Courier New"/>
          <w:sz w:val="16"/>
          <w:szCs w:val="16"/>
          <w:color w:val="auto"/>
        </w:rPr>
      </w:pPr>
    </w:p>
    <w:p>
      <w:pPr>
        <w:ind w:left="-840" w:right="2899" w:firstLine="840"/>
        <w:spacing w:after="0" w:line="238" w:lineRule="auto"/>
        <w:tabs>
          <w:tab w:leader="none" w:pos="567"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9379"/>
          </w:cols>
          <w:pgMar w:left="1080" w:top="142" w:right="1440" w:bottom="1440" w:gutter="0" w:footer="0" w:header="0"/>
        </w:sectPr>
      </w:pPr>
    </w:p>
    <w:bookmarkStart w:id="62" w:name="page63"/>
    <w:bookmarkEnd w:id="62"/>
    <w:p>
      <w:pPr>
        <w:ind w:left="284"/>
        <w:spacing w:after="0"/>
        <w:rPr>
          <w:sz w:val="20"/>
          <w:szCs w:val="20"/>
          <w:color w:val="auto"/>
        </w:rPr>
      </w:pPr>
      <w:r>
        <w:rPr>
          <w:rFonts w:ascii="Courier New" w:cs="Courier New" w:eastAsia="Courier New" w:hAnsi="Courier New"/>
          <w:sz w:val="16"/>
          <w:szCs w:val="16"/>
          <w:color w:val="auto"/>
        </w:rPr>
        <w:t>59</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Columbus, State of Ohio, on April 18, 2000.</w:t>
      </w:r>
    </w:p>
    <w:p>
      <w:pPr>
        <w:spacing w:after="0" w:line="181"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THE SCOTTS COMPANY</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328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rPr>
          <w:sz w:val="20"/>
          <w:szCs w:val="20"/>
          <w:color w:val="auto"/>
        </w:rPr>
      </w:pPr>
      <w:r>
        <w:rPr>
          <w:rFonts w:ascii="Courier New" w:cs="Courier New" w:eastAsia="Courier New" w:hAnsi="Courier New"/>
          <w:sz w:val="16"/>
          <w:szCs w:val="16"/>
          <w:color w:val="auto"/>
        </w:rPr>
        <w:t>Chairman, President and</w:t>
      </w:r>
    </w:p>
    <w:p>
      <w:pPr>
        <w:spacing w:after="0" w:line="237" w:lineRule="auto"/>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2">
            <w:col w:w="3464" w:space="100"/>
            <w:col w:w="6659"/>
          </w:cols>
          <w:pgMar w:left="236" w:top="293" w:right="1440" w:bottom="1440" w:gutter="0" w:footer="0" w:header="0"/>
          <w:type w:val="continuous"/>
        </w:sectPr>
      </w:pPr>
    </w:p>
    <w:p>
      <w:pPr>
        <w:spacing w:after="0" w:line="165"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2 to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6"/>
                <w:szCs w:val="16"/>
                <w:color w:val="auto"/>
              </w:rPr>
              <w:t>Signature</w:t>
            </w:r>
          </w:p>
        </w:tc>
        <w:tc>
          <w:tcPr>
            <w:tcW w:w="4080" w:type="dxa"/>
            <w:vAlign w:val="bottom"/>
          </w:tcPr>
          <w:p>
            <w:pPr>
              <w:ind w:left="1560"/>
              <w:spacing w:after="0"/>
              <w:rPr>
                <w:sz w:val="20"/>
                <w:szCs w:val="20"/>
                <w:color w:val="auto"/>
              </w:rPr>
            </w:pPr>
            <w:r>
              <w:rPr>
                <w:rFonts w:ascii="Courier New" w:cs="Courier New" w:eastAsia="Courier New" w:hAnsi="Courier New"/>
                <w:sz w:val="16"/>
                <w:szCs w:val="16"/>
                <w:color w:val="auto"/>
              </w:rPr>
              <w:t>Title</w:t>
            </w:r>
          </w:p>
        </w:tc>
        <w:tc>
          <w:tcPr>
            <w:tcW w:w="198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3"/>
              </w:rPr>
              <w:t>Date</w:t>
            </w:r>
          </w:p>
        </w:tc>
      </w:tr>
      <w:tr>
        <w:trPr>
          <w:trHeight w:val="180"/>
        </w:trPr>
        <w:tc>
          <w:tcPr>
            <w:tcW w:w="380" w:type="dxa"/>
            <w:vAlign w:val="bottom"/>
          </w:tcPr>
          <w:p>
            <w:pPr>
              <w:spacing w:after="0"/>
              <w:rPr>
                <w:sz w:val="15"/>
                <w:szCs w:val="15"/>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4080" w:type="dxa"/>
            <w:vAlign w:val="bottom"/>
          </w:tcPr>
          <w:p>
            <w:pPr>
              <w:ind w:left="156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/s/ CHARLES M. BERGER*</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Chairman of the Board, President</w:t>
            </w:r>
          </w:p>
        </w:tc>
        <w:tc>
          <w:tcPr>
            <w:tcW w:w="198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8"/>
              </w:rPr>
              <w:t>April 18,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ind w:left="620"/>
              <w:spacing w:after="0"/>
              <w:rPr>
                <w:sz w:val="20"/>
                <w:szCs w:val="20"/>
                <w:color w:val="auto"/>
              </w:rPr>
            </w:pPr>
            <w:r>
              <w:rPr>
                <w:rFonts w:ascii="Courier New" w:cs="Courier New" w:eastAsia="Courier New" w:hAnsi="Courier New"/>
                <w:sz w:val="16"/>
                <w:szCs w:val="16"/>
                <w:color w:val="auto"/>
              </w:rPr>
              <w:t>and CEO</w:t>
            </w:r>
          </w:p>
        </w:tc>
        <w:tc>
          <w:tcPr>
            <w:tcW w:w="198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CHARLES M. BERGER</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(Principal Executive Officer)</w:t>
            </w:r>
          </w:p>
        </w:tc>
        <w:tc>
          <w:tcPr>
            <w:tcW w:w="1980" w:type="dxa"/>
            <w:vAlign w:val="bottom"/>
          </w:tcPr>
          <w:p>
            <w:pPr>
              <w:spacing w:after="0"/>
              <w:rPr>
                <w:sz w:val="15"/>
                <w:szCs w:val="15"/>
                <w:color w:val="auto"/>
              </w:rPr>
            </w:pPr>
          </w:p>
        </w:tc>
      </w:tr>
      <w:tr>
        <w:trPr>
          <w:trHeight w:val="361"/>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/s/ PATRICK J. NORTON*</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Interim Chief Financial Officer</w:t>
            </w:r>
          </w:p>
        </w:tc>
        <w:tc>
          <w:tcPr>
            <w:tcW w:w="198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8"/>
              </w:rPr>
              <w:t>April 18,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PATRICK J. NORTON</w:t>
            </w:r>
          </w:p>
        </w:tc>
        <w:tc>
          <w:tcPr>
            <w:tcW w:w="40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61"/>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/s/ JAMES B. BEARD*</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198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8"/>
              </w:rPr>
              <w:t>April 18,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JAMES B. BEARD</w:t>
            </w:r>
          </w:p>
        </w:tc>
        <w:tc>
          <w:tcPr>
            <w:tcW w:w="40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61"/>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/s/ JOSEPH P. FLANNERY*</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198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8"/>
              </w:rPr>
              <w:t>April 18,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JOSEPH P. FLANNERY</w:t>
            </w:r>
          </w:p>
        </w:tc>
        <w:tc>
          <w:tcPr>
            <w:tcW w:w="40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61"/>
        </w:trPr>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500" w:type="dxa"/>
            <w:vAlign w:val="bottom"/>
          </w:tcPr>
          <w:p>
            <w:pPr>
              <w:ind w:left="80"/>
              <w:spacing w:after="0"/>
              <w:rPr>
                <w:sz w:val="20"/>
                <w:szCs w:val="20"/>
                <w:color w:val="auto"/>
              </w:rPr>
            </w:pPr>
            <w:r>
              <w:rPr>
                <w:rFonts w:ascii="Courier New" w:cs="Courier New" w:eastAsia="Courier New" w:hAnsi="Courier New"/>
                <w:sz w:val="16"/>
                <w:szCs w:val="16"/>
                <w:color w:val="auto"/>
              </w:rPr>
              <w:t>HORACE HAGEDORN*</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198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8"/>
              </w:rPr>
              <w:t>April 18,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HORACE HAGEDORN</w:t>
            </w:r>
          </w:p>
        </w:tc>
        <w:tc>
          <w:tcPr>
            <w:tcW w:w="40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61"/>
        </w:trPr>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500" w:type="dxa"/>
            <w:vAlign w:val="bottom"/>
          </w:tcPr>
          <w:p>
            <w:pPr>
              <w:ind w:left="80"/>
              <w:spacing w:after="0"/>
              <w:rPr>
                <w:sz w:val="20"/>
                <w:szCs w:val="20"/>
                <w:color w:val="auto"/>
              </w:rPr>
            </w:pPr>
            <w:r>
              <w:rPr>
                <w:rFonts w:ascii="Courier New" w:cs="Courier New" w:eastAsia="Courier New" w:hAnsi="Courier New"/>
                <w:sz w:val="16"/>
                <w:szCs w:val="16"/>
                <w:color w:val="auto"/>
              </w:rPr>
              <w:t>JAMES H. HAGEDORN*</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198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8"/>
              </w:rPr>
              <w:t>April 18,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JAMES H. HAGEDORN</w:t>
            </w:r>
          </w:p>
        </w:tc>
        <w:tc>
          <w:tcPr>
            <w:tcW w:w="40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61"/>
        </w:trPr>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500" w:type="dxa"/>
            <w:vAlign w:val="bottom"/>
          </w:tcPr>
          <w:p>
            <w:pPr>
              <w:ind w:left="80"/>
              <w:spacing w:after="0"/>
              <w:rPr>
                <w:sz w:val="20"/>
                <w:szCs w:val="20"/>
                <w:color w:val="auto"/>
              </w:rPr>
            </w:pPr>
            <w:r>
              <w:rPr>
                <w:rFonts w:ascii="Courier New" w:cs="Courier New" w:eastAsia="Courier New" w:hAnsi="Courier New"/>
                <w:sz w:val="16"/>
                <w:szCs w:val="16"/>
                <w:color w:val="auto"/>
              </w:rPr>
              <w:t>ALBERT E. HARRIS*</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198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8"/>
              </w:rPr>
              <w:t>April 18, 2000</w:t>
            </w:r>
          </w:p>
        </w:tc>
      </w:tr>
    </w:tbl>
    <w:p>
      <w:pPr>
        <w:ind w:left="184" w:hanging="184"/>
        <w:spacing w:after="0"/>
        <w:tabs>
          <w:tab w:leader="none" w:pos="18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ALBERT E. HARRIS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23"/>
          </w:cols>
          <w:pgMar w:left="236" w:top="293" w:right="1440" w:bottom="1440" w:gutter="0" w:footer="0" w:header="0"/>
          <w:type w:val="continuous"/>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Signature</w:t>
      </w:r>
    </w:p>
    <w:p>
      <w:pPr>
        <w:ind w:left="130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spacing w:after="0"/>
        <w:tabs>
          <w:tab w:leader="none" w:pos="440" w:val="left"/>
          <w:tab w:leader="none" w:pos="1000" w:val="left"/>
        </w:tabs>
        <w:rPr>
          <w:sz w:val="20"/>
          <w:szCs w:val="20"/>
          <w:color w:val="auto"/>
        </w:rPr>
      </w:pPr>
      <w:r>
        <w:rPr>
          <w:rFonts w:ascii="Courier New" w:cs="Courier New" w:eastAsia="Courier New" w:hAnsi="Courier New"/>
          <w:sz w:val="16"/>
          <w:szCs w:val="16"/>
          <w:color w:val="auto"/>
        </w:rPr>
        <w:t>/s/</w:t>
        <w:tab/>
        <w:t>JOHN</w:t>
      </w:r>
      <w:r>
        <w:rPr>
          <w:sz w:val="20"/>
          <w:szCs w:val="20"/>
          <w:color w:val="auto"/>
        </w:rPr>
        <w:tab/>
      </w:r>
      <w:r>
        <w:rPr>
          <w:rFonts w:ascii="Courier New" w:cs="Courier New" w:eastAsia="Courier New" w:hAnsi="Courier New"/>
          <w:sz w:val="15"/>
          <w:szCs w:val="15"/>
          <w:color w:val="auto"/>
        </w:rPr>
        <w:t>KENLON*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JOHN KENLON</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KAREN G. MILLS*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KAREN G. MILLS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PATRICK J. NORTON*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M. SULLIVAN*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JOHN M. SULLIVAN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 JACK VAN FOSSEN*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 JACK VAN FOSSEN</w:t>
      </w:r>
    </w:p>
    <w:p>
      <w:pPr>
        <w:spacing w:after="0" w:line="17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JOHN WALKER,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7" w:lineRule="exact"/>
        <w:rPr>
          <w:sz w:val="20"/>
          <w:szCs w:val="20"/>
          <w:color w:val="auto"/>
        </w:rPr>
      </w:pPr>
    </w:p>
    <w:p>
      <w:pPr>
        <w:sectPr>
          <w:pgSz w:w="11900" w:h="16838" w:orient="portrait"/>
          <w:cols w:equalWidth="0" w:num="4">
            <w:col w:w="3600" w:space="720"/>
            <w:col w:w="740" w:space="380"/>
            <w:col w:w="2380" w:space="720"/>
            <w:col w:w="1679"/>
          </w:cols>
          <w:pgMar w:left="240" w:top="29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ind w:left="380"/>
        <w:spacing w:after="0" w:line="237" w:lineRule="auto"/>
        <w:rPr>
          <w:sz w:val="20"/>
          <w:szCs w:val="20"/>
          <w:color w:val="auto"/>
        </w:rPr>
      </w:pPr>
      <w:r>
        <w:rPr>
          <w:rFonts w:ascii="Courier New" w:cs="Courier New" w:eastAsia="Courier New" w:hAnsi="Courier New"/>
          <w:sz w:val="16"/>
          <w:szCs w:val="16"/>
          <w:color w:val="auto"/>
        </w:rPr>
        <w:t>JOHN WALKER, PH.D.</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G. ROBERT LUCAS</w:t>
      </w:r>
    </w:p>
    <w:p>
      <w:pPr>
        <w:ind w:left="380"/>
        <w:spacing w:after="0"/>
        <w:rPr>
          <w:sz w:val="20"/>
          <w:szCs w:val="20"/>
          <w:color w:val="auto"/>
        </w:rPr>
      </w:pPr>
      <w:r>
        <w:rPr>
          <w:rFonts w:ascii="Courier New" w:cs="Courier New" w:eastAsia="Courier New" w:hAnsi="Courier New"/>
          <w:sz w:val="16"/>
          <w:szCs w:val="16"/>
          <w:color w:val="auto"/>
        </w:rPr>
        <w:t>-------------------------------</w:t>
      </w:r>
    </w:p>
    <w:p>
      <w:pPr>
        <w:ind w:left="380"/>
        <w:spacing w:after="0" w:line="237" w:lineRule="auto"/>
        <w:rPr>
          <w:sz w:val="20"/>
          <w:szCs w:val="20"/>
          <w:color w:val="auto"/>
        </w:rPr>
      </w:pPr>
      <w:r>
        <w:rPr>
          <w:rFonts w:ascii="Courier New" w:cs="Courier New" w:eastAsia="Courier New" w:hAnsi="Courier New"/>
          <w:sz w:val="16"/>
          <w:szCs w:val="16"/>
          <w:color w:val="auto"/>
        </w:rPr>
        <w:t>G. ROBERT LUCAS</w:t>
      </w:r>
    </w:p>
    <w:p>
      <w:pPr>
        <w:ind w:left="380"/>
        <w:spacing w:after="0"/>
        <w:rPr>
          <w:sz w:val="20"/>
          <w:szCs w:val="20"/>
          <w:color w:val="auto"/>
        </w:rPr>
      </w:pPr>
      <w:r>
        <w:rPr>
          <w:rFonts w:ascii="Courier New" w:cs="Courier New" w:eastAsia="Courier New" w:hAnsi="Courier New"/>
          <w:sz w:val="16"/>
          <w:szCs w:val="16"/>
          <w:color w:val="auto"/>
        </w:rPr>
        <w:t>as Attorney-in-fact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298" w:right="1440" w:bottom="1440" w:gutter="0" w:footer="0" w:header="0"/>
          <w:type w:val="continuous"/>
        </w:sectPr>
      </w:pPr>
    </w:p>
    <w:bookmarkStart w:id="64" w:name="page65"/>
    <w:bookmarkEnd w:id="64"/>
    <w:p>
      <w:pPr>
        <w:ind w:left="284"/>
        <w:spacing w:after="0"/>
        <w:rPr>
          <w:sz w:val="20"/>
          <w:szCs w:val="20"/>
          <w:color w:val="auto"/>
        </w:rPr>
      </w:pPr>
      <w:r>
        <w:rPr>
          <w:rFonts w:ascii="Courier New" w:cs="Courier New" w:eastAsia="Courier New" w:hAnsi="Courier New"/>
          <w:sz w:val="16"/>
          <w:szCs w:val="16"/>
          <w:color w:val="auto"/>
        </w:rPr>
        <w:t>61</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Columbus, State of Ohio, on April 18, 2000.</w:t>
      </w:r>
    </w:p>
    <w:p>
      <w:pPr>
        <w:spacing w:after="0" w:line="361" w:lineRule="exact"/>
        <w:rPr>
          <w:sz w:val="20"/>
          <w:szCs w:val="20"/>
          <w:color w:val="auto"/>
        </w:rPr>
      </w:pPr>
    </w:p>
    <w:p>
      <w:pPr>
        <w:jc w:val="center"/>
        <w:ind w:right="95"/>
        <w:spacing w:after="0"/>
        <w:rPr>
          <w:sz w:val="20"/>
          <w:szCs w:val="20"/>
          <w:color w:val="auto"/>
        </w:rPr>
      </w:pPr>
      <w:r>
        <w:rPr>
          <w:rFonts w:ascii="Courier New" w:cs="Courier New" w:eastAsia="Courier New" w:hAnsi="Courier New"/>
          <w:sz w:val="16"/>
          <w:szCs w:val="16"/>
          <w:color w:val="auto"/>
        </w:rPr>
        <w:t>SCOTTS' MIRACLE-GRO PRODUCTS, INC.</w:t>
      </w:r>
    </w:p>
    <w:p>
      <w:pPr>
        <w:spacing w:after="0" w:line="360" w:lineRule="exact"/>
        <w:rPr>
          <w:sz w:val="20"/>
          <w:szCs w:val="20"/>
          <w:color w:val="auto"/>
        </w:rPr>
      </w:pPr>
    </w:p>
    <w:p>
      <w:pPr>
        <w:ind w:left="3464"/>
        <w:spacing w:after="0"/>
        <w:tabs>
          <w:tab w:leader="none" w:pos="3923" w:val="left"/>
        </w:tabs>
        <w:rPr>
          <w:sz w:val="20"/>
          <w:szCs w:val="20"/>
          <w:color w:val="auto"/>
        </w:rPr>
      </w:pPr>
      <w:r>
        <w:rPr>
          <w:rFonts w:ascii="Courier New" w:cs="Courier New" w:eastAsia="Courier New" w:hAnsi="Courier New"/>
          <w:sz w:val="16"/>
          <w:szCs w:val="16"/>
          <w:color w:val="auto"/>
        </w:rPr>
        <w:t>By:</w:t>
        <w:tab/>
        <w:t>/s/ JOHN KENLON</w:t>
      </w:r>
    </w:p>
    <w:p>
      <w:pPr>
        <w:ind w:left="3744"/>
        <w:spacing w:after="0"/>
        <w:rPr>
          <w:sz w:val="20"/>
          <w:szCs w:val="20"/>
          <w:color w:val="auto"/>
        </w:rPr>
      </w:pPr>
      <w:r>
        <w:rPr>
          <w:rFonts w:ascii="Courier New" w:cs="Courier New" w:eastAsia="Courier New" w:hAnsi="Courier New"/>
          <w:sz w:val="16"/>
          <w:szCs w:val="16"/>
          <w:color w:val="auto"/>
        </w:rPr>
        <w:t>-------------------------------------</w:t>
      </w:r>
    </w:p>
    <w:p>
      <w:pPr>
        <w:ind w:left="3744"/>
        <w:spacing w:after="0" w:line="237" w:lineRule="auto"/>
        <w:rPr>
          <w:sz w:val="20"/>
          <w:szCs w:val="20"/>
          <w:color w:val="auto"/>
        </w:rPr>
      </w:pPr>
      <w:r>
        <w:rPr>
          <w:rFonts w:ascii="Courier New" w:cs="Courier New" w:eastAsia="Courier New" w:hAnsi="Courier New"/>
          <w:sz w:val="16"/>
          <w:szCs w:val="16"/>
          <w:color w:val="auto"/>
        </w:rPr>
        <w:t>JOHN KENLON</w:t>
      </w:r>
    </w:p>
    <w:p>
      <w:pPr>
        <w:ind w:left="3744"/>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2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JOHN KENLON*</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6"/>
          <w:szCs w:val="16"/>
          <w:color w:val="auto"/>
        </w:rPr>
        <w:t>Date</w:t>
      </w:r>
    </w:p>
    <w:p>
      <w:pPr>
        <w:jc w:val="center"/>
        <w:ind w:right="939"/>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5"/>
          <w:szCs w:val="15"/>
          <w:color w:val="auto"/>
        </w:rPr>
        <w:t>April 18,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JOHN KENLON</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CHARLES M. BERGER*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CHARLES M. BERGER</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5" w:name="page66"/>
    <w:bookmarkEnd w:id="65"/>
    <w:p>
      <w:pPr>
        <w:ind w:left="284"/>
        <w:spacing w:after="0"/>
        <w:rPr>
          <w:sz w:val="20"/>
          <w:szCs w:val="20"/>
          <w:color w:val="auto"/>
        </w:rPr>
      </w:pPr>
      <w:r>
        <w:rPr>
          <w:rFonts w:ascii="Courier New" w:cs="Courier New" w:eastAsia="Courier New" w:hAnsi="Courier New"/>
          <w:sz w:val="16"/>
          <w:szCs w:val="16"/>
          <w:color w:val="auto"/>
        </w:rPr>
        <w:t>62</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Columbus, State of Ohio, on April 18, 2000.</w:t>
      </w:r>
    </w:p>
    <w:p>
      <w:pPr>
        <w:spacing w:after="0" w:line="181" w:lineRule="exact"/>
        <w:rPr>
          <w:sz w:val="20"/>
          <w:szCs w:val="20"/>
          <w:color w:val="auto"/>
        </w:rPr>
      </w:pPr>
    </w:p>
    <w:p>
      <w:pPr>
        <w:ind w:left="3844"/>
        <w:spacing w:after="0"/>
        <w:rPr>
          <w:sz w:val="20"/>
          <w:szCs w:val="20"/>
          <w:color w:val="auto"/>
        </w:rPr>
      </w:pPr>
      <w:r>
        <w:rPr>
          <w:rFonts w:ascii="Courier New" w:cs="Courier New" w:eastAsia="Courier New" w:hAnsi="Courier New"/>
          <w:sz w:val="16"/>
          <w:szCs w:val="16"/>
          <w:color w:val="auto"/>
        </w:rPr>
        <w:t>MIRACLE-GRO LAWN PRODUCTS, INC.</w:t>
      </w:r>
    </w:p>
    <w:p>
      <w:pPr>
        <w:spacing w:after="0" w:line="179" w:lineRule="exact"/>
        <w:rPr>
          <w:sz w:val="20"/>
          <w:szCs w:val="20"/>
          <w:color w:val="auto"/>
        </w:rPr>
      </w:pPr>
    </w:p>
    <w:p>
      <w:pPr>
        <w:jc w:val="center"/>
        <w:ind w:right="95"/>
        <w:spacing w:after="0"/>
        <w:rPr>
          <w:sz w:val="20"/>
          <w:szCs w:val="20"/>
          <w:color w:val="auto"/>
        </w:rPr>
      </w:pPr>
      <w:r>
        <w:rPr>
          <w:rFonts w:ascii="Courier New" w:cs="Courier New" w:eastAsia="Courier New" w:hAnsi="Courier New"/>
          <w:sz w:val="16"/>
          <w:szCs w:val="16"/>
          <w:color w:val="auto"/>
        </w:rPr>
        <w:t>By: /s/ CHARLES M. BERGER*</w:t>
      </w:r>
    </w:p>
    <w:p>
      <w:pPr>
        <w:ind w:left="4124"/>
        <w:spacing w:after="0"/>
        <w:rPr>
          <w:sz w:val="20"/>
          <w:szCs w:val="20"/>
          <w:color w:val="auto"/>
        </w:rPr>
      </w:pPr>
      <w:r>
        <w:rPr>
          <w:rFonts w:ascii="Courier New" w:cs="Courier New" w:eastAsia="Courier New" w:hAnsi="Courier New"/>
          <w:sz w:val="16"/>
          <w:szCs w:val="16"/>
          <w:color w:val="auto"/>
        </w:rPr>
        <w:t>-------------------------------</w:t>
      </w:r>
    </w:p>
    <w:p>
      <w:pPr>
        <w:ind w:left="4124"/>
        <w:spacing w:after="0" w:line="237" w:lineRule="auto"/>
        <w:rPr>
          <w:sz w:val="20"/>
          <w:szCs w:val="20"/>
          <w:color w:val="auto"/>
        </w:rPr>
      </w:pPr>
      <w:r>
        <w:rPr>
          <w:rFonts w:ascii="Courier New" w:cs="Courier New" w:eastAsia="Courier New" w:hAnsi="Courier New"/>
          <w:sz w:val="16"/>
          <w:szCs w:val="16"/>
          <w:color w:val="auto"/>
        </w:rPr>
        <w:t>CHARLES M. BERGER</w:t>
      </w:r>
    </w:p>
    <w:p>
      <w:pPr>
        <w:ind w:left="4124"/>
        <w:spacing w:after="0"/>
        <w:rPr>
          <w:sz w:val="20"/>
          <w:szCs w:val="20"/>
          <w:color w:val="auto"/>
        </w:rPr>
      </w:pPr>
      <w:r>
        <w:rPr>
          <w:rFonts w:ascii="Courier New" w:cs="Courier New" w:eastAsia="Courier New" w:hAnsi="Courier New"/>
          <w:sz w:val="16"/>
          <w:szCs w:val="16"/>
          <w:color w:val="auto"/>
        </w:rPr>
        <w:t>President and Chief</w:t>
      </w:r>
    </w:p>
    <w:p>
      <w:pPr>
        <w:jc w:val="center"/>
        <w:ind w:right="-4"/>
        <w:spacing w:after="0" w:line="238" w:lineRule="auto"/>
        <w:rPr>
          <w:sz w:val="20"/>
          <w:szCs w:val="20"/>
          <w:color w:val="auto"/>
        </w:rPr>
      </w:pPr>
      <w:r>
        <w:rPr>
          <w:rFonts w:ascii="Courier New" w:cs="Courier New" w:eastAsia="Courier New" w:hAnsi="Courier New"/>
          <w:sz w:val="16"/>
          <w:szCs w:val="16"/>
          <w:color w:val="auto"/>
        </w:rPr>
        <w:t>Executive Officer</w:t>
      </w:r>
    </w:p>
    <w:p>
      <w:pPr>
        <w:spacing w:after="0" w:line="200" w:lineRule="exact"/>
        <w:rPr>
          <w:sz w:val="20"/>
          <w:szCs w:val="20"/>
          <w:color w:val="auto"/>
        </w:rPr>
      </w:pPr>
    </w:p>
    <w:p>
      <w:pPr>
        <w:spacing w:after="0" w:line="346"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Amendments No. 2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6"/>
          <w:szCs w:val="16"/>
          <w:color w:val="auto"/>
        </w:rPr>
        <w:t>Date</w:t>
      </w:r>
    </w:p>
    <w:p>
      <w:pPr>
        <w:jc w:val="center"/>
        <w:ind w:right="939"/>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5"/>
          <w:szCs w:val="15"/>
          <w:color w:val="auto"/>
        </w:rPr>
        <w:t>April 18,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6" w:name="page67"/>
    <w:bookmarkEnd w:id="66"/>
    <w:p>
      <w:pPr>
        <w:ind w:left="284"/>
        <w:spacing w:after="0"/>
        <w:rPr>
          <w:sz w:val="20"/>
          <w:szCs w:val="20"/>
          <w:color w:val="auto"/>
        </w:rPr>
      </w:pPr>
      <w:r>
        <w:rPr>
          <w:rFonts w:ascii="Courier New" w:cs="Courier New" w:eastAsia="Courier New" w:hAnsi="Courier New"/>
          <w:sz w:val="16"/>
          <w:szCs w:val="16"/>
          <w:color w:val="auto"/>
        </w:rPr>
        <w:t>63</w:t>
      </w:r>
    </w:p>
    <w:p>
      <w:pPr>
        <w:spacing w:after="0" w:line="200" w:lineRule="exact"/>
        <w:rPr>
          <w:sz w:val="20"/>
          <w:szCs w:val="20"/>
          <w:color w:val="auto"/>
        </w:rPr>
      </w:pPr>
    </w:p>
    <w:p>
      <w:pPr>
        <w:spacing w:after="0" w:line="34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Columbus, State of Ohio, on April 18, 2000.</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MIRACLE-GRO PRODUCTS LTD.</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By: /s/ CHARLES M. BERGER*</w:t>
      </w:r>
    </w:p>
    <w:p>
      <w:pPr>
        <w:ind w:left="3944"/>
        <w:spacing w:after="0"/>
        <w:rPr>
          <w:sz w:val="20"/>
          <w:szCs w:val="20"/>
          <w:color w:val="auto"/>
        </w:rPr>
      </w:pPr>
      <w:r>
        <w:rPr>
          <w:rFonts w:ascii="Courier New" w:cs="Courier New" w:eastAsia="Courier New" w:hAnsi="Courier New"/>
          <w:sz w:val="16"/>
          <w:szCs w:val="16"/>
          <w:color w:val="auto"/>
        </w:rPr>
        <w:t>-------------------------------------</w:t>
      </w:r>
    </w:p>
    <w:p>
      <w:pPr>
        <w:ind w:left="3944"/>
        <w:spacing w:after="0" w:line="237" w:lineRule="auto"/>
        <w:rPr>
          <w:sz w:val="20"/>
          <w:szCs w:val="20"/>
          <w:color w:val="auto"/>
        </w:rPr>
      </w:pPr>
      <w:r>
        <w:rPr>
          <w:rFonts w:ascii="Courier New" w:cs="Courier New" w:eastAsia="Courier New" w:hAnsi="Courier New"/>
          <w:sz w:val="16"/>
          <w:szCs w:val="16"/>
          <w:color w:val="auto"/>
        </w:rPr>
        <w:t>CHARLES M. BERGER</w:t>
      </w:r>
    </w:p>
    <w:p>
      <w:pPr>
        <w:ind w:left="394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34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2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6"/>
          <w:szCs w:val="16"/>
          <w:color w:val="auto"/>
        </w:rPr>
        <w:t>Date</w:t>
      </w:r>
    </w:p>
    <w:p>
      <w:pPr>
        <w:jc w:val="center"/>
        <w:ind w:right="939"/>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5"/>
          <w:szCs w:val="15"/>
          <w:color w:val="auto"/>
        </w:rPr>
        <w:t>April 18,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7" w:name="page68"/>
    <w:bookmarkEnd w:id="67"/>
    <w:p>
      <w:pPr>
        <w:ind w:left="284"/>
        <w:spacing w:after="0"/>
        <w:rPr>
          <w:sz w:val="20"/>
          <w:szCs w:val="20"/>
          <w:color w:val="auto"/>
        </w:rPr>
      </w:pPr>
      <w:r>
        <w:rPr>
          <w:rFonts w:ascii="Courier New" w:cs="Courier New" w:eastAsia="Courier New" w:hAnsi="Courier New"/>
          <w:sz w:val="16"/>
          <w:szCs w:val="16"/>
          <w:color w:val="auto"/>
        </w:rPr>
        <w:t>64</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Columbus, State of Ohio, on April 18, 2000.</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OMS INVESTMENTS, INC.</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By: /s/ G. ROBERT LUCAS</w:t>
      </w:r>
    </w:p>
    <w:p>
      <w:pPr>
        <w:ind w:left="3844"/>
        <w:spacing w:after="0"/>
        <w:rPr>
          <w:sz w:val="20"/>
          <w:szCs w:val="20"/>
          <w:color w:val="auto"/>
        </w:rPr>
      </w:pPr>
      <w:r>
        <w:rPr>
          <w:rFonts w:ascii="Courier New" w:cs="Courier New" w:eastAsia="Courier New" w:hAnsi="Courier New"/>
          <w:sz w:val="16"/>
          <w:szCs w:val="16"/>
          <w:color w:val="auto"/>
        </w:rPr>
        <w:t>-------------------------------------</w:t>
      </w:r>
    </w:p>
    <w:p>
      <w:pPr>
        <w:ind w:left="3844"/>
        <w:spacing w:after="0" w:line="237" w:lineRule="auto"/>
        <w:rPr>
          <w:sz w:val="20"/>
          <w:szCs w:val="20"/>
          <w:color w:val="auto"/>
        </w:rPr>
      </w:pPr>
      <w:r>
        <w:rPr>
          <w:rFonts w:ascii="Courier New" w:cs="Courier New" w:eastAsia="Courier New" w:hAnsi="Courier New"/>
          <w:sz w:val="16"/>
          <w:szCs w:val="16"/>
          <w:color w:val="auto"/>
        </w:rPr>
        <w:t>G. ROBERT LUCAS</w:t>
      </w:r>
    </w:p>
    <w:p>
      <w:pPr>
        <w:ind w:left="384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34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2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G. ROBERT LUCAS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6"/>
          <w:szCs w:val="16"/>
          <w:color w:val="auto"/>
        </w:rPr>
        <w:t>Date</w:t>
      </w:r>
    </w:p>
    <w:p>
      <w:pPr>
        <w:jc w:val="center"/>
        <w:ind w:right="939"/>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5"/>
          <w:szCs w:val="15"/>
          <w:color w:val="auto"/>
        </w:rPr>
        <w:t>April 18, 2000</w:t>
      </w:r>
    </w:p>
    <w:p>
      <w:pPr>
        <w:spacing w:after="0" w:line="190" w:lineRule="exact"/>
        <w:rPr>
          <w:sz w:val="20"/>
          <w:szCs w:val="20"/>
          <w:color w:val="auto"/>
        </w:rPr>
      </w:pPr>
    </w:p>
    <w:p>
      <w:pPr>
        <w:sectPr>
          <w:pgSz w:w="11900" w:h="16838" w:orient="portrait"/>
          <w:cols w:equalWidth="0" w:num="3">
            <w:col w:w="3664" w:space="66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G. ROBERT LUCAS</w:t>
      </w:r>
    </w:p>
    <w:p>
      <w:pPr>
        <w:sectPr>
          <w:pgSz w:w="11900" w:h="16838" w:orient="portrait"/>
          <w:cols w:equalWidth="0" w:num="1">
            <w:col w:w="10223"/>
          </w:cols>
          <w:pgMar w:left="236" w:top="293" w:right="1440" w:bottom="1440" w:gutter="0" w:footer="0" w:header="0"/>
          <w:type w:val="continuous"/>
        </w:sectPr>
      </w:pP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REBECCA J. BRUENING*</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REBECCA J. BRUENING</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Financial and</w:t>
      </w:r>
    </w:p>
    <w:p>
      <w:pPr>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5"/>
          <w:szCs w:val="15"/>
          <w:color w:val="auto"/>
        </w:rPr>
        <w:t>April 18, 2000</w:t>
      </w:r>
    </w:p>
    <w:p>
      <w:pPr>
        <w:spacing w:after="0" w:line="567"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MARGARET PULGINI*</w:t>
      </w:r>
    </w:p>
    <w:p>
      <w:pPr>
        <w:sectPr>
          <w:pgSz w:w="11900" w:h="16838" w:orient="portrait"/>
          <w:cols w:equalWidth="0" w:num="1">
            <w:col w:w="10223"/>
          </w:cols>
          <w:pgMar w:left="236" w:top="293" w:right="1440" w:bottom="1440" w:gutter="0" w:footer="0" w:header="0"/>
          <w:type w:val="continuous"/>
        </w:sectPr>
      </w:pP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April 18, 2000</w:t>
      </w:r>
    </w:p>
    <w:p>
      <w:pPr>
        <w:spacing w:after="0" w:line="10" w:lineRule="exact"/>
        <w:rPr>
          <w:sz w:val="20"/>
          <w:szCs w:val="20"/>
          <w:color w:val="auto"/>
        </w:rPr>
      </w:pPr>
    </w:p>
    <w:p>
      <w:pPr>
        <w:sectPr>
          <w:pgSz w:w="11900" w:h="16838" w:orient="portrait"/>
          <w:cols w:equalWidth="0" w:num="3">
            <w:col w:w="3784" w:space="720"/>
            <w:col w:w="2940" w:space="720"/>
            <w:col w:w="20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MARGARET PULGINI</w:t>
      </w:r>
    </w:p>
    <w:p>
      <w:pPr>
        <w:sectPr>
          <w:pgSz w:w="11900" w:h="16838" w:orient="portrait"/>
          <w:cols w:equalWidth="0" w:num="1">
            <w:col w:w="10223"/>
          </w:cols>
          <w:pgMar w:left="236" w:top="293" w:right="1440" w:bottom="1440" w:gutter="0" w:footer="0" w:header="0"/>
          <w:type w:val="continuous"/>
        </w:sectPr>
      </w:pPr>
    </w:p>
    <w:p>
      <w:pPr>
        <w:spacing w:after="0" w:line="37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EDWARD R. CLAGGETT*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1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EDWARD R. CLAGGETT</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8" w:name="page69"/>
    <w:bookmarkEnd w:id="68"/>
    <w:p>
      <w:pPr>
        <w:ind w:left="284"/>
        <w:spacing w:after="0"/>
        <w:rPr>
          <w:sz w:val="20"/>
          <w:szCs w:val="20"/>
          <w:color w:val="auto"/>
        </w:rPr>
      </w:pPr>
      <w:r>
        <w:rPr>
          <w:rFonts w:ascii="Courier New" w:cs="Courier New" w:eastAsia="Courier New" w:hAnsi="Courier New"/>
          <w:sz w:val="16"/>
          <w:szCs w:val="16"/>
          <w:color w:val="auto"/>
        </w:rPr>
        <w:t>65</w:t>
      </w:r>
    </w:p>
    <w:p>
      <w:pPr>
        <w:spacing w:after="0" w:line="200" w:lineRule="exact"/>
        <w:rPr>
          <w:sz w:val="20"/>
          <w:szCs w:val="20"/>
          <w:color w:val="auto"/>
        </w:rPr>
      </w:pPr>
    </w:p>
    <w:p>
      <w:pPr>
        <w:spacing w:after="0" w:line="34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April 18, 2000.</w:t>
      </w:r>
    </w:p>
    <w:p>
      <w:pPr>
        <w:spacing w:after="0" w:line="181"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OLD FORT FINANCIAL CORP.</w:t>
      </w:r>
    </w:p>
    <w:p>
      <w:pPr>
        <w:spacing w:after="0" w:line="360"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By: /s/ CHARLES M. BERGER*</w:t>
      </w:r>
    </w:p>
    <w:p>
      <w:pPr>
        <w:ind w:left="3664"/>
        <w:spacing w:after="0"/>
        <w:rPr>
          <w:sz w:val="20"/>
          <w:szCs w:val="20"/>
          <w:color w:val="auto"/>
        </w:rPr>
      </w:pPr>
      <w:r>
        <w:rPr>
          <w:rFonts w:ascii="Courier New" w:cs="Courier New" w:eastAsia="Courier New" w:hAnsi="Courier New"/>
          <w:sz w:val="16"/>
          <w:szCs w:val="16"/>
          <w:color w:val="auto"/>
        </w:rPr>
        <w:t>--------------------------------------</w:t>
      </w:r>
    </w:p>
    <w:p>
      <w:pPr>
        <w:ind w:left="3664"/>
        <w:spacing w:after="0" w:line="237" w:lineRule="auto"/>
        <w:rPr>
          <w:sz w:val="20"/>
          <w:szCs w:val="20"/>
          <w:color w:val="auto"/>
        </w:rPr>
      </w:pPr>
      <w:r>
        <w:rPr>
          <w:rFonts w:ascii="Courier New" w:cs="Courier New" w:eastAsia="Courier New" w:hAnsi="Courier New"/>
          <w:sz w:val="16"/>
          <w:szCs w:val="16"/>
          <w:color w:val="auto"/>
        </w:rPr>
        <w:t>CHARLES M. BERGER</w:t>
      </w:r>
    </w:p>
    <w:p>
      <w:pPr>
        <w:ind w:left="3664"/>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2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6"/>
          <w:szCs w:val="16"/>
          <w:color w:val="auto"/>
        </w:rPr>
        <w:t>Date</w:t>
      </w:r>
    </w:p>
    <w:p>
      <w:pPr>
        <w:jc w:val="center"/>
        <w:ind w:right="939"/>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5"/>
          <w:szCs w:val="15"/>
          <w:color w:val="auto"/>
        </w:rPr>
        <w:t>April 18,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200" w:lineRule="exact"/>
        <w:rPr>
          <w:sz w:val="20"/>
          <w:szCs w:val="20"/>
          <w:color w:val="auto"/>
        </w:rPr>
      </w:pPr>
    </w:p>
    <w:p>
      <w:pPr>
        <w:spacing w:after="0" w:line="33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9" w:name="page70"/>
    <w:bookmarkEnd w:id="69"/>
    <w:p>
      <w:pPr>
        <w:ind w:left="284"/>
        <w:spacing w:after="0"/>
        <w:rPr>
          <w:sz w:val="20"/>
          <w:szCs w:val="20"/>
          <w:color w:val="auto"/>
        </w:rPr>
      </w:pPr>
      <w:r>
        <w:rPr>
          <w:rFonts w:ascii="Courier New" w:cs="Courier New" w:eastAsia="Courier New" w:hAnsi="Courier New"/>
          <w:sz w:val="16"/>
          <w:szCs w:val="16"/>
          <w:color w:val="auto"/>
        </w:rPr>
        <w:t>66</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Columbus, State of Ohio, on April 18, 2000.</w:t>
      </w:r>
    </w:p>
    <w:p>
      <w:pPr>
        <w:spacing w:after="0" w:line="181"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HYPONEX CORPORATION</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290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84" w:lineRule="exact"/>
        <w:rPr>
          <w:sz w:val="20"/>
          <w:szCs w:val="20"/>
          <w:color w:val="auto"/>
        </w:rPr>
      </w:pPr>
    </w:p>
    <w:p>
      <w:pPr>
        <w:sectPr>
          <w:pgSz w:w="11900" w:h="16838" w:orient="portrait"/>
          <w:cols w:equalWidth="0" w:num="2">
            <w:col w:w="3184" w:space="0"/>
            <w:col w:w="7039"/>
          </w:cols>
          <w:pgMar w:left="236" w:top="293" w:right="1440" w:bottom="1440" w:gutter="0" w:footer="0" w:header="0"/>
          <w:type w:val="continuous"/>
        </w:sect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2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190" w:lineRule="exact"/>
        <w:rPr>
          <w:sz w:val="20"/>
          <w:szCs w:val="20"/>
          <w:color w:val="auto"/>
        </w:rPr>
      </w:pPr>
    </w:p>
    <w:p>
      <w:pPr>
        <w:sectPr>
          <w:pgSz w:w="11900" w:h="16838" w:orient="portrait"/>
          <w:cols w:equalWidth="0" w:num="3">
            <w:col w:w="3604" w:space="720"/>
            <w:col w:w="2900" w:space="380"/>
            <w:col w:w="261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5" w:lineRule="exact"/>
        <w:rPr>
          <w:sz w:val="20"/>
          <w:szCs w:val="20"/>
          <w:color w:val="auto"/>
        </w:rPr>
      </w:pPr>
    </w:p>
    <w:p>
      <w:pPr>
        <w:sectPr>
          <w:pgSz w:w="11900" w:h="16838" w:orient="portrait"/>
          <w:cols w:equalWidth="0" w:num="3">
            <w:col w:w="3604" w:space="720"/>
            <w:col w:w="2900" w:space="380"/>
            <w:col w:w="2619"/>
          </w:cols>
          <w:pgMar w:left="236" w:top="293" w:right="1440" w:bottom="1440" w:gutter="0" w:footer="0" w:header="0"/>
          <w:type w:val="continuous"/>
        </w:sectPr>
      </w:pPr>
    </w:p>
    <w:p>
      <w:pPr>
        <w:ind w:left="184" w:hanging="184"/>
        <w:spacing w:after="0"/>
        <w:tabs>
          <w:tab w:leader="none" w:pos="18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58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758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0" w:name="page71"/>
    <w:bookmarkEnd w:id="70"/>
    <w:p>
      <w:pPr>
        <w:ind w:left="284"/>
        <w:spacing w:after="0"/>
        <w:rPr>
          <w:sz w:val="20"/>
          <w:szCs w:val="20"/>
          <w:color w:val="auto"/>
        </w:rPr>
      </w:pPr>
      <w:r>
        <w:rPr>
          <w:rFonts w:ascii="Courier New" w:cs="Courier New" w:eastAsia="Courier New" w:hAnsi="Courier New"/>
          <w:sz w:val="16"/>
          <w:szCs w:val="16"/>
          <w:color w:val="auto"/>
        </w:rPr>
        <w:t>67</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Columbus, State of Ohio, on April 18, 2000.</w:t>
      </w:r>
    </w:p>
    <w:p>
      <w:pPr>
        <w:spacing w:after="0" w:line="181"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EARTHGRO, INC.</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310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WILLIAM A. DITTMAN*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A. DITTMAN</w:t>
      </w:r>
    </w:p>
    <w:p>
      <w:pPr>
        <w:spacing w:after="0"/>
        <w:rPr>
          <w:sz w:val="20"/>
          <w:szCs w:val="20"/>
          <w:color w:val="auto"/>
        </w:rPr>
      </w:pPr>
      <w:r>
        <w:rPr>
          <w:rFonts w:ascii="Courier New" w:cs="Courier New" w:eastAsia="Courier New" w:hAnsi="Courier New"/>
          <w:sz w:val="16"/>
          <w:szCs w:val="16"/>
          <w:color w:val="auto"/>
        </w:rPr>
        <w:t>President</w:t>
      </w:r>
    </w:p>
    <w:p>
      <w:pPr>
        <w:spacing w:after="0" w:line="184" w:lineRule="exact"/>
        <w:rPr>
          <w:sz w:val="20"/>
          <w:szCs w:val="20"/>
          <w:color w:val="auto"/>
        </w:rPr>
      </w:pPr>
    </w:p>
    <w:p>
      <w:pPr>
        <w:sectPr>
          <w:pgSz w:w="11900" w:h="16838" w:orient="portrait"/>
          <w:cols w:equalWidth="0" w:num="2">
            <w:col w:w="3384" w:space="0"/>
            <w:col w:w="6839"/>
          </w:cols>
          <w:pgMar w:left="236" w:top="293" w:right="1440" w:bottom="1440" w:gutter="0" w:footer="0" w:header="0"/>
          <w:type w:val="continuous"/>
        </w:sect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2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WILLIAM A. DITTMAN*</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WILLIAM A. DITTMAN</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CHARLES M. BERGER*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CHARLES M. BERGER</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1" w:name="page72"/>
    <w:bookmarkEnd w:id="71"/>
    <w:p>
      <w:pPr>
        <w:ind w:left="284"/>
        <w:spacing w:after="0"/>
        <w:rPr>
          <w:sz w:val="20"/>
          <w:szCs w:val="20"/>
          <w:color w:val="auto"/>
        </w:rPr>
      </w:pPr>
      <w:r>
        <w:rPr>
          <w:rFonts w:ascii="Courier New" w:cs="Courier New" w:eastAsia="Courier New" w:hAnsi="Courier New"/>
          <w:sz w:val="16"/>
          <w:szCs w:val="16"/>
          <w:color w:val="auto"/>
        </w:rPr>
        <w:t>68</w:t>
      </w:r>
    </w:p>
    <w:p>
      <w:pPr>
        <w:spacing w:after="0" w:line="200" w:lineRule="exact"/>
        <w:rPr>
          <w:sz w:val="20"/>
          <w:szCs w:val="20"/>
          <w:color w:val="auto"/>
        </w:rPr>
      </w:pPr>
    </w:p>
    <w:p>
      <w:pPr>
        <w:spacing w:after="0" w:line="34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Columbus, State of Ohio, on April 18, 2000.</w:t>
      </w:r>
    </w:p>
    <w:p>
      <w:pPr>
        <w:spacing w:after="0" w:line="181"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SCOTTS PRODUCTS CO.</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290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CHARLES M. BERGER</w:t>
      </w:r>
    </w:p>
    <w:p>
      <w:pPr>
        <w:ind w:left="20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84" w:lineRule="exact"/>
        <w:rPr>
          <w:sz w:val="20"/>
          <w:szCs w:val="20"/>
          <w:color w:val="auto"/>
        </w:rPr>
      </w:pPr>
    </w:p>
    <w:p>
      <w:pPr>
        <w:sectPr>
          <w:pgSz w:w="11900" w:h="16838" w:orient="portrait"/>
          <w:cols w:equalWidth="0" w:num="2">
            <w:col w:w="3184" w:space="0"/>
            <w:col w:w="7039"/>
          </w:cols>
          <w:pgMar w:left="236" w:top="293" w:right="1440" w:bottom="1440" w:gutter="0" w:footer="0" w:header="0"/>
          <w:type w:val="continuous"/>
        </w:sect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2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2" w:name="page73"/>
    <w:bookmarkEnd w:id="72"/>
    <w:p>
      <w:pPr>
        <w:ind w:left="284"/>
        <w:spacing w:after="0"/>
        <w:rPr>
          <w:sz w:val="20"/>
          <w:szCs w:val="20"/>
          <w:color w:val="auto"/>
        </w:rPr>
      </w:pPr>
      <w:r>
        <w:rPr>
          <w:rFonts w:ascii="Courier New" w:cs="Courier New" w:eastAsia="Courier New" w:hAnsi="Courier New"/>
          <w:sz w:val="16"/>
          <w:szCs w:val="16"/>
          <w:color w:val="auto"/>
        </w:rPr>
        <w:t>69</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Columbus, State of Ohio, on April 18, 2000.</w:t>
      </w:r>
    </w:p>
    <w:p>
      <w:pPr>
        <w:spacing w:after="0" w:line="181" w:lineRule="exact"/>
        <w:rPr>
          <w:sz w:val="20"/>
          <w:szCs w:val="20"/>
          <w:color w:val="auto"/>
        </w:rPr>
      </w:pPr>
    </w:p>
    <w:p>
      <w:pPr>
        <w:jc w:val="center"/>
        <w:ind w:right="275"/>
        <w:spacing w:after="0"/>
        <w:rPr>
          <w:sz w:val="20"/>
          <w:szCs w:val="20"/>
          <w:color w:val="auto"/>
        </w:rPr>
      </w:pPr>
      <w:r>
        <w:rPr>
          <w:rFonts w:ascii="Courier New" w:cs="Courier New" w:eastAsia="Courier New" w:hAnsi="Courier New"/>
          <w:sz w:val="16"/>
          <w:szCs w:val="16"/>
          <w:color w:val="auto"/>
        </w:rPr>
        <w:t>SCOTTS PROFESSIONAL PRODUCTS CO.</w:t>
      </w:r>
    </w:p>
    <w:p>
      <w:pPr>
        <w:spacing w:after="0" w:line="360" w:lineRule="exact"/>
        <w:rPr>
          <w:sz w:val="20"/>
          <w:szCs w:val="20"/>
          <w:color w:val="auto"/>
        </w:rPr>
      </w:pPr>
    </w:p>
    <w:p>
      <w:pPr>
        <w:ind w:left="3464"/>
        <w:spacing w:after="0"/>
        <w:tabs>
          <w:tab w:leader="none" w:pos="3923" w:val="left"/>
        </w:tabs>
        <w:rPr>
          <w:sz w:val="20"/>
          <w:szCs w:val="20"/>
          <w:color w:val="auto"/>
        </w:rPr>
      </w:pPr>
      <w:r>
        <w:rPr>
          <w:rFonts w:ascii="Courier New" w:cs="Courier New" w:eastAsia="Courier New" w:hAnsi="Courier New"/>
          <w:sz w:val="16"/>
          <w:szCs w:val="16"/>
          <w:color w:val="auto"/>
        </w:rPr>
        <w:t>By:</w:t>
        <w:tab/>
        <w:t>/s/ CHARLES M. BERGER*</w:t>
      </w:r>
    </w:p>
    <w:p>
      <w:pPr>
        <w:ind w:left="3744"/>
        <w:spacing w:after="0"/>
        <w:rPr>
          <w:sz w:val="20"/>
          <w:szCs w:val="20"/>
          <w:color w:val="auto"/>
        </w:rPr>
      </w:pPr>
      <w:r>
        <w:rPr>
          <w:rFonts w:ascii="Courier New" w:cs="Courier New" w:eastAsia="Courier New" w:hAnsi="Courier New"/>
          <w:sz w:val="16"/>
          <w:szCs w:val="16"/>
          <w:color w:val="auto"/>
        </w:rPr>
        <w:t>---------------------------------</w:t>
      </w:r>
    </w:p>
    <w:p>
      <w:pPr>
        <w:ind w:left="3944"/>
        <w:spacing w:after="0" w:line="237" w:lineRule="auto"/>
        <w:rPr>
          <w:sz w:val="20"/>
          <w:szCs w:val="20"/>
          <w:color w:val="auto"/>
        </w:rPr>
      </w:pPr>
      <w:r>
        <w:rPr>
          <w:rFonts w:ascii="Courier New" w:cs="Courier New" w:eastAsia="Courier New" w:hAnsi="Courier New"/>
          <w:sz w:val="16"/>
          <w:szCs w:val="16"/>
          <w:color w:val="auto"/>
        </w:rPr>
        <w:t>CHARLES M. BERGER</w:t>
      </w:r>
    </w:p>
    <w:p>
      <w:pPr>
        <w:ind w:left="394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36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2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3" w:name="page74"/>
    <w:bookmarkEnd w:id="73"/>
    <w:p>
      <w:pPr>
        <w:ind w:left="284"/>
        <w:spacing w:after="0"/>
        <w:rPr>
          <w:sz w:val="20"/>
          <w:szCs w:val="20"/>
          <w:color w:val="auto"/>
        </w:rPr>
      </w:pPr>
      <w:r>
        <w:rPr>
          <w:rFonts w:ascii="Courier New" w:cs="Courier New" w:eastAsia="Courier New" w:hAnsi="Courier New"/>
          <w:sz w:val="16"/>
          <w:szCs w:val="16"/>
          <w:color w:val="auto"/>
        </w:rPr>
        <w:t>70</w:t>
      </w:r>
    </w:p>
    <w:p>
      <w:pPr>
        <w:spacing w:after="0" w:line="200" w:lineRule="exact"/>
        <w:rPr>
          <w:sz w:val="20"/>
          <w:szCs w:val="20"/>
          <w:color w:val="auto"/>
        </w:rPr>
      </w:pPr>
    </w:p>
    <w:p>
      <w:pPr>
        <w:spacing w:after="0" w:line="34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Columbus, State of Ohio, on April 18, 2000.</w:t>
      </w:r>
    </w:p>
    <w:p>
      <w:pPr>
        <w:spacing w:after="0" w:line="181" w:lineRule="exact"/>
        <w:rPr>
          <w:sz w:val="20"/>
          <w:szCs w:val="20"/>
          <w:color w:val="auto"/>
        </w:rPr>
      </w:pPr>
    </w:p>
    <w:p>
      <w:pPr>
        <w:jc w:val="center"/>
        <w:ind w:right="-184"/>
        <w:spacing w:after="0"/>
        <w:rPr>
          <w:sz w:val="20"/>
          <w:szCs w:val="20"/>
          <w:color w:val="auto"/>
        </w:rPr>
      </w:pPr>
      <w:r>
        <w:rPr>
          <w:rFonts w:ascii="Courier New" w:cs="Courier New" w:eastAsia="Courier New" w:hAnsi="Courier New"/>
          <w:sz w:val="16"/>
          <w:szCs w:val="16"/>
          <w:color w:val="auto"/>
        </w:rPr>
        <w:t>REPUBLIC TOOL &amp; MANUFACTURING CORP.</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CHARLES M. BERGER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3844" w:space="0"/>
            <w:col w:w="6379"/>
          </w:cols>
          <w:pgMar w:left="236" w:top="293" w:right="1440" w:bottom="1440" w:gutter="0" w:footer="0" w:header="0"/>
          <w:type w:val="continuous"/>
        </w:sectPr>
      </w:pPr>
    </w:p>
    <w:p>
      <w:pPr>
        <w:spacing w:after="0" w:line="171"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2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1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PATRICK J. NORTON</w:t>
      </w:r>
    </w:p>
    <w:p>
      <w:pPr>
        <w:sectPr>
          <w:pgSz w:w="11900" w:h="16838" w:orient="portrait"/>
          <w:cols w:equalWidth="0" w:num="1">
            <w:col w:w="10223"/>
          </w:cols>
          <w:pgMar w:left="236" w:top="293" w:right="1440" w:bottom="1440" w:gutter="0" w:footer="0" w:header="0"/>
          <w:type w:val="continuous"/>
        </w:sectPr>
      </w:pP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4" w:name="page75"/>
    <w:bookmarkEnd w:id="74"/>
    <w:p>
      <w:pPr>
        <w:ind w:left="284"/>
        <w:spacing w:after="0"/>
        <w:rPr>
          <w:sz w:val="20"/>
          <w:szCs w:val="20"/>
          <w:color w:val="auto"/>
        </w:rPr>
      </w:pPr>
      <w:r>
        <w:rPr>
          <w:rFonts w:ascii="Courier New" w:cs="Courier New" w:eastAsia="Courier New" w:hAnsi="Courier New"/>
          <w:sz w:val="16"/>
          <w:szCs w:val="16"/>
          <w:color w:val="auto"/>
        </w:rPr>
        <w:t>71</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Columbus, State of Ohio, on April 18, 2000.</w:t>
      </w:r>
    </w:p>
    <w:p>
      <w:pPr>
        <w:spacing w:after="0" w:line="186" w:lineRule="exact"/>
        <w:rPr>
          <w:sz w:val="20"/>
          <w:szCs w:val="20"/>
          <w:color w:val="auto"/>
        </w:rPr>
      </w:pPr>
    </w:p>
    <w:p>
      <w:pPr>
        <w:ind w:left="3284"/>
        <w:spacing w:after="0"/>
        <w:rPr>
          <w:sz w:val="20"/>
          <w:szCs w:val="20"/>
          <w:color w:val="auto"/>
        </w:rPr>
      </w:pPr>
      <w:r>
        <w:rPr>
          <w:rFonts w:ascii="Courier New" w:cs="Courier New" w:eastAsia="Courier New" w:hAnsi="Courier New"/>
          <w:sz w:val="15"/>
          <w:szCs w:val="15"/>
          <w:color w:val="auto"/>
        </w:rPr>
        <w:t>SCOTTS-SIERRA HORTICULTURAL PRODUCTS COMPANY</w:t>
      </w:r>
    </w:p>
    <w:p>
      <w:pPr>
        <w:sectPr>
          <w:pgSz w:w="11900" w:h="16838" w:orient="portrait"/>
          <w:cols w:equalWidth="0" w:num="1">
            <w:col w:w="10223"/>
          </w:cols>
          <w:pgMar w:left="236" w:top="293" w:right="1440" w:bottom="1440" w:gutter="0" w:footer="0" w:header="0"/>
        </w:sectPr>
      </w:pPr>
    </w:p>
    <w:p>
      <w:pPr>
        <w:spacing w:after="0" w:line="371" w:lineRule="exact"/>
        <w:rPr>
          <w:sz w:val="20"/>
          <w:szCs w:val="20"/>
          <w:color w:val="auto"/>
        </w:rPr>
      </w:pPr>
    </w:p>
    <w:p>
      <w:pPr>
        <w:ind w:left="328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2">
            <w:col w:w="3564" w:space="0"/>
            <w:col w:w="6659"/>
          </w:cols>
          <w:pgMar w:left="236" w:top="293" w:right="1440" w:bottom="1440" w:gutter="0" w:footer="0" w:header="0"/>
          <w:type w:val="continuous"/>
        </w:sectPr>
      </w:pPr>
    </w:p>
    <w:p>
      <w:pPr>
        <w:spacing w:after="0" w:line="16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2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5" w:name="page76"/>
    <w:bookmarkEnd w:id="75"/>
    <w:p>
      <w:pPr>
        <w:ind w:left="284"/>
        <w:spacing w:after="0"/>
        <w:rPr>
          <w:sz w:val="20"/>
          <w:szCs w:val="20"/>
          <w:color w:val="auto"/>
        </w:rPr>
      </w:pPr>
      <w:r>
        <w:rPr>
          <w:rFonts w:ascii="Courier New" w:cs="Courier New" w:eastAsia="Courier New" w:hAnsi="Courier New"/>
          <w:sz w:val="16"/>
          <w:szCs w:val="16"/>
          <w:color w:val="auto"/>
        </w:rPr>
        <w:t>72</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Columbus, State of Ohio, on April 18, 2000.</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SCOTTS-SIERRA CROP PROTECTION COMPANY</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3944" w:space="0"/>
            <w:col w:w="6279"/>
          </w:cols>
          <w:pgMar w:left="236" w:top="293" w:right="1440" w:bottom="1440" w:gutter="0" w:footer="0" w:header="0"/>
          <w:type w:val="continuous"/>
        </w:sectPr>
      </w:pPr>
    </w:p>
    <w:p>
      <w:pPr>
        <w:spacing w:after="0" w:line="171"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2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6" w:name="page77"/>
    <w:bookmarkEnd w:id="76"/>
    <w:p>
      <w:pPr>
        <w:ind w:left="284"/>
        <w:spacing w:after="0"/>
        <w:rPr>
          <w:sz w:val="20"/>
          <w:szCs w:val="20"/>
          <w:color w:val="auto"/>
        </w:rPr>
      </w:pPr>
      <w:r>
        <w:rPr>
          <w:rFonts w:ascii="Courier New" w:cs="Courier New" w:eastAsia="Courier New" w:hAnsi="Courier New"/>
          <w:sz w:val="16"/>
          <w:szCs w:val="16"/>
          <w:color w:val="auto"/>
        </w:rPr>
        <w:t>73</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Columbus, State of Ohio, on April 18, 2000.</w:t>
      </w:r>
    </w:p>
    <w:p>
      <w:pPr>
        <w:spacing w:after="0" w:line="181"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SCOTTS-SIERRA INVESTMENTS INC.</w:t>
      </w:r>
    </w:p>
    <w:p>
      <w:pPr>
        <w:spacing w:after="0" w:line="360" w:lineRule="exact"/>
        <w:rPr>
          <w:sz w:val="20"/>
          <w:szCs w:val="20"/>
          <w:color w:val="auto"/>
        </w:rPr>
      </w:pPr>
    </w:p>
    <w:p>
      <w:pPr>
        <w:ind w:left="3384"/>
        <w:spacing w:after="0"/>
        <w:tabs>
          <w:tab w:leader="none" w:pos="3923" w:val="left"/>
        </w:tabs>
        <w:rPr>
          <w:sz w:val="20"/>
          <w:szCs w:val="20"/>
          <w:color w:val="auto"/>
        </w:rPr>
      </w:pPr>
      <w:r>
        <w:rPr>
          <w:rFonts w:ascii="Courier New" w:cs="Courier New" w:eastAsia="Courier New" w:hAnsi="Courier New"/>
          <w:sz w:val="16"/>
          <w:szCs w:val="16"/>
          <w:color w:val="auto"/>
        </w:rPr>
        <w:t>By:</w:t>
        <w:tab/>
        <w:t>/s/ G. ROBERT LUCAS</w:t>
      </w:r>
    </w:p>
    <w:p>
      <w:pPr>
        <w:ind w:left="3564"/>
        <w:spacing w:after="0"/>
        <w:rPr>
          <w:sz w:val="20"/>
          <w:szCs w:val="20"/>
          <w:color w:val="auto"/>
        </w:rPr>
      </w:pPr>
      <w:r>
        <w:rPr>
          <w:rFonts w:ascii="Courier New" w:cs="Courier New" w:eastAsia="Courier New" w:hAnsi="Courier New"/>
          <w:sz w:val="16"/>
          <w:szCs w:val="16"/>
          <w:color w:val="auto"/>
        </w:rPr>
        <w:t>----------------------------------------</w:t>
      </w:r>
    </w:p>
    <w:p>
      <w:pPr>
        <w:ind w:left="3664"/>
        <w:spacing w:after="0" w:line="237" w:lineRule="auto"/>
        <w:rPr>
          <w:sz w:val="20"/>
          <w:szCs w:val="20"/>
          <w:color w:val="auto"/>
        </w:rPr>
      </w:pPr>
      <w:r>
        <w:rPr>
          <w:rFonts w:ascii="Courier New" w:cs="Courier New" w:eastAsia="Courier New" w:hAnsi="Courier New"/>
          <w:sz w:val="16"/>
          <w:szCs w:val="16"/>
          <w:color w:val="auto"/>
        </w:rPr>
        <w:t>G. ROBERT LUCAS</w:t>
      </w:r>
    </w:p>
    <w:p>
      <w:pPr>
        <w:ind w:left="366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36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2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G. ROBERT LUCAS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G. ROBERT LUCAS</w:t>
      </w:r>
    </w:p>
    <w:p>
      <w:pPr>
        <w:sectPr>
          <w:pgSz w:w="11900" w:h="16838" w:orient="portrait"/>
          <w:cols w:equalWidth="0" w:num="1">
            <w:col w:w="10223"/>
          </w:cols>
          <w:pgMar w:left="236" w:top="293" w:right="1440" w:bottom="1440" w:gutter="0" w:footer="0" w:header="0"/>
          <w:type w:val="continuous"/>
        </w:sectPr>
      </w:pP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REBECCA J. BRUENING*</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REBECCA J. BRUENING</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Financial and</w:t>
      </w:r>
    </w:p>
    <w:p>
      <w:pPr>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567"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EDWARD R. CLAGGETT*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4"/>
        <w:spacing w:after="0"/>
        <w:rPr>
          <w:sz w:val="20"/>
          <w:szCs w:val="20"/>
          <w:color w:val="auto"/>
        </w:rPr>
      </w:pPr>
      <w:r>
        <w:rPr>
          <w:rFonts w:ascii="Courier New" w:cs="Courier New" w:eastAsia="Courier New" w:hAnsi="Courier New"/>
          <w:sz w:val="16"/>
          <w:szCs w:val="16"/>
          <w:color w:val="auto"/>
        </w:rPr>
        <w:t>- -----------------------------------</w:t>
      </w:r>
    </w:p>
    <w:p>
      <w:pPr>
        <w:ind w:left="384"/>
        <w:spacing w:after="0"/>
        <w:rPr>
          <w:sz w:val="20"/>
          <w:szCs w:val="20"/>
          <w:color w:val="auto"/>
        </w:rPr>
      </w:pPr>
      <w:r>
        <w:rPr>
          <w:rFonts w:ascii="Courier New" w:cs="Courier New" w:eastAsia="Courier New" w:hAnsi="Courier New"/>
          <w:sz w:val="16"/>
          <w:szCs w:val="16"/>
          <w:color w:val="auto"/>
        </w:rPr>
        <w:t>EDWARD R. CLAGGETT</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MARGARET PULGINI*</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MARGARET PULGINI</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7" w:name="page78"/>
    <w:bookmarkEnd w:id="77"/>
    <w:p>
      <w:pPr>
        <w:ind w:left="284"/>
        <w:spacing w:after="0"/>
        <w:rPr>
          <w:sz w:val="20"/>
          <w:szCs w:val="20"/>
          <w:color w:val="auto"/>
        </w:rPr>
      </w:pPr>
      <w:r>
        <w:rPr>
          <w:rFonts w:ascii="Courier New" w:cs="Courier New" w:eastAsia="Courier New" w:hAnsi="Courier New"/>
          <w:sz w:val="16"/>
          <w:szCs w:val="16"/>
          <w:color w:val="auto"/>
        </w:rPr>
        <w:t>74</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Columbus, State of Ohio, on April 18, 2000.</w:t>
      </w:r>
    </w:p>
    <w:p>
      <w:pPr>
        <w:spacing w:after="0" w:line="181" w:lineRule="exact"/>
        <w:rPr>
          <w:sz w:val="20"/>
          <w:szCs w:val="20"/>
          <w:color w:val="auto"/>
        </w:rPr>
      </w:pPr>
    </w:p>
    <w:p>
      <w:pPr>
        <w:ind w:left="4964"/>
        <w:spacing w:after="0"/>
        <w:rPr>
          <w:sz w:val="20"/>
          <w:szCs w:val="20"/>
          <w:color w:val="auto"/>
        </w:rPr>
      </w:pPr>
      <w:r>
        <w:rPr>
          <w:rFonts w:ascii="Courier New" w:cs="Courier New" w:eastAsia="Courier New" w:hAnsi="Courier New"/>
          <w:sz w:val="16"/>
          <w:szCs w:val="16"/>
          <w:color w:val="auto"/>
        </w:rPr>
        <w:t>SWISS FARMS PRODUCTS, INC.</w:t>
      </w:r>
    </w:p>
    <w:p>
      <w:pPr>
        <w:spacing w:after="0" w:line="200" w:lineRule="exact"/>
        <w:rPr>
          <w:sz w:val="20"/>
          <w:szCs w:val="20"/>
          <w:color w:val="auto"/>
        </w:rPr>
      </w:pPr>
    </w:p>
    <w:p>
      <w:pPr>
        <w:spacing w:after="0" w:line="340" w:lineRule="exact"/>
        <w:rPr>
          <w:sz w:val="20"/>
          <w:szCs w:val="20"/>
          <w:color w:val="auto"/>
        </w:rPr>
      </w:pPr>
    </w:p>
    <w:p>
      <w:pPr>
        <w:ind w:left="3384"/>
        <w:spacing w:after="0"/>
        <w:tabs>
          <w:tab w:leader="none" w:pos="3923" w:val="left"/>
        </w:tabs>
        <w:rPr>
          <w:sz w:val="20"/>
          <w:szCs w:val="20"/>
          <w:color w:val="auto"/>
        </w:rPr>
      </w:pPr>
      <w:r>
        <w:rPr>
          <w:rFonts w:ascii="Courier New" w:cs="Courier New" w:eastAsia="Courier New" w:hAnsi="Courier New"/>
          <w:sz w:val="16"/>
          <w:szCs w:val="16"/>
          <w:color w:val="auto"/>
        </w:rPr>
        <w:t>By:</w:t>
        <w:tab/>
        <w:t>/s/ G. ROBERT LUCAS</w:t>
      </w:r>
    </w:p>
    <w:p>
      <w:pPr>
        <w:ind w:left="3564"/>
        <w:spacing w:after="0"/>
        <w:rPr>
          <w:sz w:val="20"/>
          <w:szCs w:val="20"/>
          <w:color w:val="auto"/>
        </w:rPr>
      </w:pPr>
      <w:r>
        <w:rPr>
          <w:rFonts w:ascii="Courier New" w:cs="Courier New" w:eastAsia="Courier New" w:hAnsi="Courier New"/>
          <w:sz w:val="16"/>
          <w:szCs w:val="16"/>
          <w:color w:val="auto"/>
        </w:rPr>
        <w:t>----------------------------------------</w:t>
      </w:r>
    </w:p>
    <w:p>
      <w:pPr>
        <w:ind w:left="3664"/>
        <w:spacing w:after="0" w:line="237" w:lineRule="auto"/>
        <w:rPr>
          <w:sz w:val="20"/>
          <w:szCs w:val="20"/>
          <w:color w:val="auto"/>
        </w:rPr>
      </w:pPr>
      <w:r>
        <w:rPr>
          <w:rFonts w:ascii="Courier New" w:cs="Courier New" w:eastAsia="Courier New" w:hAnsi="Courier New"/>
          <w:sz w:val="16"/>
          <w:szCs w:val="16"/>
          <w:color w:val="auto"/>
        </w:rPr>
        <w:t>G. ROBERT LUCAS</w:t>
      </w:r>
    </w:p>
    <w:p>
      <w:pPr>
        <w:ind w:left="3664"/>
        <w:spacing w:after="0"/>
        <w:rPr>
          <w:sz w:val="20"/>
          <w:szCs w:val="20"/>
          <w:color w:val="auto"/>
        </w:rPr>
      </w:pPr>
      <w:r>
        <w:rPr>
          <w:rFonts w:ascii="Courier New" w:cs="Courier New" w:eastAsia="Courier New" w:hAnsi="Courier New"/>
          <w:sz w:val="16"/>
          <w:szCs w:val="16"/>
          <w:color w:val="auto"/>
        </w:rPr>
        <w:t>President</w:t>
      </w:r>
    </w:p>
    <w:p>
      <w:pPr>
        <w:spacing w:after="0" w:line="36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2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G. ROBERT LUCAS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G. Robert Lucas</w:t>
      </w:r>
    </w:p>
    <w:p>
      <w:pPr>
        <w:sectPr>
          <w:pgSz w:w="11900" w:h="16838" w:orient="portrait"/>
          <w:cols w:equalWidth="0" w:num="1">
            <w:col w:w="10223"/>
          </w:cols>
          <w:pgMar w:left="236" w:top="293" w:right="1440" w:bottom="1440" w:gutter="0" w:footer="0" w:header="0"/>
          <w:type w:val="continuous"/>
        </w:sectPr>
      </w:pP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REBECCA J. BRUENING*</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Rebecca J. Bruening</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Financial and</w:t>
      </w:r>
    </w:p>
    <w:p>
      <w:pPr>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567"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EDWARD R. CLAGGETT*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4"/>
        <w:spacing w:after="0"/>
        <w:rPr>
          <w:sz w:val="20"/>
          <w:szCs w:val="20"/>
          <w:color w:val="auto"/>
        </w:rPr>
      </w:pPr>
      <w:r>
        <w:rPr>
          <w:rFonts w:ascii="Courier New" w:cs="Courier New" w:eastAsia="Courier New" w:hAnsi="Courier New"/>
          <w:sz w:val="16"/>
          <w:szCs w:val="16"/>
          <w:color w:val="auto"/>
        </w:rPr>
        <w:t>- -----------------------------------</w:t>
      </w:r>
    </w:p>
    <w:p>
      <w:pPr>
        <w:ind w:left="384"/>
        <w:spacing w:after="0"/>
        <w:rPr>
          <w:sz w:val="20"/>
          <w:szCs w:val="20"/>
          <w:color w:val="auto"/>
        </w:rPr>
      </w:pPr>
      <w:r>
        <w:rPr>
          <w:rFonts w:ascii="Courier New" w:cs="Courier New" w:eastAsia="Courier New" w:hAnsi="Courier New"/>
          <w:sz w:val="16"/>
          <w:szCs w:val="16"/>
          <w:color w:val="auto"/>
        </w:rPr>
        <w:t>EDWARD R. CLAGGETT</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JOLEEN LEGAKES*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April 18, 2000</w:t>
      </w:r>
    </w:p>
    <w:p>
      <w:pPr>
        <w:ind w:left="184" w:hanging="184"/>
        <w:spacing w:after="0"/>
        <w:tabs>
          <w:tab w:leader="none" w:pos="184"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JOLEEN LEGAKES</w:t>
      </w:r>
    </w:p>
    <w:p>
      <w:pPr>
        <w:spacing w:after="0" w:line="35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8" w:name="page79"/>
    <w:bookmarkEnd w:id="78"/>
    <w:p>
      <w:pPr>
        <w:ind w:left="284"/>
        <w:spacing w:after="0"/>
        <w:rPr>
          <w:sz w:val="20"/>
          <w:szCs w:val="20"/>
          <w:color w:val="auto"/>
        </w:rPr>
      </w:pPr>
      <w:r>
        <w:rPr>
          <w:rFonts w:ascii="Courier New" w:cs="Courier New" w:eastAsia="Courier New" w:hAnsi="Courier New"/>
          <w:sz w:val="16"/>
          <w:szCs w:val="16"/>
          <w:color w:val="auto"/>
        </w:rPr>
        <w:t>75</w:t>
      </w:r>
    </w:p>
    <w:tbl>
      <w:tblPr>
        <w:tblLayout w:type="fixed"/>
        <w:tblInd w:w="4" w:type="dxa"/>
        <w:tblCellMar>
          <w:top w:w="0" w:type="dxa"/>
          <w:left w:w="0" w:type="dxa"/>
          <w:bottom w:w="0" w:type="dxa"/>
          <w:right w:w="0" w:type="dxa"/>
        </w:tblCellMar>
      </w:tblPr>
      <w:tr>
        <w:trPr>
          <w:trHeight w:val="180"/>
        </w:trPr>
        <w:tc>
          <w:tcPr>
            <w:tcW w:w="1080" w:type="dxa"/>
            <w:vAlign w:val="bottom"/>
          </w:tcPr>
          <w:p>
            <w:pPr>
              <w:spacing w:after="0"/>
              <w:rPr>
                <w:sz w:val="15"/>
                <w:szCs w:val="15"/>
                <w:color w:val="auto"/>
              </w:rPr>
            </w:pPr>
          </w:p>
        </w:tc>
        <w:tc>
          <w:tcPr>
            <w:tcW w:w="2720" w:type="dxa"/>
            <w:vAlign w:val="bottom"/>
          </w:tcPr>
          <w:p>
            <w:pPr>
              <w:ind w:left="1920"/>
              <w:spacing w:after="0"/>
              <w:rPr>
                <w:sz w:val="20"/>
                <w:szCs w:val="20"/>
                <w:color w:val="auto"/>
              </w:rPr>
            </w:pPr>
            <w:r>
              <w:rPr>
                <w:rFonts w:ascii="Courier New" w:cs="Courier New" w:eastAsia="Courier New" w:hAnsi="Courier New"/>
                <w:sz w:val="16"/>
                <w:szCs w:val="16"/>
                <w:color w:val="auto"/>
              </w:rPr>
              <w:t>INDEX TO</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EXHIBITS</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2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80"/>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No.</w:t>
            </w:r>
          </w:p>
        </w:tc>
        <w:tc>
          <w:tcPr>
            <w:tcW w:w="2720" w:type="dxa"/>
            <w:vAlign w:val="bottom"/>
          </w:tcPr>
          <w:p>
            <w:pPr>
              <w:ind w:left="420"/>
              <w:spacing w:after="0"/>
              <w:rPr>
                <w:sz w:val="20"/>
                <w:szCs w:val="20"/>
                <w:color w:val="auto"/>
              </w:rPr>
            </w:pPr>
            <w:r>
              <w:rPr>
                <w:rFonts w:ascii="Courier New" w:cs="Courier New" w:eastAsia="Courier New" w:hAnsi="Courier New"/>
                <w:sz w:val="16"/>
                <w:szCs w:val="16"/>
                <w:color w:val="auto"/>
              </w:rPr>
              <w:t>Description</w:t>
            </w:r>
          </w:p>
        </w:tc>
        <w:tc>
          <w:tcPr>
            <w:tcW w:w="3600" w:type="dxa"/>
            <w:vAlign w:val="bottom"/>
          </w:tcPr>
          <w:p>
            <w:pPr>
              <w:spacing w:after="0"/>
              <w:rPr>
                <w:sz w:val="15"/>
                <w:szCs w:val="15"/>
                <w:color w:val="auto"/>
              </w:rPr>
            </w:pPr>
          </w:p>
        </w:tc>
      </w:tr>
      <w:tr>
        <w:trPr>
          <w:trHeight w:val="180"/>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272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3600" w:type="dxa"/>
            <w:vAlign w:val="bottom"/>
          </w:tcPr>
          <w:p>
            <w:pPr>
              <w:spacing w:after="0"/>
              <w:rPr>
                <w:sz w:val="15"/>
                <w:szCs w:val="15"/>
                <w:color w:val="auto"/>
              </w:rPr>
            </w:pPr>
          </w:p>
        </w:tc>
      </w:tr>
      <w:tr>
        <w:trPr>
          <w:trHeight w:val="361"/>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1"/>
              </w:rPr>
              <w:t>2.1**</w:t>
            </w:r>
          </w:p>
        </w:tc>
        <w:tc>
          <w:tcPr>
            <w:tcW w:w="2720" w:type="dxa"/>
            <w:vAlign w:val="bottom"/>
          </w:tcPr>
          <w:p>
            <w:pPr>
              <w:ind w:left="420"/>
              <w:spacing w:after="0"/>
              <w:rPr>
                <w:sz w:val="20"/>
                <w:szCs w:val="20"/>
                <w:color w:val="auto"/>
              </w:rPr>
            </w:pPr>
            <w:r>
              <w:rPr>
                <w:rFonts w:ascii="Courier New" w:cs="Courier New" w:eastAsia="Courier New" w:hAnsi="Courier New"/>
                <w:sz w:val="16"/>
                <w:szCs w:val="16"/>
                <w:color w:val="auto"/>
                <w:w w:val="98"/>
              </w:rPr>
              <w:t>Asset Purchase Agreement</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w w:val="97"/>
              </w:rPr>
              <w:t>dated as of November 11, 1998, between</w:t>
            </w:r>
          </w:p>
        </w:tc>
      </w:tr>
      <w:tr>
        <w:trPr>
          <w:trHeight w:val="180"/>
        </w:trPr>
        <w:tc>
          <w:tcPr>
            <w:tcW w:w="1080" w:type="dxa"/>
            <w:vAlign w:val="bottom"/>
          </w:tcPr>
          <w:p>
            <w:pPr>
              <w:spacing w:after="0"/>
              <w:rPr>
                <w:sz w:val="15"/>
                <w:szCs w:val="15"/>
                <w:color w:val="auto"/>
              </w:rPr>
            </w:pPr>
          </w:p>
        </w:tc>
        <w:tc>
          <w:tcPr>
            <w:tcW w:w="2720" w:type="dxa"/>
            <w:vAlign w:val="bottom"/>
          </w:tcPr>
          <w:p>
            <w:pPr>
              <w:ind w:left="420"/>
              <w:spacing w:after="0"/>
              <w:rPr>
                <w:sz w:val="20"/>
                <w:szCs w:val="20"/>
                <w:color w:val="auto"/>
              </w:rPr>
            </w:pPr>
            <w:r>
              <w:rPr>
                <w:rFonts w:ascii="Courier New" w:cs="Courier New" w:eastAsia="Courier New" w:hAnsi="Courier New"/>
                <w:sz w:val="16"/>
                <w:szCs w:val="16"/>
                <w:color w:val="auto"/>
                <w:w w:val="98"/>
              </w:rPr>
              <w:t>Monsanto Company and the</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Registrant (incorporated herein by</w:t>
            </w:r>
          </w:p>
        </w:tc>
      </w:tr>
      <w:tr>
        <w:trPr>
          <w:trHeight w:val="180"/>
        </w:trPr>
        <w:tc>
          <w:tcPr>
            <w:tcW w:w="1080" w:type="dxa"/>
            <w:vAlign w:val="bottom"/>
          </w:tcPr>
          <w:p>
            <w:pPr>
              <w:spacing w:after="0"/>
              <w:rPr>
                <w:sz w:val="15"/>
                <w:szCs w:val="15"/>
                <w:color w:val="auto"/>
              </w:rPr>
            </w:pPr>
          </w:p>
        </w:tc>
        <w:tc>
          <w:tcPr>
            <w:tcW w:w="632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reference to Exhibit 2(d) to the Registrant's Annual Report</w:t>
            </w:r>
          </w:p>
        </w:tc>
      </w:tr>
      <w:tr>
        <w:trPr>
          <w:trHeight w:val="180"/>
        </w:trPr>
        <w:tc>
          <w:tcPr>
            <w:tcW w:w="1080" w:type="dxa"/>
            <w:vAlign w:val="bottom"/>
          </w:tcPr>
          <w:p>
            <w:pPr>
              <w:spacing w:after="0"/>
              <w:rPr>
                <w:sz w:val="15"/>
                <w:szCs w:val="15"/>
                <w:color w:val="auto"/>
              </w:rPr>
            </w:pPr>
          </w:p>
        </w:tc>
        <w:tc>
          <w:tcPr>
            <w:tcW w:w="632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97"/>
              </w:rPr>
              <w:t>on Form 10-K for the fiscal year ended September 30, 2000 (File</w:t>
            </w:r>
          </w:p>
        </w:tc>
      </w:tr>
      <w:tr>
        <w:trPr>
          <w:trHeight w:val="180"/>
        </w:trPr>
        <w:tc>
          <w:tcPr>
            <w:tcW w:w="1080" w:type="dxa"/>
            <w:vAlign w:val="bottom"/>
          </w:tcPr>
          <w:p>
            <w:pPr>
              <w:spacing w:after="0"/>
              <w:rPr>
                <w:sz w:val="15"/>
                <w:szCs w:val="15"/>
                <w:color w:val="auto"/>
              </w:rPr>
            </w:pPr>
          </w:p>
        </w:tc>
        <w:tc>
          <w:tcPr>
            <w:tcW w:w="2720" w:type="dxa"/>
            <w:vAlign w:val="bottom"/>
          </w:tcPr>
          <w:p>
            <w:pPr>
              <w:ind w:left="420"/>
              <w:spacing w:after="0"/>
              <w:rPr>
                <w:sz w:val="20"/>
                <w:szCs w:val="20"/>
                <w:color w:val="auto"/>
              </w:rPr>
            </w:pPr>
            <w:r>
              <w:rPr>
                <w:rFonts w:ascii="Courier New" w:cs="Courier New" w:eastAsia="Courier New" w:hAnsi="Courier New"/>
                <w:sz w:val="16"/>
                <w:szCs w:val="16"/>
                <w:color w:val="auto"/>
                <w:w w:val="98"/>
              </w:rPr>
              <w:t>No. 001-13292)). Certain</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portions of this exhibit have been</w:t>
            </w:r>
          </w:p>
        </w:tc>
      </w:tr>
      <w:tr>
        <w:trPr>
          <w:trHeight w:val="180"/>
        </w:trPr>
        <w:tc>
          <w:tcPr>
            <w:tcW w:w="1080" w:type="dxa"/>
            <w:vAlign w:val="bottom"/>
          </w:tcPr>
          <w:p>
            <w:pPr>
              <w:spacing w:after="0"/>
              <w:rPr>
                <w:sz w:val="15"/>
                <w:szCs w:val="15"/>
                <w:color w:val="auto"/>
              </w:rPr>
            </w:pPr>
          </w:p>
        </w:tc>
        <w:tc>
          <w:tcPr>
            <w:tcW w:w="632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omitted based upon a request for confidential treatment filed</w:t>
            </w:r>
          </w:p>
        </w:tc>
      </w:tr>
      <w:tr>
        <w:trPr>
          <w:trHeight w:val="180"/>
        </w:trPr>
        <w:tc>
          <w:tcPr>
            <w:tcW w:w="1080" w:type="dxa"/>
            <w:vAlign w:val="bottom"/>
          </w:tcPr>
          <w:p>
            <w:pPr>
              <w:spacing w:after="0"/>
              <w:rPr>
                <w:sz w:val="15"/>
                <w:szCs w:val="15"/>
                <w:color w:val="auto"/>
              </w:rPr>
            </w:pPr>
          </w:p>
        </w:tc>
        <w:tc>
          <w:tcPr>
            <w:tcW w:w="2720" w:type="dxa"/>
            <w:vAlign w:val="bottom"/>
          </w:tcPr>
          <w:p>
            <w:pPr>
              <w:ind w:left="420"/>
              <w:spacing w:after="0"/>
              <w:rPr>
                <w:sz w:val="20"/>
                <w:szCs w:val="20"/>
                <w:color w:val="auto"/>
              </w:rPr>
            </w:pPr>
            <w:r>
              <w:rPr>
                <w:rFonts w:ascii="Courier New" w:cs="Courier New" w:eastAsia="Courier New" w:hAnsi="Courier New"/>
                <w:sz w:val="16"/>
                <w:szCs w:val="16"/>
                <w:color w:val="auto"/>
                <w:w w:val="98"/>
              </w:rPr>
              <w:t>with the Commission. The</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w w:val="99"/>
              </w:rPr>
              <w:t>non-public information has been filed</w:t>
            </w:r>
          </w:p>
        </w:tc>
      </w:tr>
      <w:tr>
        <w:trPr>
          <w:trHeight w:val="180"/>
        </w:trPr>
        <w:tc>
          <w:tcPr>
            <w:tcW w:w="1080" w:type="dxa"/>
            <w:vAlign w:val="bottom"/>
          </w:tcPr>
          <w:p>
            <w:pPr>
              <w:spacing w:after="0"/>
              <w:rPr>
                <w:sz w:val="15"/>
                <w:szCs w:val="15"/>
                <w:color w:val="auto"/>
              </w:rPr>
            </w:pPr>
          </w:p>
        </w:tc>
        <w:tc>
          <w:tcPr>
            <w:tcW w:w="632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97"/>
              </w:rPr>
              <w:t>separately with the Commission in connection with that request.</w:t>
            </w:r>
          </w:p>
        </w:tc>
      </w:tr>
      <w:tr>
        <w:trPr>
          <w:trHeight w:val="361"/>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1"/>
              </w:rPr>
              <w:t>2.2**</w:t>
            </w:r>
          </w:p>
        </w:tc>
        <w:tc>
          <w:tcPr>
            <w:tcW w:w="632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97"/>
              </w:rPr>
              <w:t>Amended and Restated Agency and Marketing Agreement dated as of</w:t>
            </w:r>
          </w:p>
        </w:tc>
      </w:tr>
      <w:tr>
        <w:trPr>
          <w:trHeight w:val="180"/>
        </w:trPr>
        <w:tc>
          <w:tcPr>
            <w:tcW w:w="1080" w:type="dxa"/>
            <w:vAlign w:val="bottom"/>
          </w:tcPr>
          <w:p>
            <w:pPr>
              <w:spacing w:after="0"/>
              <w:rPr>
                <w:sz w:val="15"/>
                <w:szCs w:val="15"/>
                <w:color w:val="auto"/>
              </w:rPr>
            </w:pPr>
          </w:p>
        </w:tc>
        <w:tc>
          <w:tcPr>
            <w:tcW w:w="632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98"/>
              </w:rPr>
              <w:t>September 30, 1998 between Monsanto Company and the Registrant</w:t>
            </w:r>
          </w:p>
        </w:tc>
      </w:tr>
      <w:tr>
        <w:trPr>
          <w:trHeight w:val="180"/>
        </w:trPr>
        <w:tc>
          <w:tcPr>
            <w:tcW w:w="1080" w:type="dxa"/>
            <w:vAlign w:val="bottom"/>
          </w:tcPr>
          <w:p>
            <w:pPr>
              <w:spacing w:after="0"/>
              <w:rPr>
                <w:sz w:val="15"/>
                <w:szCs w:val="15"/>
                <w:color w:val="auto"/>
              </w:rPr>
            </w:pPr>
          </w:p>
        </w:tc>
        <w:tc>
          <w:tcPr>
            <w:tcW w:w="632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(incorporated herein by reference to Exhibit 10(v) to the</w:t>
            </w:r>
          </w:p>
        </w:tc>
      </w:tr>
      <w:tr>
        <w:trPr>
          <w:trHeight w:val="180"/>
        </w:trPr>
        <w:tc>
          <w:tcPr>
            <w:tcW w:w="1080" w:type="dxa"/>
            <w:vAlign w:val="bottom"/>
          </w:tcPr>
          <w:p>
            <w:pPr>
              <w:spacing w:after="0"/>
              <w:rPr>
                <w:sz w:val="15"/>
                <w:szCs w:val="15"/>
                <w:color w:val="auto"/>
              </w:rPr>
            </w:pPr>
          </w:p>
        </w:tc>
        <w:tc>
          <w:tcPr>
            <w:tcW w:w="632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Registrant's Annual Report on Form 10-K for the fiscal</w:t>
            </w:r>
          </w:p>
        </w:tc>
      </w:tr>
      <w:tr>
        <w:trPr>
          <w:trHeight w:val="180"/>
        </w:trPr>
        <w:tc>
          <w:tcPr>
            <w:tcW w:w="1080" w:type="dxa"/>
            <w:vAlign w:val="bottom"/>
          </w:tcPr>
          <w:p>
            <w:pPr>
              <w:spacing w:after="0"/>
              <w:rPr>
                <w:sz w:val="15"/>
                <w:szCs w:val="15"/>
                <w:color w:val="auto"/>
              </w:rPr>
            </w:pPr>
          </w:p>
        </w:tc>
        <w:tc>
          <w:tcPr>
            <w:tcW w:w="2720" w:type="dxa"/>
            <w:vAlign w:val="bottom"/>
          </w:tcPr>
          <w:p>
            <w:pPr>
              <w:ind w:left="420"/>
              <w:spacing w:after="0"/>
              <w:rPr>
                <w:sz w:val="20"/>
                <w:szCs w:val="20"/>
                <w:color w:val="auto"/>
              </w:rPr>
            </w:pPr>
            <w:r>
              <w:rPr>
                <w:rFonts w:ascii="Courier New" w:cs="Courier New" w:eastAsia="Courier New" w:hAnsi="Courier New"/>
                <w:sz w:val="16"/>
                <w:szCs w:val="16"/>
                <w:color w:val="auto"/>
                <w:w w:val="98"/>
              </w:rPr>
              <w:t>year ended September 30,</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2000 (File No. 001-13292)). Certain</w:t>
            </w:r>
          </w:p>
        </w:tc>
      </w:tr>
      <w:tr>
        <w:trPr>
          <w:trHeight w:val="180"/>
        </w:trPr>
        <w:tc>
          <w:tcPr>
            <w:tcW w:w="1080" w:type="dxa"/>
            <w:vAlign w:val="bottom"/>
          </w:tcPr>
          <w:p>
            <w:pPr>
              <w:spacing w:after="0"/>
              <w:rPr>
                <w:sz w:val="15"/>
                <w:szCs w:val="15"/>
                <w:color w:val="auto"/>
              </w:rPr>
            </w:pPr>
          </w:p>
        </w:tc>
        <w:tc>
          <w:tcPr>
            <w:tcW w:w="2720" w:type="dxa"/>
            <w:vAlign w:val="bottom"/>
          </w:tcPr>
          <w:p>
            <w:pPr>
              <w:ind w:left="420"/>
              <w:spacing w:after="0"/>
              <w:rPr>
                <w:sz w:val="20"/>
                <w:szCs w:val="20"/>
                <w:color w:val="auto"/>
              </w:rPr>
            </w:pPr>
            <w:r>
              <w:rPr>
                <w:rFonts w:ascii="Courier New" w:cs="Courier New" w:eastAsia="Courier New" w:hAnsi="Courier New"/>
                <w:sz w:val="16"/>
                <w:szCs w:val="16"/>
                <w:color w:val="auto"/>
                <w:w w:val="98"/>
              </w:rPr>
              <w:t>portions of this exhibit</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w w:val="97"/>
              </w:rPr>
              <w:t>have been omitted based upon a request</w:t>
            </w:r>
          </w:p>
        </w:tc>
      </w:tr>
      <w:tr>
        <w:trPr>
          <w:trHeight w:val="180"/>
        </w:trPr>
        <w:tc>
          <w:tcPr>
            <w:tcW w:w="1080" w:type="dxa"/>
            <w:vAlign w:val="bottom"/>
          </w:tcPr>
          <w:p>
            <w:pPr>
              <w:spacing w:after="0"/>
              <w:rPr>
                <w:sz w:val="15"/>
                <w:szCs w:val="15"/>
                <w:color w:val="auto"/>
              </w:rPr>
            </w:pPr>
          </w:p>
        </w:tc>
        <w:tc>
          <w:tcPr>
            <w:tcW w:w="632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for confidential treatment filed with the Commission. The</w:t>
            </w:r>
          </w:p>
        </w:tc>
      </w:tr>
      <w:tr>
        <w:trPr>
          <w:trHeight w:val="180"/>
        </w:trPr>
        <w:tc>
          <w:tcPr>
            <w:tcW w:w="1080" w:type="dxa"/>
            <w:vAlign w:val="bottom"/>
          </w:tcPr>
          <w:p>
            <w:pPr>
              <w:spacing w:after="0"/>
              <w:rPr>
                <w:sz w:val="15"/>
                <w:szCs w:val="15"/>
                <w:color w:val="auto"/>
              </w:rPr>
            </w:pPr>
          </w:p>
        </w:tc>
        <w:tc>
          <w:tcPr>
            <w:tcW w:w="632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non-public information has been filed separately with the</w:t>
            </w:r>
          </w:p>
        </w:tc>
      </w:tr>
      <w:tr>
        <w:trPr>
          <w:trHeight w:val="180"/>
        </w:trPr>
        <w:tc>
          <w:tcPr>
            <w:tcW w:w="1080" w:type="dxa"/>
            <w:vAlign w:val="bottom"/>
          </w:tcPr>
          <w:p>
            <w:pPr>
              <w:spacing w:after="0"/>
              <w:rPr>
                <w:sz w:val="15"/>
                <w:szCs w:val="15"/>
                <w:color w:val="auto"/>
              </w:rPr>
            </w:pPr>
          </w:p>
        </w:tc>
        <w:tc>
          <w:tcPr>
            <w:tcW w:w="2720" w:type="dxa"/>
            <w:vAlign w:val="bottom"/>
          </w:tcPr>
          <w:p>
            <w:pPr>
              <w:ind w:left="420"/>
              <w:spacing w:after="0"/>
              <w:rPr>
                <w:sz w:val="20"/>
                <w:szCs w:val="20"/>
                <w:color w:val="auto"/>
              </w:rPr>
            </w:pPr>
            <w:r>
              <w:rPr>
                <w:rFonts w:ascii="Courier New" w:cs="Courier New" w:eastAsia="Courier New" w:hAnsi="Courier New"/>
                <w:sz w:val="16"/>
                <w:szCs w:val="16"/>
                <w:color w:val="auto"/>
                <w:w w:val="98"/>
              </w:rPr>
              <w:t>Commission in connection</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with that request.</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632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98"/>
              </w:rPr>
              <w:t>Indenture dated as January 20, 1999 between The Scotts Company</w:t>
            </w:r>
          </w:p>
        </w:tc>
      </w:tr>
      <w:tr>
        <w:trPr>
          <w:trHeight w:val="180"/>
        </w:trPr>
        <w:tc>
          <w:tcPr>
            <w:tcW w:w="1080" w:type="dxa"/>
            <w:vAlign w:val="bottom"/>
          </w:tcPr>
          <w:p>
            <w:pPr>
              <w:spacing w:after="0"/>
              <w:rPr>
                <w:sz w:val="15"/>
                <w:szCs w:val="15"/>
                <w:color w:val="auto"/>
              </w:rPr>
            </w:pPr>
          </w:p>
        </w:tc>
        <w:tc>
          <w:tcPr>
            <w:tcW w:w="632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and State Street Bank and Trust Company, as trustee</w:t>
            </w:r>
          </w:p>
        </w:tc>
      </w:tr>
    </w:tbl>
    <w:p>
      <w:pPr>
        <w:spacing w:after="0" w:line="179" w:lineRule="exact"/>
        <w:rPr>
          <w:sz w:val="20"/>
          <w:szCs w:val="20"/>
          <w:color w:val="auto"/>
        </w:rPr>
      </w:pPr>
    </w:p>
    <w:p>
      <w:pPr>
        <w:ind w:left="1504" w:hanging="1504"/>
        <w:spacing w:after="0"/>
        <w:tabs>
          <w:tab w:leader="none" w:pos="150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Vorys, Sater, Seymour and Pease LLP</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12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Computation of Ratio of Earnings to Fixed Charges</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w w:val="97"/>
              </w:rPr>
              <w:t>Consent of PricewaterhouseCoopers LLP, Independent Accountants</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Consent of Vorys, Sater, Seymour and Pease LLP (included in</w:t>
            </w:r>
          </w:p>
        </w:tc>
      </w:tr>
      <w:tr>
        <w:trPr>
          <w:trHeight w:val="180"/>
        </w:trPr>
        <w:tc>
          <w:tcPr>
            <w:tcW w:w="1120" w:type="dxa"/>
            <w:vAlign w:val="bottom"/>
          </w:tcPr>
          <w:p>
            <w:pPr>
              <w:spacing w:after="0"/>
              <w:rPr>
                <w:sz w:val="15"/>
                <w:szCs w:val="15"/>
                <w:color w:val="auto"/>
              </w:rPr>
            </w:pP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Exhibit 5)</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Powers of Attorney</w:t>
            </w:r>
          </w:p>
        </w:tc>
      </w:tr>
      <w:tr>
        <w:trPr>
          <w:trHeight w:val="54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25**</w:t>
            </w: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Form T-1 - Statement of Eligibility of Trustee</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6200" w:type="dxa"/>
            <w:vAlign w:val="bottom"/>
          </w:tcPr>
          <w:p>
            <w:pPr>
              <w:ind w:left="380"/>
              <w:spacing w:after="0"/>
              <w:rPr>
                <w:sz w:val="20"/>
                <w:szCs w:val="20"/>
                <w:color w:val="auto"/>
              </w:rPr>
            </w:pPr>
            <w:r>
              <w:rPr>
                <w:rFonts w:ascii="Courier New" w:cs="Courier New" w:eastAsia="Courier New" w:hAnsi="Courier New"/>
                <w:sz w:val="16"/>
                <w:szCs w:val="16"/>
                <w:color w:val="auto"/>
              </w:rPr>
              <w:t>Letter of Transmittal</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00" w:type="dxa"/>
            <w:vAlign w:val="bottom"/>
          </w:tcPr>
          <w:p>
            <w:pPr>
              <w:spacing w:after="0"/>
              <w:rPr>
                <w:sz w:val="24"/>
                <w:szCs w:val="24"/>
                <w:color w:val="auto"/>
              </w:rPr>
            </w:pPr>
          </w:p>
        </w:tc>
      </w:tr>
    </w:tbl>
    <w:p>
      <w:pPr>
        <w:spacing w:after="0" w:line="185" w:lineRule="exact"/>
        <w:rPr>
          <w:sz w:val="20"/>
          <w:szCs w:val="20"/>
          <w:color w:val="auto"/>
        </w:rPr>
      </w:pPr>
    </w:p>
    <w:p>
      <w:pPr>
        <w:ind w:left="4" w:right="7499" w:hanging="4"/>
        <w:spacing w:after="0" w:line="263" w:lineRule="auto"/>
        <w:tabs>
          <w:tab w:leader="none" w:pos="37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 Previously filed.</w:t>
      </w:r>
    </w:p>
    <w:p>
      <w:pPr>
        <w:spacing w:after="0" w:line="344"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23"/>
          </w:cols>
          <w:pgMar w:left="236" w:top="293" w:right="1440" w:bottom="1440" w:gutter="0" w:footer="0" w:header="0"/>
        </w:sectPr>
      </w:pPr>
    </w:p>
    <w:bookmarkStart w:id="79" w:name="page80"/>
    <w:bookmarkEnd w:id="79"/>
    <w:p>
      <w:pPr>
        <w:ind w:left="284"/>
        <w:spacing w:after="0"/>
        <w:rPr>
          <w:sz w:val="20"/>
          <w:szCs w:val="20"/>
          <w:color w:val="auto"/>
        </w:rPr>
      </w:pPr>
      <w:r>
        <w:rPr>
          <w:rFonts w:ascii="Courier New" w:cs="Courier New" w:eastAsia="Courier New" w:hAnsi="Courier New"/>
          <w:sz w:val="16"/>
          <w:szCs w:val="16"/>
          <w:color w:val="auto"/>
        </w:rPr>
        <w:t>1</w:t>
      </w:r>
    </w:p>
    <w:p>
      <w:pPr>
        <w:jc w:val="right"/>
        <w:ind w:right="2719"/>
        <w:spacing w:after="0"/>
        <w:rPr>
          <w:sz w:val="20"/>
          <w:szCs w:val="20"/>
          <w:color w:val="auto"/>
        </w:rPr>
      </w:pPr>
      <w:r>
        <w:rPr>
          <w:rFonts w:ascii="Courier New" w:cs="Courier New" w:eastAsia="Courier New" w:hAnsi="Courier New"/>
          <w:sz w:val="16"/>
          <w:szCs w:val="16"/>
          <w:color w:val="auto"/>
        </w:rPr>
        <w:t>EXHIBIT 5</w:t>
      </w:r>
    </w:p>
    <w:p>
      <w:pPr>
        <w:spacing w:after="0" w:line="200" w:lineRule="exact"/>
        <w:rPr>
          <w:sz w:val="20"/>
          <w:szCs w:val="20"/>
          <w:color w:val="auto"/>
        </w:rPr>
      </w:pPr>
    </w:p>
    <w:p>
      <w:pPr>
        <w:spacing w:after="0" w:line="339"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[VORYS, SATER, SEYMOUR AND PEASE LLP LETTERHEAD]</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April 18, 2000</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The Scotts Company</w:t>
      </w:r>
    </w:p>
    <w:p>
      <w:pPr>
        <w:ind w:left="4"/>
        <w:spacing w:after="0"/>
        <w:rPr>
          <w:sz w:val="20"/>
          <w:szCs w:val="20"/>
          <w:color w:val="auto"/>
        </w:rPr>
      </w:pPr>
      <w:r>
        <w:rPr>
          <w:rFonts w:ascii="Courier New" w:cs="Courier New" w:eastAsia="Courier New" w:hAnsi="Courier New"/>
          <w:sz w:val="16"/>
          <w:szCs w:val="16"/>
          <w:color w:val="auto"/>
        </w:rPr>
        <w:t>World Headquarters</w:t>
      </w:r>
    </w:p>
    <w:p>
      <w:pPr>
        <w:ind w:left="4"/>
        <w:spacing w:after="0" w:line="237" w:lineRule="auto"/>
        <w:rPr>
          <w:sz w:val="20"/>
          <w:szCs w:val="20"/>
          <w:color w:val="auto"/>
        </w:rPr>
      </w:pPr>
      <w:r>
        <w:rPr>
          <w:rFonts w:ascii="Courier New" w:cs="Courier New" w:eastAsia="Courier New" w:hAnsi="Courier New"/>
          <w:sz w:val="16"/>
          <w:szCs w:val="16"/>
          <w:color w:val="auto"/>
        </w:rPr>
        <w:t>41 S. High Street</w:t>
      </w:r>
    </w:p>
    <w:p>
      <w:pPr>
        <w:ind w:left="4"/>
        <w:spacing w:after="0"/>
        <w:rPr>
          <w:sz w:val="20"/>
          <w:szCs w:val="20"/>
          <w:color w:val="auto"/>
        </w:rPr>
      </w:pPr>
      <w:r>
        <w:rPr>
          <w:rFonts w:ascii="Courier New" w:cs="Courier New" w:eastAsia="Courier New" w:hAnsi="Courier New"/>
          <w:sz w:val="16"/>
          <w:szCs w:val="16"/>
          <w:color w:val="auto"/>
        </w:rPr>
        <w:t>Columbus, Ohio 43215</w:t>
      </w:r>
    </w:p>
    <w:p>
      <w:pPr>
        <w:spacing w:after="0" w:line="179" w:lineRule="exact"/>
        <w:rPr>
          <w:sz w:val="20"/>
          <w:szCs w:val="20"/>
          <w:color w:val="auto"/>
        </w:rPr>
      </w:pPr>
    </w:p>
    <w:p>
      <w:pPr>
        <w:ind w:left="1684"/>
        <w:spacing w:after="0"/>
        <w:tabs>
          <w:tab w:leader="none" w:pos="2223" w:val="left"/>
        </w:tabs>
        <w:rPr>
          <w:sz w:val="20"/>
          <w:szCs w:val="20"/>
          <w:color w:val="auto"/>
        </w:rPr>
      </w:pPr>
      <w:r>
        <w:rPr>
          <w:rFonts w:ascii="Courier New" w:cs="Courier New" w:eastAsia="Courier New" w:hAnsi="Courier New"/>
          <w:sz w:val="16"/>
          <w:szCs w:val="16"/>
          <w:color w:val="auto"/>
        </w:rPr>
        <w:t>Re:</w:t>
        <w:tab/>
        <w:t>Registration Statement on Form S-4 (No. 333- 76739)</w:t>
      </w:r>
    </w:p>
    <w:p>
      <w:pPr>
        <w:ind w:left="22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Ladies and Gentlemen:</w:t>
      </w:r>
    </w:p>
    <w:p>
      <w:pPr>
        <w:spacing w:after="0" w:line="200" w:lineRule="exact"/>
        <w:rPr>
          <w:sz w:val="20"/>
          <w:szCs w:val="20"/>
          <w:color w:val="auto"/>
        </w:rPr>
      </w:pPr>
    </w:p>
    <w:p>
      <w:pPr>
        <w:spacing w:after="0" w:line="345" w:lineRule="exact"/>
        <w:rPr>
          <w:sz w:val="20"/>
          <w:szCs w:val="20"/>
          <w:color w:val="auto"/>
        </w:rPr>
      </w:pPr>
    </w:p>
    <w:p>
      <w:pPr>
        <w:ind w:left="4" w:right="2819"/>
        <w:spacing w:after="0" w:line="255" w:lineRule="auto"/>
        <w:rPr>
          <w:sz w:val="20"/>
          <w:szCs w:val="20"/>
          <w:color w:val="auto"/>
        </w:rPr>
      </w:pPr>
      <w:r>
        <w:rPr>
          <w:rFonts w:ascii="Courier New" w:cs="Courier New" w:eastAsia="Courier New" w:hAnsi="Courier New"/>
          <w:sz w:val="15"/>
          <w:szCs w:val="15"/>
          <w:color w:val="auto"/>
        </w:rPr>
        <w:t>We have acted as counsel to The Scotts Company, an Ohio corporation (the "Company"), in connection with the proposed offer and exchange (the "Exchange Offer") by the Company of (i) $330,000,000 aggregate principal amount of the Company's 8.625% Senior Subordinated Notes due 2009 (the "New Notes"), which have been registered under the Securities Act of 1933, as amended (the "Securities Act"), for (ii) an equal principal amount at maturity of its outstanding 8.625% Senior Subordinated Notes due 2009 (the "Original Notes"). The New Notes will be issued pursuant to an indenture dated as of January 21, 1999 (the "Indenture") by and between the Company, the Guarantors signatories thereto (the "Guarantors") and State Street Bank and Trust Company, as Trustee.</w:t>
      </w:r>
    </w:p>
    <w:p>
      <w:pPr>
        <w:spacing w:after="0" w:line="359"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We are giving this opinion in connection with the Registration Statement on Form S-4 (No. 333-76739), as amended, relating to the Exchange Offer (the "Registration Statement"). This opinion is being furnished in accordance with the requirements of Item 601(b)(5) of Regulation S-K of the General Rules and Regulations promulgated under the Securities Act.</w:t>
      </w:r>
    </w:p>
    <w:p>
      <w:pPr>
        <w:spacing w:after="0" w:line="368" w:lineRule="exact"/>
        <w:rPr>
          <w:sz w:val="20"/>
          <w:szCs w:val="20"/>
          <w:color w:val="auto"/>
        </w:rPr>
      </w:pPr>
    </w:p>
    <w:p>
      <w:pPr>
        <w:ind w:left="4" w:right="3099"/>
        <w:spacing w:after="0" w:line="254" w:lineRule="auto"/>
        <w:rPr>
          <w:sz w:val="20"/>
          <w:szCs w:val="20"/>
          <w:color w:val="auto"/>
        </w:rPr>
      </w:pPr>
      <w:r>
        <w:rPr>
          <w:rFonts w:ascii="Courier New" w:cs="Courier New" w:eastAsia="Courier New" w:hAnsi="Courier New"/>
          <w:sz w:val="15"/>
          <w:szCs w:val="15"/>
          <w:color w:val="auto"/>
        </w:rPr>
        <w:t>In rendering this opinion, we have examined, among other things: (i) the Registration Statement; (ii) the Indenture; (iii) the form of the New Notes;</w:t>
      </w:r>
    </w:p>
    <w:p>
      <w:pPr>
        <w:spacing w:after="0" w:line="1" w:lineRule="exact"/>
        <w:rPr>
          <w:sz w:val="20"/>
          <w:szCs w:val="20"/>
          <w:color w:val="auto"/>
        </w:rPr>
      </w:pPr>
    </w:p>
    <w:p>
      <w:pPr>
        <w:ind w:left="4" w:right="2719" w:hanging="4"/>
        <w:spacing w:after="0" w:line="238" w:lineRule="auto"/>
        <w:tabs>
          <w:tab w:leader="none" w:pos="473"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Articles of Incorporation of the Company as currently in effect; (v) the Code of Regulations of the Company as currently in effect; and (vi) the resolutions adopted by the Board of Directors of the Company or the Executive Committee thereof relating to the Exchange Offer. We have also examined originals or copies, certified or otherwise identified to my satisfaction, of such records of the Company and such other documents, certificates and records as we have deemed necessary or appropriate as a basis for the opinions set forth herein.</w:t>
      </w:r>
    </w:p>
    <w:p>
      <w:pPr>
        <w:spacing w:after="0" w:line="366" w:lineRule="exact"/>
        <w:rPr>
          <w:sz w:val="20"/>
          <w:szCs w:val="20"/>
          <w:color w:val="auto"/>
        </w:rPr>
      </w:pPr>
    </w:p>
    <w:p>
      <w:pPr>
        <w:ind w:left="4" w:right="2719"/>
        <w:spacing w:after="0" w:line="255" w:lineRule="auto"/>
        <w:rPr>
          <w:sz w:val="20"/>
          <w:szCs w:val="20"/>
          <w:color w:val="auto"/>
        </w:rPr>
      </w:pPr>
      <w:r>
        <w:rPr>
          <w:rFonts w:ascii="Courier New" w:cs="Courier New" w:eastAsia="Courier New" w:hAnsi="Courier New"/>
          <w:sz w:val="15"/>
          <w:szCs w:val="15"/>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documents executed by the parties other than the Company, we have assumed that such parties had the power, corporate or other, to enter into and perform all obligations thereunder and have also assumed the due authorization by all requisite action, corporation and other, and execution and delivery by such parties of such documents and the validity and binding effect thereof. As to any facts material to the opinions expressed herein which were not independently established or verified, we have relied upon oral or written statements and representations of officers and other representatives of the Company and others. In addition, we have assumed that the terms of the Original Notes and the New Notes have been established in accordance with the terms of the Indenture.</w:t>
      </w:r>
    </w:p>
    <w:p>
      <w:pPr>
        <w:spacing w:after="0" w:line="358" w:lineRule="exact"/>
        <w:rPr>
          <w:sz w:val="20"/>
          <w:szCs w:val="20"/>
          <w:color w:val="auto"/>
        </w:rPr>
      </w:pPr>
    </w:p>
    <w:p>
      <w:pPr>
        <w:ind w:left="4" w:right="2819"/>
        <w:spacing w:after="0" w:line="256" w:lineRule="auto"/>
        <w:rPr>
          <w:sz w:val="20"/>
          <w:szCs w:val="20"/>
          <w:color w:val="auto"/>
        </w:rPr>
      </w:pPr>
      <w:r>
        <w:rPr>
          <w:rFonts w:ascii="Courier New" w:cs="Courier New" w:eastAsia="Courier New" w:hAnsi="Courier New"/>
          <w:sz w:val="15"/>
          <w:szCs w:val="15"/>
          <w:color w:val="auto"/>
        </w:rPr>
        <w:t>Our opinion is subject to: (a) the effect of applicable bankruptcy, insolvency, reorganization, moratorium, fraudulent conveyance or other similar laws now or hereafter in effect relating to creditors' rights generally and (b) the limitations imposed by general principles of equity (regardless of whether enforceability is considered in a proceeding at law or in equity).</w:t>
      </w:r>
    </w:p>
    <w:p>
      <w:pPr>
        <w:sectPr>
          <w:pgSz w:w="11900" w:h="16838" w:orient="portrait"/>
          <w:cols w:equalWidth="0" w:num="1">
            <w:col w:w="10223"/>
          </w:cols>
          <w:pgMar w:left="236" w:top="136"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rPr>
          <w:sz w:val="20"/>
          <w:szCs w:val="20"/>
          <w:color w:val="auto"/>
        </w:rPr>
      </w:pPr>
      <w:r>
        <w:rPr>
          <w:rFonts w:ascii="Courier New" w:cs="Courier New" w:eastAsia="Courier New" w:hAnsi="Courier New"/>
          <w:sz w:val="16"/>
          <w:szCs w:val="16"/>
          <w:color w:val="auto"/>
        </w:rPr>
        <w:t>April 18, 2000</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200" w:lineRule="exact"/>
        <w:rPr>
          <w:sz w:val="20"/>
          <w:szCs w:val="20"/>
          <w:color w:val="auto"/>
        </w:rPr>
      </w:pPr>
    </w:p>
    <w:p>
      <w:pPr>
        <w:spacing w:after="0" w:line="346"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We are members of the Bar of the State of Ohio, and we do not express any opinion as to the laws of any other jurisdiction. The opinions expressed herein are based upon the law and circumstances as they are in effect on the date hereof, and we assume no obligation to revise or supplement this letter in the event of future changes in the law or interpretation thereof with respect to circumstances or events that may occur subsequent to the date hereof.</w:t>
      </w:r>
    </w:p>
    <w:p>
      <w:pPr>
        <w:spacing w:after="0" w:line="356"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Based upon and subject to the foregoing, we are of the opinion that (i) the New Notes, when issued in accordance with the terms of the Indenture, duly executed by the Company, duly authenticated by the Trustee and issued and delivered against exchange of the Original Notes in accordance with the terms set forth in the Prospectus that forms a part of the Registration Statement, will constitute the legal and binding obligations of the Company and (ii) the guaranties of the New Notes by the Guarantors constitute the legal and binding obligations of each of the Guarantors, in each case, under the laws of the State of New York (which is the governing law with respect thereto).</w:t>
      </w:r>
    </w:p>
    <w:p>
      <w:pPr>
        <w:spacing w:after="0" w:line="366"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hereby consent to the use of our name in the Registration Statement under the caption "Legal Matters" (or, if amended, a corresponding heading) and to the filing of this opinion as Exhibit 5 to the Registration Statement. In giving this consent, we do not thereby admit that we come within the category of persons whose consent is required to be filed with the Registration Statement under the provisions of the Securities Act or the rules and regulations promulgated thereunder. This opinion may not be relied upon or reproduced or delivered in any other context or by any other person without our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Very truly yours,</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VORYS, SATER, SEYMOUR AND PEASE LLP</w:t>
      </w:r>
    </w:p>
    <w:p>
      <w:pPr>
        <w:sectPr>
          <w:pgSz w:w="11900" w:h="16838" w:orient="portrait"/>
          <w:cols w:equalWidth="0" w:num="1">
            <w:col w:w="10219"/>
          </w:cols>
          <w:pgMar w:left="240" w:top="293"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1</w:t>
      </w:r>
    </w:p>
    <w:tbl>
      <w:tblPr>
        <w:tblLayout w:type="fixed"/>
        <w:tblInd w:w="0" w:type="dxa"/>
        <w:tblCellMar>
          <w:top w:w="0" w:type="dxa"/>
          <w:left w:w="0" w:type="dxa"/>
          <w:bottom w:w="0" w:type="dxa"/>
          <w:right w:w="0" w:type="dxa"/>
        </w:tblCellMar>
      </w:tblPr>
      <w:tr>
        <w:trPr>
          <w:trHeight w:val="180"/>
        </w:trPr>
        <w:tc>
          <w:tcPr>
            <w:tcW w:w="4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EXHIBIT 12</w:t>
            </w: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61"/>
        </w:trPr>
        <w:tc>
          <w:tcPr>
            <w:tcW w:w="50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THE SCOTTS COMPANY</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590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STATEMENT OF COMPUTATION OF RATIO OF</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5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EARNINGS TO FIXED CHARGES</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502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 IN MILLIONS)</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721"/>
        </w:trPr>
        <w:tc>
          <w:tcPr>
            <w:tcW w:w="4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Quarter</w:t>
            </w:r>
          </w:p>
        </w:tc>
      </w:tr>
      <w:tr>
        <w:trPr>
          <w:trHeight w:val="180"/>
        </w:trPr>
        <w:tc>
          <w:tcPr>
            <w:tcW w:w="4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6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Year ended September 30,</w:t>
            </w:r>
          </w:p>
        </w:tc>
        <w:tc>
          <w:tcPr>
            <w:tcW w:w="90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ended</w:t>
            </w:r>
          </w:p>
        </w:tc>
      </w:tr>
      <w:tr>
        <w:trPr>
          <w:trHeight w:val="180"/>
        </w:trPr>
        <w:tc>
          <w:tcPr>
            <w:tcW w:w="4020" w:type="dxa"/>
            <w:vAlign w:val="bottom"/>
          </w:tcPr>
          <w:p>
            <w:pPr>
              <w:spacing w:after="0"/>
              <w:rPr>
                <w:sz w:val="15"/>
                <w:szCs w:val="15"/>
                <w:color w:val="auto"/>
              </w:rPr>
            </w:pPr>
          </w:p>
        </w:tc>
        <w:tc>
          <w:tcPr>
            <w:tcW w:w="4660" w:type="dxa"/>
            <w:vAlign w:val="bottom"/>
            <w:gridSpan w:val="5"/>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January 1,</w:t>
            </w:r>
          </w:p>
        </w:tc>
      </w:tr>
      <w:tr>
        <w:trPr>
          <w:trHeight w:val="180"/>
        </w:trPr>
        <w:tc>
          <w:tcPr>
            <w:tcW w:w="4020" w:type="dxa"/>
            <w:vAlign w:val="bottom"/>
          </w:tcPr>
          <w:p>
            <w:pPr>
              <w:spacing w:after="0"/>
              <w:rPr>
                <w:sz w:val="15"/>
                <w:szCs w:val="15"/>
                <w:color w:val="auto"/>
              </w:rPr>
            </w:pP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1998</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4020" w:type="dxa"/>
            <w:vAlign w:val="bottom"/>
          </w:tcPr>
          <w:p>
            <w:pPr>
              <w:spacing w:after="0"/>
              <w:rPr>
                <w:sz w:val="15"/>
                <w:szCs w:val="15"/>
                <w:color w:val="auto"/>
              </w:rPr>
            </w:pP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61"/>
        </w:trPr>
        <w:tc>
          <w:tcPr>
            <w:tcW w:w="402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4020" w:type="dxa"/>
            <w:vAlign w:val="bottom"/>
          </w:tcPr>
          <w:p>
            <w:pPr>
              <w:ind w:left="460"/>
              <w:spacing w:after="0"/>
              <w:rPr>
                <w:sz w:val="20"/>
                <w:szCs w:val="20"/>
                <w:color w:val="auto"/>
              </w:rPr>
            </w:pPr>
            <w:r>
              <w:rPr>
                <w:rFonts w:ascii="Courier New" w:cs="Courier New" w:eastAsia="Courier New" w:hAnsi="Courier New"/>
                <w:sz w:val="16"/>
                <w:szCs w:val="16"/>
                <w:color w:val="auto"/>
              </w:rPr>
              <w:t>Pretax income (loss) from continuing</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4020" w:type="dxa"/>
            <w:vAlign w:val="bottom"/>
          </w:tcPr>
          <w:p>
            <w:pPr>
              <w:ind w:left="560"/>
              <w:spacing w:after="0"/>
              <w:rPr>
                <w:sz w:val="20"/>
                <w:szCs w:val="20"/>
                <w:color w:val="auto"/>
              </w:rPr>
            </w:pPr>
            <w:r>
              <w:rPr>
                <w:rFonts w:ascii="Courier New" w:cs="Courier New" w:eastAsia="Courier New" w:hAnsi="Courier New"/>
                <w:sz w:val="16"/>
                <w:szCs w:val="16"/>
                <w:color w:val="auto"/>
              </w:rPr>
              <w:t>operations</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$36.3</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$ 1.3</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$61.9</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$117.0</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$(49.8)</w:t>
            </w:r>
          </w:p>
        </w:tc>
      </w:tr>
      <w:tr>
        <w:trPr>
          <w:trHeight w:val="180"/>
        </w:trPr>
        <w:tc>
          <w:tcPr>
            <w:tcW w:w="4020" w:type="dxa"/>
            <w:vAlign w:val="bottom"/>
          </w:tcPr>
          <w:p>
            <w:pPr>
              <w:ind w:left="460"/>
              <w:spacing w:after="0"/>
              <w:rPr>
                <w:sz w:val="20"/>
                <w:szCs w:val="20"/>
                <w:color w:val="auto"/>
              </w:rPr>
            </w:pPr>
            <w:r>
              <w:rPr>
                <w:rFonts w:ascii="Courier New" w:cs="Courier New" w:eastAsia="Courier New" w:hAnsi="Courier New"/>
                <w:sz w:val="16"/>
                <w:szCs w:val="16"/>
                <w:color w:val="auto"/>
              </w:rPr>
              <w:t>Interest expense</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24.6</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25.2</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32.2</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79.1</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23.7</w:t>
            </w:r>
          </w:p>
        </w:tc>
      </w:tr>
      <w:tr>
        <w:trPr>
          <w:trHeight w:val="180"/>
        </w:trPr>
        <w:tc>
          <w:tcPr>
            <w:tcW w:w="4020" w:type="dxa"/>
            <w:vAlign w:val="bottom"/>
          </w:tcPr>
          <w:p>
            <w:pPr>
              <w:ind w:left="460"/>
              <w:spacing w:after="0"/>
              <w:rPr>
                <w:sz w:val="20"/>
                <w:szCs w:val="20"/>
                <w:color w:val="auto"/>
              </w:rPr>
            </w:pPr>
            <w:r>
              <w:rPr>
                <w:rFonts w:ascii="Courier New" w:cs="Courier New" w:eastAsia="Courier New" w:hAnsi="Courier New"/>
                <w:sz w:val="16"/>
                <w:szCs w:val="16"/>
                <w:color w:val="auto"/>
              </w:rPr>
              <w:t>Interest factor on rents</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4.9</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4.5</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w:t>
            </w:r>
          </w:p>
        </w:tc>
      </w:tr>
      <w:tr>
        <w:trPr>
          <w:trHeight w:val="180"/>
        </w:trPr>
        <w:tc>
          <w:tcPr>
            <w:tcW w:w="4020" w:type="dxa"/>
            <w:vAlign w:val="bottom"/>
          </w:tcPr>
          <w:p>
            <w:pPr>
              <w:ind w:left="460"/>
              <w:spacing w:after="0"/>
              <w:rPr>
                <w:sz w:val="20"/>
                <w:szCs w:val="20"/>
                <w:color w:val="auto"/>
              </w:rPr>
            </w:pPr>
            <w:r>
              <w:rPr>
                <w:rFonts w:ascii="Courier New" w:cs="Courier New" w:eastAsia="Courier New" w:hAnsi="Courier New"/>
                <w:sz w:val="16"/>
                <w:szCs w:val="16"/>
                <w:color w:val="auto"/>
              </w:rPr>
              <w:t>Losses incurred by majority-</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4020" w:type="dxa"/>
            <w:vAlign w:val="bottom"/>
          </w:tcPr>
          <w:p>
            <w:pPr>
              <w:ind w:left="560"/>
              <w:spacing w:after="0"/>
              <w:rPr>
                <w:sz w:val="20"/>
                <w:szCs w:val="20"/>
                <w:color w:val="auto"/>
              </w:rPr>
            </w:pPr>
            <w:r>
              <w:rPr>
                <w:rFonts w:ascii="Courier New" w:cs="Courier New" w:eastAsia="Courier New" w:hAnsi="Courier New"/>
                <w:sz w:val="16"/>
                <w:szCs w:val="16"/>
                <w:color w:val="auto"/>
              </w:rPr>
              <w:t>owned subsidiaries not</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4020" w:type="dxa"/>
            <w:vAlign w:val="bottom"/>
          </w:tcPr>
          <w:p>
            <w:pPr>
              <w:ind w:left="560"/>
              <w:spacing w:after="0"/>
              <w:rPr>
                <w:sz w:val="20"/>
                <w:szCs w:val="20"/>
                <w:color w:val="auto"/>
              </w:rPr>
            </w:pPr>
            <w:r>
              <w:rPr>
                <w:rFonts w:ascii="Courier New" w:cs="Courier New" w:eastAsia="Courier New" w:hAnsi="Courier New"/>
                <w:sz w:val="16"/>
                <w:szCs w:val="16"/>
                <w:color w:val="auto"/>
              </w:rPr>
              <w:t>recorded</w:t>
            </w: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40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40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$65.8</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$30.9</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$98.9</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$98.1</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$202.0</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$(24.6)</w:t>
            </w:r>
          </w:p>
        </w:tc>
      </w:tr>
      <w:tr>
        <w:trPr>
          <w:trHeight w:val="180"/>
        </w:trPr>
        <w:tc>
          <w:tcPr>
            <w:tcW w:w="40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361"/>
        </w:trPr>
        <w:tc>
          <w:tcPr>
            <w:tcW w:w="402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4020" w:type="dxa"/>
            <w:vAlign w:val="bottom"/>
          </w:tcPr>
          <w:p>
            <w:pPr>
              <w:ind w:left="460"/>
              <w:spacing w:after="0"/>
              <w:rPr>
                <w:sz w:val="20"/>
                <w:szCs w:val="20"/>
                <w:color w:val="auto"/>
              </w:rPr>
            </w:pPr>
            <w:r>
              <w:rPr>
                <w:rFonts w:ascii="Courier New" w:cs="Courier New" w:eastAsia="Courier New" w:hAnsi="Courier New"/>
                <w:sz w:val="16"/>
                <w:szCs w:val="16"/>
                <w:color w:val="auto"/>
              </w:rPr>
              <w:t>Interest expense</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$24.6</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$25.2</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$32.2</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$ 79.1</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$ 23.7</w:t>
            </w:r>
          </w:p>
        </w:tc>
      </w:tr>
      <w:tr>
        <w:trPr>
          <w:trHeight w:val="180"/>
        </w:trPr>
        <w:tc>
          <w:tcPr>
            <w:tcW w:w="4020" w:type="dxa"/>
            <w:vAlign w:val="bottom"/>
          </w:tcPr>
          <w:p>
            <w:pPr>
              <w:ind w:left="460"/>
              <w:spacing w:after="0"/>
              <w:rPr>
                <w:sz w:val="20"/>
                <w:szCs w:val="20"/>
                <w:color w:val="auto"/>
              </w:rPr>
            </w:pPr>
            <w:r>
              <w:rPr>
                <w:rFonts w:ascii="Courier New" w:cs="Courier New" w:eastAsia="Courier New" w:hAnsi="Courier New"/>
                <w:sz w:val="16"/>
                <w:szCs w:val="16"/>
                <w:color w:val="auto"/>
              </w:rPr>
              <w:t>Interest capitalized</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0.2</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0.4</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0.8</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0.2</w:t>
            </w:r>
          </w:p>
        </w:tc>
      </w:tr>
      <w:tr>
        <w:trPr>
          <w:trHeight w:val="180"/>
        </w:trPr>
        <w:tc>
          <w:tcPr>
            <w:tcW w:w="40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4020" w:type="dxa"/>
            <w:vAlign w:val="bottom"/>
          </w:tcPr>
          <w:p>
            <w:pPr>
              <w:ind w:left="940"/>
              <w:spacing w:after="0"/>
              <w:rPr>
                <w:sz w:val="20"/>
                <w:szCs w:val="20"/>
                <w:color w:val="auto"/>
              </w:rPr>
            </w:pPr>
            <w:r>
              <w:rPr>
                <w:rFonts w:ascii="Courier New" w:cs="Courier New" w:eastAsia="Courier New" w:hAnsi="Courier New"/>
                <w:sz w:val="16"/>
                <w:szCs w:val="16"/>
                <w:color w:val="auto"/>
              </w:rPr>
              <w:t>Interest incurred</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24.8</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33.0</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80.1</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23.9</w:t>
            </w:r>
          </w:p>
        </w:tc>
      </w:tr>
      <w:tr>
        <w:trPr>
          <w:trHeight w:val="180"/>
        </w:trPr>
        <w:tc>
          <w:tcPr>
            <w:tcW w:w="40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4020" w:type="dxa"/>
            <w:vAlign w:val="bottom"/>
          </w:tcPr>
          <w:p>
            <w:pPr>
              <w:ind w:left="460"/>
              <w:spacing w:after="0"/>
              <w:rPr>
                <w:sz w:val="20"/>
                <w:szCs w:val="20"/>
                <w:color w:val="auto"/>
              </w:rPr>
            </w:pPr>
            <w:r>
              <w:rPr>
                <w:rFonts w:ascii="Courier New" w:cs="Courier New" w:eastAsia="Courier New" w:hAnsi="Courier New"/>
                <w:sz w:val="16"/>
                <w:szCs w:val="16"/>
                <w:color w:val="auto"/>
              </w:rPr>
              <w:t>Rent expense</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14.7</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12.3</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13.5</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18.5</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4.6</w:t>
            </w:r>
          </w:p>
        </w:tc>
      </w:tr>
      <w:tr>
        <w:trPr>
          <w:trHeight w:val="180"/>
        </w:trPr>
        <w:tc>
          <w:tcPr>
            <w:tcW w:w="4020" w:type="dxa"/>
            <w:vAlign w:val="bottom"/>
          </w:tcPr>
          <w:p>
            <w:pPr>
              <w:ind w:left="460"/>
              <w:spacing w:after="0"/>
              <w:rPr>
                <w:sz w:val="20"/>
                <w:szCs w:val="20"/>
                <w:color w:val="auto"/>
              </w:rPr>
            </w:pPr>
            <w:r>
              <w:rPr>
                <w:rFonts w:ascii="Courier New" w:cs="Courier New" w:eastAsia="Courier New" w:hAnsi="Courier New"/>
                <w:sz w:val="16"/>
                <w:szCs w:val="16"/>
                <w:color w:val="auto"/>
              </w:rPr>
              <w:t>Estimated interest factor</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33%</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w:t>
            </w:r>
          </w:p>
        </w:tc>
      </w:tr>
      <w:tr>
        <w:trPr>
          <w:trHeight w:val="180"/>
        </w:trPr>
        <w:tc>
          <w:tcPr>
            <w:tcW w:w="40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4020" w:type="dxa"/>
            <w:vAlign w:val="bottom"/>
          </w:tcPr>
          <w:p>
            <w:pPr>
              <w:ind w:left="940"/>
              <w:spacing w:after="0"/>
              <w:rPr>
                <w:sz w:val="20"/>
                <w:szCs w:val="20"/>
                <w:color w:val="auto"/>
              </w:rPr>
            </w:pPr>
            <w:r>
              <w:rPr>
                <w:rFonts w:ascii="Courier New" w:cs="Courier New" w:eastAsia="Courier New" w:hAnsi="Courier New"/>
                <w:sz w:val="16"/>
                <w:szCs w:val="16"/>
                <w:color w:val="auto"/>
              </w:rPr>
              <w:t>Interest factor on rents</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4.9</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4.5</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w:t>
            </w:r>
          </w:p>
        </w:tc>
      </w:tr>
      <w:tr>
        <w:trPr>
          <w:trHeight w:val="180"/>
        </w:trPr>
        <w:tc>
          <w:tcPr>
            <w:tcW w:w="40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4020" w:type="dxa"/>
            <w:vAlign w:val="bottom"/>
          </w:tcPr>
          <w:p>
            <w:pPr>
              <w:ind w:left="1400"/>
              <w:spacing w:after="0"/>
              <w:rPr>
                <w:sz w:val="20"/>
                <w:szCs w:val="20"/>
                <w:color w:val="auto"/>
              </w:rPr>
            </w:pPr>
            <w:r>
              <w:rPr>
                <w:rFonts w:ascii="Courier New" w:cs="Courier New" w:eastAsia="Courier New" w:hAnsi="Courier New"/>
                <w:sz w:val="16"/>
                <w:szCs w:val="16"/>
                <w:color w:val="auto"/>
              </w:rPr>
              <w:t>Total fixed charges</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$29.7</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$29.7</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$37.5</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$ 86.2</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$ 25.4</w:t>
            </w:r>
          </w:p>
        </w:tc>
      </w:tr>
      <w:tr>
        <w:trPr>
          <w:trHeight w:val="180"/>
        </w:trPr>
        <w:tc>
          <w:tcPr>
            <w:tcW w:w="40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w:t>
            </w:r>
          </w:p>
        </w:tc>
        <w:tc>
          <w:tcPr>
            <w:tcW w:w="980" w:type="dxa"/>
            <w:vAlign w:val="bottom"/>
          </w:tcPr>
          <w:p>
            <w:pPr>
              <w:spacing w:after="0"/>
              <w:rPr>
                <w:sz w:val="15"/>
                <w:szCs w:val="15"/>
                <w:color w:val="auto"/>
              </w:rPr>
            </w:pPr>
          </w:p>
        </w:tc>
      </w:tr>
      <w:tr>
        <w:trPr>
          <w:trHeight w:val="180"/>
        </w:trPr>
        <w:tc>
          <w:tcPr>
            <w:tcW w:w="40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5"/>
                <w:szCs w:val="15"/>
                <w:color w:val="auto"/>
              </w:rPr>
            </w:pP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Amount of deficiency to cover</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4020" w:type="dxa"/>
            <w:vAlign w:val="bottom"/>
          </w:tcPr>
          <w:p>
            <w:pPr>
              <w:ind w:left="460"/>
              <w:spacing w:after="0"/>
              <w:rPr>
                <w:sz w:val="20"/>
                <w:szCs w:val="20"/>
                <w:color w:val="auto"/>
              </w:rPr>
            </w:pPr>
            <w:r>
              <w:rPr>
                <w:rFonts w:ascii="Courier New" w:cs="Courier New" w:eastAsia="Courier New" w:hAnsi="Courier New"/>
                <w:sz w:val="16"/>
                <w:szCs w:val="16"/>
                <w:color w:val="auto"/>
              </w:rPr>
              <w:t>fixed charges</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$ 50.0</w:t>
            </w:r>
          </w:p>
        </w:tc>
      </w:tr>
      <w:tr>
        <w:trPr>
          <w:trHeight w:val="180"/>
        </w:trPr>
        <w:tc>
          <w:tcPr>
            <w:tcW w:w="4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137" w:right="1440" w:bottom="1440" w:gutter="0" w:footer="0" w:header="0"/>
        </w:sectPr>
      </w:pPr>
    </w:p>
    <w:bookmarkStart w:id="82" w:name="page83"/>
    <w:bookmarkEnd w:id="82"/>
    <w:p>
      <w:pPr>
        <w:ind w:left="284"/>
        <w:spacing w:after="0"/>
        <w:rPr>
          <w:sz w:val="20"/>
          <w:szCs w:val="20"/>
          <w:color w:val="auto"/>
        </w:rPr>
      </w:pPr>
      <w:r>
        <w:rPr>
          <w:rFonts w:ascii="Courier New" w:cs="Courier New" w:eastAsia="Courier New" w:hAnsi="Courier New"/>
          <w:sz w:val="16"/>
          <w:szCs w:val="16"/>
          <w:color w:val="auto"/>
        </w:rPr>
        <w:t>1</w:t>
      </w:r>
    </w:p>
    <w:p>
      <w:pPr>
        <w:ind w:left="6384"/>
        <w:spacing w:after="0"/>
        <w:rPr>
          <w:sz w:val="20"/>
          <w:szCs w:val="20"/>
          <w:color w:val="auto"/>
        </w:rPr>
      </w:pPr>
      <w:r>
        <w:rPr>
          <w:rFonts w:ascii="Courier New" w:cs="Courier New" w:eastAsia="Courier New" w:hAnsi="Courier New"/>
          <w:sz w:val="16"/>
          <w:szCs w:val="16"/>
          <w:color w:val="auto"/>
        </w:rPr>
        <w:t>Exhibit 23.1</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[LOGO]</w:t>
      </w:r>
    </w:p>
    <w:p>
      <w:pPr>
        <w:spacing w:after="0" w:line="185" w:lineRule="exact"/>
        <w:rPr>
          <w:sz w:val="20"/>
          <w:szCs w:val="20"/>
          <w:color w:val="auto"/>
        </w:rPr>
      </w:pPr>
    </w:p>
    <w:p>
      <w:pPr>
        <w:ind w:left="184" w:hanging="184"/>
        <w:spacing w:after="0"/>
        <w:tabs>
          <w:tab w:leader="none" w:pos="18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5064" w:right="27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PricewaterhouseCoopers LLP 100 East Broad Street Suite 2100</w:t>
      </w:r>
    </w:p>
    <w:p>
      <w:pPr>
        <w:spacing w:after="0" w:line="4" w:lineRule="exact"/>
        <w:rPr>
          <w:rFonts w:ascii="Courier New" w:cs="Courier New" w:eastAsia="Courier New" w:hAnsi="Courier New"/>
          <w:sz w:val="15"/>
          <w:szCs w:val="15"/>
          <w:color w:val="auto"/>
        </w:rPr>
      </w:pPr>
    </w:p>
    <w:p>
      <w:pPr>
        <w:ind w:left="5064" w:right="289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Columbus OH 43215-3671 Telephone (614) 225-8700 Facsimile (614) 224-1044</w:t>
      </w:r>
    </w:p>
    <w:p>
      <w:pPr>
        <w:spacing w:after="0" w:line="200" w:lineRule="exact"/>
        <w:rPr>
          <w:sz w:val="20"/>
          <w:szCs w:val="20"/>
          <w:color w:val="auto"/>
        </w:rPr>
      </w:pPr>
    </w:p>
    <w:p>
      <w:pPr>
        <w:spacing w:after="0" w:line="327"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5"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S-4 of The Scotts Company of our reports dated October 21, 1999 relating to the financial statements and financial statement schedules, which appear in The Scotts Company's Annual Report on Form 10-K for the year ended September 30, 1999.</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April 18, 2000</w:t>
      </w:r>
    </w:p>
    <w:sectPr>
      <w:pgSz w:w="11900" w:h="16838" w:orient="portrait"/>
      <w:cols w:equalWidth="0" w:num="1">
        <w:col w:w="10223"/>
      </w:cols>
      <w:pgMar w:left="236"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1)"/>
      <w:numFmt w:val="decimal"/>
      <w:start w:val="1"/>
    </w:lvl>
  </w:abstractNum>
  <w:abstractNum w:abstractNumId="1">
    <w:nsid w:val="661E3F1E"/>
    <w:multiLevelType w:val="hybridMultilevel"/>
    <w:lvl w:ilvl="0">
      <w:lvlJc w:val="left"/>
      <w:lvlText w:val="(%1)"/>
      <w:numFmt w:val="decimal"/>
      <w:start w:val="2"/>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lvl w:ilvl="1">
      <w:lvlJc w:val="left"/>
      <w:lvlText w:val="-"/>
      <w:numFmt w:val="bullet"/>
      <w:start w:val="1"/>
    </w:lvl>
  </w:abstractNum>
  <w:abstractNum w:abstractNumId="14">
    <w:nsid w:val="68EB2F63"/>
    <w:multiLevelType w:val="hybridMultilevel"/>
    <w:lvl w:ilvl="0">
      <w:lvlJc w:val="left"/>
      <w:lvlText w:val="-"/>
      <w:numFmt w:val="bullet"/>
      <w:start w:val="1"/>
    </w:lvl>
    <w:lvl w:ilvl="1">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
      <w:numFmt w:val="bullet"/>
      <w:start w:val="1"/>
    </w:lvl>
    <w:lvl w:ilvl="1">
      <w:lvlJc w:val="left"/>
      <w:lvlText w:val="-"/>
      <w:numFmt w:val="bullet"/>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lvl w:ilvl="1">
      <w:lvlJc w:val="left"/>
      <w:lvlText w:val="-"/>
      <w:numFmt w:val="bullet"/>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lvl w:ilvl="1">
      <w:lvlJc w:val="left"/>
      <w:lvlText w:val="-"/>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lvl w:ilvl="1">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lvl w:ilvl="1">
      <w:lvlJc w:val="left"/>
      <w:lvlText w:val="-"/>
      <w:numFmt w:val="bullet"/>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lvl w:ilvl="1">
      <w:lvlJc w:val="left"/>
      <w:lvlText w:val="-"/>
      <w:numFmt w:val="bullet"/>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
      <w:numFmt w:val="bullet"/>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
      <w:numFmt w:val="bullet"/>
      <w:start w:val="1"/>
    </w:lvl>
    <w:lvl w:ilvl="1">
      <w:lvlJc w:val="left"/>
      <w:lvlText w:val="-"/>
      <w:numFmt w:val="bullet"/>
      <w:start w:val="1"/>
    </w:lvl>
  </w:abstractNum>
  <w:abstractNum w:abstractNumId="50">
    <w:nsid w:val="5FB8011C"/>
    <w:multiLevelType w:val="hybridMultilevel"/>
    <w:lvl w:ilvl="0">
      <w:lvlJc w:val="left"/>
      <w:lvlText w:val="-"/>
      <w:numFmt w:val="bullet"/>
      <w:start w:val="1"/>
    </w:lvl>
  </w:abstractNum>
  <w:abstractNum w:abstractNumId="51">
    <w:nsid w:val="6AA78F7F"/>
    <w:multiLevelType w:val="hybridMultilevel"/>
    <w:lvl w:ilvl="0">
      <w:lvlJc w:val="left"/>
      <w:lvlText w:val="-"/>
      <w:numFmt w:val="bullet"/>
      <w:start w:val="1"/>
    </w:lvl>
    <w:lvl w:ilvl="1">
      <w:lvlJc w:val="left"/>
      <w:lvlText w:val="-"/>
      <w:numFmt w:val="bullet"/>
      <w:start w:val="1"/>
    </w:lvl>
  </w:abstractNum>
  <w:abstractNum w:abstractNumId="52">
    <w:nsid w:val="7672BD23"/>
    <w:multiLevelType w:val="hybridMultilevel"/>
    <w:lvl w:ilvl="0">
      <w:lvlJc w:val="left"/>
      <w:lvlText w:val="-"/>
      <w:numFmt w:val="bullet"/>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
      <w:numFmt w:val="bullet"/>
      <w:start w:val="1"/>
    </w:lvl>
  </w:abstractNum>
  <w:abstractNum w:abstractNumId="55">
    <w:nsid w:val="7D5E18F8"/>
    <w:multiLevelType w:val="hybridMultilevel"/>
    <w:lvl w:ilvl="0">
      <w:lvlJc w:val="left"/>
      <w:lvlText w:val="-"/>
      <w:numFmt w:val="bullet"/>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
      <w:numFmt w:val="bullet"/>
      <w:start w:val="1"/>
    </w:lvl>
  </w:abstractNum>
  <w:abstractNum w:abstractNumId="58">
    <w:nsid w:val="7DE67713"/>
    <w:multiLevelType w:val="hybridMultilevel"/>
    <w:lvl w:ilvl="0">
      <w:lvlJc w:val="left"/>
      <w:lvlText w:val="-"/>
      <w:numFmt w:val="bullet"/>
      <w:start w:val="1"/>
    </w:lvl>
    <w:lvl w:ilvl="1">
      <w:lvlJc w:val="left"/>
      <w:lvlText w:val="-"/>
      <w:numFmt w:val="bullet"/>
      <w:start w:val="1"/>
    </w:lvl>
  </w:abstractNum>
  <w:abstractNum w:abstractNumId="59">
    <w:nsid w:val="555C55B5"/>
    <w:multiLevelType w:val="hybridMultilevel"/>
    <w:lvl w:ilvl="0">
      <w:lvlJc w:val="left"/>
      <w:lvlText w:val="-"/>
      <w:numFmt w:val="bullet"/>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
      <w:numFmt w:val="bullet"/>
      <w:start w:val="1"/>
    </w:lvl>
  </w:abstractNum>
  <w:abstractNum w:abstractNumId="64">
    <w:nsid w:val="9DAF632"/>
    <w:multiLevelType w:val="hybridMultilevel"/>
    <w:lvl w:ilvl="0">
      <w:lvlJc w:val="left"/>
      <w:lvlText w:val="-"/>
      <w:numFmt w:val="bullet"/>
      <w:start w:val="1"/>
    </w:lvl>
    <w:lvl w:ilvl="1">
      <w:lvlJc w:val="left"/>
      <w:lvlText w:val="-"/>
      <w:numFmt w:val="bullet"/>
      <w:start w:val="1"/>
    </w:lvl>
  </w:abstractNum>
  <w:abstractNum w:abstractNumId="65">
    <w:nsid w:val="53299938"/>
    <w:multiLevelType w:val="hybridMultilevel"/>
    <w:lvl w:ilvl="0">
      <w:lvlJc w:val="left"/>
      <w:lvlText w:val="-"/>
      <w:numFmt w:val="bullet"/>
      <w:start w:val="1"/>
    </w:lvl>
  </w:abstractNum>
  <w:abstractNum w:abstractNumId="66">
    <w:nsid w:val="1FBFE8E0"/>
    <w:multiLevelType w:val="hybridMultilevel"/>
    <w:lvl w:ilvl="0">
      <w:lvlJc w:val="left"/>
      <w:lvlText w:val="-"/>
      <w:numFmt w:val="bullet"/>
      <w:start w:val="1"/>
    </w:lvl>
  </w:abstractNum>
  <w:abstractNum w:abstractNumId="67">
    <w:nsid w:val="5092CA79"/>
    <w:multiLevelType w:val="hybridMultilevel"/>
    <w:lvl w:ilvl="0">
      <w:lvlJc w:val="left"/>
      <w:lvlText w:val="-"/>
      <w:numFmt w:val="bullet"/>
      <w:start w:val="1"/>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
      <w:numFmt w:val="bullet"/>
      <w:start w:val="1"/>
    </w:lvl>
  </w:abstractNum>
  <w:abstractNum w:abstractNumId="70">
    <w:nsid w:val="288F1A34"/>
    <w:multiLevelType w:val="hybridMultilevel"/>
    <w:lvl w:ilvl="0">
      <w:lvlJc w:val="left"/>
      <w:lvlText w:val="&quot;"/>
      <w:numFmt w:val="bullet"/>
      <w:start w:val="1"/>
    </w:lvl>
  </w:abstractNum>
  <w:abstractNum w:abstractNumId="71">
    <w:nsid w:val="2A155DBC"/>
    <w:multiLevelType w:val="hybridMultilevel"/>
    <w:lvl w:ilvl="0">
      <w:lvlJc w:val="left"/>
      <w:lvlText w:val="-"/>
      <w:numFmt w:val="bullet"/>
      <w:start w:val="1"/>
    </w:lvl>
  </w:abstractNum>
  <w:abstractNum w:abstractNumId="72">
    <w:nsid w:val="1D9F6E5F"/>
    <w:multiLevelType w:val="hybridMultilevel"/>
    <w:lvl w:ilvl="0">
      <w:lvlJc w:val="left"/>
      <w:lvlText w:val="-"/>
      <w:numFmt w:val="bullet"/>
      <w:start w:val="1"/>
    </w:lvl>
    <w:lvl w:ilvl="1">
      <w:lvlJc w:val="left"/>
      <w:lvlText w:val="-"/>
      <w:numFmt w:val="bullet"/>
      <w:start w:val="1"/>
    </w:lvl>
  </w:abstractNum>
  <w:abstractNum w:abstractNumId="73">
    <w:nsid w:val="97E1B4E"/>
    <w:multiLevelType w:val="hybridMultilevel"/>
    <w:lvl w:ilvl="0">
      <w:lvlJc w:val="left"/>
      <w:lvlText w:val="-"/>
      <w:numFmt w:val="bullet"/>
      <w:start w:val="1"/>
    </w:lvl>
  </w:abstractNum>
  <w:abstractNum w:abstractNumId="74">
    <w:nsid w:val="51088277"/>
    <w:multiLevelType w:val="hybridMultilevel"/>
    <w:lvl w:ilvl="0">
      <w:lvlJc w:val="left"/>
      <w:lvlText w:val="-"/>
      <w:numFmt w:val="bullet"/>
      <w:start w:val="1"/>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
      <w:numFmt w:val="bullet"/>
      <w:start w:val="1"/>
    </w:lvl>
    <w:lvl w:ilvl="1">
      <w:lvlJc w:val="left"/>
      <w:lvlText w:val="-"/>
      <w:numFmt w:val="bullet"/>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
      <w:numFmt w:val="bullet"/>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lvl w:ilvl="1">
      <w:lvlJc w:val="left"/>
      <w:lvlText w:val="-"/>
      <w:numFmt w:val="bullet"/>
      <w:start w:val="1"/>
    </w:lvl>
  </w:abstractNum>
  <w:abstractNum w:abstractNumId="85">
    <w:nsid w:val="78DF6A55"/>
    <w:multiLevelType w:val="hybridMultilevel"/>
    <w:lvl w:ilvl="0">
      <w:lvlJc w:val="left"/>
      <w:lvlText w:val="-"/>
      <w:numFmt w:val="bullet"/>
      <w:start w:val="1"/>
    </w:lvl>
  </w:abstractNum>
  <w:abstractNum w:abstractNumId="86">
    <w:nsid w:val="39B7AAA2"/>
    <w:multiLevelType w:val="hybridMultilevel"/>
    <w:lvl w:ilvl="0">
      <w:lvlJc w:val="left"/>
      <w:lvlText w:val="-"/>
      <w:numFmt w:val="bullet"/>
      <w:start w:val="1"/>
    </w:lvl>
    <w:lvl w:ilvl="1">
      <w:lvlJc w:val="left"/>
      <w:lvlText w:val="-"/>
      <w:numFmt w:val="bullet"/>
      <w:start w:val="1"/>
    </w:lvl>
  </w:abstractNum>
  <w:abstractNum w:abstractNumId="87">
    <w:nsid w:val="2B0D8DBE"/>
    <w:multiLevelType w:val="hybridMultilevel"/>
    <w:lvl w:ilvl="0">
      <w:lvlJc w:val="left"/>
      <w:lvlText w:val="-"/>
      <w:numFmt w:val="bullet"/>
      <w:start w:val="1"/>
    </w:lvl>
  </w:abstractNum>
  <w:abstractNum w:abstractNumId="88">
    <w:nsid w:val="6C80EC70"/>
    <w:multiLevelType w:val="hybridMultilevel"/>
    <w:lvl w:ilvl="0">
      <w:lvlJc w:val="left"/>
      <w:lvlText w:val="-"/>
      <w:numFmt w:val="bullet"/>
      <w:start w:val="1"/>
    </w:lvl>
  </w:abstractNum>
  <w:abstractNum w:abstractNumId="89">
    <w:nsid w:val="379E21B5"/>
    <w:multiLevelType w:val="hybridMultilevel"/>
    <w:lvl w:ilvl="0">
      <w:lvlJc w:val="left"/>
      <w:lvlText w:val="-"/>
      <w:numFmt w:val="bullet"/>
      <w:start w:val="1"/>
    </w:lvl>
  </w:abstractNum>
  <w:abstractNum w:abstractNumId="90">
    <w:nsid w:val="69E373"/>
    <w:multiLevelType w:val="hybridMultilevel"/>
    <w:lvl w:ilvl="0">
      <w:lvlJc w:val="left"/>
      <w:lvlText w:val="(%1)"/>
      <w:numFmt w:val="decimal"/>
      <w:start w:val="2"/>
    </w:lvl>
    <w:lvl w:ilvl="1">
      <w:lvlJc w:val="left"/>
      <w:lvlText w:val="(%2)"/>
      <w:numFmt w:val="lowerLetter"/>
      <w:start w:val="1"/>
    </w:lvl>
  </w:abstractNum>
  <w:abstractNum w:abstractNumId="91">
    <w:nsid w:val="2C27173B"/>
    <w:multiLevelType w:val="hybridMultilevel"/>
    <w:lvl w:ilvl="0">
      <w:lvlJc w:val="left"/>
      <w:lvlText w:val="%1"/>
      <w:numFmt w:val="decimal"/>
      <w:start w:val="1"/>
    </w:lvl>
    <w:lvl w:ilvl="1">
      <w:lvlJc w:val="left"/>
      <w:lvlText w:val="(%2)"/>
      <w:numFmt w:val="lowerLetter"/>
      <w:start w:val="2"/>
    </w:lvl>
  </w:abstractNum>
  <w:abstractNum w:abstractNumId="92">
    <w:nsid w:val="4C9B0904"/>
    <w:multiLevelType w:val="hybridMultilevel"/>
    <w:lvl w:ilvl="0">
      <w:lvlJc w:val="left"/>
      <w:lvlText w:val="(%1)"/>
      <w:numFmt w:val="decimal"/>
      <w:start w:val="3"/>
    </w:lvl>
    <w:lvl w:ilvl="1">
      <w:lvlJc w:val="left"/>
      <w:lvlText w:val="(%2)"/>
      <w:numFmt w:val="lowerLetter"/>
      <w:start w:val="1"/>
    </w:lvl>
  </w:abstractNum>
  <w:abstractNum w:abstractNumId="93">
    <w:nsid w:val="6AA7B75C"/>
    <w:multiLevelType w:val="hybridMultilevel"/>
    <w:lvl w:ilvl="0">
      <w:lvlJc w:val="left"/>
      <w:lvlText w:val="(%1)"/>
      <w:numFmt w:val="lowerRoman"/>
      <w:start w:val="1"/>
    </w:lvl>
  </w:abstractNum>
  <w:abstractNum w:abstractNumId="94">
    <w:nsid w:val="1DF029D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5">
    <w:nsid w:val="5675FF3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6">
    <w:nsid w:val="3DD1509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97">
    <w:nsid w:val="3DB012B3"/>
    <w:multiLevelType w:val="hybridMultilevel"/>
    <w:lvl w:ilvl="0">
      <w:lvlJc w:val="left"/>
      <w:lvlText w:val="5"/>
      <w:numFmt w:val="bullet"/>
      <w:start w:val="1"/>
    </w:lvl>
  </w:abstractNum>
  <w:abstractNum w:abstractNumId="98">
    <w:nsid w:val="2708C9AF"/>
    <w:multiLevelType w:val="hybridMultilevel"/>
    <w:lvl w:ilvl="0">
      <w:lvlJc w:val="left"/>
      <w:lvlText w:val="*"/>
      <w:numFmt w:val="bullet"/>
      <w:start w:val="1"/>
    </w:lvl>
    <w:lvl w:ilvl="1">
      <w:lvlJc w:val="left"/>
      <w:lvlText w:val="(%2)"/>
      <w:numFmt w:val="lowerLetter"/>
      <w:start w:val="2"/>
    </w:lvl>
  </w:abstractNum>
  <w:abstractNum w:abstractNumId="99">
    <w:nsid w:val="5B25AC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0">
    <w:nsid w:val="175DFCF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01">
    <w:nsid w:val="4F97E3E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2">
    <w:nsid w:val="53B0A9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3">
    <w:nsid w:val="34FD6B4F"/>
    <w:multiLevelType w:val="hybridMultilevel"/>
    <w:lvl w:ilvl="0">
      <w:lvlJc w:val="left"/>
      <w:lvlText w:val="-"/>
      <w:numFmt w:val="bullet"/>
      <w:start w:val="1"/>
    </w:lvl>
  </w:abstractNum>
  <w:abstractNum w:abstractNumId="104">
    <w:nsid w:val="5915FF32"/>
    <w:multiLevelType w:val="hybridMultilevel"/>
    <w:lvl w:ilvl="0">
      <w:lvlJc w:val="left"/>
      <w:lvlText w:val="-"/>
      <w:numFmt w:val="bullet"/>
      <w:start w:val="1"/>
    </w:lvl>
  </w:abstractNum>
  <w:abstractNum w:abstractNumId="105">
    <w:nsid w:val="56438D15"/>
    <w:multiLevelType w:val="hybridMultilevel"/>
    <w:lvl w:ilvl="0">
      <w:lvlJc w:val="left"/>
      <w:lvlText w:val="-"/>
      <w:numFmt w:val="bullet"/>
      <w:start w:val="1"/>
    </w:lvl>
  </w:abstractNum>
  <w:abstractNum w:abstractNumId="106">
    <w:nsid w:val="519E3149"/>
    <w:multiLevelType w:val="hybridMultilevel"/>
    <w:lvl w:ilvl="0">
      <w:lvlJc w:val="left"/>
      <w:lvlText w:val="-"/>
      <w:numFmt w:val="bullet"/>
      <w:start w:val="1"/>
    </w:lvl>
  </w:abstractNum>
  <w:abstractNum w:abstractNumId="107">
    <w:nsid w:val="2C6E4AFD"/>
    <w:multiLevelType w:val="hybridMultilevel"/>
    <w:lvl w:ilvl="0">
      <w:lvlJc w:val="left"/>
      <w:lvlText w:val="-"/>
      <w:numFmt w:val="bullet"/>
      <w:start w:val="1"/>
    </w:lvl>
    <w:lvl w:ilvl="1">
      <w:lvlJc w:val="left"/>
      <w:lvlText w:val="%2"/>
      <w:numFmt w:val="upperLetter"/>
      <w:start w:val="1"/>
    </w:lvl>
  </w:abstractNum>
  <w:abstractNum w:abstractNumId="108">
    <w:nsid w:val="17A1B582"/>
    <w:multiLevelType w:val="hybridMultilevel"/>
    <w:lvl w:ilvl="0">
      <w:lvlJc w:val="left"/>
      <w:lvlText w:val="-"/>
      <w:numFmt w:val="bullet"/>
      <w:start w:val="1"/>
    </w:lvl>
  </w:abstractNum>
  <w:abstractNum w:abstractNumId="109">
    <w:nsid w:val="4DF72E4E"/>
    <w:multiLevelType w:val="hybridMultilevel"/>
    <w:lvl w:ilvl="0">
      <w:lvlJc w:val="left"/>
      <w:lvlText w:val="-"/>
      <w:numFmt w:val="bullet"/>
      <w:start w:val="1"/>
    </w:lvl>
  </w:abstractNum>
  <w:abstractNum w:abstractNumId="110">
    <w:nsid w:val="5046B5A9"/>
    <w:multiLevelType w:val="hybridMultilevel"/>
    <w:lvl w:ilvl="0">
      <w:lvlJc w:val="left"/>
      <w:lvlText w:val="-"/>
      <w:numFmt w:val="bullet"/>
      <w:start w:val="1"/>
    </w:lvl>
    <w:lvl w:ilvl="1">
      <w:lvlJc w:val="left"/>
      <w:lvlText w:val="%2"/>
      <w:numFmt w:val="upperLetter"/>
      <w:start w:val="1"/>
    </w:lvl>
  </w:abstractNum>
  <w:abstractNum w:abstractNumId="111">
    <w:nsid w:val="5D888A08"/>
    <w:multiLevelType w:val="hybridMultilevel"/>
    <w:lvl w:ilvl="0">
      <w:lvlJc w:val="left"/>
      <w:lvlText w:val="-"/>
      <w:numFmt w:val="bullet"/>
      <w:start w:val="1"/>
    </w:lvl>
  </w:abstractNum>
  <w:abstractNum w:abstractNumId="112">
    <w:nsid w:val="2A082C70"/>
    <w:multiLevelType w:val="hybridMultilevel"/>
    <w:lvl w:ilvl="0">
      <w:lvlJc w:val="left"/>
      <w:lvlText w:val="-"/>
      <w:numFmt w:val="bullet"/>
      <w:start w:val="1"/>
    </w:lvl>
  </w:abstractNum>
  <w:abstractNum w:abstractNumId="113">
    <w:nsid w:val="5EC6AFD4"/>
    <w:multiLevelType w:val="hybridMultilevel"/>
    <w:lvl w:ilvl="0">
      <w:lvlJc w:val="left"/>
      <w:lvlText w:val="-"/>
      <w:numFmt w:val="bullet"/>
      <w:start w:val="1"/>
    </w:lvl>
    <w:lvl w:ilvl="1">
      <w:lvlJc w:val="left"/>
      <w:lvlText w:val="%2"/>
      <w:numFmt w:val="upperLetter"/>
      <w:start w:val="1"/>
    </w:lvl>
  </w:abstractNum>
  <w:abstractNum w:abstractNumId="114">
    <w:nsid w:val="19E21BB2"/>
    <w:multiLevelType w:val="hybridMultilevel"/>
    <w:lvl w:ilvl="0">
      <w:lvlJc w:val="left"/>
      <w:lvlText w:val="-"/>
      <w:numFmt w:val="bullet"/>
      <w:start w:val="1"/>
    </w:lvl>
  </w:abstractNum>
  <w:abstractNum w:abstractNumId="115">
    <w:nsid w:val="75E0858A"/>
    <w:multiLevelType w:val="hybridMultilevel"/>
    <w:lvl w:ilvl="0">
      <w:lvlJc w:val="left"/>
      <w:lvlText w:val="-"/>
      <w:numFmt w:val="bullet"/>
      <w:start w:val="1"/>
    </w:lvl>
  </w:abstractNum>
  <w:abstractNum w:abstractNumId="116">
    <w:nsid w:val="57A61A29"/>
    <w:multiLevelType w:val="hybridMultilevel"/>
    <w:lvl w:ilvl="0">
      <w:lvlJc w:val="left"/>
      <w:lvlText w:val="-"/>
      <w:numFmt w:val="bullet"/>
      <w:start w:val="1"/>
    </w:lvl>
  </w:abstractNum>
  <w:abstractNum w:abstractNumId="117">
    <w:nsid w:val="5399C654"/>
    <w:multiLevelType w:val="hybridMultilevel"/>
    <w:lvl w:ilvl="0">
      <w:lvlJc w:val="left"/>
      <w:lvlText w:val="-"/>
      <w:numFmt w:val="bullet"/>
      <w:start w:val="1"/>
    </w:lvl>
    <w:lvl w:ilvl="1">
      <w:lvlJc w:val="left"/>
      <w:lvlText w:val="%2"/>
      <w:numFmt w:val="upperLetter"/>
      <w:start w:val="1"/>
    </w:lvl>
  </w:abstractNum>
  <w:abstractNum w:abstractNumId="118">
    <w:nsid w:val="20EE1348"/>
    <w:multiLevelType w:val="hybridMultilevel"/>
    <w:lvl w:ilvl="0">
      <w:lvlJc w:val="left"/>
      <w:lvlText w:val="-"/>
      <w:numFmt w:val="bullet"/>
      <w:start w:val="1"/>
    </w:lvl>
  </w:abstractNum>
  <w:abstractNum w:abstractNumId="119">
    <w:nsid w:val="4427069A"/>
    <w:multiLevelType w:val="hybridMultilevel"/>
    <w:lvl w:ilvl="0">
      <w:lvlJc w:val="left"/>
      <w:lvlText w:val="-"/>
      <w:numFmt w:val="bullet"/>
      <w:start w:val="1"/>
    </w:lvl>
  </w:abstractNum>
  <w:abstractNum w:abstractNumId="120">
    <w:nsid w:val="B37E80A"/>
    <w:multiLevelType w:val="hybridMultilevel"/>
    <w:lvl w:ilvl="0">
      <w:lvlJc w:val="left"/>
      <w:lvlText w:val="-"/>
      <w:numFmt w:val="bullet"/>
      <w:start w:val="1"/>
    </w:lvl>
    <w:lvl w:ilvl="1">
      <w:lvlJc w:val="left"/>
      <w:lvlText w:val="%2"/>
      <w:numFmt w:val="upperLetter"/>
      <w:start w:val="1"/>
    </w:lvl>
  </w:abstractNum>
  <w:abstractNum w:abstractNumId="121">
    <w:nsid w:val="2157F6BC"/>
    <w:multiLevelType w:val="hybridMultilevel"/>
    <w:lvl w:ilvl="0">
      <w:lvlJc w:val="left"/>
      <w:lvlText w:val="-"/>
      <w:numFmt w:val="bullet"/>
      <w:start w:val="1"/>
    </w:lvl>
  </w:abstractNum>
  <w:abstractNum w:abstractNumId="122">
    <w:nsid w:val="704E1DD5"/>
    <w:multiLevelType w:val="hybridMultilevel"/>
    <w:lvl w:ilvl="0">
      <w:lvlJc w:val="left"/>
      <w:lvlText w:val="-"/>
      <w:numFmt w:val="bullet"/>
      <w:start w:val="1"/>
    </w:lvl>
  </w:abstractNum>
  <w:abstractNum w:abstractNumId="123">
    <w:nsid w:val="57D2F10E"/>
    <w:multiLevelType w:val="hybridMultilevel"/>
    <w:lvl w:ilvl="0">
      <w:lvlJc w:val="left"/>
      <w:lvlText w:val="-"/>
      <w:numFmt w:val="bullet"/>
      <w:start w:val="1"/>
    </w:lvl>
  </w:abstractNum>
  <w:abstractNum w:abstractNumId="124">
    <w:nsid w:val="BFFAE18"/>
    <w:multiLevelType w:val="hybridMultilevel"/>
    <w:lvl w:ilvl="0">
      <w:lvlJc w:val="left"/>
      <w:lvlText w:val="-"/>
      <w:numFmt w:val="bullet"/>
      <w:start w:val="1"/>
    </w:lvl>
    <w:lvl w:ilvl="1">
      <w:lvlJc w:val="left"/>
      <w:lvlText w:val="%2"/>
      <w:numFmt w:val="upperLetter"/>
      <w:start w:val="1"/>
    </w:lvl>
  </w:abstractNum>
  <w:abstractNum w:abstractNumId="125">
    <w:nsid w:val="E3E47A8"/>
    <w:multiLevelType w:val="hybridMultilevel"/>
    <w:lvl w:ilvl="0">
      <w:lvlJc w:val="left"/>
      <w:lvlText w:val="-"/>
      <w:numFmt w:val="bullet"/>
      <w:start w:val="1"/>
    </w:lvl>
  </w:abstractNum>
  <w:abstractNum w:abstractNumId="126">
    <w:nsid w:val="2E48F044"/>
    <w:multiLevelType w:val="hybridMultilevel"/>
    <w:lvl w:ilvl="0">
      <w:lvlJc w:val="left"/>
      <w:lvlText w:val="-"/>
      <w:numFmt w:val="bullet"/>
      <w:start w:val="1"/>
    </w:lvl>
  </w:abstractNum>
  <w:abstractNum w:abstractNumId="127">
    <w:nsid w:val="49D0FEAC"/>
    <w:multiLevelType w:val="hybridMultilevel"/>
    <w:lvl w:ilvl="0">
      <w:lvlJc w:val="left"/>
      <w:lvlText w:val="-"/>
      <w:numFmt w:val="bullet"/>
      <w:start w:val="1"/>
    </w:lvl>
    <w:lvl w:ilvl="1">
      <w:lvlJc w:val="left"/>
      <w:lvlText w:val="%2"/>
      <w:numFmt w:val="upperLetter"/>
      <w:start w:val="1"/>
    </w:lvl>
  </w:abstractNum>
  <w:abstractNum w:abstractNumId="128">
    <w:nsid w:val="4BEE5A5B"/>
    <w:multiLevelType w:val="hybridMultilevel"/>
    <w:lvl w:ilvl="0">
      <w:lvlJc w:val="left"/>
      <w:lvlText w:val="-"/>
      <w:numFmt w:val="bullet"/>
      <w:start w:val="1"/>
    </w:lvl>
  </w:abstractNum>
  <w:abstractNum w:abstractNumId="129">
    <w:nsid w:val="5551B9F3"/>
    <w:multiLevelType w:val="hybridMultilevel"/>
    <w:lvl w:ilvl="0">
      <w:lvlJc w:val="left"/>
      <w:lvlText w:val="-"/>
      <w:numFmt w:val="bullet"/>
      <w:start w:val="1"/>
    </w:lvl>
  </w:abstractNum>
  <w:abstractNum w:abstractNumId="130">
    <w:nsid w:val="24F6AB8E"/>
    <w:multiLevelType w:val="hybridMultilevel"/>
    <w:lvl w:ilvl="0">
      <w:lvlJc w:val="left"/>
      <w:lvlText w:val="-"/>
      <w:numFmt w:val="bullet"/>
      <w:start w:val="1"/>
    </w:lvl>
    <w:lvl w:ilvl="1">
      <w:lvlJc w:val="left"/>
      <w:lvlText w:val="%2"/>
      <w:numFmt w:val="upperLetter"/>
      <w:start w:val="1"/>
    </w:lvl>
  </w:abstractNum>
  <w:abstractNum w:abstractNumId="131">
    <w:nsid w:val="634C574C"/>
    <w:multiLevelType w:val="hybridMultilevel"/>
    <w:lvl w:ilvl="0">
      <w:lvlJc w:val="left"/>
      <w:lvlText w:val="-"/>
      <w:numFmt w:val="bullet"/>
      <w:start w:val="1"/>
    </w:lvl>
  </w:abstractNum>
  <w:abstractNum w:abstractNumId="132">
    <w:nsid w:val="24E99DD7"/>
    <w:multiLevelType w:val="hybridMultilevel"/>
    <w:lvl w:ilvl="0">
      <w:lvlJc w:val="left"/>
      <w:lvlText w:val="-"/>
      <w:numFmt w:val="bullet"/>
      <w:start w:val="1"/>
    </w:lvl>
    <w:lvl w:ilvl="1">
      <w:lvlJc w:val="left"/>
      <w:lvlText w:val="%2"/>
      <w:numFmt w:val="upperLetter"/>
      <w:start w:val="1"/>
    </w:lvl>
  </w:abstractNum>
  <w:abstractNum w:abstractNumId="133">
    <w:nsid w:val="2A31B62D"/>
    <w:multiLevelType w:val="hybridMultilevel"/>
    <w:lvl w:ilvl="0">
      <w:lvlJc w:val="left"/>
      <w:lvlText w:val="-"/>
      <w:numFmt w:val="bullet"/>
      <w:start w:val="1"/>
    </w:lvl>
  </w:abstractNum>
  <w:abstractNum w:abstractNumId="134">
    <w:nsid w:val="1849C29B"/>
    <w:multiLevelType w:val="hybridMultilevel"/>
    <w:lvl w:ilvl="0">
      <w:lvlJc w:val="left"/>
      <w:lvlText w:val="-"/>
      <w:numFmt w:val="bullet"/>
      <w:start w:val="1"/>
    </w:lvl>
  </w:abstractNum>
  <w:abstractNum w:abstractNumId="135">
    <w:nsid w:val="7DFF9D09"/>
    <w:multiLevelType w:val="hybridMultilevel"/>
    <w:lvl w:ilvl="0">
      <w:lvlJc w:val="left"/>
      <w:lvlText w:val="-"/>
      <w:numFmt w:val="bullet"/>
      <w:start w:val="1"/>
    </w:lvl>
    <w:lvl w:ilvl="1">
      <w:lvlJc w:val="left"/>
      <w:lvlText w:val="%2"/>
      <w:numFmt w:val="upperLetter"/>
      <w:start w:val="1"/>
    </w:lvl>
  </w:abstractNum>
  <w:abstractNum w:abstractNumId="136">
    <w:nsid w:val="754342"/>
    <w:multiLevelType w:val="hybridMultilevel"/>
    <w:lvl w:ilvl="0">
      <w:lvlJc w:val="left"/>
      <w:lvlText w:val="-"/>
      <w:numFmt w:val="bullet"/>
      <w:start w:val="1"/>
    </w:lvl>
  </w:abstractNum>
  <w:abstractNum w:abstractNumId="137">
    <w:nsid w:val="69E7F3E5"/>
    <w:multiLevelType w:val="hybridMultilevel"/>
    <w:lvl w:ilvl="0">
      <w:lvlJc w:val="left"/>
      <w:lvlText w:val="-"/>
      <w:numFmt w:val="bullet"/>
      <w:start w:val="1"/>
    </w:lvl>
  </w:abstractNum>
  <w:abstractNum w:abstractNumId="138">
    <w:nsid w:val="2A6DE806"/>
    <w:multiLevelType w:val="hybridMultilevel"/>
    <w:lvl w:ilvl="0">
      <w:lvlJc w:val="left"/>
      <w:lvlText w:val="-"/>
      <w:numFmt w:val="bullet"/>
      <w:start w:val="1"/>
    </w:lvl>
    <w:lvl w:ilvl="1">
      <w:lvlJc w:val="left"/>
      <w:lvlText w:val="%2"/>
      <w:numFmt w:val="upperLetter"/>
      <w:start w:val="1"/>
    </w:lvl>
  </w:abstractNum>
  <w:abstractNum w:abstractNumId="139">
    <w:nsid w:val="1816F8C4"/>
    <w:multiLevelType w:val="hybridMultilevel"/>
    <w:lvl w:ilvl="0">
      <w:lvlJc w:val="left"/>
      <w:lvlText w:val="-"/>
      <w:numFmt w:val="bullet"/>
      <w:start w:val="1"/>
    </w:lvl>
  </w:abstractNum>
  <w:abstractNum w:abstractNumId="140">
    <w:nsid w:val="37DF2233"/>
    <w:multiLevelType w:val="hybridMultilevel"/>
    <w:lvl w:ilvl="0">
      <w:lvlJc w:val="left"/>
      <w:lvlText w:val="-"/>
      <w:numFmt w:val="bullet"/>
      <w:start w:val="1"/>
    </w:lvl>
  </w:abstractNum>
  <w:abstractNum w:abstractNumId="141">
    <w:nsid w:val="7AB49DAF"/>
    <w:multiLevelType w:val="hybridMultilevel"/>
    <w:lvl w:ilvl="0">
      <w:lvlJc w:val="left"/>
      <w:lvlText w:val="5"/>
      <w:numFmt w:val="bullet"/>
      <w:start w:val="1"/>
    </w:lvl>
  </w:abstractNum>
  <w:abstractNum w:abstractNumId="142">
    <w:nsid w:val="759F82CD"/>
    <w:multiLevelType w:val="hybridMultilevel"/>
    <w:lvl w:ilvl="0">
      <w:lvlJc w:val="left"/>
      <w:lvlText w:val="*"/>
      <w:numFmt w:val="bullet"/>
      <w:start w:val="1"/>
    </w:lvl>
  </w:abstractNum>
  <w:abstractNum w:abstractNumId="143">
    <w:nsid w:val="61E74EA3"/>
    <w:multiLevelType w:val="hybridMultilevel"/>
    <w:lvl w:ilvl="0">
      <w:lvlJc w:val="left"/>
      <w:lvlText w:val="(%1)"/>
      <w:numFmt w:val="lowerRoman"/>
      <w:start w:val="4"/>
    </w:lvl>
  </w:abstractNum>
  <w:abstractNum w:abstractNumId="144">
    <w:nsid w:val="597B4D8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2019-12-20T06:15:07Z</dcterms:created>
  <dcterms:modified xsi:type="dcterms:W3CDTF">2019-12-20T06:15:07Z</dcterms:modified>
</cp:coreProperties>
</file>