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1, 2006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122" w:right="339" w:bottom="1440" w:gutter="0" w:footer="0" w:header="0"/>
        </w:sectPr>
      </w:pP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31-1414921</w:t>
      </w:r>
    </w:p>
    <w:p>
      <w:pPr>
        <w:spacing w:after="0" w:line="23"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0"/>
          <w:szCs w:val="20"/>
          <w:color w:val="auto"/>
        </w:rPr>
      </w:pPr>
    </w:p>
    <w:p>
      <w:pPr>
        <w:sectPr>
          <w:pgSz w:w="11900" w:h="16838" w:orient="portrait"/>
          <w:cols w:equalWidth="0" w:num="2">
            <w:col w:w="6680" w:space="720"/>
            <w:col w:w="3920"/>
          </w:cols>
          <w:pgMar w:left="240" w:top="122" w:right="339" w:bottom="1440" w:gutter="0" w:footer="0" w:header="0"/>
          <w:type w:val="continuous"/>
        </w:sectPr>
      </w:pP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if Changed Since Last Report)</w:t>
      </w:r>
    </w:p>
    <w:p>
      <w:pPr>
        <w:spacing w:after="0" w:line="10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62" w:lineRule="exact"/>
        <w:rPr>
          <w:sz w:val="20"/>
          <w:szCs w:val="20"/>
          <w:color w:val="auto"/>
        </w:rPr>
      </w:pPr>
    </w:p>
    <w:p>
      <w:pPr>
        <w:ind w:left="240"/>
        <w:spacing w:after="0"/>
        <w:tabs>
          <w:tab w:leader="none" w:pos="2800" w:val="left"/>
          <w:tab w:leader="none" w:pos="490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Accelerated Filer £</w:t>
      </w:r>
      <w:r>
        <w:rPr>
          <w:sz w:val="20"/>
          <w:szCs w:val="20"/>
          <w:color w:val="auto"/>
        </w:rPr>
        <w:tab/>
      </w:r>
      <w:r>
        <w:rPr>
          <w:rFonts w:ascii="Arial" w:cs="Arial" w:eastAsia="Arial" w:hAnsi="Arial"/>
          <w:sz w:val="16"/>
          <w:szCs w:val="16"/>
          <w:color w:val="auto"/>
        </w:rPr>
        <w:t>Non-accelerated Filer £</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No 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Common Shares, without par value, of the registrant outstanding as of May 4, 2006 was 67,314,532.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THE SCOTTS MIRACLE-GRO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640" w:type="dxa"/>
            <w:vAlign w:val="bottom"/>
            <w:gridSpan w:val="2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40" w:type="dxa"/>
            <w:vAlign w:val="bottom"/>
            <w:tcBorders>
              <w:top w:val="single" w:sz="8" w:color="0000EE"/>
            </w:tcBorders>
            <w:gridSpan w:val="3"/>
          </w:tcPr>
          <w:p>
            <w:pPr>
              <w:spacing w:after="0"/>
              <w:rPr>
                <w:sz w:val="17"/>
                <w:szCs w:val="17"/>
                <w:color w:val="auto"/>
              </w:rPr>
            </w:pPr>
          </w:p>
        </w:tc>
        <w:tc>
          <w:tcPr>
            <w:tcW w:w="1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460" w:type="dxa"/>
            <w:vAlign w:val="bottom"/>
            <w:tcBorders>
              <w:top w:val="single" w:sz="8" w:color="0000EE"/>
            </w:tcBorders>
            <w:gridSpan w:val="3"/>
          </w:tcPr>
          <w:p>
            <w:pPr>
              <w:spacing w:after="0"/>
              <w:rPr>
                <w:sz w:val="17"/>
                <w:szCs w:val="17"/>
                <w:color w:val="auto"/>
              </w:rPr>
            </w:pPr>
          </w:p>
        </w:tc>
        <w:tc>
          <w:tcPr>
            <w:tcW w:w="770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 Three and six months ended April 1, 2006 and April 2, 2005</w:t>
              </w:r>
            </w:hyperlink>
          </w:p>
        </w:tc>
        <w:tc>
          <w:tcPr>
            <w:tcW w:w="1340" w:type="dxa"/>
            <w:vAlign w:val="bottom"/>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Six months ended April 1, 2006 and April 2, 2005</w:t>
              </w:r>
            </w:hyperlink>
          </w:p>
        </w:tc>
        <w:tc>
          <w:tcPr>
            <w:tcW w:w="2020" w:type="dxa"/>
            <w:vAlign w:val="bottom"/>
            <w:gridSpan w:val="2"/>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Balance Sheets — April 1, 2006, April 2, 2005 and September 30, 2005</w:t>
              </w:r>
            </w:hyperlink>
          </w:p>
        </w:tc>
        <w:tc>
          <w:tcPr>
            <w:tcW w:w="2600" w:type="dxa"/>
            <w:vAlign w:val="bottom"/>
            <w:gridSpan w:val="3"/>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440" w:type="dxa"/>
            <w:vAlign w:val="bottom"/>
            <w:gridSpan w:val="3"/>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440" w:type="dxa"/>
            <w:vAlign w:val="bottom"/>
            <w:gridSpan w:val="3"/>
          </w:tcPr>
          <w:p>
            <w:pPr>
              <w:spacing w:after="0"/>
              <w:rPr>
                <w:sz w:val="17"/>
                <w:szCs w:val="17"/>
                <w:color w:val="auto"/>
              </w:rPr>
            </w:pPr>
          </w:p>
        </w:tc>
        <w:tc>
          <w:tcPr>
            <w:tcW w:w="4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220" w:type="dxa"/>
            <w:vAlign w:val="bottom"/>
            <w:gridSpan w:val="4"/>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440" w:type="dxa"/>
            <w:vAlign w:val="bottom"/>
            <w:gridSpan w:val="3"/>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900" w:type="dxa"/>
            <w:vAlign w:val="bottom"/>
            <w:gridSpan w:val="9"/>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PART II. OTHER INFORMATION:</w:t>
              </w:r>
            </w:hyperlink>
          </w:p>
        </w:tc>
        <w:tc>
          <w:tcPr>
            <w:tcW w:w="80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440" w:type="dxa"/>
            <w:vAlign w:val="bottom"/>
            <w:gridSpan w:val="3"/>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68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320" w:type="dxa"/>
            <w:vAlign w:val="bottom"/>
            <w:gridSpan w:val="5"/>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5.</w:t>
              </w:r>
            </w:hyperlink>
          </w:p>
        </w:tc>
        <w:tc>
          <w:tcPr>
            <w:tcW w:w="440" w:type="dxa"/>
            <w:vAlign w:val="bottom"/>
            <w:gridSpan w:val="3"/>
          </w:tcPr>
          <w:p>
            <w:pPr>
              <w:spacing w:after="0"/>
              <w:rPr>
                <w:sz w:val="17"/>
                <w:szCs w:val="17"/>
                <w:color w:val="auto"/>
              </w:rPr>
            </w:pPr>
          </w:p>
        </w:tc>
        <w:tc>
          <w:tcPr>
            <w:tcW w:w="968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440" w:type="dxa"/>
            <w:vAlign w:val="bottom"/>
            <w:gridSpan w:val="3"/>
          </w:tcPr>
          <w:p>
            <w:pPr>
              <w:spacing w:after="0"/>
              <w:rPr>
                <w:sz w:val="17"/>
                <w:szCs w:val="17"/>
                <w:color w:val="auto"/>
              </w:rPr>
            </w:pPr>
          </w:p>
        </w:tc>
        <w:tc>
          <w:tcPr>
            <w:tcW w:w="1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340" w:type="dxa"/>
            <w:vAlign w:val="bottom"/>
            <w:gridSpan w:val="12"/>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Index to Exhibits</w:t>
              </w:r>
            </w:hyperlink>
          </w:p>
        </w:tc>
        <w:tc>
          <w:tcPr>
            <w:tcW w:w="78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top w:val="single" w:sz="8" w:color="auto"/>
            </w:tcBorders>
            <w:gridSpan w:val="4"/>
          </w:tcPr>
          <w:p>
            <w:pPr>
              <w:jc w:val="right"/>
              <w:ind w:right="680"/>
              <w:spacing w:after="0" w:line="119" w:lineRule="exact"/>
              <w:rPr>
                <w:sz w:val="20"/>
                <w:szCs w:val="20"/>
                <w:color w:val="auto"/>
              </w:rPr>
            </w:pPr>
            <w:r>
              <w:rPr>
                <w:rFonts w:ascii="Arial" w:cs="Arial" w:eastAsia="Arial" w:hAnsi="Arial"/>
                <w:sz w:val="13"/>
                <w:szCs w:val="13"/>
                <w:b w:val="1"/>
                <w:bCs w:val="1"/>
                <w:color w:val="auto"/>
              </w:rPr>
              <w:t>APRIL 1,</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907.5</w:t>
            </w:r>
          </w:p>
        </w:tc>
        <w:tc>
          <w:tcPr>
            <w:tcW w:w="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1,157.0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1,059.9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561.0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taxes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16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BASIC INCOME PER COMMON SHARE:</w:t>
            </w: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during the period</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Basic income per common share:</w:t>
            </w: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16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during the period</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16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c>
          <w:tcPr>
            <w:tcW w:w="6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0.250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7"/>
          </w:tcPr>
          <w:p>
            <w:pPr>
              <w:jc w:val="center"/>
              <w:ind w:left="349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4"/>
                <w:szCs w:val="24"/>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Prepaid and other current assets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Accrued taxes and liabilities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reserves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Other non-current items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400"/>
              <w:spacing w:after="0"/>
              <w:rPr>
                <w:sz w:val="20"/>
                <w:szCs w:val="20"/>
                <w:color w:val="auto"/>
              </w:rPr>
            </w:pPr>
            <w:r>
              <w:rPr>
                <w:rFonts w:ascii="Arial" w:cs="Arial" w:eastAsia="Arial" w:hAnsi="Arial"/>
                <w:sz w:val="18"/>
                <w:szCs w:val="18"/>
                <w:color w:val="auto"/>
              </w:rPr>
              <w:t>Net cash used in operating activities</w:t>
            </w: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(558.7)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Redemption of available for sale securities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439"/>
        </w:trPr>
        <w:tc>
          <w:tcPr>
            <w:tcW w:w="73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9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term loans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shares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Financing fees, net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Income taxes (received) paid</w:t>
            </w: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34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$13.5, $22.5 and $11.4,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798.2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1,551.8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1,402.1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w w:val="97"/>
              </w:rPr>
              <w:t>Property, plant and equipment, net of accumulated depreciation of $349.8, $346.7 and $322.4,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335.7</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459.4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2,859.4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2,646.7</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LIABILITIES AND SHAREHOLDERS’ EQUITY</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270.9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635.1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1,064.0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967.8</w:t>
            </w: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1,829.9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1,728.2</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3 and 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shares and capital in excess of $.01 stated value per share, 67.5, 66.6 and 67.8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respectively</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452.8</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616.9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520.0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shares, at cost; 0.7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1,029.5</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2,859.4</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2,646.7</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74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which provides lawn and tree and shrub fertilization, insect control and other related services in the United States and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Effective November 18, 2005, we entered the North America wild bird food category with the acquisition of Gutwein &amp; Co. Inc. (“Gutwein”).</w:t>
      </w:r>
    </w:p>
    <w:p>
      <w:pPr>
        <w:spacing w:after="0" w:line="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Due to the nature of our lawn and garden business, the majority of our shipments to retailers occur in the second and third fiscal quarters. On a combined basis, net sales for the second and third fiscal quarters generally represent 70% to 75% of our annual net sales. As a result of the seasonal nature of our business, results for the first six months of our fiscal year are not indicative of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condensed, consolidated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Miracle-Gro’s fiscal 2005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On November 9, 2005, the Company executed a 2-for-1 stock split to shareholders of record on November 2, 2005. All share and per share information included in these condensed, consolidated financial statements and notes thereto have been adjusted to reflect this stock split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of returns and are periodically adjusted for known changes in return levels. Shipping and handling costs are included in cost of sales.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are recognized at the time service is provided to the customer.</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Company (“Monsanto”), the Company in its role as exclusive agent performs certain functions, such as sales support, merchandising, distribution and logistics on behalf of Monsanto, and incurs certain costs in support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15"/>
          <w:szCs w:val="15"/>
          <w:color w:val="auto"/>
        </w:rPr>
        <w:t>®</w:t>
      </w:r>
      <w:r>
        <w:rPr>
          <w:rFonts w:ascii="Arial" w:cs="Arial" w:eastAsia="Arial" w:hAnsi="Arial"/>
          <w:sz w:val="18"/>
          <w:szCs w:val="18"/>
          <w:color w:val="auto"/>
        </w:rPr>
        <w:t xml:space="preserve"> are recovered from Monsanto through the terms of the Marketing Agreement. The reimbursement of costs for which the Company is considered the primary obligor is included in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Scotts LawnService® promotes its service offerings primarily through direct response mail campaigns. External costs associated with these campaigns that qualify as direct response advertising costs are deferred and recognized as advertising expense in proportion to revenues over a period not beyond the end of the subsequent calendar year. The costs deferred at April 1, 2006, April 2, 2005 and September 30, 2005 were $5.6 million, $2.2 million and $2.4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Beginning in fiscal 2003, the Company began expensing prospective grants of employee stock-based compensation awards in accordance with Statement of Financial Accounting Standards (SFAS) No. 123, “Accounting for Stock-Based Compensation.” The Company adopted SFAS 123(R), “Share-Based Payment” effective October 1, 2005, following the modified prospective application approach. The Company was already in substantial compliance with SFAS 123(R) at the adoption date as the standard closely parallels SFAS 123. The adoption of SFAS 123(R) did not have a significant effect on the Company’s results of operations for the three or six-month periods ended April 1, 2006.</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grants share-based awards annually to officers, other key employees, and non-employee directors. Historically, these awards primarily included stock options with exercise prices equal to the market price of the underlying common shares on the date of grant with a term of 10 years. The Company also has issued stock appreciation rights (“SARs”) awards with a stated price determined by the closing price of the Company’s common shares on the date of the grant. Stock appreciation rights result in less dilution than option awards as the SAR holder receives a net share settlement upon exercise. In recent years, the Company also has begun to grant awards of restricted stock. These share-based awards had been made under plans approved by the shareholders in 1992, 1996, and 2003. Generally, in respect of grants to employees, a three-year cliff vesting schedule is used for all share-based awards unless decided otherwise by the Compensation and Organization Committee of the Board of Directors. Grants to non-employee directors typically vest in one year or less. The Company has traditionally used newly issued shares to satisfy the exercise of stock options. Beginning in fiscal 2006, the Company has used treasury shares, as available, to satisfy the exercise of stock options.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On January 26, 2006, the shareholders of the Company approved the 2006 Long-Term Incentive Plan, providing for the availability of an additional</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4.9 million common shares of the Company for grants under the terms of the plan. As of April 1, 2006, the Company had approximately 5.0 million common shares not subject to outstanding awards and available to support the grant of new share-based awards.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1, 2006</w:t>
            </w:r>
          </w:p>
        </w:tc>
        <w:tc>
          <w:tcPr>
            <w:tcW w:w="124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7"/>
              </w:rPr>
              <w:t>APRIL 2,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4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Options</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763,400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Performance shares</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159,800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 Options</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Total share-based awards</w:t>
            </w:r>
          </w:p>
        </w:tc>
        <w:tc>
          <w:tcPr>
            <w:tcW w:w="4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1,079,200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1,175,600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 at grant dates (in millions)</w:t>
            </w:r>
          </w:p>
        </w:tc>
        <w:tc>
          <w:tcPr>
            <w:tcW w:w="4420" w:type="dxa"/>
            <w:vAlign w:val="bottom"/>
            <w:gridSpan w:val="2"/>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80" w:type="dxa"/>
            <w:vAlign w:val="bottom"/>
          </w:tcPr>
          <w:p>
            <w:pPr>
              <w:jc w:val="right"/>
              <w:ind w:right="29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and the tax benefit recognized on the compensation expense was as follows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8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1, 2006</w:t>
            </w: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2, 2005</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1, 2006</w:t>
            </w:r>
          </w:p>
        </w:tc>
        <w:tc>
          <w:tcPr>
            <w:tcW w:w="5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2, 2005</w:t>
            </w:r>
          </w:p>
        </w:tc>
      </w:tr>
      <w:tr>
        <w:trPr>
          <w:trHeight w:val="128"/>
        </w:trPr>
        <w:tc>
          <w:tcPr>
            <w:tcW w:w="58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w:t>
            </w:r>
          </w:p>
        </w:tc>
        <w:tc>
          <w:tcPr>
            <w:tcW w:w="1520" w:type="dxa"/>
            <w:vAlign w:val="bottom"/>
            <w:gridSpan w:val="2"/>
          </w:tcPr>
          <w:p>
            <w:pPr>
              <w:jc w:val="right"/>
              <w:ind w:right="668"/>
              <w:spacing w:after="0" w:line="128" w:lineRule="exact"/>
              <w:rPr>
                <w:sz w:val="20"/>
                <w:szCs w:val="20"/>
                <w:color w:val="auto"/>
              </w:rPr>
            </w:pPr>
            <w:r>
              <w:rPr>
                <w:rFonts w:ascii="Arial" w:cs="Arial" w:eastAsia="Arial" w:hAnsi="Arial"/>
                <w:sz w:val="14"/>
                <w:szCs w:val="14"/>
                <w:b w:val="1"/>
                <w:bCs w:val="1"/>
                <w:color w:val="auto"/>
              </w:rPr>
              <w:t>MILLIONS)</w:t>
            </w:r>
          </w:p>
        </w:tc>
        <w:tc>
          <w:tcPr>
            <w:tcW w:w="520" w:type="dxa"/>
            <w:vAlign w:val="bottom"/>
          </w:tcPr>
          <w:p>
            <w:pPr>
              <w:spacing w:after="0"/>
              <w:rPr>
                <w:sz w:val="11"/>
                <w:szCs w:val="11"/>
                <w:color w:val="auto"/>
              </w:rPr>
            </w:pPr>
          </w:p>
        </w:tc>
        <w:tc>
          <w:tcPr>
            <w:tcW w:w="2540" w:type="dxa"/>
            <w:vAlign w:val="bottom"/>
            <w:gridSpan w:val="3"/>
          </w:tcPr>
          <w:p>
            <w:pPr>
              <w:jc w:val="right"/>
              <w:ind w:right="688"/>
              <w:spacing w:after="0" w:line="128"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jc w:val="right"/>
              <w:ind w:right="301"/>
              <w:spacing w:after="0"/>
              <w:rPr>
                <w:sz w:val="20"/>
                <w:szCs w:val="20"/>
                <w:color w:val="auto"/>
              </w:rPr>
            </w:pPr>
            <w:r>
              <w:rPr>
                <w:rFonts w:ascii="Arial" w:cs="Arial" w:eastAsia="Arial" w:hAnsi="Arial"/>
                <w:sz w:val="18"/>
                <w:szCs w:val="18"/>
                <w:color w:val="auto"/>
              </w:rPr>
              <w:t>$4.4</w:t>
            </w:r>
          </w:p>
        </w:tc>
        <w:tc>
          <w:tcPr>
            <w:tcW w:w="1520" w:type="dxa"/>
            <w:vAlign w:val="bottom"/>
            <w:gridSpan w:val="2"/>
          </w:tcPr>
          <w:p>
            <w:pPr>
              <w:jc w:val="right"/>
              <w:ind w:right="308"/>
              <w:spacing w:after="0"/>
              <w:rPr>
                <w:sz w:val="20"/>
                <w:szCs w:val="20"/>
                <w:color w:val="auto"/>
              </w:rPr>
            </w:pPr>
            <w:r>
              <w:rPr>
                <w:rFonts w:ascii="Arial" w:cs="Arial" w:eastAsia="Arial" w:hAnsi="Arial"/>
                <w:sz w:val="18"/>
                <w:szCs w:val="18"/>
                <w:color w:val="auto"/>
              </w:rPr>
              <w:t>$2.3</w:t>
            </w:r>
          </w:p>
        </w:tc>
        <w:tc>
          <w:tcPr>
            <w:tcW w:w="1540" w:type="dxa"/>
            <w:vAlign w:val="bottom"/>
            <w:gridSpan w:val="2"/>
          </w:tcPr>
          <w:p>
            <w:pPr>
              <w:jc w:val="right"/>
              <w:ind w:right="328"/>
              <w:spacing w:after="0"/>
              <w:rPr>
                <w:sz w:val="20"/>
                <w:szCs w:val="20"/>
                <w:color w:val="auto"/>
              </w:rPr>
            </w:pPr>
            <w:r>
              <w:rPr>
                <w:rFonts w:ascii="Arial" w:cs="Arial" w:eastAsia="Arial" w:hAnsi="Arial"/>
                <w:sz w:val="18"/>
                <w:szCs w:val="18"/>
                <w:color w:val="auto"/>
              </w:rPr>
              <w:t>$8.7</w:t>
            </w:r>
          </w:p>
        </w:tc>
        <w:tc>
          <w:tcPr>
            <w:tcW w:w="1520" w:type="dxa"/>
            <w:vAlign w:val="bottom"/>
            <w:gridSpan w:val="2"/>
          </w:tcPr>
          <w:p>
            <w:pPr>
              <w:jc w:val="right"/>
              <w:ind w:right="328"/>
              <w:spacing w:after="0"/>
              <w:rPr>
                <w:sz w:val="20"/>
                <w:szCs w:val="20"/>
                <w:color w:val="auto"/>
              </w:rPr>
            </w:pPr>
            <w:r>
              <w:rPr>
                <w:rFonts w:ascii="Arial" w:cs="Arial" w:eastAsia="Arial" w:hAnsi="Arial"/>
                <w:sz w:val="18"/>
                <w:szCs w:val="18"/>
                <w:color w:val="auto"/>
              </w:rPr>
              <w:t>$4.6</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Tax benefit recognized</w:t>
            </w:r>
          </w:p>
        </w:tc>
        <w:tc>
          <w:tcPr>
            <w:tcW w:w="1020" w:type="dxa"/>
            <w:vAlign w:val="bottom"/>
          </w:tcPr>
          <w:p>
            <w:pPr>
              <w:jc w:val="right"/>
              <w:ind w:right="301"/>
              <w:spacing w:after="0"/>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308"/>
              <w:spacing w:after="0"/>
              <w:rPr>
                <w:sz w:val="20"/>
                <w:szCs w:val="20"/>
                <w:color w:val="auto"/>
              </w:rPr>
            </w:pPr>
            <w:r>
              <w:rPr>
                <w:rFonts w:ascii="Arial" w:cs="Arial" w:eastAsia="Arial" w:hAnsi="Arial"/>
                <w:sz w:val="18"/>
                <w:szCs w:val="18"/>
                <w:color w:val="auto"/>
              </w:rPr>
              <w:t>0.9</w:t>
            </w:r>
          </w:p>
        </w:tc>
        <w:tc>
          <w:tcPr>
            <w:tcW w:w="1540" w:type="dxa"/>
            <w:vAlign w:val="bottom"/>
            <w:gridSpan w:val="2"/>
          </w:tcPr>
          <w:p>
            <w:pPr>
              <w:jc w:val="right"/>
              <w:ind w:right="328"/>
              <w:spacing w:after="0"/>
              <w:rPr>
                <w:sz w:val="20"/>
                <w:szCs w:val="20"/>
                <w:color w:val="auto"/>
              </w:rPr>
            </w:pPr>
            <w:r>
              <w:rPr>
                <w:rFonts w:ascii="Arial" w:cs="Arial" w:eastAsia="Arial" w:hAnsi="Arial"/>
                <w:sz w:val="18"/>
                <w:szCs w:val="18"/>
                <w:color w:val="auto"/>
              </w:rPr>
              <w:t>3.2</w:t>
            </w:r>
          </w:p>
        </w:tc>
        <w:tc>
          <w:tcPr>
            <w:tcW w:w="1520" w:type="dxa"/>
            <w:vAlign w:val="bottom"/>
            <w:gridSpan w:val="2"/>
          </w:tcPr>
          <w:p>
            <w:pPr>
              <w:jc w:val="right"/>
              <w:ind w:right="328"/>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Aggregate option and stock appreciation right award activity consists of the following (options/SARs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No. of Options</w:t>
            </w: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SARs</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Granted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43.74</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2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31.83</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1, 2006</w:t>
            </w:r>
          </w:p>
        </w:tc>
        <w:tc>
          <w:tcPr>
            <w:tcW w:w="17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6.2 years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Exercisable, April 1, 2006</w:t>
            </w: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19.59</w:t>
            </w:r>
          </w:p>
        </w:tc>
        <w:tc>
          <w:tcPr>
            <w:tcW w:w="280" w:type="dxa"/>
            <w:vAlign w:val="bottom"/>
          </w:tcPr>
          <w:p>
            <w:pPr>
              <w:spacing w:after="0" w:line="20" w:lineRule="exact"/>
              <w:rPr>
                <w:sz w:val="1"/>
                <w:szCs w:val="1"/>
                <w:color w:val="auto"/>
              </w:rPr>
            </w:pPr>
          </w:p>
        </w:tc>
        <w:tc>
          <w:tcPr>
            <w:tcW w:w="1360" w:type="dxa"/>
            <w:vAlign w:val="bottom"/>
            <w:gridSpan w:val="2"/>
            <w:vMerge w:val="restart"/>
          </w:tcPr>
          <w:p>
            <w:pPr>
              <w:ind w:left="280"/>
              <w:spacing w:after="0"/>
              <w:rPr>
                <w:sz w:val="20"/>
                <w:szCs w:val="20"/>
                <w:color w:val="auto"/>
              </w:rPr>
            </w:pPr>
            <w:r>
              <w:rPr>
                <w:rFonts w:ascii="Arial" w:cs="Arial" w:eastAsia="Arial" w:hAnsi="Arial"/>
                <w:sz w:val="18"/>
                <w:szCs w:val="18"/>
                <w:color w:val="auto"/>
              </w:rPr>
              <w:t>4.5 years</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line="20" w:lineRule="exact"/>
              <w:rPr>
                <w:sz w:val="1"/>
                <w:szCs w:val="1"/>
                <w:color w:val="auto"/>
              </w:rPr>
            </w:pPr>
          </w:p>
        </w:tc>
      </w:tr>
      <w:tr>
        <w:trPr>
          <w:trHeight w:val="211"/>
        </w:trPr>
        <w:tc>
          <w:tcPr>
            <w:tcW w:w="382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fair value of each award granted has been estimated on the grant date using a binomial model using the assumptions noted in the following table. Expected volatility is based on implied volatilities from traded options on the Company’s common shares and historical volatility of the Company’s stock. Historical data, including demographic factors impacting historical exercise behavior, is used to estimate option exercise and employee termination within the valuation model. The expected life shown below is used for purposes of calculating expected volatility while the risk neutral expected life that is an output of the model of 6.26 years represents the expected option holding period. The risk-free rate for periods within the contractual life of the option is based on the U.S. Treasury yield curve in effect at the time of grant. The weighted-average assumptions for awards granted for the six-month periods ended April 1, 2006 and April 2, 2005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72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APRIL 1, 2006</w:t>
            </w: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9"/>
              </w:rPr>
              <w:t>APRIL 2,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volatility</w:t>
            </w:r>
          </w:p>
        </w:tc>
        <w:tc>
          <w:tcPr>
            <w:tcW w:w="1160" w:type="dxa"/>
            <w:vAlign w:val="bottom"/>
            <w:tcBorders>
              <w:top w:val="single" w:sz="8" w:color="auto"/>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Risk-free interest rates</w:t>
            </w:r>
          </w:p>
        </w:tc>
        <w:tc>
          <w:tcPr>
            <w:tcW w:w="1160" w:type="dxa"/>
            <w:vAlign w:val="bottom"/>
            <w:gridSpan w:val="2"/>
          </w:tcPr>
          <w:p>
            <w:pPr>
              <w:jc w:val="right"/>
              <w:ind w:right="137"/>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Expected life of options/SARs in years</w:t>
            </w:r>
          </w:p>
        </w:tc>
        <w:tc>
          <w:tcPr>
            <w:tcW w:w="1160" w:type="dxa"/>
            <w:vAlign w:val="bottom"/>
            <w:gridSpan w:val="2"/>
          </w:tcPr>
          <w:p>
            <w:pPr>
              <w:jc w:val="right"/>
              <w:ind w:right="277"/>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116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$12.09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4"/>
              </w:rPr>
              <w:t>$10.57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Restricted Stock</w:t>
            </w:r>
          </w:p>
        </w:tc>
        <w:tc>
          <w:tcPr>
            <w:tcW w:w="7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520" w:type="dxa"/>
            <w:vAlign w:val="bottom"/>
            <w:gridSpan w:val="3"/>
          </w:tcPr>
          <w:p>
            <w:pPr>
              <w:spacing w:after="0"/>
              <w:rPr>
                <w:sz w:val="20"/>
                <w:szCs w:val="20"/>
                <w:color w:val="auto"/>
              </w:rPr>
            </w:pPr>
            <w:r>
              <w:rPr>
                <w:rFonts w:ascii="Arial" w:cs="Arial" w:eastAsia="Arial" w:hAnsi="Arial"/>
                <w:sz w:val="18"/>
                <w:szCs w:val="18"/>
                <w:color w:val="auto"/>
              </w:rPr>
              <w:t>Aggregate restricted stock award activity is as follows: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340" w:type="dxa"/>
            <w:vAlign w:val="bottom"/>
            <w:vMerge w:val="restart"/>
          </w:tcPr>
          <w:p>
            <w:pPr>
              <w:spacing w:after="0"/>
              <w:rPr>
                <w:sz w:val="12"/>
                <w:szCs w:val="12"/>
                <w:color w:val="auto"/>
              </w:rPr>
            </w:pPr>
          </w:p>
        </w:tc>
        <w:tc>
          <w:tcPr>
            <w:tcW w:w="13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8"/>
              </w:rPr>
              <w:t>No. of Shares</w:t>
            </w:r>
          </w:p>
        </w:tc>
        <w:tc>
          <w:tcPr>
            <w:tcW w:w="10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September 30, 2005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200"/>
              <w:spacing w:after="0"/>
              <w:rPr>
                <w:sz w:val="20"/>
                <w:szCs w:val="20"/>
                <w:color w:val="auto"/>
              </w:rPr>
            </w:pPr>
            <w:r>
              <w:rPr>
                <w:rFonts w:ascii="Arial" w:cs="Arial" w:eastAsia="Arial" w:hAnsi="Arial"/>
                <w:sz w:val="18"/>
                <w:szCs w:val="18"/>
                <w:color w:val="auto"/>
              </w:rPr>
              <w:t>Granted (including 30,000 performance shares)</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189,800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7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200"/>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9"/>
                <w:szCs w:val="19"/>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April 1, 2006</w:t>
            </w: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April 1, 2006, there was $20.4 million of total unrecognized compensation cost related to nonvested share-based compensation arrangements; that cost is expected to be recognized over a weighted-average period of 2.9 years. Unearned compensation is amortized over the vesting period for the particular grant and is recognized as a component of “Selling, general and administrative” expense within the Condensed, Consolidated Statements of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total intrinsic value of stock options exercised was $17.6 million and the total fair value of restricted stock vested was $0.5 million during the six months ended April 1, 2006.</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received from option exercises under all share-based payment arrangements for the six months ended April 1, 2006 was $14.2 million. The tax benefit realized for the tax deductions from option exercises under the share-based payment arrangements totaled $6.9 million for the six months ended April 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 assesses the recoverability of long-lived assets being amortized whenever events or changes in circumstances indicate that the carrying amount of an asset may not be recoverable. If it is determined that an impairment has occurred, an impairment loss is recognized for the amount by which the carrying amount of the asset exceeds its estimated fair value.</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Management also assesses the recoverability of goodwill and other intangible assets whenever events or changes in circumstances indicate that the carrying amount of an asset may not be recoverable. Goodwill and intangible assets not being amortized are reviewed for impairment at least annually during the first fiscal quarter. If it is determined that an impairment of intangible assets has occurred, an impairment loss is recognized for the amount by which the carrying value of the asset exceeds its estimated fair value.</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performed its annual impairment analysis during the first quarter of fiscal 2006 and recorded a $1.0 million charge. A fiscal 2005 impairment charge of $22.0 million was for the U.K. consumer business, reflecting a reduction in the value of the business resulting primarily from the decline in the profitability of its growing media business and unfavorable category mix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represents a reconciliation from basic earnings per share to diluted earnings per share. Options to purchase 0.1 million and 0.8 million shares of common shares were outstanding at April 1, 2006 and April 2, 2005, respectively, but were not included in the computation of diluted earnings per share because the options’ exercise prices were greater than the average market price of the underlying common shares and, therefore, the impact would be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1, 2006</w:t>
            </w:r>
          </w:p>
        </w:tc>
        <w:tc>
          <w:tcPr>
            <w:tcW w:w="134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94"/>
              </w:rPr>
              <w:t>APRIL 2, 2005</w:t>
            </w:r>
          </w:p>
        </w:tc>
        <w:tc>
          <w:tcPr>
            <w:tcW w:w="62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1, 2006</w:t>
            </w:r>
          </w:p>
        </w:tc>
        <w:tc>
          <w:tcPr>
            <w:tcW w:w="11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w w:val="97"/>
              </w:rPr>
              <w:t>APRIL 2,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196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EXCEPT PER SHARE DATA)</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Determination of common shares: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Average common shares outstanding</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67.5</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48"/>
              <w:spacing w:after="0"/>
              <w:rPr>
                <w:sz w:val="20"/>
                <w:szCs w:val="20"/>
                <w:color w:val="auto"/>
              </w:rPr>
            </w:pPr>
            <w:r>
              <w:rPr>
                <w:rFonts w:ascii="Arial" w:cs="Arial" w:eastAsia="Arial" w:hAnsi="Arial"/>
                <w:sz w:val="18"/>
                <w:szCs w:val="18"/>
                <w:color w:val="auto"/>
                <w:w w:val="91"/>
              </w:rPr>
              <w:t>66.6</w:t>
            </w:r>
          </w:p>
        </w:tc>
        <w:tc>
          <w:tcPr>
            <w:tcW w:w="2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Assumed conversion of dilutive stock options and awards</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Diluted average common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68.2</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1"/>
              </w:rPr>
              <w:t>1.25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0.62</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2"/>
          </w:tcPr>
          <w:p>
            <w:pPr>
              <w:jc w:val="right"/>
              <w:ind w:right="548"/>
              <w:spacing w:after="0"/>
              <w:rPr>
                <w:sz w:val="20"/>
                <w:szCs w:val="20"/>
                <w:color w:val="auto"/>
              </w:rPr>
            </w:pPr>
            <w:r>
              <w:rPr>
                <w:rFonts w:ascii="Arial" w:cs="Arial" w:eastAsia="Arial" w:hAnsi="Arial"/>
                <w:sz w:val="18"/>
                <w:szCs w:val="18"/>
                <w:color w:val="auto"/>
                <w:w w:val="91"/>
              </w:rPr>
              <w:t>1.22</w:t>
            </w:r>
          </w:p>
        </w:tc>
        <w:tc>
          <w:tcPr>
            <w:tcW w:w="2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October 27, 2005, we announced that Scotts Miracle-Gro’s Board of Directors had approved a $500.0 million share repurchase program. This repurchase program is authorized for five years and we currently anticipate allocating approximately $100.0 million per year on the program. Through April 1, 2006, we have reacquired 971,200 shares of our common stock to be held in treasury at an aggregate cost of $45.9 million. A total of 266,967 shares of our common stock held in treasury have been reissued to support the exercise of employee held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REVISIONS AND 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revisions and reclassifications have been made to prior years’ financial statements to conform to fiscal 2006 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with our fiscal 2005 Form 10-K and 2005 Annual Report to Shareholders, we made changes to our Condensed, Consolidated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Statements of Operations that management believes improve the overall presentation. As such, the fiscal 2005 quarterly condensed, consolidated financial statements presented therein have been revised to reflect these changes. With respect to the Marketing Agreement with Monsanto, we have made two presentational changes. First, we have reclassified as net sales the amounts previously reported as net commission from the Marketing Agreement. Second, net sales and cost of sales have been adjusted to reflect certain reimbursements and costs associated with the Marketing Agreement on a gross basis that were previously reported on a net basis, with no effect on gross profit or net income. See further details regarding these matters in Note 3. Furthermore, we have simplified the presentation of Selling, General and Administrative (“SG&amp;A”) expenses presented on the face of the Condensed, Consolidated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2.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provisions for slow moving and obsolete inventory of $17.0 million, $20.4 million, and $16.3 million, respectively,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APRIL 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APRIL 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23"/>
        </w:trPr>
        <w:tc>
          <w:tcPr>
            <w:tcW w:w="7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3. MARKETING AGREEMENT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 the terms of the Marketing Agreement with Monsanto, the Company is Monsanto’s exclusive agent for the domestic and international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herbicide products. Under the terms of the Marketing Agreement, the Company is entitled to receive an annual commission from Monsanto in consideration for the performance of the Company’s duties as agent. The Marketing Agreement also requires the Company to make annual payments to Monsanto as a contribution against the overall expenses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annual gross commission under the Marketing Agreement is calculated as a percentage of the actual earnings before interest and income taxes (EBIT), as defined in the Marketing Agreement,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Each year’s percentage varies in accordance with the terms of the Marketing Agreement based on the achievement of two earnings thresholds and on commission rates that vary by threshold and program year. As the first earnings threshold is typically not achieved until our second fiscal quarter, there is no gross commission income in the first quarter.</w:t>
      </w:r>
    </w:p>
    <w:p>
      <w:pPr>
        <w:spacing w:after="0" w:line="6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annual contribution payment as defined in the Marketing Agreement is $20.0 million; however, portions of the annual contribution payments for the first three years of the Marketing Agreement were deferred. Through July 2, 2005, the Company recognized a periodic charge associated with the annual contribution payments equal to the required payment for that period. The Company had not recognized a charge for the portions of the contribution payments that were deferred until the time those deferred amounts were due under the terms of the Marketing Agreement. Based on the then available facts and circumstances, the Company considered this method of accounting to be appropriate. Factors considered in this determination included the likely term of the Marketing Agreement, the Company’s ability to terminate the Marketing Agreement without paying the deferred amounts, the Company’s assessment that the Marketing Agreement could have been terminated at any balance sheet date without incurring significant economic consequences as a result of such action and the fact that a significant portion of the deferred amount could never have been paid, even if the Marketing Agreement were not terminated prior to 2018, unless significant earnings targets were exceeded.</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quarter ended July 2, 2005, the Company updated its assessment of the amounts deferred and previously considered a contingent obligation under the Marketing Agreement. Based on the then recent strong performance and other economic developments surrounding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Company concluded it probable that the deferred contribution payment that totaled $45.7 million as of July 2, 2005 would be paid. Since the recognition of this contingent obligation is for previously deferred contribution payments under the Marketing Agreement, the Company recorded this liability with a charge to net sales in the quarter ended July 2, 2005. This amount bore interest at 8% until it was paid in October 2005. The deferred contribution balance was recorded as a current liability at September 30, 2005.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marketing support costs, on behalf of Monsanto in the conduct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actual costs incurred for these activities are charged to and reimbursed by Monsanto, for which the Company recognizes no gross profit or net income. Prior to the fourth quarter of fiscal 2005, these costs were recognized in the consolidated statements of operations on a net basis as a recovery of incurred costs. The Company records costs incurred under the Marketing Agreement for which the Company is the primary obligor on a gross basis, recognizing such costs in “Cost of sales” and the reimbursement of these costs in “Net sales,” with no effect on gross profit or net income. As disclosed in Note 22 — “Quarterly Consolidated Financial Information (Unaudited)” to the Consolidated Financial Statements included in the Company’s fiscal 2005 Annual Report on Form 10-K, net sales and cost of sales for the quarters in fiscal 2005 were revised to reflect this change. The related net sales and cost of sales were $10.0 million and $11.0 million for the three-month periods and $18.2 million and $20.7 million for the six-month periods ended April 1, 2006 and April 2, 2005, respectively.</w:t>
      </w:r>
    </w:p>
    <w:p>
      <w:pPr>
        <w:spacing w:after="0" w:line="5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Net sales also have been revised to reflect the net commission associated with the Marketing Agreement. Prior to the fourth quarter of fiscal 2005, the elements of net commission were reported as separate line items in the Condensed, Consolidated Statements of Operations. The following table displays elements of the Marketing Agreement included in “Net sales.”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1, 2006</w:t>
            </w:r>
          </w:p>
        </w:tc>
        <w:tc>
          <w:tcPr>
            <w:tcW w:w="11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4"/>
              </w:rPr>
              <w:t>APRIL 2, 2005</w:t>
            </w:r>
          </w:p>
        </w:tc>
        <w:tc>
          <w:tcPr>
            <w:tcW w:w="6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1, 2006</w:t>
            </w:r>
          </w:p>
        </w:tc>
        <w:tc>
          <w:tcPr>
            <w:tcW w:w="12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7"/>
              </w:rPr>
              <w:t>APRIL 2, 2005</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22.2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18.2</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Contribution expenses</w:t>
            </w:r>
          </w:p>
        </w:tc>
        <w:tc>
          <w:tcPr>
            <w:tcW w:w="24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contribution charge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Amortization of marketing fee</w:t>
            </w:r>
          </w:p>
        </w:tc>
        <w:tc>
          <w:tcPr>
            <w:tcW w:w="240" w:type="dxa"/>
            <w:vAlign w:val="bottom"/>
          </w:tcPr>
          <w:p>
            <w:pPr>
              <w:spacing w:after="0"/>
              <w:rPr>
                <w:sz w:val="19"/>
                <w:szCs w:val="19"/>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commission income</w:t>
            </w: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15.1</w:t>
            </w: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Reimbursements associated with Marketing Agreement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68"/>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7"/>
        </w:trPr>
        <w:tc>
          <w:tcPr>
            <w:tcW w:w="5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26.1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26.0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580" w:firstLine="8"/>
        <w:spacing w:after="0" w:line="37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RESTRUCTURING AND OTHER CHARGES FISCAL 2006 CHARGES</w:t>
      </w:r>
    </w:p>
    <w:p>
      <w:pPr>
        <w:spacing w:after="0" w:line="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During the three and six month periods ended April 1, 2006, the Company recorded $1.1 million and $5.8 million, respectively, of restructuring and other charges relating to our profit improvement plan, consisting primarily of severance and related costs. In addition, an impairment charge of $1.0 million was recorded during the first quarter of fiscal 2006 for a tradename no longer in use in our United Kingdom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FISCAL 2005 CHARGES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three and six month periods ended April 2, 2005, the Company recorded $1.0 million and $1.2 million, respectively, of impairment, restructuring and other charges relating primarily to Smith &amp; Hawken</w:t>
      </w:r>
      <w:r>
        <w:rPr>
          <w:rFonts w:ascii="Arial" w:cs="Arial" w:eastAsia="Arial" w:hAnsi="Arial"/>
          <w:sz w:val="15"/>
          <w:szCs w:val="15"/>
          <w:color w:val="auto"/>
        </w:rPr>
        <w:t>®</w:t>
      </w:r>
      <w:r>
        <w:rPr>
          <w:rFonts w:ascii="Arial" w:cs="Arial" w:eastAsia="Arial" w:hAnsi="Arial"/>
          <w:sz w:val="18"/>
          <w:szCs w:val="18"/>
          <w:color w:val="auto"/>
        </w:rPr>
        <w:t xml:space="preserve"> integration related severance. An impairment charge of $22.0 million was recorded during the first quarter of fiscal 2005 related to tradenames within the United Kingdom consumer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detail of impairment, restructuring and other charges reported in the 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156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w w:val="97"/>
              </w:rPr>
              <w:t>APRIL 2,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0"/>
              </w:rPr>
              <w:t>MILLIONS)</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516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related costs</w:t>
            </w:r>
          </w:p>
        </w:tc>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intangibles</w:t>
            </w:r>
          </w:p>
        </w:tc>
        <w:tc>
          <w:tcPr>
            <w:tcW w:w="4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860" w:type="dxa"/>
            <w:vAlign w:val="bottom"/>
            <w:vMerge w:val="restart"/>
          </w:tcPr>
          <w:p>
            <w:pPr>
              <w:jc w:val="right"/>
              <w:ind w:right="295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the restructuring and other charges accrued: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APRIL 1, 2006</w:t>
            </w:r>
          </w:p>
        </w:tc>
        <w:tc>
          <w:tcPr>
            <w:tcW w:w="11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w w:val="97"/>
              </w:rPr>
              <w:t>APRIL 2,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0"/>
              </w:rPr>
              <w:t>MILLIONS)</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and 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w w:val="91"/>
              </w:rPr>
              <w:t>Amounts reserved for restructuring and other charges and included in “accrued liabilities” at end of period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w w:val="91"/>
              </w:rPr>
              <w:t>The restructuring activities to which these costs apply are expected to be largely completed in fiscal 2006.</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5. LONG-TERM DEBT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4"/>
          </w:tcPr>
          <w:p>
            <w:pPr>
              <w:spacing w:after="0"/>
              <w:rPr>
                <w:sz w:val="20"/>
                <w:szCs w:val="20"/>
                <w:color w:val="auto"/>
              </w:rPr>
            </w:pPr>
            <w:r>
              <w:rPr>
                <w:rFonts w:ascii="Arial" w:cs="Arial" w:eastAsia="Arial" w:hAnsi="Arial"/>
                <w:sz w:val="18"/>
                <w:szCs w:val="18"/>
                <w:color w:val="auto"/>
                <w:w w:val="98"/>
              </w:rPr>
              <w:t>The components of long-term debt as of April 1, 2006, April 2, 2005 and September 30, 2005 are as follows: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54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APRIL 2,</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right"/>
              <w:ind w:right="208"/>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New Credit Agreement: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849.9</w:t>
            </w: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8"/>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166.2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397.0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6 5/8% Senior Subordinated Notes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8"/>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8"/>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1,075.5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1,064.0</w:t>
            </w:r>
          </w:p>
        </w:tc>
        <w:tc>
          <w:tcPr>
            <w:tcW w:w="3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6. STATEMENT OF COMPREHENSIVE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other comprehensive income and total comprehensive income for the three and six month periods ended April 1, 2006 and April 2, 2005,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APRIL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center"/>
              <w:ind w:right="268"/>
              <w:spacing w:after="0" w:line="119" w:lineRule="exact"/>
              <w:rPr>
                <w:sz w:val="20"/>
                <w:szCs w:val="20"/>
                <w:color w:val="auto"/>
              </w:rPr>
            </w:pPr>
            <w:r>
              <w:rPr>
                <w:rFonts w:ascii="Arial" w:cs="Arial" w:eastAsia="Arial" w:hAnsi="Arial"/>
                <w:sz w:val="13"/>
                <w:szCs w:val="13"/>
                <w:b w:val="1"/>
                <w:bCs w:val="1"/>
                <w:color w:val="auto"/>
              </w:rPr>
              <w:t>APRIL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w w:val="85"/>
              </w:rPr>
              <w:t>(IN</w:t>
            </w: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94.8</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42.1</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3</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9</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7. RETIREMENT AND RETIREE MEDICAL PLANS COST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0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APRIL 1,</w:t>
            </w:r>
          </w:p>
        </w:tc>
        <w:tc>
          <w:tcPr>
            <w:tcW w:w="560" w:type="dxa"/>
            <w:vAlign w:val="bottom"/>
          </w:tcPr>
          <w:p>
            <w:pPr>
              <w:spacing w:after="0"/>
              <w:rPr>
                <w:sz w:val="10"/>
                <w:szCs w:val="10"/>
                <w:color w:val="auto"/>
              </w:rPr>
            </w:pPr>
          </w:p>
        </w:tc>
        <w:tc>
          <w:tcPr>
            <w:tcW w:w="900" w:type="dxa"/>
            <w:vAlign w:val="bottom"/>
          </w:tcPr>
          <w:p>
            <w:pPr>
              <w:jc w:val="right"/>
              <w:ind w:right="71"/>
              <w:spacing w:after="0" w:line="119" w:lineRule="exact"/>
              <w:rPr>
                <w:sz w:val="20"/>
                <w:szCs w:val="20"/>
                <w:color w:val="auto"/>
              </w:rPr>
            </w:pPr>
            <w:r>
              <w:rPr>
                <w:rFonts w:ascii="Arial" w:cs="Arial" w:eastAsia="Arial" w:hAnsi="Arial"/>
                <w:sz w:val="13"/>
                <w:szCs w:val="13"/>
                <w:b w:val="1"/>
                <w:bCs w:val="1"/>
                <w:color w:val="auto"/>
              </w:rPr>
              <w:t>APRIL 2,</w:t>
            </w:r>
          </w:p>
        </w:tc>
        <w:tc>
          <w:tcPr>
            <w:tcW w:w="560" w:type="dxa"/>
            <w:vAlign w:val="bottom"/>
          </w:tcPr>
          <w:p>
            <w:pPr>
              <w:spacing w:after="0"/>
              <w:rPr>
                <w:sz w:val="10"/>
                <w:szCs w:val="10"/>
                <w:color w:val="auto"/>
              </w:rPr>
            </w:pPr>
          </w:p>
        </w:tc>
        <w:tc>
          <w:tcPr>
            <w:tcW w:w="90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APRIL 1,</w:t>
            </w:r>
          </w:p>
        </w:tc>
        <w:tc>
          <w:tcPr>
            <w:tcW w:w="540" w:type="dxa"/>
            <w:vAlign w:val="bottom"/>
          </w:tcPr>
          <w:p>
            <w:pPr>
              <w:spacing w:after="0"/>
              <w:rPr>
                <w:sz w:val="10"/>
                <w:szCs w:val="10"/>
                <w:color w:val="auto"/>
              </w:rPr>
            </w:pPr>
          </w:p>
        </w:tc>
        <w:tc>
          <w:tcPr>
            <w:tcW w:w="90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APRIL 2,</w:t>
            </w:r>
          </w:p>
        </w:tc>
      </w:tr>
      <w:tr>
        <w:trPr>
          <w:trHeight w:val="171"/>
        </w:trPr>
        <w:tc>
          <w:tcPr>
            <w:tcW w:w="3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r>
      <w:tr>
        <w:trPr>
          <w:trHeight w:val="142"/>
        </w:trPr>
        <w:tc>
          <w:tcPr>
            <w:tcW w:w="38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460" w:type="dxa"/>
            <w:vAlign w:val="bottom"/>
            <w:gridSpan w:val="2"/>
          </w:tcPr>
          <w:p>
            <w:pPr>
              <w:jc w:val="right"/>
              <w:ind w:right="591"/>
              <w:spacing w:after="0" w:line="142" w:lineRule="exact"/>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2"/>
                <w:szCs w:val="12"/>
                <w:color w:val="auto"/>
              </w:rPr>
            </w:pPr>
          </w:p>
        </w:tc>
        <w:tc>
          <w:tcPr>
            <w:tcW w:w="2340" w:type="dxa"/>
            <w:vAlign w:val="bottom"/>
            <w:gridSpan w:val="3"/>
          </w:tcPr>
          <w:p>
            <w:pPr>
              <w:jc w:val="right"/>
              <w:ind w:right="591"/>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322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$0.4</w:t>
            </w:r>
          </w:p>
        </w:tc>
        <w:tc>
          <w:tcPr>
            <w:tcW w:w="146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$0.9</w:t>
            </w:r>
          </w:p>
        </w:tc>
        <w:tc>
          <w:tcPr>
            <w:tcW w:w="14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3220" w:type="dxa"/>
            <w:vAlign w:val="bottom"/>
            <w:gridSpan w:val="2"/>
          </w:tcPr>
          <w:p>
            <w:pPr>
              <w:jc w:val="right"/>
              <w:ind w:right="269"/>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251"/>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269"/>
              <w:spacing w:after="0"/>
              <w:rPr>
                <w:sz w:val="20"/>
                <w:szCs w:val="20"/>
                <w:color w:val="auto"/>
              </w:rPr>
            </w:pPr>
            <w:r>
              <w:rPr>
                <w:rFonts w:ascii="Arial" w:cs="Arial" w:eastAsia="Arial" w:hAnsi="Arial"/>
                <w:sz w:val="18"/>
                <w:szCs w:val="18"/>
                <w:color w:val="auto"/>
              </w:rPr>
              <w:t>4.2</w:t>
            </w:r>
          </w:p>
        </w:tc>
        <w:tc>
          <w:tcPr>
            <w:tcW w:w="1440" w:type="dxa"/>
            <w:vAlign w:val="bottom"/>
            <w:gridSpan w:val="2"/>
          </w:tcPr>
          <w:p>
            <w:pPr>
              <w:jc w:val="right"/>
              <w:ind w:right="271"/>
              <w:spacing w:after="0"/>
              <w:rPr>
                <w:sz w:val="20"/>
                <w:szCs w:val="20"/>
                <w:color w:val="auto"/>
              </w:rPr>
            </w:pPr>
            <w:r>
              <w:rPr>
                <w:rFonts w:ascii="Arial" w:cs="Arial" w:eastAsia="Arial" w:hAnsi="Arial"/>
                <w:sz w:val="18"/>
                <w:szCs w:val="18"/>
                <w:color w:val="auto"/>
              </w:rPr>
              <w:t>3.1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322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1.6</w:t>
            </w:r>
          </w:p>
        </w:tc>
      </w:tr>
      <w:tr>
        <w:trPr>
          <w:trHeight w:val="405"/>
        </w:trPr>
        <w:tc>
          <w:tcPr>
            <w:tcW w:w="3840" w:type="dxa"/>
            <w:vAlign w:val="bottom"/>
          </w:tcPr>
          <w:p>
            <w:pPr>
              <w:spacing w:after="0"/>
              <w:rPr>
                <w:sz w:val="24"/>
                <w:szCs w:val="24"/>
                <w:color w:val="auto"/>
              </w:rPr>
            </w:pPr>
          </w:p>
        </w:tc>
        <w:tc>
          <w:tcPr>
            <w:tcW w:w="232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38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8. CONTINGENCIES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In 1997,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April 1, 2006, $3.3 million was accrued for environmental and regulatory matters, primarily related to the Marysville facility. Most of the accrued costs are expected to be paid in fiscal 2006 and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460" w:right="620" w:hanging="452"/>
        <w:spacing w:after="0" w:line="277"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Horticultural Supply, Inc. (F/K/A E.C. Geiger, Inc.)</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Sections 1 and 57 of the Sherman Antitrust Act. Geiger has not specified the amount of monetary damages it is seeking. A motion to dismiss the complaint has been filed and is pending.</w:t>
      </w:r>
    </w:p>
    <w:p>
      <w:pPr>
        <w:spacing w:after="0" w:line="7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commenced, any potential exposure that the Company may face cannot be reasonably estimated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or its results of operations.</w:t>
      </w:r>
    </w:p>
    <w:p>
      <w:pPr>
        <w:spacing w:after="0" w:line="73"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The Company has pursued and continues to pursue insurance coverage for a number of cases alleging injuries that the lawsuits claim resulted from exposure to asbestos-containing products, apparently based on the Company’s historic use of vermiculite in certain of its products. We recovered a substantial portion of our past defense costs from one carrier during the second quarter of fiscal 2006 and that carrier has agreed to cover most of our defense costs in the future, subject to policy limits. Approximately $9.1 million has been recorded during the second quarter of fiscal 2006 and has been included in the “Selling, general and administrative” line of the Condensed, Consolidated Statement of Operations. The carrier also agreed to cover a portion of our future costs. We continue to pursue coverage from other carriers, although there can be no assurance as to the results of these efforts.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 ACQUISITIONS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Effective October 3, 2005, the Company acquired all the outstanding shares of Rod McLellan Company for approximately $21.0 million in cash. Rod McLellan Company, a provider of soil and landscape products in the western U.S., operates three soil-manufacturing facilities in California and Oregon with approximately 100 employees. This business will be strategically integrated into our existing growing media business.</w:t>
      </w:r>
    </w:p>
    <w:p>
      <w:pPr>
        <w:spacing w:after="0" w:line="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Effective November 18, 2005, the Company acquired all the outstanding shares of Gutwein, for approximately $77.0 million in cash. Gutwein’s annual revenues approximate $85.0 million in the growing wild bird food category. Gutwein’s Morning 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Gutwein has 140 employees and operates five production facilities. This is the Company’s first acquisition in this category, offering the opportunity to expand our share of the outdoor living market.</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Preliminary purchase accounting allocations have been recorded for both Rod McLellan Company and Gutwein, including the allocation of the purchase price to assets acquired and liabilities assumed, based on their estimated fair values at the date of acquisitions. The Company expects to finalize purchase accounting for the acquisitions prior to the end of fiscal 2006.</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 pro forma basis, net sales for the three and six months ended April 2, 2005 would have been $841.9 million and $1,107.5 million, respectively (an increase of $28.5 million and $47.6 million, respectively) had the acquisitions of Rod McLellan Company and Gutwein occurred as of October 1, 2004. The pro forma reported net income would have increased by $2.2 million or 3 cents per diluted common share for both the three and six months ended April 2,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10. SEGMENT INFORMATION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is divided into the following segments — North America, Scotts LawnService</w:t>
      </w:r>
      <w:r>
        <w:rPr>
          <w:rFonts w:ascii="Arial" w:cs="Arial" w:eastAsia="Arial" w:hAnsi="Arial"/>
          <w:sz w:val="14"/>
          <w:szCs w:val="14"/>
          <w:color w:val="auto"/>
        </w:rPr>
        <w:t>®</w:t>
      </w:r>
      <w:r>
        <w:rPr>
          <w:rFonts w:ascii="Arial" w:cs="Arial" w:eastAsia="Arial" w:hAnsi="Arial"/>
          <w:sz w:val="17"/>
          <w:szCs w:val="17"/>
          <w:color w:val="auto"/>
        </w:rPr>
        <w:t>, International, and Corporate &amp; Other. This division of reportable segments is consistent with how the segments report to and are managed by senior management of the Company. 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Prior year amounts have been reclassified to conform with certain modifications to the Company’s reporting structure in fiscal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8"/>
          </w:tcPr>
          <w:p>
            <w:pPr>
              <w:jc w:val="center"/>
              <w:ind w:right="179"/>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189"/>
              <w:spacing w:after="0"/>
              <w:rPr>
                <w:sz w:val="20"/>
                <w:szCs w:val="20"/>
                <w:color w:val="auto"/>
              </w:rPr>
            </w:pPr>
            <w:r>
              <w:rPr>
                <w:rFonts w:ascii="Arial" w:cs="Arial" w:eastAsia="Arial" w:hAnsi="Arial"/>
                <w:sz w:val="14"/>
                <w:szCs w:val="14"/>
                <w:b w:val="1"/>
                <w:bCs w:val="1"/>
                <w:color w:val="auto"/>
              </w:rPr>
              <w:t>ENDED</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4"/>
          </w:tcPr>
          <w:p>
            <w:pPr>
              <w:jc w:val="right"/>
              <w:ind w:right="42"/>
              <w:spacing w:after="0" w:line="119" w:lineRule="exact"/>
              <w:rPr>
                <w:sz w:val="20"/>
                <w:szCs w:val="20"/>
                <w:color w:val="auto"/>
              </w:rPr>
            </w:pPr>
            <w:r>
              <w:rPr>
                <w:rFonts w:ascii="Arial" w:cs="Arial" w:eastAsia="Arial" w:hAnsi="Arial"/>
                <w:sz w:val="13"/>
                <w:szCs w:val="13"/>
                <w:b w:val="1"/>
                <w:bCs w:val="1"/>
                <w:color w:val="auto"/>
              </w:rPr>
              <w:t>APRIL 1,</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APRIL 2,</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4"/>
          </w:tcPr>
          <w:p>
            <w:pPr>
              <w:jc w:val="right"/>
              <w:ind w:right="48"/>
              <w:spacing w:after="0" w:line="119" w:lineRule="exact"/>
              <w:rPr>
                <w:sz w:val="20"/>
                <w:szCs w:val="20"/>
                <w:color w:val="auto"/>
              </w:rPr>
            </w:pPr>
            <w:r>
              <w:rPr>
                <w:rFonts w:ascii="Arial" w:cs="Arial" w:eastAsia="Arial" w:hAnsi="Arial"/>
                <w:sz w:val="13"/>
                <w:szCs w:val="13"/>
                <w:b w:val="1"/>
                <w:bCs w:val="1"/>
                <w:color w:val="auto"/>
              </w:rPr>
              <w:t>APRIL 1,</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vMerge w:val="continue"/>
          </w:tcPr>
          <w:p>
            <w:pPr>
              <w:spacing w:after="0"/>
              <w:rPr>
                <w:sz w:val="12"/>
                <w:szCs w:val="12"/>
                <w:color w:val="auto"/>
              </w:rPr>
            </w:pPr>
          </w:p>
        </w:tc>
        <w:tc>
          <w:tcPr>
            <w:tcW w:w="6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North America</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9"/>
              <w:spacing w:after="0"/>
              <w:rPr>
                <w:sz w:val="20"/>
                <w:szCs w:val="20"/>
                <w:color w:val="auto"/>
              </w:rPr>
            </w:pPr>
            <w:r>
              <w:rPr>
                <w:rFonts w:ascii="Arial" w:cs="Arial" w:eastAsia="Arial" w:hAnsi="Arial"/>
                <w:sz w:val="18"/>
                <w:szCs w:val="18"/>
                <w:color w:val="auto"/>
              </w:rPr>
              <w:t>602.8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826.2</w:t>
            </w: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8"/>
                <w:szCs w:val="18"/>
                <w:color w:val="auto"/>
              </w:rPr>
              <w:t>164.7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24.3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1,157.0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North America</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9"/>
              <w:spacing w:after="0"/>
              <w:rPr>
                <w:sz w:val="20"/>
                <w:szCs w:val="20"/>
                <w:color w:val="auto"/>
              </w:rPr>
            </w:pPr>
            <w:r>
              <w:rPr>
                <w:rFonts w:ascii="Arial" w:cs="Arial" w:eastAsia="Arial" w:hAnsi="Arial"/>
                <w:sz w:val="18"/>
                <w:szCs w:val="18"/>
                <w:color w:val="auto"/>
              </w:rPr>
              <w:t>166.1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143.9</w:t>
            </w: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of intangibles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4</w:t>
            </w:r>
          </w:p>
        </w:tc>
        <w:tc>
          <w:tcPr>
            <w:tcW w:w="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jc w:val="center"/>
              <w:ind w:right="129"/>
              <w:spacing w:after="0"/>
              <w:rPr>
                <w:sz w:val="20"/>
                <w:szCs w:val="20"/>
                <w:color w:val="auto"/>
              </w:rPr>
            </w:pPr>
            <w:r>
              <w:rPr>
                <w:rFonts w:ascii="Arial" w:cs="Arial" w:eastAsia="Arial" w:hAnsi="Arial"/>
                <w:sz w:val="14"/>
                <w:szCs w:val="14"/>
                <w:b w:val="1"/>
                <w:bCs w:val="1"/>
                <w:color w:val="auto"/>
              </w:rPr>
              <w:t>APRIL 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ind w:left="58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$ 1,894.8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1,636.1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8"/>
                <w:szCs w:val="18"/>
                <w:color w:val="auto"/>
              </w:rPr>
              <w:t>665.1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&amp; Other</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$ 2,859.4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2,646.7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Segment operating income or loss represents earnings before amortization of intangible assets, interest and taxes, since this is the measure of profitability used by management. Accordingly, the Corporate &amp; Other operating loss for the three and six month periods ended April 1, 2006 and April 2, 2005 includes unallocated corporate general and administrative expenses, and certain other income/expense items not allocated to the business segments.</w:t>
      </w:r>
    </w:p>
    <w:p>
      <w:pPr>
        <w:spacing w:after="0" w:line="3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w:t>
      </w:r>
      <w:r>
        <w:rPr>
          <w:rFonts w:ascii="Arial" w:cs="Arial" w:eastAsia="Arial" w:hAnsi="Arial"/>
          <w:sz w:val="13"/>
          <w:szCs w:val="13"/>
          <w:color w:val="auto"/>
        </w:rPr>
        <w:t>®</w:t>
      </w:r>
      <w:r>
        <w:rPr>
          <w:rFonts w:ascii="Arial" w:cs="Arial" w:eastAsia="Arial" w:hAnsi="Arial"/>
          <w:sz w:val="16"/>
          <w:szCs w:val="16"/>
          <w:color w:val="auto"/>
        </w:rPr>
        <w:t xml:space="preserv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 FINANCIAL INFORMATION FOR SUBSIDIARY GUARANTORS AND NON-GUARANTORS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6 5/8% Senior Subordinated Notes are general obligations of Scotts Miracle-Gro and are guaranteed by all of the existing wholly-owned, domestic subsidiaries and all future wholly-owned, significant (as defined in Regulation S-X of the Securities and Exchange Commission) domestic subsidiaries of Scotts Miracle-Gro. These subsidiary guarantors jointly and severally guarantee the obligations of the Company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6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unaudited information presents condensed, consolidating statements of operations and statements of cash flows for the three and six month periods ended April 1, 2006 and April 2, 2005 and condensed, consolidating balance sheets as of April 1, 2006, April 2, 2005, and September 30, 2005.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APRIL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188.0</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443.5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98.1</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APRIL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898.4</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258.6</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591.4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 PERIOD ENDED APRIL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42.1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51.0</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certain components of working</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(154.5)</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Net changes in other assets and liabilities and other</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439"/>
        </w:trPr>
        <w:tc>
          <w:tcPr>
            <w:tcW w:w="41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Investment in acquired businesses, net of cash</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acquired</w:t>
            </w: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439"/>
        </w:trPr>
        <w:tc>
          <w:tcPr>
            <w:tcW w:w="41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274.5</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credit</w:t>
            </w:r>
          </w:p>
        </w:tc>
        <w:tc>
          <w:tcPr>
            <w:tcW w:w="18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Purchase of common shares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APRIL 1, 2006</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GUARANTORS</w:t>
            </w: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92"/>
              </w:rPr>
              <w:t>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258.1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Prepaid and other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930.2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(930.2)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(291.2)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620"/>
              <w:spacing w:after="0"/>
              <w:rPr>
                <w:sz w:val="20"/>
                <w:szCs w:val="20"/>
                <w:color w:val="auto"/>
              </w:rPr>
            </w:pPr>
            <w:r>
              <w:rPr>
                <w:rFonts w:ascii="Arial" w:cs="Arial" w:eastAsia="Arial" w:hAnsi="Arial"/>
                <w:sz w:val="18"/>
                <w:szCs w:val="18"/>
                <w:color w:val="auto"/>
              </w:rPr>
              <w:t>Total assets</w:t>
            </w:r>
          </w:p>
        </w:tc>
        <w:tc>
          <w:tcPr>
            <w:tcW w:w="7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$ 1,231.0</w:t>
            </w:r>
          </w:p>
        </w:tc>
        <w:tc>
          <w:tcPr>
            <w:tcW w:w="2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2,154.8</w:t>
            </w:r>
          </w:p>
        </w:tc>
        <w:tc>
          <w:tcPr>
            <w:tcW w:w="2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695.0</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(1,221.4)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2,859.4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4800" w:type="dxa"/>
            <w:vAlign w:val="bottom"/>
            <w:gridSpan w:val="12"/>
            <w:shd w:val="clear" w:color="auto" w:fill="CCEEFF"/>
          </w:tcPr>
          <w:p>
            <w:pPr>
              <w:jc w:val="center"/>
              <w:ind w:right="340"/>
              <w:spacing w:after="0"/>
              <w:rPr>
                <w:sz w:val="20"/>
                <w:szCs w:val="20"/>
                <w:color w:val="auto"/>
              </w:rPr>
            </w:pPr>
            <w:r>
              <w:rPr>
                <w:rFonts w:ascii="Arial" w:cs="Arial" w:eastAsia="Arial" w:hAnsi="Arial"/>
                <w:sz w:val="18"/>
                <w:szCs w:val="18"/>
                <w:color w:val="auto"/>
                <w:w w:val="99"/>
              </w:rPr>
              <w:t>LIABILITIES AND SHAREHOLDERS’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Accrued taxes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(291.2)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807.6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(291.2)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Shareholders’ equity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1,029.5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(930.2)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$ 1,231.0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(1,221.4)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470"/>
              <w:spacing w:after="0"/>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APRIL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90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119.1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APRIL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275.3</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314.0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in subsidiaries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Intracompany allocations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418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APRIL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w:t>
            </w:r>
          </w:p>
        </w:tc>
        <w:tc>
          <w:tcPr>
            <w:tcW w:w="1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88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(loss) to net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Deferred taxes (benefit)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income in subsidiaries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Net change in certain components of working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capital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changes in other assets and liabilities and other</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ind w:left="20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Redemption of available for sale securities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property, plant and 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Investment in acquired businesses, net of cash</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439"/>
        </w:trPr>
        <w:tc>
          <w:tcPr>
            <w:tcW w:w="39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credit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term loans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Financing fees,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Payments on seller notes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Intracompany financing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APRIL 2,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90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136.5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1,244.1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(1,244.1)</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(303.2)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400"/>
              <w:spacing w:after="0"/>
              <w:rPr>
                <w:sz w:val="20"/>
                <w:szCs w:val="20"/>
                <w:color w:val="auto"/>
              </w:rPr>
            </w:pPr>
            <w:r>
              <w:rPr>
                <w:rFonts w:ascii="Arial" w:cs="Arial" w:eastAsia="Arial" w:hAnsi="Arial"/>
                <w:sz w:val="18"/>
                <w:szCs w:val="18"/>
                <w:color w:val="auto"/>
              </w:rPr>
              <w:t>Total assets</w:t>
            </w:r>
          </w:p>
        </w:tc>
        <w:tc>
          <w:tcPr>
            <w:tcW w:w="80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$ 2,122.2</w:t>
            </w: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1,334.3</w:t>
            </w:r>
          </w:p>
        </w:tc>
        <w:tc>
          <w:tcPr>
            <w:tcW w:w="3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737.5</w:t>
            </w:r>
          </w:p>
        </w:tc>
        <w:tc>
          <w:tcPr>
            <w:tcW w:w="2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(1,547.3)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880" w:type="dxa"/>
            <w:vAlign w:val="bottom"/>
            <w:gridSpan w:val="12"/>
            <w:shd w:val="clear" w:color="auto" w:fill="CCEEFF"/>
          </w:tcPr>
          <w:p>
            <w:pPr>
              <w:ind w:left="480"/>
              <w:spacing w:after="0"/>
              <w:rPr>
                <w:sz w:val="20"/>
                <w:szCs w:val="20"/>
                <w:color w:val="auto"/>
              </w:rPr>
            </w:pPr>
            <w:r>
              <w:rPr>
                <w:rFonts w:ascii="Arial" w:cs="Arial" w:eastAsia="Arial" w:hAnsi="Arial"/>
                <w:sz w:val="18"/>
                <w:szCs w:val="18"/>
                <w:color w:val="auto"/>
              </w:rPr>
              <w:t>LIABILITIES AND SHAREHOLDERS’ EQUITY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Long-term debt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(303.2)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(303.2)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Shareholders’ equity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1,217.9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(1,244.1)</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$ 2,122.2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1,334.3</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737.5</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(1,547.3)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90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center"/>
              <w:ind w:right="700"/>
              <w:spacing w:after="0"/>
              <w:rPr>
                <w:sz w:val="20"/>
                <w:szCs w:val="20"/>
                <w:color w:val="auto"/>
              </w:rPr>
            </w:pPr>
            <w:r>
              <w:rPr>
                <w:rFonts w:ascii="Arial" w:cs="Arial" w:eastAsia="Arial" w:hAnsi="Arial"/>
                <w:sz w:val="18"/>
                <w:szCs w:val="18"/>
                <w:color w:val="auto"/>
                <w:w w:val="92"/>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555.4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315.4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1,660.5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(1,660.5)</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Intracompany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(606.9)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62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$ 1,671.1</w:t>
            </w: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2,098.1</w:t>
            </w:r>
          </w:p>
        </w:tc>
        <w:tc>
          <w:tcPr>
            <w:tcW w:w="5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517.1</w:t>
            </w:r>
          </w:p>
        </w:tc>
        <w:tc>
          <w:tcPr>
            <w:tcW w:w="2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(2,267.4)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4680" w:type="dxa"/>
            <w:vAlign w:val="bottom"/>
            <w:gridSpan w:val="11"/>
            <w:shd w:val="clear" w:color="auto" w:fill="CCEEFF"/>
          </w:tcPr>
          <w:p>
            <w:pPr>
              <w:jc w:val="center"/>
              <w:ind w:right="420"/>
              <w:spacing w:after="0"/>
              <w:rPr>
                <w:sz w:val="20"/>
                <w:szCs w:val="20"/>
                <w:color w:val="auto"/>
              </w:rPr>
            </w:pPr>
            <w:r>
              <w:rPr>
                <w:rFonts w:ascii="Arial" w:cs="Arial" w:eastAsia="Arial" w:hAnsi="Arial"/>
                <w:sz w:val="18"/>
                <w:szCs w:val="18"/>
                <w:color w:val="auto"/>
                <w:w w:val="99"/>
              </w:rPr>
              <w:t>LIABILITIES AND SHAREHOLDERS’ EQUITY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Intracompany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(606.9)</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(606.9)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1,026.2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(1,660.5)</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liabilities and shareholders’ equity</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$ 1,671.1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(2,267.4)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90"/>
              <w:spacing w:after="0"/>
              <w:rPr>
                <w:sz w:val="20"/>
                <w:szCs w:val="20"/>
                <w:color w:val="auto"/>
              </w:rPr>
            </w:pPr>
            <w:r>
              <w:rPr>
                <w:rFonts w:ascii="Arial" w:cs="Arial" w:eastAsia="Arial" w:hAnsi="Arial"/>
                <w:sz w:val="18"/>
                <w:szCs w:val="18"/>
                <w:color w:val="auto"/>
                <w:w w:val="89"/>
              </w:rPr>
              <w:t>24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On November 9, 2005, Scotts Miracle-Gro implemented a 2-for-1 stock split of its common shares to shareholders of record on November 2, 2005. As of April 1, 2006, on a split-adjusted basis, Scotts Miracle-Gro had approximately 70.0 million diluted common shares outstanding. All share and per share information referred to in this MD&amp;A and elsewhere in this Form 10-Q has been adjusted to reflect this stock split for all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non-selective herbicide products within the United States and other contractually specified countries. We entered the North America wild bird food category with the acquisition of Gutwein &amp; Co. Inc. (“Gutwein”) in November 2005. We have a presence in Australia, the Far East, Latin America and South America. Also, in the United States, we operate what we believe to be the second largest residential lawn service business, Scotts LawnService</w:t>
      </w:r>
      <w:r>
        <w:rPr>
          <w:rFonts w:ascii="Arial" w:cs="Arial" w:eastAsia="Arial" w:hAnsi="Arial"/>
          <w:sz w:val="14"/>
          <w:szCs w:val="14"/>
          <w:color w:val="auto"/>
        </w:rPr>
        <w:t>®</w:t>
      </w:r>
      <w:r>
        <w:rPr>
          <w:rFonts w:ascii="Arial" w:cs="Arial" w:eastAsia="Arial" w:hAnsi="Arial"/>
          <w:sz w:val="17"/>
          <w:szCs w:val="17"/>
          <w:color w:val="auto"/>
        </w:rPr>
        <w:t>. In fiscal 2006, our operations are divided into the following reportable segments: North America (including the Rod McLellan Company and Gutwein acquisitions discussed below), Scotts LawnService</w:t>
      </w:r>
      <w:r>
        <w:rPr>
          <w:rFonts w:ascii="Arial" w:cs="Arial" w:eastAsia="Arial" w:hAnsi="Arial"/>
          <w:sz w:val="14"/>
          <w:szCs w:val="14"/>
          <w:color w:val="auto"/>
        </w:rPr>
        <w:t>®</w:t>
      </w:r>
      <w:r>
        <w:rPr>
          <w:rFonts w:ascii="Arial" w:cs="Arial" w:eastAsia="Arial" w:hAnsi="Arial"/>
          <w:sz w:val="17"/>
          <w:szCs w:val="17"/>
          <w:color w:val="auto"/>
        </w:rPr>
        <w:t>, International, and Corporate &amp; Other. The Corporate &amp; Other segment consists of our Smith &amp; Hawken</w:t>
      </w:r>
      <w:r>
        <w:rPr>
          <w:rFonts w:ascii="Arial" w:cs="Arial" w:eastAsia="Arial" w:hAnsi="Arial"/>
          <w:sz w:val="14"/>
          <w:szCs w:val="14"/>
          <w:color w:val="auto"/>
        </w:rPr>
        <w:t>®</w:t>
      </w:r>
      <w:r>
        <w:rPr>
          <w:rFonts w:ascii="Arial" w:cs="Arial" w:eastAsia="Arial" w:hAnsi="Arial"/>
          <w:sz w:val="17"/>
          <w:szCs w:val="17"/>
          <w:color w:val="auto"/>
        </w:rPr>
        <w:t xml:space="preserve"> direct-to-consumer business, and corporate general and administrative expenses.</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leading consumer branded lawn and garden company, we focus our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believe that we receive a significant return on these marketing expenditures. We expect to continue our marketing efforts focused toward the consumer and make additional targeted investments in consumer marketing in the future to continue to drive sales and market share growth. In fiscal 2006, we expect to increase advertising spending 18% to 20% as we reinvest a portion of our selling, general and administrative cost savings to strengthen our brands and relationships with consumers.</w:t>
      </w:r>
    </w:p>
    <w:p>
      <w:pPr>
        <w:spacing w:after="0" w:line="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sales are susceptible to global weather conditions. For instance, periods of wet weather can adversely impact sales of certain products, while increasing demand for other products. We believe that acquisitions have somewhat diversified both our product line risk and geographic risk to weather conditions.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Percent Net Sales by Quarter</w:t>
            </w:r>
          </w:p>
        </w:tc>
        <w:tc>
          <w:tcPr>
            <w:tcW w:w="9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2005</w:t>
            </w:r>
          </w:p>
        </w:tc>
        <w:tc>
          <w:tcPr>
            <w:tcW w:w="2220" w:type="dxa"/>
            <w:vAlign w:val="bottom"/>
            <w:tcBorders>
              <w:bottom w:val="single" w:sz="8" w:color="auto"/>
            </w:tcBorders>
          </w:tcPr>
          <w:p>
            <w:pPr>
              <w:jc w:val="right"/>
              <w:ind w:right="916"/>
              <w:spacing w:after="0" w:line="142" w:lineRule="exact"/>
              <w:rPr>
                <w:sz w:val="20"/>
                <w:szCs w:val="20"/>
                <w:color w:val="auto"/>
              </w:rPr>
            </w:pPr>
            <w:r>
              <w:rPr>
                <w:rFonts w:ascii="Arial" w:cs="Arial" w:eastAsia="Arial" w:hAnsi="Arial"/>
                <w:sz w:val="14"/>
                <w:szCs w:val="14"/>
                <w:b w:val="1"/>
                <w:bCs w:val="1"/>
                <w:color w:val="auto"/>
              </w:rPr>
              <w:t>2004</w:t>
            </w: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10.4%</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8.7%</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ind w:left="340"/>
              <w:spacing w:after="0"/>
              <w:rPr>
                <w:sz w:val="20"/>
                <w:szCs w:val="20"/>
                <w:color w:val="auto"/>
              </w:rPr>
            </w:pPr>
            <w:r>
              <w:rPr>
                <w:rFonts w:ascii="Arial" w:cs="Arial" w:eastAsia="Arial" w:hAnsi="Arial"/>
                <w:sz w:val="18"/>
                <w:szCs w:val="18"/>
                <w:color w:val="auto"/>
              </w:rPr>
              <w:t>34.3%</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35.2%</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38.0%</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38.2%</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37.7%</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ind w:left="340"/>
              <w:spacing w:after="0"/>
              <w:rPr>
                <w:sz w:val="20"/>
                <w:szCs w:val="20"/>
                <w:color w:val="auto"/>
              </w:rPr>
            </w:pPr>
            <w:r>
              <w:rPr>
                <w:rFonts w:ascii="Arial" w:cs="Arial" w:eastAsia="Arial" w:hAnsi="Arial"/>
                <w:sz w:val="18"/>
                <w:szCs w:val="18"/>
                <w:color w:val="auto"/>
              </w:rPr>
              <w:t>17.3%</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17.9%</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18.2%</w:t>
            </w:r>
          </w:p>
        </w:tc>
      </w:tr>
    </w:tbl>
    <w:p>
      <w:pPr>
        <w:spacing w:after="0" w:line="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Due to the nature of our lawn and garden business, significant portions of our shipments occur in the second and third fiscal quarters. Over the past few years, retailers have reduced their pre-season inventories by relying on us to deliver products “in season” when consumers buy our products.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2005 long-term strategic improvement plan (“Project Excellence”), initiated in June 2005, is focused on improving organizational effectiveness, implementing better business processes, reducing SG&amp;A expenses, and increasing spending on consumer marketing and innovation. We are in the process of reinvesting $25 million of our Project Excellence SG&amp;A savings for fiscal 2006 in consumer marketing, technology and innovation. Additional Project Excellence savings are expected to increase fiscal 2006 pre-tax earnings by $25 to $30 million. We have incurred approximately $5.8 million in restructuring charges associated with Project Excellence for the first six months of fiscal 2006 and approximately $32.1 million since the inception of the project.</w:t>
      </w:r>
    </w:p>
    <w:p>
      <w:pPr>
        <w:spacing w:after="0" w:line="5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continue to view strategic acquisitions as a means to enhance our strong core businesses. In October 2004, we invested $73.6 million in the acquisition of Smith &amp; Hawken</w:t>
      </w:r>
      <w:r>
        <w:rPr>
          <w:rFonts w:ascii="Arial" w:cs="Arial" w:eastAsia="Arial" w:hAnsi="Arial"/>
          <w:sz w:val="13"/>
          <w:szCs w:val="13"/>
          <w:color w:val="auto"/>
        </w:rPr>
        <w:t>®</w:t>
      </w:r>
      <w:r>
        <w:rPr>
          <w:rFonts w:ascii="Arial" w:cs="Arial" w:eastAsia="Arial" w:hAnsi="Arial"/>
          <w:sz w:val="16"/>
          <w:szCs w:val="16"/>
          <w:color w:val="auto"/>
        </w:rPr>
        <w:t>, a leading brand in the outdoor living and gardening lifestyle category. Effective October 3, 2005, we acquired all the outstanding shares of Rod McLellan Company (“RMC”) for approximately $21.0 million in cash. RMC is a leading branded producer and marketer of soil and landscape products in the western U.S. This business is being integrated into our existing Growing Media business. Effective November 18, 2005, we acquired all the outstanding shares of Gutwein for approximately $77.0 million in cash. Through its Morning Song</w:t>
      </w:r>
      <w:r>
        <w:rPr>
          <w:rFonts w:ascii="Arial" w:cs="Arial" w:eastAsia="Arial" w:hAnsi="Arial"/>
          <w:sz w:val="13"/>
          <w:szCs w:val="13"/>
          <w:color w:val="auto"/>
        </w:rPr>
        <w:t>®</w:t>
      </w:r>
      <w:r>
        <w:rPr>
          <w:rFonts w:ascii="Arial" w:cs="Arial" w:eastAsia="Arial" w:hAnsi="Arial"/>
          <w:sz w:val="16"/>
          <w:szCs w:val="16"/>
          <w:color w:val="auto"/>
        </w:rPr>
        <w:t xml:space="preserve"> brand, Gutwein is a leader in the growing U.S. wild bird food category, generating approximately $85.0 million in annual revenues. Morning Song</w:t>
      </w:r>
      <w:r>
        <w:rPr>
          <w:rFonts w:ascii="Arial" w:cs="Arial" w:eastAsia="Arial" w:hAnsi="Arial"/>
          <w:sz w:val="13"/>
          <w:szCs w:val="13"/>
          <w:color w:val="auto"/>
        </w:rPr>
        <w:t>®</w:t>
      </w:r>
      <w:r>
        <w:rPr>
          <w:rFonts w:ascii="Arial" w:cs="Arial" w:eastAsia="Arial" w:hAnsi="Arial"/>
          <w:sz w:val="16"/>
          <w:szCs w:val="16"/>
          <w:color w:val="auto"/>
        </w:rPr>
        <w:t xml:space="preserve"> products are sold at leading mass retailers, grocery, pet and general merchandise stores. This is our first acquisition in the wild birdseed category and we are excited about the opportunity to leverage the strengths of both organizations to drive continued growth in this category. We continue to invest in the growth of our Scotts LawnService</w:t>
      </w:r>
      <w:r>
        <w:rPr>
          <w:rFonts w:ascii="Arial" w:cs="Arial" w:eastAsia="Arial" w:hAnsi="Arial"/>
          <w:sz w:val="13"/>
          <w:szCs w:val="13"/>
          <w:color w:val="auto"/>
        </w:rPr>
        <w:t>®</w:t>
      </w:r>
      <w:r>
        <w:rPr>
          <w:rFonts w:ascii="Arial" w:cs="Arial" w:eastAsia="Arial" w:hAnsi="Arial"/>
          <w:sz w:val="16"/>
          <w:szCs w:val="16"/>
          <w:color w:val="auto"/>
        </w:rPr>
        <w:t xml:space="preserve"> business, making over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 million in acquisitions over the past five years.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fiscal 2005, we had not paid dividends on our common shares. Based on the levels of cash flow generated by our business in recent years and our improving financial condition, on June 22, 2005, we announced that Scotts Miracle-Gro’s Board of Directors approved an annual dividend of 50-cents per share, to be paid in 12.5-cent quarterly increments beginning in the fourth quarter of fiscal 2005. We have paid quarterly dividends on September 1, 2005, December 1, 2005 and February 23, 2006. In addition to the 2-for-1 stock split noted earlier, on October 27, 2005, Scotts Miracle-Gro’s Board of Directors approved a $500 million share repurchase program. This repurchase program is authorized for five years and we currently anticipate allocating approximately $100 million per year to the program. Through April 1, 2006, we have reacquired 971,200 shares of our common shares to be held in treasury at an aggregate cost of $45.9 million. A total of 266,967 shares of our common shares held in treasury have been reissued to support the exercise of employee held stock options.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income and expense as a percentage of net sales for the three and six month periods ended April 1, 2006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1860" w:type="dxa"/>
            <w:vAlign w:val="bottom"/>
            <w:gridSpan w:val="6"/>
          </w:tcPr>
          <w:p>
            <w:pPr>
              <w:ind w:left="240"/>
              <w:spacing w:after="0" w:line="119" w:lineRule="exact"/>
              <w:rPr>
                <w:sz w:val="20"/>
                <w:szCs w:val="20"/>
                <w:color w:val="auto"/>
              </w:rPr>
            </w:pPr>
            <w:r>
              <w:rPr>
                <w:rFonts w:ascii="Arial" w:cs="Arial" w:eastAsia="Arial" w:hAnsi="Arial"/>
                <w:sz w:val="13"/>
                <w:szCs w:val="13"/>
                <w:b w:val="1"/>
                <w:bCs w:val="1"/>
                <w:color w:val="auto"/>
              </w:rPr>
              <w:t>APRIL 1,</w:t>
            </w:r>
          </w:p>
        </w:tc>
        <w:tc>
          <w:tcPr>
            <w:tcW w:w="8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APRIL 2,</w:t>
            </w:r>
          </w:p>
        </w:tc>
        <w:tc>
          <w:tcPr>
            <w:tcW w:w="500" w:type="dxa"/>
            <w:vAlign w:val="bottom"/>
          </w:tcPr>
          <w:p>
            <w:pPr>
              <w:spacing w:after="0"/>
              <w:rPr>
                <w:sz w:val="10"/>
                <w:szCs w:val="10"/>
                <w:color w:val="auto"/>
              </w:rPr>
            </w:pPr>
          </w:p>
        </w:tc>
        <w:tc>
          <w:tcPr>
            <w:tcW w:w="1800" w:type="dxa"/>
            <w:vAlign w:val="bottom"/>
            <w:gridSpan w:val="5"/>
          </w:tcPr>
          <w:p>
            <w:pPr>
              <w:ind w:left="220"/>
              <w:spacing w:after="0" w:line="119" w:lineRule="exact"/>
              <w:rPr>
                <w:sz w:val="20"/>
                <w:szCs w:val="20"/>
                <w:color w:val="auto"/>
              </w:rPr>
            </w:pPr>
            <w:r>
              <w:rPr>
                <w:rFonts w:ascii="Arial" w:cs="Arial" w:eastAsia="Arial" w:hAnsi="Arial"/>
                <w:sz w:val="13"/>
                <w:szCs w:val="13"/>
                <w:b w:val="1"/>
                <w:bCs w:val="1"/>
                <w:color w:val="auto"/>
              </w:rPr>
              <w:t>APRIL 1,</w:t>
            </w:r>
          </w:p>
        </w:tc>
        <w:tc>
          <w:tcPr>
            <w:tcW w:w="8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APRIL 2,</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74"/>
              </w:rPr>
              <w:t>(UNAUDITED)</w:t>
            </w: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74"/>
              </w:rPr>
              <w:t>(UNAUDITED)</w:t>
            </w: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59.7</w:t>
            </w:r>
          </w:p>
        </w:tc>
        <w:tc>
          <w:tcPr>
            <w:tcW w:w="1540" w:type="dxa"/>
            <w:vAlign w:val="bottom"/>
            <w:gridSpan w:val="4"/>
          </w:tcPr>
          <w:p>
            <w:pPr>
              <w:jc w:val="right"/>
              <w:ind w:right="320"/>
              <w:spacing w:after="0"/>
              <w:rPr>
                <w:sz w:val="20"/>
                <w:szCs w:val="20"/>
                <w:color w:val="auto"/>
              </w:rPr>
            </w:pPr>
            <w:r>
              <w:rPr>
                <w:rFonts w:ascii="Arial" w:cs="Arial" w:eastAsia="Arial" w:hAnsi="Arial"/>
                <w:sz w:val="18"/>
                <w:szCs w:val="18"/>
                <w:color w:val="auto"/>
              </w:rPr>
              <w:t>65.4</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w:t>
            </w:r>
          </w:p>
        </w:tc>
        <w:tc>
          <w:tcPr>
            <w:tcW w:w="15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15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26.7</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Impairment, restructuring and other charges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Net sales for the second quarter and first six months of fiscal 2006, grew 11.6% and 9.2%, respectively, versus the comparable periods of fiscal 2005. The impact of foreign exchange rates reduced sales growth for the second quarter and first six months by 130 basis points and 90 basis points, respectively. Excluding Morning Song</w:t>
      </w:r>
      <w:r>
        <w:rPr>
          <w:rFonts w:ascii="Arial" w:cs="Arial" w:eastAsia="Arial" w:hAnsi="Arial"/>
          <w:sz w:val="15"/>
          <w:szCs w:val="15"/>
          <w:color w:val="auto"/>
        </w:rPr>
        <w:t>®</w:t>
      </w:r>
      <w:r>
        <w:rPr>
          <w:rFonts w:ascii="Arial" w:cs="Arial" w:eastAsia="Arial" w:hAnsi="Arial"/>
          <w:sz w:val="18"/>
          <w:szCs w:val="18"/>
          <w:color w:val="auto"/>
        </w:rPr>
        <w:t>, sales increased for the second quarter by 2.1% and for the first six months by 2.5%. Excluding Morning Song</w:t>
      </w:r>
      <w:r>
        <w:rPr>
          <w:rFonts w:ascii="Arial" w:cs="Arial" w:eastAsia="Arial" w:hAnsi="Arial"/>
          <w:sz w:val="15"/>
          <w:szCs w:val="15"/>
          <w:color w:val="auto"/>
        </w:rPr>
        <w:t>®</w:t>
      </w:r>
      <w:r>
        <w:rPr>
          <w:rFonts w:ascii="Arial" w:cs="Arial" w:eastAsia="Arial" w:hAnsi="Arial"/>
          <w:sz w:val="18"/>
          <w:szCs w:val="18"/>
          <w:color w:val="auto"/>
        </w:rPr>
        <w:t xml:space="preserve"> and foreign exchange, sales for the quarter and first six months increased $88.5 million or 10.9% and $80.2 million or 7.6%, respectively, primarily due to strong growth in our lawn fertilizer, growing media and garden fertilizer businesses offset by ongoing retailer initiatives to reduce inventory levels and further push their purchases closer to consumer take away. In recent years, net sales for our second quarter typically comprise between 34% to 36% of our total fiscal year net sales, while sales for the first six months have comprised 43% to 45%. There can be no assurance that a similar sales trend will occur for our full fiscal 2006 year.</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increased pricing both last year and in fiscal 2006 to cover the full year impact of anticipated cost increases. However, the increase in input costs during the first half of fiscal 2006 exceeded additional revenues from pricing during the second quarter. We expect to see a reversal of this trend in our third fiscal quarter with pricing dollars exceeding the increase in input costs. Overall, we expect the dollar amount of price and cost increases to balance out, resulting in some downward pressure on gross profit as a percentage of sales.</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percentage of net sales, gross profit was 38.2% of net sales in the second quarter of fiscal 2006 compared to 40.3% in the second quarter of fiscal 2005. For the first six months of fiscal 2006, our gross profit percentage declined by 210 basis points, from 36.7% to 34.6%. The primary factor contributing to these declines in gross profit percentage was the anticipated impact of higher commodity and fuel costs, only partially offset by price increases, that took effect January 1, 2006. In addition, Morning Song</w:t>
      </w:r>
      <w:r>
        <w:rPr>
          <w:rFonts w:ascii="Arial" w:cs="Arial" w:eastAsia="Arial" w:hAnsi="Arial"/>
          <w:sz w:val="15"/>
          <w:szCs w:val="15"/>
          <w:color w:val="auto"/>
        </w:rPr>
        <w:t>®</w:t>
      </w:r>
      <w:r>
        <w:rPr>
          <w:rFonts w:ascii="Arial" w:cs="Arial" w:eastAsia="Arial" w:hAnsi="Arial"/>
          <w:sz w:val="18"/>
          <w:szCs w:val="18"/>
          <w:color w:val="auto"/>
        </w:rPr>
        <w:t xml:space="preserve"> reduced gross margins by 40 and 50 basis points in the second quarter and for the first six months,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APRIL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08"/>
              <w:spacing w:after="0" w:line="119" w:lineRule="exact"/>
              <w:rPr>
                <w:sz w:val="20"/>
                <w:szCs w:val="20"/>
                <w:color w:val="auto"/>
              </w:rPr>
            </w:pPr>
            <w:r>
              <w:rPr>
                <w:rFonts w:ascii="Arial" w:cs="Arial" w:eastAsia="Arial" w:hAnsi="Arial"/>
                <w:sz w:val="13"/>
                <w:szCs w:val="13"/>
                <w:b w:val="1"/>
                <w:bCs w:val="1"/>
                <w:color w:val="auto"/>
              </w:rPr>
              <w:t>APRIL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49.7</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64.5</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129.9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237.8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in our spending on advertising for the second quarter and six months reflect the reinvestment of a portion of our Project Excellence savings in media advertising.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SG&amp;A expenses were $129.9 million in the second quarter and $237.8 million for the first six months of fiscal 2006, compared to $134.6 million for the second quarter and $246.9 million for the first six months of fiscal 2005. The decrease in SG&amp;A expenses for the second quarter and first six months reflects a $9.1 million and $10.1 million benefit, respectively, from an insurance recovery relating to past legal costs incurred in our defense of lawsuits regarding our use of vermiculite. We are reinvesting a portion of the insurance recovery to strengthen our business, including further advertising and marketing support for our brands, of which $1.8 million was incurred in the second quarter. Increases in SG&amp;A spending occurred in our rapidly expanding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 the amount of $4.5 million for the second quarter and $7.3 million for the first six months, while our wild bird food business added $1.5 million and $1.9 million in spending during the second quarter and first six months, respectively. The second quarter and first six months also benefited from savings generated by Project Excellence offset by an increase in stock-based compensation expense of $2.1 million for the quarter and $4.1 million for the first six months. SG&amp;A expense benefited by approximately $2.1 million and $4.2 million for the second quarter and year-to-date period, respectively, due to foreign exchange.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Charges,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APRIL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08"/>
              <w:spacing w:after="0" w:line="119" w:lineRule="exact"/>
              <w:rPr>
                <w:sz w:val="20"/>
                <w:szCs w:val="20"/>
                <w:color w:val="auto"/>
              </w:rPr>
            </w:pPr>
            <w:r>
              <w:rPr>
                <w:rFonts w:ascii="Arial" w:cs="Arial" w:eastAsia="Arial" w:hAnsi="Arial"/>
                <w:sz w:val="13"/>
                <w:szCs w:val="13"/>
                <w:b w:val="1"/>
                <w:bCs w:val="1"/>
                <w:color w:val="auto"/>
              </w:rPr>
              <w:t>APRIL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Restructuring — severance and related</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performed its annual impairment analysis of indefinite-lived intangibles and goodwill during the first quarter of fiscal 2006, which resulted in an impairment charge associated with a tradename no longer in use in our United Kingdom (U.K.) consumer business. The first quarter fiscal 2005 impairment charge was for indefinite-lived tradenames in our U.K. consumer business, reflecting a reduction in the value of the business resulting primarily from the decline in the profitability of its growing media business and unfavorable category mix trends.</w:t>
      </w:r>
    </w:p>
    <w:p>
      <w:pPr>
        <w:spacing w:after="0" w:line="6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Restructuring activities in the second quarter and first six months of fiscal 2006 relate to further organizational reductions associated with Project Excellence initiated in the third quarter of fiscal 2005. We continue to evaluate our organization and operating efficiencies. As a result of these ongoing evaluations, there may be further restructuring charges in future fiscal 2006 quarters.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second quarter and first six months of fiscal 2006 was $12.5 million and $19.6 million, respectively, compared to $12.9 million and</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$23.3 million for the second quarter and first six months of fiscal 2005. The decrease in interest expense for the year-to-date period was due to a $73.2 million reduction in average borrowings as compared to the prior year, along with a slight decrease in our weighted average interest rate as a result of the refinancing in July 2005.</w:t>
      </w:r>
    </w:p>
    <w:p>
      <w:pPr>
        <w:spacing w:after="0" w:line="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income tax expense was calculated assuming an effective tax rate of 37.0% for fiscal 2006 versus 38.0% for fiscal 2005.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Diluted average common shares used in the diluted earnings per common share calculation increased from 68.2 million for the quarter and 68.0 million for the six months ended April 2, 2005 to 69.6 million for the quarter and 70.0 million for the six months ended April 1, 2006. These increases are attributable to a growth in average common shares outstanding of 0.9 million quarter-to-quarter and 1.7 million for the comparable year-to-date periods resulting from common shares issued for option exercises which were partially offset by common shares acquired under our share repurchase program. Diluted average common shares also include 2.1 million equivalent shares for both the quarter and year-to-date periods in fiscal 2006 to reflect the effect of the assumed conversion of dilutive stock options and awards. Equivalent common shares used in fiscal 2005 were 1.6 million for the second quarter and 1.8 million for the year-to-date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Consistent with fiscal 2005, our fiscal 2006 operations are divided into the following reportable segments: North America (including RMC and Morning Song</w:t>
      </w:r>
      <w:r>
        <w:rPr>
          <w:rFonts w:ascii="Arial" w:cs="Arial" w:eastAsia="Arial" w:hAnsi="Arial"/>
          <w:sz w:val="13"/>
          <w:szCs w:val="13"/>
          <w:color w:val="auto"/>
        </w:rPr>
        <w:t>®</w:t>
      </w:r>
      <w:r>
        <w:rPr>
          <w:rFonts w:ascii="Arial" w:cs="Arial" w:eastAsia="Arial" w:hAnsi="Arial"/>
          <w:sz w:val="16"/>
          <w:szCs w:val="16"/>
          <w:color w:val="auto"/>
        </w:rPr>
        <w:t>), Scotts LawnService</w:t>
      </w:r>
      <w:r>
        <w:rPr>
          <w:rFonts w:ascii="Arial" w:cs="Arial" w:eastAsia="Arial" w:hAnsi="Arial"/>
          <w:sz w:val="13"/>
          <w:szCs w:val="13"/>
          <w:color w:val="auto"/>
        </w:rPr>
        <w:t>®</w:t>
      </w:r>
      <w:r>
        <w:rPr>
          <w:rFonts w:ascii="Arial" w:cs="Arial" w:eastAsia="Arial" w:hAnsi="Arial"/>
          <w:sz w:val="16"/>
          <w:szCs w:val="16"/>
          <w:color w:val="auto"/>
        </w:rPr>
        <w:t>, International, and Corporate &amp; Other. The Corporate &amp; Other segment consists of Smith &amp; Hawken</w:t>
      </w:r>
      <w:r>
        <w:rPr>
          <w:rFonts w:ascii="Arial" w:cs="Arial" w:eastAsia="Arial" w:hAnsi="Arial"/>
          <w:sz w:val="13"/>
          <w:szCs w:val="13"/>
          <w:color w:val="auto"/>
        </w:rPr>
        <w:t>®</w:t>
      </w:r>
      <w:r>
        <w:rPr>
          <w:rFonts w:ascii="Arial" w:cs="Arial" w:eastAsia="Arial" w:hAnsi="Arial"/>
          <w:sz w:val="16"/>
          <w:szCs w:val="16"/>
          <w:color w:val="auto"/>
        </w:rPr>
        <w:t>, and corporate general and administrative expenses.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center"/>
              <w:ind w:righ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4"/>
          </w:tcPr>
          <w:p>
            <w:pPr>
              <w:jc w:val="center"/>
              <w:ind w:right="348"/>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left="277"/>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826.2</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08"/>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53.4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208.5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w:t>
            </w:r>
          </w:p>
        </w:tc>
        <w:tc>
          <w:tcPr>
            <w:tcW w:w="3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68.9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813.4</w:t>
            </w:r>
          </w:p>
        </w:tc>
        <w:tc>
          <w:tcPr>
            <w:tcW w:w="10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7"/>
              </w:rPr>
              <w:t>$ 1,157.0</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$ 1,059.9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The following table sets forth operating income by segment: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center"/>
              <w:ind w:righ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4"/>
          </w:tcPr>
          <w:p>
            <w:pPr>
              <w:jc w:val="center"/>
              <w:ind w:right="348"/>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288"/>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6"/>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2006</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3"/>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left="277"/>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175.3</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143.9</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Impairment of intangibles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North America segment net sales were $700.5 million in the quarter and $826.2 million for the first six months of fiscal 2006, an increase of 16.2% and 15.1% from the quarter and first six months of fiscal 2005, respectively. Excluding the impact of the Morning Song</w:t>
      </w:r>
      <w:r>
        <w:rPr>
          <w:rFonts w:ascii="Arial" w:cs="Arial" w:eastAsia="Arial" w:hAnsi="Arial"/>
          <w:sz w:val="15"/>
          <w:szCs w:val="15"/>
          <w:color w:val="auto"/>
        </w:rPr>
        <w:t>®</w:t>
      </w:r>
      <w:r>
        <w:rPr>
          <w:rFonts w:ascii="Arial" w:cs="Arial" w:eastAsia="Arial" w:hAnsi="Arial"/>
          <w:sz w:val="18"/>
          <w:szCs w:val="18"/>
          <w:color w:val="auto"/>
        </w:rPr>
        <w:t xml:space="preserve"> acquisition, North America sales increased 13.5 % and 11.3% for the quarter and first six months of fiscal 2006, respectively. Lawn and garden fertilizers and growing media sales drove the increase, partially offset by a 5% reduction in the sales of Ortho</w:t>
      </w:r>
      <w:r>
        <w:rPr>
          <w:rFonts w:ascii="Arial" w:cs="Arial" w:eastAsia="Arial" w:hAnsi="Arial"/>
          <w:sz w:val="15"/>
          <w:szCs w:val="15"/>
          <w:color w:val="auto"/>
        </w:rPr>
        <w:t>®</w:t>
      </w:r>
      <w:r>
        <w:rPr>
          <w:rFonts w:ascii="Arial" w:cs="Arial" w:eastAsia="Arial" w:hAnsi="Arial"/>
          <w:sz w:val="18"/>
          <w:szCs w:val="18"/>
          <w:color w:val="auto"/>
        </w:rPr>
        <w:t xml:space="preserve"> controls products in the quarter and year-to-date periods principally due to poor weather in the west. Point-of-sales at our top three customers in the North America segment increased 14.0% for the quarter and 14.9% for the year-to-date period, showing continued strong consumer demand for our products.</w:t>
      </w:r>
    </w:p>
    <w:p>
      <w:pPr>
        <w:spacing w:after="0" w:line="8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Operating income generated by the North America segment improved by $9.2 million and $7.1 million in the quarter and first six months of fiscal 2006, respectively. An increase in net sales drove an increase in gross margin dollars, however, the gross margin rate for the quarter and year-to-date periods decreased by approximately 250 basis points. Increases in commodity and fuel costs exceeded price increases. A sales mix that included a higher percentage of lower margin products than in the comparable periods of the prior year also served to reduce margins. SG&amp;A spending increased by approximately $10.3 million for the quarter and $7.9 million for the year-to-date period due largely to additional media advertising.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revenues increased 38.0% to $29.8 million in the second quarter of fiscal 2006. Revenues increased 25.6% to $53.4 million in first six months of fiscal 2006. Several factors contributed to the increases for the quarter and year-to-date periods including a 9% increase in customer counts driven by a strong response to our spring direct marketing campaign, pricing, favorable weather in our northern markets allowing for an earlier start for our treatment programs, and continued expansion in southern markets where the season starts earlier.</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higher operating loss for Scotts LawnService</w:t>
      </w:r>
      <w:r>
        <w:rPr>
          <w:rFonts w:ascii="Arial" w:cs="Arial" w:eastAsia="Arial" w:hAnsi="Arial"/>
          <w:sz w:val="15"/>
          <w:szCs w:val="15"/>
          <w:color w:val="auto"/>
        </w:rPr>
        <w:t>®</w:t>
      </w:r>
      <w:r>
        <w:rPr>
          <w:rFonts w:ascii="Arial" w:cs="Arial" w:eastAsia="Arial" w:hAnsi="Arial"/>
          <w:sz w:val="18"/>
          <w:szCs w:val="18"/>
          <w:color w:val="auto"/>
        </w:rPr>
        <w:t xml:space="preserve"> in the second quarter and first six months of fiscal 2006 is primarily attributable to higher planned SG&amp;A spending as the business continues its rapid growth track.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Net sales for the International segment in the second quarter and first six months of fiscal 2006 were $150.2 million and $208.5 million, respectively, a decrease of 8.8% and 11.0%, versus the second quarter and first six months of fiscal 2005. Excluding the effect of exchange rates, net sales decreased by</w:t>
      </w:r>
    </w:p>
    <w:p>
      <w:pPr>
        <w:ind w:right="20"/>
        <w:spacing w:after="0" w:line="255" w:lineRule="auto"/>
        <w:rPr>
          <w:sz w:val="20"/>
          <w:szCs w:val="20"/>
          <w:color w:val="auto"/>
        </w:rPr>
      </w:pPr>
      <w:r>
        <w:rPr>
          <w:rFonts w:ascii="Arial" w:cs="Arial" w:eastAsia="Arial" w:hAnsi="Arial"/>
          <w:sz w:val="18"/>
          <w:szCs w:val="18"/>
          <w:color w:val="auto"/>
        </w:rPr>
        <w:t>1.3% and 3.7% for the second quarter and first six months, respectively. The retail environment in Europe is challenging with category sales down; however we have secured solid listing improvements coming into this season. Year-to-date consumer take away is down about 20% in the U.K. and 14% in France. We believe our listing improvements should result in market share gains that may provide sales growth leverage.</w:t>
      </w:r>
    </w:p>
    <w:p>
      <w:pPr>
        <w:spacing w:after="0" w:line="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income for the quarter and first six months of fiscal 2006 declined by $5.9 million and $5.2 million, respectively, as lower sales and gross margins were partially offset by reduced SG&amp;A spending.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Net sales for this segment increased $2.7 million for the quarter and $3.7 million year to date. These increases are primarily due to our Smith &amp; Hawken business and driven by revenues relating to our exclusive arrangement with Target that kicked off this spring. The net expense for Corporate &amp; Other decreased by $14.2 million in the quarter and $16.0 million for the first six months of fiscal 2006. A higher Smith &amp; Hawken</w:t>
      </w:r>
      <w:r>
        <w:rPr>
          <w:rFonts w:ascii="Arial" w:cs="Arial" w:eastAsia="Arial" w:hAnsi="Arial"/>
          <w:sz w:val="15"/>
          <w:szCs w:val="15"/>
          <w:color w:val="auto"/>
        </w:rPr>
        <w:t>®</w:t>
      </w:r>
      <w:r>
        <w:rPr>
          <w:rFonts w:ascii="Arial" w:cs="Arial" w:eastAsia="Arial" w:hAnsi="Arial"/>
          <w:sz w:val="18"/>
          <w:szCs w:val="18"/>
          <w:color w:val="auto"/>
        </w:rPr>
        <w:t xml:space="preserve"> operating loss, increased spending on wellness initiatives, and higher stock-based compensation expenses were more than offset by savings generated from Project Excellence and a benefit of $9.1 million from a recovery from one of our insurance carriers related to legal expenses incurred in the last several years to defend ourselves in several lawsuits regarding our use of vermiculite.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Cash used in operating activities was $558.7 million and $416.0 million for the six months ended April 1, 2006 and April 2, 2005, respectively. The use of cash in the first six months of our fiscal year is due to the seasonal nature of our operations. We build up inventories in preparation for the spring selling season and accounts receivable increase significantly due to heavy March shipments.</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Cash used in investing activities was $128.6 million and $31.0 million for the six months ended April 1, 2006 and April 2, 2005, respectively. Our acquisitions of Gutwein and RMC required a net cash outlay of approximately $98.0 million in the first quarter of 2006, which was financed with borrowings under our existing lines of credit. Our acquisition of Smith &amp; Hawken</w:t>
      </w:r>
      <w:r>
        <w:rPr>
          <w:rFonts w:ascii="Arial" w:cs="Arial" w:eastAsia="Arial" w:hAnsi="Arial"/>
          <w:sz w:val="13"/>
          <w:szCs w:val="13"/>
          <w:color w:val="auto"/>
        </w:rPr>
        <w:t>®</w:t>
      </w:r>
      <w:r>
        <w:rPr>
          <w:rFonts w:ascii="Arial" w:cs="Arial" w:eastAsia="Arial" w:hAnsi="Arial"/>
          <w:sz w:val="16"/>
          <w:szCs w:val="16"/>
          <w:color w:val="auto"/>
        </w:rPr>
        <w:t xml:space="preserve"> in the first quarter of fiscal 2005 required a cash outlay of approximately</w:t>
      </w:r>
    </w:p>
    <w:p>
      <w:pPr>
        <w:ind w:right="60"/>
        <w:spacing w:after="0" w:line="255" w:lineRule="auto"/>
        <w:rPr>
          <w:sz w:val="20"/>
          <w:szCs w:val="20"/>
          <w:color w:val="auto"/>
        </w:rPr>
      </w:pPr>
      <w:r>
        <w:rPr>
          <w:rFonts w:ascii="Arial" w:cs="Arial" w:eastAsia="Arial" w:hAnsi="Arial"/>
          <w:sz w:val="18"/>
          <w:szCs w:val="18"/>
          <w:color w:val="auto"/>
        </w:rPr>
        <w:t>$70.0 million financed in large part through the redemption of $57.2 million of investments. Capital spending of $26.6 million was done in the normal course of business, compared to the $11.6 million spent in the first half of fiscal 2006. The increase in first half capital spending was partially due to approximately $4.0 million spent acquiring peat bogs in Scotland.</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Financing activities provided cash of $634.9 million and $380.9 million for the six months ended April 1, 2006 and April 2, 2005, respectively. The higher financing needs in the first half of fiscal 2006 were due to an increase in accounts receivable, a higher level of pre-season inventory build, acquisitions, higher capital spending, the purchase of common shares for treasury stock in accordance with our previously announced share repurchase program, and the payment of quarterly cash dividends initiated in the fourth quarter of fiscal 2005. Also, first half fiscal 2005 investing activities were partially funded by the sale of securities. Our more efficient borrowing arrangements negotiated toward the end of fiscal 2005 allowed us to pay-down debt, eliminating the need for short-term investments, which were not carried into fiscal 2006.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sources of liquidity are cash generated by operations and borrowings under our revolving credit agreement.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revolving credit agreement consists of a $1.05 billion multi-currency revolving credit commitment (increased from $1.0 billion in February 2006), that extends through July 21, 2010. We may also request an additional $100 million in revolving credit commitments, subject to approval from our lenders. As of April 1, 2006, there was $179.1 million of availability under our revolving credit agreement. Furthermore, as of April 1, 2006, we also had $200 million of 6 5/8% Senior Subordinated Notes outstanding. At April 1, 2006, we were in compliance with all of our debt covenants.</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Prior to September 2005, we had not paid dividends on our common shares. Based on the levels of cash flow generated by our business in recent years and our improving financial condition, our Board of Directors approved an annual dividend of 50-cents per share to be paid at 12.5 cents each quarter beginning in the fourth quarter of fiscal 2005. Our second quarter dividend was paid on February 23, 2006. On May 4, 2006, the Company announced that Scotts Miracle-Gro’s Board of Directors approved the third quarter dividend, with anticipated payment on June 1, 2006 for shareholders of record as of May 18, 2006.</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October 27, 2005, we announced that Scotts Miracle-Gro’s Board of Directors had approved a $500 million share repurchase program. This repurchase program is authorized for five years. We currently anticipate allocating approximately $100 million per year on the program. Through April 1, 2006, we have reacquired 971,200 shares of our common shares to be held in treasury at an aggregate cost of $45.9 million. A total of 266,967 shares of our common shares held in treasury have been reissued to support the exercise of employee held stock options. As of May 4, 2006, a total of 1.2 million common shares with a cost of $55.0 million had been repurchased under this program. We did not purchase any common shares in fiscal 2005.</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our opinion, cash flows from operations and capital resources will be sufficient to meet debt service and working capital needs during fiscal 2006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 Reference should be made to Item 1A. Risk Factors, in this Annual Report on Form 10-K for a more complete discussion of risks associated with the Company’s debt and our credit facility and related covenants.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2005 includes additional information about the Company, our operations, our financial position, our critical accounting policies and accounting estimates,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Market risks have not changed significantly from those disclosed in the Company’s Annual Report on Form 10-K for the fiscal year ended September 30,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79" w:lineRule="exact"/>
        <w:rPr>
          <w:sz w:val="20"/>
          <w:szCs w:val="20"/>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officer and principal financial officer, as appropriate to allow timely decisions regarding required disclosure; and</w:t>
      </w:r>
    </w:p>
    <w:p>
      <w:pPr>
        <w:spacing w:after="0" w:line="86"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disclosure controls and procedures are effective as of the end of the fiscal quarter covered by this Quarterly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60" w:right="680"/>
        <w:spacing w:after="0" w:line="342" w:lineRule="auto"/>
        <w:rPr>
          <w:sz w:val="20"/>
          <w:szCs w:val="20"/>
          <w:color w:val="auto"/>
        </w:rPr>
      </w:pPr>
      <w:r>
        <w:rPr>
          <w:rFonts w:ascii="Arial" w:cs="Arial" w:eastAsia="Arial" w:hAnsi="Arial"/>
          <w:sz w:val="16"/>
          <w:szCs w:val="16"/>
          <w:color w:val="auto"/>
        </w:rPr>
        <w:t>Report on Form 10-Q to ensure that material information relating to the Company and its consolidated subsidiaries is made known to them, particularly during the period in which the Company’s periodic reports, including this Quarterly Report on Form 10-Q, are being prepared.</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there were no changes in the Company’s internal control over financial reporting (as defined in Rule 13a-15(f) under the Exchange Act) that occurred during the Company’s fiscal quarter ended April 1, 2006,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pending material legal proceeding disclosure with material developments since the first quarter of fiscal 2006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condensed, consolidated financial statements. There can be no assurance that these cases, whether as a result of adverse outcomes or as a result of significant defense costs, will not have a material adverse effect on the Company, its financial condition or its results of operations.</w:t>
      </w:r>
    </w:p>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pursued and continues to pursue insurance coverage for these cases through litigation. We recovered a substantial portion of our past defense costs from one carrier during the second quarter of fiscal 2006 and that carrier has agreed to cover most of our defense costs in the future, subject to policy limits. We continue to pursue coverage from other insurers.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1A. Risk Factors” in our Annual Report on Form 10-K for the fiscal year ended September 30, 2005. All forward-looking statements attributable to us or persons working on our behalf are expressly qualified in their entirety by those cautionary statements.</w:t>
      </w:r>
    </w:p>
    <w:p>
      <w:pPr>
        <w:spacing w:after="0" w:line="8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risk factors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shows the purchases of common shares of Scotts Miracle-Gro made by or on behalf of the Company or any “affiliated purchaser” of Scotts Miracle-Gro as defined in Rule 10b-18(a)(3) under the Securities Exchange Act of 1934, as amended, for each of the three months in the quarter ended April 1,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Common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3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Average Price</w:t>
            </w:r>
          </w:p>
        </w:tc>
        <w:tc>
          <w:tcPr>
            <w:tcW w:w="36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of Publicly Announced</w:t>
            </w:r>
          </w:p>
        </w:tc>
        <w:tc>
          <w:tcPr>
            <w:tcW w:w="3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4"/>
                <w:szCs w:val="14"/>
                <w:b w:val="1"/>
                <w:bCs w:val="1"/>
                <w:color w:val="auto"/>
              </w:rPr>
              <w:t>Paid Per Share</w:t>
            </w:r>
          </w:p>
        </w:tc>
        <w:tc>
          <w:tcPr>
            <w:tcW w:w="36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Plans or Programs(1)</w:t>
            </w:r>
          </w:p>
        </w:tc>
        <w:tc>
          <w:tcPr>
            <w:tcW w:w="3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through January 31, 2006</w:t>
            </w: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center"/>
              <w:ind w:left="344"/>
              <w:spacing w:after="0"/>
              <w:rPr>
                <w:sz w:val="20"/>
                <w:szCs w:val="20"/>
                <w:color w:val="auto"/>
              </w:rPr>
            </w:pPr>
            <w:r>
              <w:rPr>
                <w:rFonts w:ascii="Arial" w:cs="Arial" w:eastAsia="Arial" w:hAnsi="Arial"/>
                <w:sz w:val="18"/>
                <w:szCs w:val="18"/>
                <w:color w:val="auto"/>
                <w:w w:val="89"/>
              </w:rPr>
              <w:t>295,600</w:t>
            </w: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$46.58</w:t>
            </w:r>
          </w:p>
        </w:tc>
        <w:tc>
          <w:tcPr>
            <w:tcW w:w="360" w:type="dxa"/>
            <w:vAlign w:val="bottom"/>
            <w:shd w:val="clear" w:color="auto" w:fill="CCEEFF"/>
          </w:tcPr>
          <w:p>
            <w:pPr>
              <w:spacing w:after="0"/>
              <w:rPr>
                <w:sz w:val="18"/>
                <w:szCs w:val="18"/>
                <w:color w:val="auto"/>
              </w:rPr>
            </w:pPr>
          </w:p>
        </w:tc>
        <w:tc>
          <w:tcPr>
            <w:tcW w:w="17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295,600</w:t>
            </w:r>
          </w:p>
        </w:tc>
        <w:tc>
          <w:tcPr>
            <w:tcW w:w="36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8"/>
                <w:szCs w:val="18"/>
                <w:color w:val="auto"/>
              </w:rPr>
              <w:t>$85,023,405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February 1 through February 28, 2006</w:t>
            </w:r>
          </w:p>
        </w:tc>
        <w:tc>
          <w:tcPr>
            <w:tcW w:w="1380" w:type="dxa"/>
            <w:vAlign w:val="bottom"/>
            <w:gridSpan w:val="4"/>
          </w:tcPr>
          <w:p>
            <w:pPr>
              <w:jc w:val="center"/>
              <w:ind w:left="670"/>
              <w:spacing w:after="0"/>
              <w:rPr>
                <w:sz w:val="20"/>
                <w:szCs w:val="20"/>
                <w:color w:val="auto"/>
              </w:rPr>
            </w:pPr>
            <w:r>
              <w:rPr>
                <w:rFonts w:ascii="Arial" w:cs="Arial" w:eastAsia="Arial" w:hAnsi="Arial"/>
                <w:sz w:val="18"/>
                <w:szCs w:val="18"/>
                <w:color w:val="auto"/>
                <w:w w:val="89"/>
              </w:rPr>
              <w:t>200,000</w:t>
            </w:r>
          </w:p>
        </w:tc>
        <w:tc>
          <w:tcPr>
            <w:tcW w:w="420" w:type="dxa"/>
            <w:vAlign w:val="bottom"/>
          </w:tcPr>
          <w:p>
            <w:pPr>
              <w:spacing w:after="0"/>
              <w:rPr>
                <w:sz w:val="18"/>
                <w:szCs w:val="18"/>
                <w:color w:val="auto"/>
              </w:rPr>
            </w:pPr>
          </w:p>
        </w:tc>
        <w:tc>
          <w:tcPr>
            <w:tcW w:w="1540" w:type="dxa"/>
            <w:vAlign w:val="bottom"/>
            <w:gridSpan w:val="2"/>
          </w:tcPr>
          <w:p>
            <w:pPr>
              <w:jc w:val="right"/>
              <w:ind w:right="322"/>
              <w:spacing w:after="0"/>
              <w:rPr>
                <w:sz w:val="20"/>
                <w:szCs w:val="20"/>
                <w:color w:val="auto"/>
              </w:rPr>
            </w:pPr>
            <w:r>
              <w:rPr>
                <w:rFonts w:ascii="Arial" w:cs="Arial" w:eastAsia="Arial" w:hAnsi="Arial"/>
                <w:sz w:val="18"/>
                <w:szCs w:val="18"/>
                <w:color w:val="auto"/>
              </w:rPr>
              <w:t>48.92</w:t>
            </w:r>
          </w:p>
        </w:tc>
        <w:tc>
          <w:tcPr>
            <w:tcW w:w="2080" w:type="dxa"/>
            <w:vAlign w:val="bottom"/>
            <w:gridSpan w:val="4"/>
          </w:tcPr>
          <w:p>
            <w:pPr>
              <w:jc w:val="center"/>
              <w:ind w:left="270"/>
              <w:spacing w:after="0"/>
              <w:rPr>
                <w:sz w:val="20"/>
                <w:szCs w:val="20"/>
                <w:color w:val="auto"/>
              </w:rPr>
            </w:pPr>
            <w:r>
              <w:rPr>
                <w:rFonts w:ascii="Arial" w:cs="Arial" w:eastAsia="Arial" w:hAnsi="Arial"/>
                <w:sz w:val="18"/>
                <w:szCs w:val="18"/>
                <w:color w:val="auto"/>
                <w:w w:val="92"/>
              </w:rPr>
              <w:t>200,000</w:t>
            </w:r>
          </w:p>
        </w:tc>
        <w:tc>
          <w:tcPr>
            <w:tcW w:w="2160" w:type="dxa"/>
            <w:vAlign w:val="bottom"/>
            <w:gridSpan w:val="2"/>
          </w:tcPr>
          <w:p>
            <w:pPr>
              <w:jc w:val="right"/>
              <w:ind w:right="425"/>
              <w:spacing w:after="0"/>
              <w:rPr>
                <w:sz w:val="20"/>
                <w:szCs w:val="20"/>
                <w:color w:val="auto"/>
              </w:rPr>
            </w:pPr>
            <w:r>
              <w:rPr>
                <w:rFonts w:ascii="Arial" w:cs="Arial" w:eastAsia="Arial" w:hAnsi="Arial"/>
                <w:sz w:val="18"/>
                <w:szCs w:val="18"/>
                <w:color w:val="auto"/>
              </w:rPr>
              <w:t>75,239,113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April 1, 2006</w:t>
            </w:r>
          </w:p>
        </w:tc>
        <w:tc>
          <w:tcPr>
            <w:tcW w:w="1380" w:type="dxa"/>
            <w:vAlign w:val="bottom"/>
            <w:gridSpan w:val="4"/>
            <w:shd w:val="clear" w:color="auto" w:fill="CCEEFF"/>
          </w:tcPr>
          <w:p>
            <w:pPr>
              <w:jc w:val="center"/>
              <w:ind w:left="670"/>
              <w:spacing w:after="0"/>
              <w:rPr>
                <w:sz w:val="20"/>
                <w:szCs w:val="20"/>
                <w:color w:val="auto"/>
              </w:rPr>
            </w:pPr>
            <w:r>
              <w:rPr>
                <w:rFonts w:ascii="Arial" w:cs="Arial" w:eastAsia="Arial" w:hAnsi="Arial"/>
                <w:sz w:val="18"/>
                <w:szCs w:val="18"/>
                <w:color w:val="auto"/>
                <w:w w:val="89"/>
              </w:rPr>
              <w:t>450,000</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46.99</w:t>
            </w:r>
          </w:p>
        </w:tc>
        <w:tc>
          <w:tcPr>
            <w:tcW w:w="2080" w:type="dxa"/>
            <w:vAlign w:val="bottom"/>
            <w:gridSpan w:val="4"/>
            <w:shd w:val="clear" w:color="auto" w:fill="CCEEFF"/>
          </w:tcPr>
          <w:p>
            <w:pPr>
              <w:jc w:val="center"/>
              <w:ind w:left="270"/>
              <w:spacing w:after="0"/>
              <w:rPr>
                <w:sz w:val="20"/>
                <w:szCs w:val="20"/>
                <w:color w:val="auto"/>
              </w:rPr>
            </w:pPr>
            <w:r>
              <w:rPr>
                <w:rFonts w:ascii="Arial" w:cs="Arial" w:eastAsia="Arial" w:hAnsi="Arial"/>
                <w:sz w:val="18"/>
                <w:szCs w:val="18"/>
                <w:color w:val="auto"/>
                <w:w w:val="92"/>
              </w:rPr>
              <w:t>450,000</w:t>
            </w:r>
          </w:p>
        </w:tc>
        <w:tc>
          <w:tcPr>
            <w:tcW w:w="21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54,093,394</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945,600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322"/>
              <w:spacing w:after="0"/>
              <w:rPr>
                <w:sz w:val="20"/>
                <w:szCs w:val="20"/>
                <w:color w:val="auto"/>
              </w:rPr>
            </w:pPr>
            <w:r>
              <w:rPr>
                <w:rFonts w:ascii="Arial" w:cs="Arial" w:eastAsia="Arial" w:hAnsi="Arial"/>
                <w:sz w:val="18"/>
                <w:szCs w:val="18"/>
                <w:color w:val="auto"/>
              </w:rPr>
              <w:t>$47.27</w:t>
            </w:r>
          </w:p>
        </w:tc>
        <w:tc>
          <w:tcPr>
            <w:tcW w:w="92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945,600</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660" w:hanging="452"/>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Scotts Miracle-Gro repurchases its common shares under a share repurchase program that was approved by the Board of Directors and publicly announced on October 27, 2005 (the “Share Repurchase Program”). Under the Share Repurchase Program, Scotts Miracle-Gro is authorized to purchase up to $100 million of Scotts Miracle-Gro common shares through September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Performance Measures for The Scotts Company LLC Executive/Management Incentive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and Organization Committee of the Board of Directors of Scotts Miracle-Gro on December 9, 2005 established the performance measures under The Scotts Company LLC Executive/Management Incentive Plan (the “EMIP Plan”) for the annual cash incentive (i.e., bonus) award payable to employees of the Company participating in the EMIP Plan, including each of the named executive officers of Scotts Miracle-Gro, with respect to the full fiscal year ending on September 30, 2006.</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shareholders of Scotts Miracle-Gro approved the EMIP Plan at the 2006 Annual Meeting of Shareholders held on January 26, 2006. A copy of the EMIP Plan was filed as Exhibit 10.4 to Scotts Miracle-Gro’s Current Report on Form 8-K dated and filed on February 2, 2006. Each participant’s target incentive opportunity under the EMIP Plan is a percentage of the participant’s base salary and the amount of the actual bonus payment could range from zero to two hundred and fifty percent of the target incentive opportunity, based upon the extent to which the pre-established annual performance measures are met or exceeded. The performance measures under the EMIP Plan for the fiscal year ending on September 30, 2006 are based on net income, return on invested capital, cash flow, customer satisfaction/service and net sales. All award payouts are dependent upon the satisfaction of a consolidated net income “funding trigger,” below which no incentive payments will be made to any participant. The target incentive opportunity established for each of the named executive officers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40" w:type="dxa"/>
            <w:vAlign w:val="bottom"/>
            <w:gridSpan w:val="2"/>
          </w:tcPr>
          <w:p>
            <w:pPr>
              <w:spacing w:after="0"/>
              <w:rPr>
                <w:sz w:val="20"/>
                <w:szCs w:val="20"/>
                <w:color w:val="auto"/>
              </w:rPr>
            </w:pPr>
            <w:r>
              <w:rPr>
                <w:rFonts w:ascii="Arial" w:cs="Arial" w:eastAsia="Arial" w:hAnsi="Arial"/>
                <w:sz w:val="14"/>
                <w:szCs w:val="14"/>
                <w:color w:val="auto"/>
              </w:rPr>
              <w:t>Name and Principal Position</w:t>
            </w:r>
          </w:p>
        </w:tc>
        <w:tc>
          <w:tcPr>
            <w:tcW w:w="4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4"/>
                <w:szCs w:val="14"/>
                <w:color w:val="auto"/>
                <w:w w:val="92"/>
              </w:rPr>
              <w:t>Target incentive opportunity (Percentage of Base Salary)</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Hagedorn, Chief Executive Officer and Chairman of the Board</w:t>
            </w:r>
          </w:p>
        </w:tc>
        <w:tc>
          <w:tcPr>
            <w:tcW w:w="420" w:type="dxa"/>
            <w:vAlign w:val="bottom"/>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Robert F. Bernstock, President</w:t>
            </w:r>
          </w:p>
        </w:tc>
        <w:tc>
          <w:tcPr>
            <w:tcW w:w="3680" w:type="dxa"/>
            <w:vAlign w:val="bottom"/>
            <w:gridSpan w:val="2"/>
          </w:tcPr>
          <w:p>
            <w:pPr>
              <w:jc w:val="right"/>
              <w:ind w:right="219"/>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Christopher L. Nagel, Executive Vice President and Chief Financial Officer</w:t>
            </w:r>
          </w:p>
        </w:tc>
        <w:tc>
          <w:tcPr>
            <w:tcW w:w="3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David M. Aronowitz, Executive Vice President, General Counsel and Corporate Secretary</w:t>
            </w:r>
          </w:p>
        </w:tc>
        <w:tc>
          <w:tcPr>
            <w:tcW w:w="3680" w:type="dxa"/>
            <w:vAlign w:val="bottom"/>
            <w:gridSpan w:val="2"/>
          </w:tcPr>
          <w:p>
            <w:pPr>
              <w:jc w:val="right"/>
              <w:ind w:right="219"/>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36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35 for a list of the exhibits included herewith.</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Date: May 10, 2006</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Principal Accounting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(Duly Authorized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jc w:val="center"/>
              <w:ind w:left="1311"/>
              <w:spacing w:after="0"/>
              <w:rPr>
                <w:sz w:val="20"/>
                <w:szCs w:val="20"/>
                <w:color w:val="auto"/>
              </w:rPr>
            </w:pPr>
            <w:r>
              <w:rPr>
                <w:rFonts w:ascii="Arial" w:cs="Arial" w:eastAsia="Arial" w:hAnsi="Arial"/>
                <w:sz w:val="18"/>
                <w:szCs w:val="18"/>
                <w:color w:val="auto"/>
                <w:w w:val="96"/>
              </w:rPr>
              <w:t>THE SCOTTS MIRACLE-GRO COMPANY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jc w:val="center"/>
              <w:ind w:left="1311"/>
              <w:spacing w:after="0"/>
              <w:rPr>
                <w:sz w:val="20"/>
                <w:szCs w:val="20"/>
                <w:color w:val="auto"/>
              </w:rPr>
            </w:pPr>
            <w:r>
              <w:rPr>
                <w:rFonts w:ascii="Arial" w:cs="Arial" w:eastAsia="Arial" w:hAnsi="Arial"/>
                <w:sz w:val="18"/>
                <w:szCs w:val="18"/>
                <w:color w:val="auto"/>
                <w:w w:val="94"/>
              </w:rPr>
              <w:t>QUARTERLY REPORT ON FORM 10-Q</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jc w:val="center"/>
              <w:ind w:left="1311"/>
              <w:spacing w:after="0"/>
              <w:rPr>
                <w:sz w:val="20"/>
                <w:szCs w:val="20"/>
                <w:color w:val="auto"/>
              </w:rPr>
            </w:pPr>
            <w:r>
              <w:rPr>
                <w:rFonts w:ascii="Arial" w:cs="Arial" w:eastAsia="Arial" w:hAnsi="Arial"/>
                <w:sz w:val="18"/>
                <w:szCs w:val="18"/>
                <w:color w:val="auto"/>
                <w:w w:val="94"/>
              </w:rPr>
              <w:t>FOR THE QUARTERLY PERIOD ENDED APRIL 1, 2006</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jc w:val="center"/>
              <w:ind w:left="1311"/>
              <w:spacing w:after="0"/>
              <w:rPr>
                <w:sz w:val="20"/>
                <w:szCs w:val="20"/>
                <w:color w:val="auto"/>
              </w:rPr>
            </w:pPr>
            <w:r>
              <w:rPr>
                <w:rFonts w:ascii="Arial" w:cs="Arial" w:eastAsia="Arial" w:hAnsi="Arial"/>
                <w:sz w:val="18"/>
                <w:szCs w:val="18"/>
                <w:color w:val="auto"/>
                <w:w w:val="98"/>
              </w:rPr>
              <w:t>INDEX TO EXHIBITS</w:t>
            </w:r>
          </w:p>
        </w:tc>
      </w:tr>
      <w:tr>
        <w:trPr>
          <w:trHeight w:val="36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750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7"/>
              </w:rPr>
              <w:t>4(a)</w:t>
            </w:r>
          </w:p>
        </w:tc>
        <w:tc>
          <w:tcPr>
            <w:tcW w:w="340" w:type="dxa"/>
            <w:vAlign w:val="bottom"/>
          </w:tcPr>
          <w:p>
            <w:pPr>
              <w:spacing w:after="0"/>
              <w:rPr>
                <w:sz w:val="16"/>
                <w:szCs w:val="16"/>
                <w:color w:val="auto"/>
              </w:rPr>
            </w:pPr>
          </w:p>
        </w:tc>
        <w:tc>
          <w:tcPr>
            <w:tcW w:w="7500" w:type="dxa"/>
            <w:vAlign w:val="bottom"/>
          </w:tcPr>
          <w:p>
            <w:pPr>
              <w:spacing w:after="0" w:line="195" w:lineRule="exact"/>
              <w:rPr>
                <w:sz w:val="20"/>
                <w:szCs w:val="20"/>
                <w:color w:val="auto"/>
              </w:rPr>
            </w:pPr>
            <w:r>
              <w:rPr>
                <w:rFonts w:ascii="Arial" w:cs="Arial" w:eastAsia="Arial" w:hAnsi="Arial"/>
                <w:sz w:val="18"/>
                <w:szCs w:val="18"/>
                <w:color w:val="auto"/>
                <w:w w:val="90"/>
              </w:rPr>
              <w:t>Joinder Agreement, dated as of February 23, 2006, made by SMG Growing Media, Inc., as a Subsidiary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1"/>
              </w:rPr>
              <w:t>Borrower, in favor of JPMorgan Chase Bank, N.A., as administrative agent for the Lenders from time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time parties to the Revolving Credit Agreement, dated as of July 21, 2005, by and among The Scotts</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Miracle-Gro Company; the Subsidiary Borrowers from time to time parties thereto; the Lenders from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5"/>
              </w:rPr>
              <w:t>time to time parties thereto; Bank of America, N.A. and Citicorp North America, Inc., as Syndication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Agents; Bank of Tokyo-Mitsubishi Trust Company, BNP Paribas, CoBank, ACB, Harris, N.A.,</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Rabobank International, and Suntrust Bank, as Documentation Agents</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3"/>
              </w:rPr>
              <w:t>4(b)</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6"/>
              </w:rPr>
              <w:t>Joinder Agreement, dated as of February 23, 2006, made by Gutwein &amp; Co., Inc., as a Subsidiary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1"/>
              </w:rPr>
              <w:t>Borrower, in favor of JPMorgan Chase Bank, N.A., as administrative agent for the Lenders from time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time parties to the Revolving Credit Agreement, dated as of July 21, 2005, by and among The Scotts</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Miracle-Gro Company; the Subsidiary Borrowers from time to time parties thereto; the Lenders from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5"/>
              </w:rPr>
              <w:t>time to time parties thereto; Bank of America, N.A. and Citicorp North America, Inc., as Syndication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Agents; Bank of Tokyo-Mitsubishi Trust Company, BNP Paribas, CoBank, ACB, Harris, N.A.,</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Rabobank International, and Suntrust Bank, as Documentation Agents</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0"/>
              </w:rPr>
              <w:t>4(c)</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Assumption Agreement, dated as of February 23, 2006, made by SMG Growing Media, Inc. and Rod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McLellan Company, as Grantors, in favor of JPMorgan Chase Bank, N.A., as administrative agent for</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1"/>
              </w:rPr>
              <w:t>the Lenders from time to time parties to the Revolving Credit Agreement, dated as of July 21, 2005, by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6"/>
              </w:rPr>
              <w:t>and among The Scotts Miracle-Gro Company; the Subsidiary Borrowers from time to time parties</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8"/>
              </w:rPr>
              <w:t>thereto; the Lenders from time to time parties thereto; Bank of America, N.A. and Citicorp North</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9"/>
              </w:rPr>
              <w:t>America, Inc., as Syndication Agents; Bank of Tokyo-Mitsubishi Trust Company, BNP Paribas,</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5"/>
              </w:rPr>
              <w:t>CoBank, ACB, Harris, N.A., Rabobank International, and Suntrust Bank, as Documentation Agents</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3"/>
              </w:rPr>
              <w:t>4(d)</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Assumption Agreement, dated as of February 23, 2006, made by Gutwein &amp; Co., Inc., as Grantor, in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1"/>
              </w:rPr>
              <w:t>favor of JPMorgan Chase Bank, N.A., as administrative agent for the Lenders from time to time parties</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to the Revolving Credit Agreement, dated as of July 21, 2005, by and among The Scotts Miracle-Gro</w:t>
            </w:r>
          </w:p>
        </w:tc>
      </w:tr>
    </w:tbl>
    <w:p>
      <w:pPr>
        <w:ind w:left="1260" w:right="520"/>
        <w:spacing w:after="0" w:line="254" w:lineRule="auto"/>
        <w:rPr>
          <w:sz w:val="20"/>
          <w:szCs w:val="20"/>
          <w:color w:val="auto"/>
        </w:rPr>
      </w:pPr>
      <w:r>
        <w:rPr>
          <w:rFonts w:ascii="Arial" w:cs="Arial" w:eastAsia="Arial" w:hAnsi="Arial"/>
          <w:sz w:val="18"/>
          <w:szCs w:val="18"/>
          <w:color w:val="auto"/>
        </w:rPr>
        <w:t>Company; the Subsidiary Borrowers from time to time parties thereto; the Lenders from time to time parties thereto; Bank of America, N.A. and Citicorp North America, Inc., as Syndication Agents; Bank of Tokyo-Mitsubishi Trust Company, BNP Paribas, CoBank, ACB, Harris, N.A., Rabobank International, and Suntrust Bank, as Documentation Agents</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6350</wp:posOffset>
            </wp:positionV>
            <wp:extent cx="14751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160" w:space="720"/>
            <w:col w:w="760"/>
          </w:cols>
          <w:pgMar w:left="240" w:top="419" w:right="10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750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7"/>
              </w:rPr>
              <w:t>4(e)</w:t>
            </w:r>
          </w:p>
        </w:tc>
        <w:tc>
          <w:tcPr>
            <w:tcW w:w="340" w:type="dxa"/>
            <w:vAlign w:val="bottom"/>
          </w:tcPr>
          <w:p>
            <w:pPr>
              <w:spacing w:after="0"/>
              <w:rPr>
                <w:sz w:val="16"/>
                <w:szCs w:val="16"/>
                <w:color w:val="auto"/>
              </w:rPr>
            </w:pPr>
          </w:p>
        </w:tc>
        <w:tc>
          <w:tcPr>
            <w:tcW w:w="7500" w:type="dxa"/>
            <w:vAlign w:val="bottom"/>
          </w:tcPr>
          <w:p>
            <w:pPr>
              <w:spacing w:after="0" w:line="195" w:lineRule="exact"/>
              <w:rPr>
                <w:sz w:val="20"/>
                <w:szCs w:val="20"/>
                <w:color w:val="auto"/>
              </w:rPr>
            </w:pPr>
            <w:r>
              <w:rPr>
                <w:rFonts w:ascii="Arial" w:cs="Arial" w:eastAsia="Arial" w:hAnsi="Arial"/>
                <w:sz w:val="18"/>
                <w:szCs w:val="18"/>
                <w:color w:val="auto"/>
                <w:w w:val="92"/>
              </w:rPr>
              <w:t>First Amendment, dated as of March 2, 2006, to the Revolving Credit Agreement, dated as of July 21,</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5"/>
              </w:rPr>
              <w:t>2005, by and among The Scotts Miracle-Gro Company; the Subsidiary Borrowers from time to time</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parties thereto; the Lenders from time to time parties thereto; the Syndication Agents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0"/>
              </w:rPr>
              <w:t>Documentation Agents named therein; and JPMorgan Chase Bank, N.A., as administrative agent for the</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Lenders</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rPr>
              <w:t>4(f)</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0"/>
              </w:rPr>
              <w:t>Commitment Increase Supplement, dated February 24, 2006, to the Revolving Credit Agreement, dated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as of July 21, 2005, by and among The Scotts Miracle-Gro Company; the Subsidiary Borrowers from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time to time parties thereto; the Lenders from time to time parties thereto; Bank of America, N.A.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Citicorp North America, Inc., as Syndication Agents; Bank of Tokyo-Mitsubishi Trust Company, BNP</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Paribas, CoBank, ACB, Harris, N.A., Rabobank International, and Suntrust Bank, as Documentation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0"/>
              </w:rPr>
              <w:t>Agents; and JPMorgan Chase Bank, N.A., as Administrative Agent (executed and delivered by Suntrust</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Bank)</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3"/>
              </w:rPr>
              <w:t>4(g)</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0"/>
              </w:rPr>
              <w:t>Commitment Increase Supplement, dated February 24, 2006, to the Revolving Credit Agreement, dated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as of July 21, 2005, by and among The Scotts Miracle-Gro Company; the Subsidiary Borrowers from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time to time parties thereto; the Lenders from time to time parties thereto; Bank of America, N.A.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Citicorp North America, Inc., as Syndication Agents; Bank of Tokyo-Mitsubishi Trust Company, BNP</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Paribas, CoBank, ACB, Harris, N.A., Rabobank International, and Suntrust Bank, as Documentation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1"/>
              </w:rPr>
              <w:t>Agents; and JPMorgan Chase Bank, N.A., as Administrative Agent (executed and delivered by Bank of</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America, N.A.)</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3"/>
              </w:rPr>
              <w:t>4(h)</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0"/>
              </w:rPr>
              <w:t>Commitment Increase Supplement, dated February 24, 2006, to the Revolving Credit Agreement, dated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as of July 21, 2005, by and among The Scotts Miracle-Gro Company; the Subsidiary Borrowers from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time to time parties thereto; the Lenders from time to time parties thereto; Bank of America, N.A.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Citicorp North America, Inc., as Syndication Agents; Bank of Tokyo-Mitsubishi Trust Company, BNP</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Paribas, CoBank, ACB, Harris, N.A., Rabobank International, and Suntrust Bank, as Documentation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9"/>
              </w:rPr>
              <w:t>Agents; and JPMorgan Chase Bank, N.A., as Administrative Agent (executed and delivered by</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JPMorgan Chase Bank, N.A.)</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9"/>
              </w:rPr>
              <w:t>4(i)</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0"/>
              </w:rPr>
              <w:t>Commitment Increase Supplement, dated February 24, 2006, to the Revolving Credit Agreement, dated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as of July 21, 2005, by and among The Scotts Miracle-Gro Company; the Subsidiary Borrowers from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3"/>
              </w:rPr>
              <w:t>time to time parties thereto; the Lenders from time to time parties thereto; Bank of America, N.A.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Citicorp North America, Inc., as Syndication Agents; Bank of Tokyo-Mitsubishi Trust Company, BNP</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Paribas, CoBank, ACB, Harris, N.A., Rabobank International, and Suntrust Bank, as Documentation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1"/>
              </w:rPr>
              <w:t>Agents; and JPMorgan Chase Bank, N.A., as Administrative Agent (executed and delivered by Citicorp</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North America, Inc.)</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10(a)</w:t>
            </w:r>
          </w:p>
        </w:tc>
        <w:tc>
          <w:tcPr>
            <w:tcW w:w="34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The Scotts Company LLC Executive/Management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10(b)</w:t>
      </w:r>
      <w:r>
        <w:rPr>
          <w:sz w:val="20"/>
          <w:szCs w:val="20"/>
          <w:color w:val="auto"/>
        </w:rPr>
        <w:tab/>
      </w:r>
      <w:r>
        <w:rPr>
          <w:rFonts w:ascii="Arial" w:cs="Arial" w:eastAsia="Arial" w:hAnsi="Arial"/>
          <w:sz w:val="18"/>
          <w:szCs w:val="18"/>
          <w:color w:val="auto"/>
        </w:rPr>
        <w:t>The Scotts Miracle-Gro Company 2006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10(c)</w:t>
            </w:r>
          </w:p>
        </w:tc>
        <w:tc>
          <w:tcPr>
            <w:tcW w:w="7440" w:type="dxa"/>
            <w:vAlign w:val="bottom"/>
          </w:tcPr>
          <w:p>
            <w:pPr>
              <w:ind w:left="300"/>
              <w:spacing w:after="0"/>
              <w:rPr>
                <w:sz w:val="20"/>
                <w:szCs w:val="20"/>
                <w:color w:val="auto"/>
              </w:rPr>
            </w:pPr>
            <w:r>
              <w:rPr>
                <w:rFonts w:ascii="Arial" w:cs="Arial" w:eastAsia="Arial" w:hAnsi="Arial"/>
                <w:sz w:val="18"/>
                <w:szCs w:val="18"/>
                <w:color w:val="auto"/>
                <w:w w:val="91"/>
              </w:rPr>
              <w:t>Specimen form of Award Agreement used to evidence Time-Based Nonqualified Stock Options for</w:t>
            </w:r>
          </w:p>
        </w:tc>
      </w:tr>
      <w:tr>
        <w:trPr>
          <w:trHeight w:val="230"/>
        </w:trPr>
        <w:tc>
          <w:tcPr>
            <w:tcW w:w="680" w:type="dxa"/>
            <w:vAlign w:val="bottom"/>
          </w:tcPr>
          <w:p>
            <w:pPr>
              <w:spacing w:after="0"/>
              <w:rPr>
                <w:sz w:val="20"/>
                <w:szCs w:val="20"/>
                <w:color w:val="auto"/>
              </w:rPr>
            </w:pPr>
          </w:p>
        </w:tc>
        <w:tc>
          <w:tcPr>
            <w:tcW w:w="7440" w:type="dxa"/>
            <w:vAlign w:val="bottom"/>
          </w:tcPr>
          <w:p>
            <w:pPr>
              <w:ind w:left="300"/>
              <w:spacing w:after="0"/>
              <w:rPr>
                <w:sz w:val="20"/>
                <w:szCs w:val="20"/>
                <w:color w:val="auto"/>
              </w:rPr>
            </w:pPr>
            <w:r>
              <w:rPr>
                <w:rFonts w:ascii="Arial" w:cs="Arial" w:eastAsia="Arial" w:hAnsi="Arial"/>
                <w:sz w:val="18"/>
                <w:szCs w:val="18"/>
                <w:color w:val="auto"/>
                <w:w w:val="91"/>
              </w:rPr>
              <w:t>Non-Employee Directors under The Scotts Miracle-Gro Company 2006 Long-Term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10(d)</w:t>
            </w:r>
          </w:p>
        </w:tc>
        <w:tc>
          <w:tcPr>
            <w:tcW w:w="7520" w:type="dxa"/>
            <w:vAlign w:val="bottom"/>
          </w:tcPr>
          <w:p>
            <w:pPr>
              <w:ind w:left="300"/>
              <w:spacing w:after="0"/>
              <w:rPr>
                <w:sz w:val="20"/>
                <w:szCs w:val="20"/>
                <w:color w:val="auto"/>
              </w:rPr>
            </w:pPr>
            <w:r>
              <w:rPr>
                <w:rFonts w:ascii="Arial" w:cs="Arial" w:eastAsia="Arial" w:hAnsi="Arial"/>
                <w:sz w:val="18"/>
                <w:szCs w:val="18"/>
                <w:color w:val="auto"/>
                <w:w w:val="89"/>
              </w:rPr>
              <w:t>The Scotts Miracle-Gro Company Discounted Stock Purchase Plan (As Amended and Restated as of</w:t>
            </w:r>
          </w:p>
        </w:tc>
      </w:tr>
      <w:tr>
        <w:trPr>
          <w:trHeight w:val="230"/>
        </w:trPr>
        <w:tc>
          <w:tcPr>
            <w:tcW w:w="700" w:type="dxa"/>
            <w:vAlign w:val="bottom"/>
          </w:tcPr>
          <w:p>
            <w:pPr>
              <w:spacing w:after="0"/>
              <w:rPr>
                <w:sz w:val="20"/>
                <w:szCs w:val="20"/>
                <w:color w:val="auto"/>
              </w:rPr>
            </w:pPr>
          </w:p>
        </w:tc>
        <w:tc>
          <w:tcPr>
            <w:tcW w:w="7520" w:type="dxa"/>
            <w:vAlign w:val="bottom"/>
          </w:tcPr>
          <w:p>
            <w:pPr>
              <w:ind w:left="300"/>
              <w:spacing w:after="0"/>
              <w:rPr>
                <w:sz w:val="20"/>
                <w:szCs w:val="20"/>
                <w:color w:val="auto"/>
              </w:rPr>
            </w:pPr>
            <w:r>
              <w:rPr>
                <w:rFonts w:ascii="Arial" w:cs="Arial" w:eastAsia="Arial" w:hAnsi="Arial"/>
                <w:sz w:val="18"/>
                <w:szCs w:val="18"/>
                <w:color w:val="auto"/>
              </w:rPr>
              <w:t>January 26, 2006; Reflects 2-for-1 Stock Split Distributed on November 9,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0"/>
              </w:rPr>
              <w:t>31(a)</w:t>
            </w:r>
          </w:p>
        </w:tc>
        <w:tc>
          <w:tcPr>
            <w:tcW w:w="6600" w:type="dxa"/>
            <w:vAlign w:val="bottom"/>
          </w:tcPr>
          <w:p>
            <w:pPr>
              <w:ind w:left="300"/>
              <w:spacing w:after="0"/>
              <w:rPr>
                <w:sz w:val="20"/>
                <w:szCs w:val="20"/>
                <w:color w:val="auto"/>
              </w:rPr>
            </w:pPr>
            <w:r>
              <w:rPr>
                <w:rFonts w:ascii="Arial" w:cs="Arial" w:eastAsia="Arial" w:hAnsi="Arial"/>
                <w:sz w:val="18"/>
                <w:szCs w:val="18"/>
                <w:color w:val="auto"/>
              </w:rPr>
              <w:t>Rule 13a-14(a)/15d-14(a) Certification (Principal Executive Officer)</w:t>
            </w:r>
          </w:p>
        </w:tc>
      </w:tr>
      <w:tr>
        <w:trPr>
          <w:trHeight w:val="432"/>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5"/>
              </w:rPr>
              <w:t>31(b)</w:t>
            </w:r>
          </w:p>
        </w:tc>
        <w:tc>
          <w:tcPr>
            <w:tcW w:w="6600" w:type="dxa"/>
            <w:vAlign w:val="bottom"/>
          </w:tcPr>
          <w:p>
            <w:pPr>
              <w:ind w:left="300"/>
              <w:spacing w:after="0"/>
              <w:rPr>
                <w:sz w:val="20"/>
                <w:szCs w:val="20"/>
                <w:color w:val="auto"/>
              </w:rPr>
            </w:pPr>
            <w:r>
              <w:rPr>
                <w:rFonts w:ascii="Arial" w:cs="Arial" w:eastAsia="Arial" w:hAnsi="Arial"/>
                <w:sz w:val="18"/>
                <w:szCs w:val="18"/>
                <w:color w:val="auto"/>
              </w:rPr>
              <w:t>Rule 13a-14(a)/15d-14(a) Certification (Principal Financial Officer)</w:t>
            </w:r>
          </w:p>
        </w:tc>
      </w:tr>
      <w:tr>
        <w:trPr>
          <w:trHeight w:val="432"/>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89"/>
              </w:rPr>
              <w:t>32</w:t>
            </w:r>
          </w:p>
        </w:tc>
        <w:tc>
          <w:tcPr>
            <w:tcW w:w="6600" w:type="dxa"/>
            <w:vAlign w:val="bottom"/>
          </w:tcPr>
          <w:p>
            <w:pPr>
              <w:ind w:left="300"/>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14751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95" w:lineRule="auto"/>
        <w:rPr>
          <w:sz w:val="20"/>
          <w:szCs w:val="20"/>
          <w:color w:val="auto"/>
        </w:rPr>
      </w:pPr>
      <w:r>
        <w:rPr>
          <w:rFonts w:ascii="Arial" w:cs="Arial" w:eastAsia="Arial" w:hAnsi="Arial"/>
          <w:sz w:val="16"/>
          <w:szCs w:val="16"/>
          <w:color w:val="auto"/>
        </w:rPr>
        <w:t>reference to Scotts’ Current Report on Form 8-K dated and filed February 2, 2006 (File No. 1-13292) [Exhibit 10.4]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95" w:lineRule="auto"/>
        <w:rPr>
          <w:sz w:val="20"/>
          <w:szCs w:val="20"/>
          <w:color w:val="auto"/>
        </w:rPr>
      </w:pPr>
      <w:r>
        <w:rPr>
          <w:rFonts w:ascii="Arial" w:cs="Arial" w:eastAsia="Arial" w:hAnsi="Arial"/>
          <w:sz w:val="16"/>
          <w:szCs w:val="16"/>
          <w:color w:val="auto"/>
        </w:rPr>
        <w:t>reference to Scotts’ Current Report on Form 8-K dated and filed February 2, 2006 (File No. 1-13292) [Exhibit 10.2]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95" w:lineRule="auto"/>
        <w:rPr>
          <w:sz w:val="20"/>
          <w:szCs w:val="20"/>
          <w:color w:val="auto"/>
        </w:rPr>
      </w:pPr>
      <w:r>
        <w:rPr>
          <w:rFonts w:ascii="Arial" w:cs="Arial" w:eastAsia="Arial" w:hAnsi="Arial"/>
          <w:sz w:val="16"/>
          <w:szCs w:val="16"/>
          <w:color w:val="auto"/>
        </w:rPr>
        <w:t>reference to Scotts’ Current Report on Form 8-K dated and filed February 2, 2006 (File No. 1-13292) [Exhibit 10.3]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95" w:lineRule="auto"/>
        <w:rPr>
          <w:sz w:val="20"/>
          <w:szCs w:val="20"/>
          <w:color w:val="auto"/>
        </w:rPr>
      </w:pPr>
      <w:r>
        <w:rPr>
          <w:rFonts w:ascii="Arial" w:cs="Arial" w:eastAsia="Arial" w:hAnsi="Arial"/>
          <w:sz w:val="16"/>
          <w:szCs w:val="16"/>
          <w:color w:val="auto"/>
        </w:rPr>
        <w:t>reference to Scotts’ Current Report on Form 8-K dated and filed February 2, 2006 (File No. 1-13292) [Exhibit 10.1]</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23" w:lineRule="exact"/>
        <w:rPr>
          <w:sz w:val="20"/>
          <w:szCs w:val="20"/>
          <w:color w:val="auto"/>
        </w:rPr>
      </w:pPr>
    </w:p>
    <w:p>
      <w:pPr>
        <w:sectPr>
          <w:pgSz w:w="11900" w:h="16838" w:orient="portrait"/>
          <w:cols w:equalWidth="0" w:num="2">
            <w:col w:w="8760" w:space="400"/>
            <w:col w:w="2200"/>
          </w:cols>
          <w:pgMar w:left="240" w:top="419" w:right="299" w:bottom="0" w:gutter="0" w:footer="0" w:header="0"/>
        </w:sectPr>
      </w:pPr>
    </w:p>
    <w:p>
      <w:pPr>
        <w:spacing w:after="0" w:line="16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Filed herewith</w:t>
      </w:r>
    </w:p>
    <w:p>
      <w:pPr>
        <w:sectPr>
          <w:pgSz w:w="11900" w:h="16838" w:orient="portrait"/>
          <w:cols w:equalWidth="0" w:num="1">
            <w:col w:w="11360"/>
          </w:cols>
          <w:pgMar w:left="240" w:top="419" w:right="299" w:bottom="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125"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4(a)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117"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JOINDER AGREEMENT, dated as of February 23, 2006, made by each of the corporations that are signatories hereto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in favor of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several banks and other financial institutions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parties to the Revolving Credit Agreement, dated as of July 21, 2005,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or “</w:t>
      </w:r>
      <w:r>
        <w:rPr>
          <w:rFonts w:ascii="Arial" w:cs="Arial" w:eastAsia="Arial" w:hAnsi="Arial"/>
          <w:sz w:val="17"/>
          <w:szCs w:val="17"/>
          <w:u w:val="single" w:color="auto"/>
          <w:color w:val="auto"/>
        </w:rPr>
        <w:t>Scotts</w:t>
      </w:r>
      <w:r>
        <w:rPr>
          <w:rFonts w:ascii="Arial" w:cs="Arial" w:eastAsia="Arial" w:hAnsi="Arial"/>
          <w:sz w:val="17"/>
          <w:szCs w:val="17"/>
          <w:color w:val="auto"/>
        </w:rPr>
        <w:t>”), certain subsidiaries of the Borrower from time to time parties thereto (the “</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and Citicorp North America, Inc., as Syndication Agents, Bank of Tokyo-Mitsubishi Trust Company, BNP Paribas, CoBank, ACB, Harris, N.A., Rabobank International, and Suntrust Bank, as Documentation Agents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together with any agreement extending the maturity of, or restructuring, refunding, refinancing or increasing, all or any portion of the Indebtedness under such agreement or any successor agreements (as so assumed, amended, supplemented, waived or modified).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left="220" w:right="380"/>
        <w:spacing w:after="0" w:line="375" w:lineRule="auto"/>
        <w:rPr>
          <w:sz w:val="20"/>
          <w:szCs w:val="20"/>
          <w:color w:val="auto"/>
        </w:rPr>
      </w:pPr>
      <w:r>
        <w:rPr>
          <w:rFonts w:ascii="Arial" w:cs="Arial" w:eastAsia="Arial" w:hAnsi="Arial"/>
          <w:sz w:val="18"/>
          <w:szCs w:val="18"/>
          <w:color w:val="auto"/>
        </w:rPr>
        <w:t>WHEREAS, the parties to this Joinder Agreement wish to add a Subsidiary Borrower to the Credit Agreement in the manner hereinafter set forth; and WHEREAS, this Joinder Agreement is entered into pursuant to subsection 10.1(b)(i) of the Credit Agreement; NOW, THEREFORE, in consideration of the premises, the parties hereto hereby agree as follows:</w:t>
      </w:r>
    </w:p>
    <w:p>
      <w:pPr>
        <w:spacing w:after="0" w:line="2" w:lineRule="exact"/>
        <w:rPr>
          <w:sz w:val="20"/>
          <w:szCs w:val="20"/>
          <w:color w:val="auto"/>
        </w:rPr>
      </w:pPr>
    </w:p>
    <w:p>
      <w:pPr>
        <w:ind w:right="220" w:firstLine="233"/>
        <w:spacing w:after="0" w:line="259"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Subsidiary of Scotts,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78" w:lineRule="exact"/>
        <w:rPr>
          <w:rFonts w:ascii="Arial" w:cs="Arial" w:eastAsia="Arial" w:hAnsi="Arial"/>
          <w:sz w:val="18"/>
          <w:szCs w:val="18"/>
          <w:color w:val="auto"/>
        </w:rPr>
      </w:pPr>
    </w:p>
    <w:p>
      <w:pPr>
        <w:jc w:val="both"/>
        <w:ind w:right="100" w:firstLine="233"/>
        <w:spacing w:after="0" w:line="264"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Subsidiary of Scotts hereby represents and warrants that the representations and warranties with respect to it contained in Section 4 of the Credit Agreement and each of the other Loan Documents to which such Subsidiary of Scotts is a party or which are contained in any certificate furnished by or on behalf of such Subsidiary of Scotts are true and correct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9" w:name="page40"/>
    <w:bookmarkEnd w:id="39"/>
    <w:p>
      <w:pPr>
        <w:ind w:left="167" w:hanging="167"/>
        <w:spacing w:after="0"/>
        <w:tabs>
          <w:tab w:leader="none" w:pos="1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and jurisdiction of incorporation of the undersigned Subsidiary of Scotts is set forth in Annex I to this Joinder Agreement.</w:t>
      </w:r>
    </w:p>
    <w:p>
      <w:pPr>
        <w:spacing w:after="0" w:line="113" w:lineRule="exact"/>
        <w:rPr>
          <w:rFonts w:ascii="Arial" w:cs="Arial" w:eastAsia="Arial" w:hAnsi="Arial"/>
          <w:sz w:val="18"/>
          <w:szCs w:val="18"/>
          <w:color w:val="auto"/>
        </w:rPr>
      </w:pPr>
    </w:p>
    <w:p>
      <w:pPr>
        <w:ind w:left="-233" w:firstLine="233"/>
        <w:spacing w:after="0" w:line="282" w:lineRule="auto"/>
        <w:tabs>
          <w:tab w:leader="none" w:pos="16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AGREEMENT SHALL BE GOVERNED BY, AND CONSTRUED AND INTERPRETED IN ACCORDANCE WITH, THE LAWS OF THE STATE OF NEW YORK WITHOUT REGARD TO THE PRINCIPLES OF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369570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7"/>
          </w:cols>
          <w:pgMar w:left="473" w:top="935" w:right="379" w:bottom="1440" w:gutter="0" w:footer="0" w:header="0"/>
        </w:sectPr>
      </w:pPr>
    </w:p>
    <w:bookmarkStart w:id="40" w:name="page41"/>
    <w:bookmarkEnd w:id="40"/>
    <w:p>
      <w:pPr>
        <w:ind w:firstLine="225"/>
        <w:spacing w:after="0" w:line="277" w:lineRule="auto"/>
        <w:rPr>
          <w:sz w:val="20"/>
          <w:szCs w:val="20"/>
          <w:color w:val="auto"/>
        </w:rPr>
      </w:pPr>
      <w:r>
        <w:rPr>
          <w:rFonts w:ascii="Arial" w:cs="Arial" w:eastAsia="Arial" w:hAnsi="Arial"/>
          <w:sz w:val="18"/>
          <w:szCs w:val="18"/>
          <w:color w:val="auto"/>
        </w:rPr>
        <w:t>IN WITNESS WHEREOF, each of the undersigned has caused this Joinder Agreement to be duly executed and delivered in New York, New York by its proper and duly authorized officer as of the date set forth below.</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SMG GROWING MEDIA, INC.,</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 and CFO</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 and CFO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6" w:right="4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ANNEX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Organized in the State of Ohio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05/05/2006 — Columbus — 9893003</w:t>
      </w:r>
    </w:p>
    <w:p>
      <w:pPr>
        <w:sectPr>
          <w:pgSz w:w="11900" w:h="16838" w:orient="portrait"/>
          <w:cols w:equalWidth="0" w:num="1">
            <w:col w:w="11420"/>
          </w:cols>
          <w:pgMar w:left="240"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117"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JOINDER AGREEMENT, dated as of February 23, 2006, made by each of the corporations that are signatories hereto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in favor of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several banks and other financial institutions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parties to the Revolving Credit Agreement, dated as of July 21, 2005,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or “</w:t>
      </w:r>
      <w:r>
        <w:rPr>
          <w:rFonts w:ascii="Arial" w:cs="Arial" w:eastAsia="Arial" w:hAnsi="Arial"/>
          <w:sz w:val="17"/>
          <w:szCs w:val="17"/>
          <w:u w:val="single" w:color="auto"/>
          <w:color w:val="auto"/>
        </w:rPr>
        <w:t>Scotts</w:t>
      </w:r>
      <w:r>
        <w:rPr>
          <w:rFonts w:ascii="Arial" w:cs="Arial" w:eastAsia="Arial" w:hAnsi="Arial"/>
          <w:sz w:val="17"/>
          <w:szCs w:val="17"/>
          <w:color w:val="auto"/>
        </w:rPr>
        <w:t>”), certain subsidiaries of the Borrower from time to time parties thereto (the “</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and Citicorp North America, Inc., as Syndication Agents, Bank of Tokyo-Mitsubishi Trust Company, BNP Paribas, CoBank, ACB, Harris, N.A., Rabobank International, and Suntrust Bank, as Documentation Agents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together with any agreement extending the maturity of, or restructuring, refunding, refinancing or increasing, all or any portion of the Indebtedness under such agreement or any successor agreements (as so assumed, amended, supplemented, waived or modified).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left="220" w:right="380"/>
        <w:spacing w:after="0" w:line="375" w:lineRule="auto"/>
        <w:rPr>
          <w:sz w:val="20"/>
          <w:szCs w:val="20"/>
          <w:color w:val="auto"/>
        </w:rPr>
      </w:pPr>
      <w:r>
        <w:rPr>
          <w:rFonts w:ascii="Arial" w:cs="Arial" w:eastAsia="Arial" w:hAnsi="Arial"/>
          <w:sz w:val="18"/>
          <w:szCs w:val="18"/>
          <w:color w:val="auto"/>
        </w:rPr>
        <w:t>WHEREAS, the parties to this Joinder Agreement wish to add a Subsidiary Borrower to the Credit Agreement in the manner hereinafter set forth; and WHEREAS, this Joinder Agreement is entered into pursuant to subsection 10.1(b)(i) of the Credit Agreement; NOW, THEREFORE, in consideration of the premises, the parties hereto hereby agree as follows:</w:t>
      </w:r>
    </w:p>
    <w:p>
      <w:pPr>
        <w:spacing w:after="0" w:line="2" w:lineRule="exact"/>
        <w:rPr>
          <w:sz w:val="20"/>
          <w:szCs w:val="20"/>
          <w:color w:val="auto"/>
        </w:rPr>
      </w:pPr>
    </w:p>
    <w:p>
      <w:pPr>
        <w:ind w:right="220" w:firstLine="233"/>
        <w:spacing w:after="0" w:line="259"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Subsidiary of Scotts,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78" w:lineRule="exact"/>
        <w:rPr>
          <w:rFonts w:ascii="Arial" w:cs="Arial" w:eastAsia="Arial" w:hAnsi="Arial"/>
          <w:sz w:val="18"/>
          <w:szCs w:val="18"/>
          <w:color w:val="auto"/>
        </w:rPr>
      </w:pPr>
    </w:p>
    <w:p>
      <w:pPr>
        <w:jc w:val="both"/>
        <w:ind w:right="100" w:firstLine="233"/>
        <w:spacing w:after="0" w:line="264"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Subsidiary of Scotts hereby represents and warrants that the representations and warranties with respect to it contained in Section 4 of the Credit Agreement and each of the other Loan Documents to which such Subsidiary of Scotts is a party or which are contained in any certificate furnished by or on behalf of such Subsidiary of Scotts are true and correct on the date hereof.</w:t>
      </w:r>
    </w:p>
    <w:p>
      <w:pPr>
        <w:spacing w:after="0" w:line="73" w:lineRule="exact"/>
        <w:rPr>
          <w:rFonts w:ascii="Arial" w:cs="Arial" w:eastAsia="Arial" w:hAnsi="Arial"/>
          <w:sz w:val="18"/>
          <w:szCs w:val="18"/>
          <w:color w:val="auto"/>
        </w:rPr>
      </w:pPr>
    </w:p>
    <w:p>
      <w:pPr>
        <w:ind w:left="400" w:hanging="167"/>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and jurisdiction of incorporation of the undersigned Subsidiary of Scotts is set forth in Annex I to this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ind w:left="-233" w:firstLine="233"/>
        <w:spacing w:after="0" w:line="282" w:lineRule="auto"/>
        <w:tabs>
          <w:tab w:leader="none" w:pos="16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AGREEMENT SHALL BE GOVERNED BY, AND CONSTRUED AND INTERPRETED IN ACCORDANCE WITH, THE LAWS OF THE STATE OF NEW YORK WITHOUT REGARD TO THE PRINCIPLES OF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369570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7"/>
          </w:cols>
          <w:pgMar w:left="473" w:top="932" w:right="379" w:bottom="1440" w:gutter="0" w:footer="0" w:header="0"/>
        </w:sectPr>
      </w:pPr>
    </w:p>
    <w:bookmarkStart w:id="44" w:name="page45"/>
    <w:bookmarkEnd w:id="44"/>
    <w:p>
      <w:pPr>
        <w:ind w:firstLine="225"/>
        <w:spacing w:after="0" w:line="277" w:lineRule="auto"/>
        <w:rPr>
          <w:sz w:val="20"/>
          <w:szCs w:val="20"/>
          <w:color w:val="auto"/>
        </w:rPr>
      </w:pPr>
      <w:r>
        <w:rPr>
          <w:rFonts w:ascii="Arial" w:cs="Arial" w:eastAsia="Arial" w:hAnsi="Arial"/>
          <w:sz w:val="18"/>
          <w:szCs w:val="18"/>
          <w:color w:val="auto"/>
        </w:rPr>
        <w:t>IN WITNESS WHEREOF, each of the undersigned has caused this Joinder Agreement to be duly executed and delivered in New York, New York by its proper and duly authorized officer as of the date set forth below.</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GUTWEIN &amp; CO., INC.,</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 and CFO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ANNEX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Organized in the State of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05/05/2006 — Columbus — 9893001</w:t>
      </w:r>
    </w:p>
    <w:p>
      <w:pPr>
        <w:sectPr>
          <w:pgSz w:w="11900" w:h="16838" w:orient="portrait"/>
          <w:cols w:equalWidth="0" w:num="1">
            <w:col w:w="11420"/>
          </w:cols>
          <w:pgMar w:left="240"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4(c)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ASSUMPTION AGREEMENT</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This ASSUMPTION AGREEMENT, dated as of February 23, 2006, made by SMG Growing Media, Inc., an Ohio corporation (“</w:t>
      </w:r>
      <w:r>
        <w:rPr>
          <w:rFonts w:ascii="Arial" w:cs="Arial" w:eastAsia="Arial" w:hAnsi="Arial"/>
          <w:sz w:val="16"/>
          <w:szCs w:val="16"/>
          <w:u w:val="single" w:color="auto"/>
          <w:color w:val="auto"/>
        </w:rPr>
        <w:t>SMGGM</w:t>
      </w:r>
      <w:r>
        <w:rPr>
          <w:rFonts w:ascii="Arial" w:cs="Arial" w:eastAsia="Arial" w:hAnsi="Arial"/>
          <w:sz w:val="16"/>
          <w:szCs w:val="16"/>
          <w:color w:val="auto"/>
        </w:rPr>
        <w:t>”) and Rod McLellan Company, a California corporation (“</w:t>
      </w:r>
      <w:r>
        <w:rPr>
          <w:rFonts w:ascii="Arial" w:cs="Arial" w:eastAsia="Arial" w:hAnsi="Arial"/>
          <w:sz w:val="16"/>
          <w:szCs w:val="16"/>
          <w:u w:val="single" w:color="auto"/>
          <w:color w:val="auto"/>
        </w:rPr>
        <w:t>McLellan</w:t>
      </w:r>
      <w:r>
        <w:rPr>
          <w:rFonts w:ascii="Arial" w:cs="Arial" w:eastAsia="Arial" w:hAnsi="Arial"/>
          <w:sz w:val="16"/>
          <w:szCs w:val="16"/>
          <w:color w:val="auto"/>
        </w:rPr>
        <w:t>”, and together with SMGGM, collectively the “</w:t>
      </w:r>
      <w:r>
        <w:rPr>
          <w:rFonts w:ascii="Arial" w:cs="Arial" w:eastAsia="Arial" w:hAnsi="Arial"/>
          <w:sz w:val="16"/>
          <w:szCs w:val="16"/>
          <w:u w:val="single" w:color="auto"/>
          <w:color w:val="auto"/>
        </w:rPr>
        <w:t>Additional Grantors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banks and other financial institutions (the “</w:t>
      </w:r>
      <w:r>
        <w:rPr>
          <w:rFonts w:ascii="Arial" w:cs="Arial" w:eastAsia="Arial" w:hAnsi="Arial"/>
          <w:sz w:val="16"/>
          <w:szCs w:val="16"/>
          <w:u w:val="single" w:color="auto"/>
          <w:color w:val="auto"/>
        </w:rPr>
        <w:t>Lenders</w:t>
      </w:r>
      <w:r>
        <w:rPr>
          <w:rFonts w:ascii="Arial" w:cs="Arial" w:eastAsia="Arial" w:hAnsi="Arial"/>
          <w:sz w:val="16"/>
          <w:szCs w:val="16"/>
          <w:color w:val="auto"/>
        </w:rPr>
        <w:t>”) parties to the Credit Agreement referred to below. All capitalized terms not defined herein shall have the meaning ascribed to them in such Credit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17"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WHEREAS,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the Lenders, the Administrative Agent, the Documentation Agent and the Syndication Agent have entered into a Revolving Credit Agreement, dated as of July 21, 2005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73"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Grantors) have entered into the Guarantee and Collateral Agreement, dated as of July 21, 2005 (as amended, supplemented or otherwise modified from time to time, the “</w:t>
      </w:r>
      <w:r>
        <w:rPr>
          <w:rFonts w:ascii="Arial" w:cs="Arial" w:eastAsia="Arial" w:hAnsi="Arial"/>
          <w:sz w:val="18"/>
          <w:szCs w:val="18"/>
          <w:u w:val="single" w:color="auto"/>
          <w:color w:val="auto"/>
        </w:rPr>
        <w:t>Guarantee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in favor of the Administrative Agent for the benefit of the Lenders;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Credit Agreement requires the Additional Grantors to become a party to the Guarantee and Collateral Agreement; and</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WHEREAS, the Additional Grantors have agreed to execute and deliver this Assumption Agreement in order that each become a party to the Guarantee and Collateral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100" w:firstLine="233"/>
        <w:spacing w:after="0" w:line="255" w:lineRule="auto"/>
        <w:tabs>
          <w:tab w:leader="none" w:pos="4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By executing and delivering this Assumption Agreement, the Additional Grantors, as provided in Section 9.14 of the Guarantee and Collateral Agreement, hereby become parties to the Guarantee and Collateral Agreement each as a Grantor thereunder with the same force and effect as if each was originally named therein as a Grantor and, without limiting the generality of the foregoing, hereby expressly assumes all obligations and liabilities of a Grantor thereunder. The information set forth in Annex 1-A hereto is hereby added to the information set forth in the Schedules to the Guarantee and Collateral Agreement. The Additional Grantors hereby represent and warrant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77" w:lineRule="exact"/>
        <w:rPr>
          <w:rFonts w:ascii="Arial" w:cs="Arial" w:eastAsia="Arial" w:hAnsi="Arial"/>
          <w:sz w:val="18"/>
          <w:szCs w:val="18"/>
          <w:color w:val="auto"/>
        </w:rPr>
      </w:pPr>
    </w:p>
    <w:p>
      <w:pPr>
        <w:ind w:right="820" w:firstLine="233"/>
        <w:spacing w:after="0" w:line="282" w:lineRule="auto"/>
        <w:tabs>
          <w:tab w:leader="none" w:pos="40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ROD MCLELLAN COMPANY</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Executive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05/05/2006 — Columbus — 9893774</w:t>
      </w:r>
    </w:p>
    <w:p>
      <w:pPr>
        <w:sectPr>
          <w:pgSz w:w="11900" w:h="16838" w:orient="portrait"/>
          <w:cols w:equalWidth="0" w:num="1">
            <w:col w:w="11420"/>
          </w:cols>
          <w:pgMar w:left="240" w:top="9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ASSUMPTION AGREEMENT</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This ASSUMPTION AGREEMENT, dated as of February 23, 2006, made by Gutwein &amp; Co., Inc., an Indiana corporation (the “</w:t>
      </w:r>
      <w:r>
        <w:rPr>
          <w:rFonts w:ascii="Arial" w:cs="Arial" w:eastAsia="Arial" w:hAnsi="Arial"/>
          <w:sz w:val="18"/>
          <w:szCs w:val="18"/>
          <w:u w:val="single" w:color="auto"/>
          <w:color w:val="auto"/>
        </w:rPr>
        <w:t>Additional Grantor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Credit Agreement referred to below. All capitalized terms not defined herein shall have the meaning ascribed to them in such Credit Agreement.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17"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WHEREAS,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the Lenders, the Administrative Agent, the Documentation Agent and the Syndication Agent have entered into a Revolving Credit Agreement, dated as of July 21, 2005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73"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Grantor) have entered into the Guarantee and Collateral Agreement, dated as of July 21, 2005 (as amended, supplemented or otherwise modified from time to time, the “</w:t>
      </w:r>
      <w:r>
        <w:rPr>
          <w:rFonts w:ascii="Arial" w:cs="Arial" w:eastAsia="Arial" w:hAnsi="Arial"/>
          <w:sz w:val="18"/>
          <w:szCs w:val="18"/>
          <w:u w:val="single" w:color="auto"/>
          <w:color w:val="auto"/>
        </w:rPr>
        <w:t>Guarantee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in favor of the Administrative Agent for the benefit of the Lenders;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Credit Agreement requires the Additional Grantor to become a party to the Guarantee and Collateral Agreement; and</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that it become a party to the Guarantee and Collateral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80" w:firstLine="233"/>
        <w:spacing w:after="0" w:line="255" w:lineRule="auto"/>
        <w:tabs>
          <w:tab w:leader="none" w:pos="40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By executing and delivering this Assumption Agreement, the Additional Grantor, as provided in Section 9.14 of the Guarantee and Collateral Agreement, hereby becomes a party to the Guarantee and Collateral Agreement as a Grantor thereunder with the same force and effect as if it was originally named therein as a Grantor and, without limiting the generality of the foregoing, hereby expressly assumes all obligations and liabilities of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77" w:lineRule="exact"/>
        <w:rPr>
          <w:rFonts w:ascii="Arial" w:cs="Arial" w:eastAsia="Arial" w:hAnsi="Arial"/>
          <w:sz w:val="18"/>
          <w:szCs w:val="18"/>
          <w:color w:val="auto"/>
        </w:rPr>
      </w:pPr>
    </w:p>
    <w:p>
      <w:pPr>
        <w:ind w:right="820" w:firstLine="233"/>
        <w:spacing w:after="0" w:line="282" w:lineRule="auto"/>
        <w:tabs>
          <w:tab w:leader="none" w:pos="40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GUTWEIN &amp; CO., INC.</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Christopher L. Nagel</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Executive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 to Schedule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05/05/2006 — Columbus — 9893773</w:t>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117"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FIRST AMENDMENT, dated as of March 2, 2006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to the Revolving Credit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21, 2005, by and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from time to time parties to this agreement, the several banks and other financial institutions from time to time parties to this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the Syndication Agents and Documentation Agents named therein, and JPMorgan Chase Bank, N.A., as administrative agent for the Lenders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Borrower has requested that the Credit Agreement be amended as provided herein;</w:t>
      </w:r>
    </w:p>
    <w:p>
      <w:pPr>
        <w:spacing w:after="0" w:line="117" w:lineRule="exact"/>
        <w:rPr>
          <w:sz w:val="20"/>
          <w:szCs w:val="20"/>
          <w:color w:val="auto"/>
        </w:rPr>
      </w:pPr>
    </w:p>
    <w:p>
      <w:pPr>
        <w:ind w:right="440" w:firstLine="447"/>
        <w:spacing w:after="0" w:line="277" w:lineRule="auto"/>
        <w:rPr>
          <w:sz w:val="20"/>
          <w:szCs w:val="20"/>
          <w:color w:val="auto"/>
        </w:rPr>
      </w:pPr>
      <w:r>
        <w:rPr>
          <w:rFonts w:ascii="Arial" w:cs="Arial" w:eastAsia="Arial" w:hAnsi="Arial"/>
          <w:sz w:val="18"/>
          <w:szCs w:val="18"/>
          <w:color w:val="auto"/>
        </w:rPr>
        <w:t>WHEREAS, the Lenders and the Administrative Agent are willing to agree to such amendments to the Credit Agreement, subject to the terms and conditions set forth herein;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premises and of the mutual agreements herein contained, the parties hereto agree as follows:</w:t>
      </w:r>
    </w:p>
    <w:p>
      <w:pPr>
        <w:spacing w:after="0" w:line="129" w:lineRule="exact"/>
        <w:rPr>
          <w:sz w:val="20"/>
          <w:szCs w:val="20"/>
          <w:color w:val="auto"/>
        </w:rPr>
      </w:pPr>
    </w:p>
    <w:p>
      <w:pPr>
        <w:ind w:right="600" w:firstLine="233"/>
        <w:spacing w:after="0" w:line="277"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capitalized terms used herein shall have the respective meanings assigned to them in the Credit Agreement.</w:t>
      </w:r>
    </w:p>
    <w:p>
      <w:pPr>
        <w:spacing w:after="0" w:line="62" w:lineRule="exact"/>
        <w:rPr>
          <w:rFonts w:ascii="Arial" w:cs="Arial" w:eastAsia="Arial" w:hAnsi="Arial"/>
          <w:sz w:val="18"/>
          <w:szCs w:val="18"/>
          <w:color w:val="auto"/>
        </w:rPr>
      </w:pPr>
    </w:p>
    <w:p>
      <w:pPr>
        <w:ind w:right="420" w:firstLine="233"/>
        <w:spacing w:after="0" w:line="277"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 to Subsection 1.1 (Definitions)</w:t>
      </w:r>
      <w:r>
        <w:rPr>
          <w:rFonts w:ascii="Arial" w:cs="Arial" w:eastAsia="Arial" w:hAnsi="Arial"/>
          <w:sz w:val="18"/>
          <w:szCs w:val="18"/>
          <w:color w:val="auto"/>
        </w:rPr>
        <w:t>. The definition of “Sold Receivables” in subsection 1.1 of the Credit Agreement is hereby amended by deleting it in its entirety and inserting in lieu thereof the following new definition:</w:t>
      </w:r>
    </w:p>
    <w:p>
      <w:pPr>
        <w:spacing w:after="0" w:line="62" w:lineRule="exact"/>
        <w:rPr>
          <w:sz w:val="20"/>
          <w:szCs w:val="20"/>
          <w:color w:val="auto"/>
        </w:rPr>
      </w:pPr>
    </w:p>
    <w:p>
      <w:pPr>
        <w:ind w:left="360"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Receivables</w:t>
      </w:r>
      <w:r>
        <w:rPr>
          <w:rFonts w:ascii="Arial" w:cs="Arial" w:eastAsia="Arial" w:hAnsi="Arial"/>
          <w:sz w:val="18"/>
          <w:szCs w:val="18"/>
          <w:color w:val="auto"/>
        </w:rPr>
        <w:t>” shall mean Receivables originated by the Borrower or its Subsidiaries (including any related assets) sold to a Receivables Subsidiary or any other Person pursuant to and securing obligations under any Receivables Purchase Facility in an amount not to exceed $200,000,000, at any time outstanding.</w:t>
      </w:r>
    </w:p>
    <w:p>
      <w:pPr>
        <w:spacing w:after="0" w:line="73" w:lineRule="exact"/>
        <w:rPr>
          <w:sz w:val="20"/>
          <w:szCs w:val="20"/>
          <w:color w:val="auto"/>
        </w:rPr>
      </w:pPr>
    </w:p>
    <w:p>
      <w:pPr>
        <w:ind w:right="180" w:firstLine="233"/>
        <w:spacing w:after="0" w:line="342" w:lineRule="auto"/>
        <w:tabs>
          <w:tab w:leader="none" w:pos="40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Amendment to Subsection 7.6 (Limitation on Restrictions on Subsidiary Distributions)</w:t>
      </w:r>
      <w:r>
        <w:rPr>
          <w:rFonts w:ascii="Arial" w:cs="Arial" w:eastAsia="Arial" w:hAnsi="Arial"/>
          <w:sz w:val="16"/>
          <w:szCs w:val="16"/>
          <w:color w:val="auto"/>
        </w:rPr>
        <w:t>. Subsection 7.6 of the Credit Agreement is hereby amended by inserting “(other than a Receivables Subsidiary in connection with a Receivables Purchase Facility)” following “which is not a Subsidiary Guarantor”.</w:t>
      </w:r>
    </w:p>
    <w:p>
      <w:pPr>
        <w:spacing w:after="0" w:line="15" w:lineRule="exact"/>
        <w:rPr>
          <w:rFonts w:ascii="Arial" w:cs="Arial" w:eastAsia="Arial" w:hAnsi="Arial"/>
          <w:sz w:val="16"/>
          <w:szCs w:val="16"/>
          <w:color w:val="auto"/>
        </w:rPr>
      </w:pPr>
    </w:p>
    <w:p>
      <w:pPr>
        <w:jc w:val="both"/>
        <w:ind w:right="140" w:firstLine="233"/>
        <w:spacing w:after="0" w:line="259"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On and as of the date hereof, and after giving effect to this First Amendment, each of the Borrower and the Subsidiary Borrowers hereby confirms, reaffirms and restates the representations and warranties set forth in Section 4 of the Credit Agreement </w:t>
      </w:r>
      <w:r>
        <w:rPr>
          <w:rFonts w:ascii="Arial" w:cs="Arial" w:eastAsia="Arial" w:hAnsi="Arial"/>
          <w:sz w:val="18"/>
          <w:szCs w:val="18"/>
          <w:u w:val="single" w:color="auto"/>
          <w:color w:val="auto"/>
        </w:rPr>
        <w:t>mutatis mutandis</w:t>
      </w:r>
      <w:r>
        <w:rPr>
          <w:rFonts w:ascii="Arial" w:cs="Arial" w:eastAsia="Arial" w:hAnsi="Arial"/>
          <w:sz w:val="18"/>
          <w:szCs w:val="18"/>
          <w:color w:val="auto"/>
        </w:rPr>
        <w:t>, and to the extent that such representations and warranties expressly relate to a specific earlier date in which case it hereby confirms, reaffirms and restates such representations and warranties as of such earlier date.</w:t>
      </w:r>
    </w:p>
    <w:p>
      <w:pPr>
        <w:spacing w:after="0" w:line="78" w:lineRule="exact"/>
        <w:rPr>
          <w:rFonts w:ascii="Arial" w:cs="Arial" w:eastAsia="Arial" w:hAnsi="Arial"/>
          <w:sz w:val="18"/>
          <w:szCs w:val="18"/>
          <w:color w:val="auto"/>
        </w:rPr>
      </w:pPr>
    </w:p>
    <w:p>
      <w:pPr>
        <w:ind w:right="20" w:firstLine="233"/>
        <w:spacing w:after="0" w:line="264"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First Amendment shall become effective as of the date set forth above upon the receipt by the Administrative Agent of counterparts of this First Amendment, duly executed and delivered by the Administrative Agent, the Borrower, each Subsidiary Borrower and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jc w:val="both"/>
        <w:ind w:left="-80" w:firstLine="233"/>
        <w:spacing w:after="0" w:line="257" w:lineRule="auto"/>
        <w:tabs>
          <w:tab w:leader="none" w:pos="32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Continuing Effect; No Other Amendments</w:t>
      </w:r>
      <w:r>
        <w:rPr>
          <w:rFonts w:ascii="Arial" w:cs="Arial" w:eastAsia="Arial" w:hAnsi="Arial"/>
          <w:sz w:val="18"/>
          <w:szCs w:val="18"/>
          <w:color w:val="auto"/>
        </w:rPr>
        <w:t>. Except as expressly amended or waived hereby, all of the terms and provisions of the Credit Agreement are and shall remain in full force and effect. The amendments provided for herein are limited to the specific subsections of the Credit Agreement specified herein and shall not constitute an amendment of, or an indication of any Lender’s willingness to amend or waive, any other provisions of the Credit Agreement or the same subsections for any other date or time period (whether or not other provisions or compliance with such subsections for another date or time period are affected by the circumstances addressed in this First Amendment).</w:t>
      </w:r>
    </w:p>
    <w:p>
      <w:pPr>
        <w:spacing w:after="0" w:line="80" w:lineRule="exact"/>
        <w:rPr>
          <w:rFonts w:ascii="Arial" w:cs="Arial" w:eastAsia="Arial" w:hAnsi="Arial"/>
          <w:sz w:val="18"/>
          <w:szCs w:val="18"/>
          <w:color w:val="auto"/>
        </w:rPr>
      </w:pPr>
    </w:p>
    <w:p>
      <w:pPr>
        <w:ind w:left="-80" w:firstLine="233"/>
        <w:spacing w:after="0" w:line="264" w:lineRule="auto"/>
        <w:tabs>
          <w:tab w:leader="none" w:pos="32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Borrower agrees to pay and reimburse the Administrative Agent for all its reasonable costs and expenses incurred in connection with the preparation and delivery of this First Amendment, including, without limitation the reasonable fees and disbursements of counsel to the Administrative Agent.</w:t>
      </w:r>
    </w:p>
    <w:p>
      <w:pPr>
        <w:spacing w:after="0" w:line="69" w:lineRule="exact"/>
        <w:rPr>
          <w:rFonts w:ascii="Arial" w:cs="Arial" w:eastAsia="Arial" w:hAnsi="Arial"/>
          <w:sz w:val="18"/>
          <w:szCs w:val="18"/>
          <w:color w:val="auto"/>
        </w:rPr>
      </w:pPr>
    </w:p>
    <w:p>
      <w:pPr>
        <w:ind w:left="-80" w:right="1000" w:firstLine="233"/>
        <w:spacing w:after="0" w:line="282" w:lineRule="auto"/>
        <w:tabs>
          <w:tab w:leader="none" w:pos="325"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FIRST AMENDMENT SHALL BE GOVERNED BY, AND CONSTRUED AND INTERPRETED IN ACCORDANCE WITH, THE LAWS OF THE STATE OF NEW YORK.</w:t>
      </w:r>
    </w:p>
    <w:p>
      <w:pPr>
        <w:spacing w:after="0" w:line="57" w:lineRule="exact"/>
        <w:rPr>
          <w:rFonts w:ascii="Arial" w:cs="Arial" w:eastAsia="Arial" w:hAnsi="Arial"/>
          <w:sz w:val="18"/>
          <w:szCs w:val="18"/>
          <w:color w:val="auto"/>
        </w:rPr>
      </w:pPr>
    </w:p>
    <w:p>
      <w:pPr>
        <w:ind w:left="-80" w:right="200" w:firstLine="233"/>
        <w:spacing w:after="0" w:line="277" w:lineRule="auto"/>
        <w:tabs>
          <w:tab w:leader="none" w:pos="32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by the parties hereto in any number of separate counterparts, and all of said counterparts taken together shall be deemed to constitute one and the same instrument.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54" w:name="page55"/>
    <w:bookmarkEnd w:id="54"/>
    <w:p>
      <w:pPr>
        <w:ind w:firstLine="450"/>
        <w:spacing w:after="0" w:line="277" w:lineRule="auto"/>
        <w:rPr>
          <w:sz w:val="20"/>
          <w:szCs w:val="20"/>
          <w:color w:val="auto"/>
        </w:rPr>
      </w:pPr>
      <w:r>
        <w:rPr>
          <w:rFonts w:ascii="Arial" w:cs="Arial" w:eastAsia="Arial" w:hAnsi="Arial"/>
          <w:sz w:val="18"/>
          <w:szCs w:val="18"/>
          <w:color w:val="auto"/>
        </w:rPr>
        <w:t>IN WITNESS WHEREOF, the parties hereto have caused this First Amendment to be duly executed and delivered in New York, New York by their proper and duly authorized officers as of the day and year first above written.</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 and CFO</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HYPONEX CORPORATION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Assistant Secretary</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SCOTTS AUSTRALIA PTY. LTD.</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SCOTTS CANADA LTD.</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&amp; Assistant Secretary</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SCOTTS HOLDINGS LIMITED</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936" w:right="559" w:bottom="1440" w:gutter="0" w:footer="0" w:header="0"/>
        </w:sectPr>
      </w:pPr>
    </w:p>
    <w:bookmarkStart w:id="55" w:name="page56"/>
    <w:bookmarkEnd w:id="55"/>
    <w:p>
      <w:pPr>
        <w:ind w:left="3920"/>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Executive Vice President and CFO</w:t>
      </w:r>
    </w:p>
    <w:p>
      <w:pPr>
        <w:spacing w:after="0" w:line="200" w:lineRule="exact"/>
        <w:rPr>
          <w:sz w:val="20"/>
          <w:szCs w:val="20"/>
          <w:color w:val="auto"/>
        </w:rPr>
      </w:pPr>
    </w:p>
    <w:p>
      <w:pPr>
        <w:spacing w:after="0" w:line="23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EG SYSTEMS, INC.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Vice President &amp; Assistant Secretary</w:t>
      </w:r>
    </w:p>
    <w:p>
      <w:pPr>
        <w:spacing w:after="0" w:line="200" w:lineRule="exact"/>
        <w:rPr>
          <w:sz w:val="20"/>
          <w:szCs w:val="20"/>
          <w:color w:val="auto"/>
        </w:rPr>
      </w:pPr>
    </w:p>
    <w:p>
      <w:pPr>
        <w:spacing w:after="0" w:line="25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SCOTTS TEMECULA OPERATIONS, LLC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Executive Vice President and CFO</w:t>
      </w:r>
    </w:p>
    <w:p>
      <w:pPr>
        <w:spacing w:after="0" w:line="200" w:lineRule="exact"/>
        <w:rPr>
          <w:sz w:val="20"/>
          <w:szCs w:val="20"/>
          <w:color w:val="auto"/>
        </w:rPr>
      </w:pPr>
    </w:p>
    <w:p>
      <w:pPr>
        <w:spacing w:after="0" w:line="23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SCOTTS COMPANY (UK) LTD.</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SCOTTS TREASURY EEIG</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Brian K. Weyer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Brian K. Weyer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56" w:name="page57"/>
    <w:bookmarkEnd w:id="56"/>
    <w:p>
      <w:pPr>
        <w:ind w:left="392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Executive Vice President and CFO</w:t>
      </w:r>
    </w:p>
    <w:p>
      <w:pPr>
        <w:spacing w:after="0" w:line="200" w:lineRule="exact"/>
        <w:rPr>
          <w:sz w:val="20"/>
          <w:szCs w:val="20"/>
          <w:color w:val="auto"/>
        </w:rPr>
      </w:pPr>
    </w:p>
    <w:p>
      <w:pPr>
        <w:spacing w:after="0" w:line="23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Executive Vice President and CFO</w:t>
      </w:r>
    </w:p>
    <w:p>
      <w:pPr>
        <w:spacing w:after="0" w:line="200" w:lineRule="exact"/>
        <w:rPr>
          <w:sz w:val="20"/>
          <w:szCs w:val="20"/>
          <w:color w:val="auto"/>
        </w:rPr>
      </w:pPr>
    </w:p>
    <w:p>
      <w:pPr>
        <w:spacing w:after="0" w:line="23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7"/>
          <w:szCs w:val="17"/>
          <w:color w:val="auto"/>
        </w:rPr>
        <w:t>Title:</w:t>
        <w:tab/>
        <w:t>Executive Vice President and CFO</w:t>
      </w:r>
    </w:p>
    <w:p>
      <w:pPr>
        <w:spacing w:after="0" w:line="200" w:lineRule="exact"/>
        <w:rPr>
          <w:sz w:val="20"/>
          <w:szCs w:val="20"/>
          <w:color w:val="auto"/>
        </w:rPr>
      </w:pPr>
    </w:p>
    <w:p>
      <w:pPr>
        <w:spacing w:after="0" w:line="23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Edward R. Claggett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Vice President &amp;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w:t>
      </w:r>
    </w:p>
    <w:p>
      <w:pPr>
        <w:spacing w:after="0" w:line="2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JPMORGAN CHASE BANK, as Administrative Agent and as 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Randolph Cates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Sharon Burks Horos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Sharon Burks Horos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Ben Ciallelia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Ben Ciallelia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BNP PARIBAS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Andrew Strait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Andrew Strait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3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 Grumboski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 Grumboski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CALYON NEW YORK BRANCH</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Lee E. Greve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tabs>
          <w:tab w:leader="none" w:pos="18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Joseph Philbin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Joseph Philbin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w:t>
      </w:r>
    </w:p>
    <w:p>
      <w:pPr>
        <w:spacing w:after="0" w:line="2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CITICORP NORTH AMERICA, INC.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Richard M. Levin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Richard M.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CITIZENS BANK OF PENNSYLVANIA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Dwayne R. Finney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Dwayne R. Finney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COBANK, ACB</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 Richard Dill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 Richard 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Scott M. Kowalski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COOPERATIEVE CENTRALE RAIFFEISEN-</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BOERENLEENBANK B.A., “RABOBANK</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INTERNATIONAL” New York Branch</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 /s/ Peter Duncan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Peter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95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Executive Director</w:t>
      </w:r>
    </w:p>
    <w:p>
      <w:pPr>
        <w:spacing w:after="0" w:line="23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 /s/ Andrew Sherman</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Andrew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870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18"/>
          <w:szCs w:val="18"/>
          <w:color w:val="auto"/>
        </w:rPr>
        <w:t>Title:</w:t>
        <w:tab/>
        <w:t>Counsel/Executive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w:t>
      </w:r>
    </w:p>
    <w:p>
      <w:pPr>
        <w:spacing w:after="0" w:line="2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FARM CREDIT BANK OF TEXAS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Luis Requejo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Luis Requejo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FIFTH THIRD BANK, AN OHIO</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BANKING CORPORATION</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D. Jones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Christopher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FORTIS CAPITAL CORP.</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John W. Deegan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W. Deegan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FORTIS CAPITAL CORP.</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Michiel Van der Voort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Michiel Van der Voort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HARRIS N.A.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John Stichnoth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Stichnoth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LASALLE BANK NATIONAL ASSOCIATION</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Ted Lape</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Ted Lape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-130810</wp:posOffset>
            </wp:positionV>
            <wp:extent cx="2752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280"/>
        <w:spacing w:after="0"/>
        <w:tabs>
          <w:tab w:leader="none" w:pos="4840" w:val="left"/>
        </w:tabs>
        <w:rPr>
          <w:sz w:val="20"/>
          <w:szCs w:val="20"/>
          <w:color w:val="auto"/>
        </w:rPr>
      </w:pPr>
      <w:r>
        <w:rPr>
          <w:rFonts w:ascii="Arial" w:cs="Arial" w:eastAsia="Arial" w:hAnsi="Arial"/>
          <w:sz w:val="18"/>
          <w:szCs w:val="18"/>
          <w:color w:val="auto"/>
        </w:rPr>
        <w:t>Title:</w:t>
        <w:tab/>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w:t>
      </w:r>
    </w:p>
    <w:p>
      <w:pPr>
        <w:spacing w:after="0" w:line="2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NATIONAL CITY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Thomas E. Redmond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Thomas E.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PEOPLE’S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George F. Paik</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Thomas E.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SCOTIABANC INC.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William E. Zarrett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William E. Zarrett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tabs>
          <w:tab w:leader="none" w:pos="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SCOTIABANK EUROPE PLC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David Willis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David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780"/>
        <w:spacing w:after="0"/>
        <w:tabs>
          <w:tab w:leader="none" w:pos="18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Yoshihiro Hyakutome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Yoshihiro Hyakutome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700"/>
        <w:spacing w:after="0"/>
        <w:tabs>
          <w:tab w:leader="none" w:pos="180" w:val="left"/>
        </w:tabs>
        <w:rPr>
          <w:sz w:val="20"/>
          <w:szCs w:val="20"/>
          <w:color w:val="auto"/>
        </w:rPr>
      </w:pPr>
      <w:r>
        <w:rPr>
          <w:rFonts w:ascii="Arial" w:cs="Arial" w:eastAsia="Arial" w:hAnsi="Arial"/>
          <w:sz w:val="18"/>
          <w:szCs w:val="18"/>
          <w:color w:val="auto"/>
        </w:rPr>
        <w:t>Title:</w:t>
        <w:tab/>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Heidi M. Khambatta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Heidi M. Khambatta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THE BANK OF NEW YORK</w:t>
      </w:r>
    </w:p>
    <w:p>
      <w:pPr>
        <w:spacing w:after="0" w:line="23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Kenneth R. McDonnell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Kenneth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 YORK BRANCH</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Maria Ferradas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Maria Ferradas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BANK OF TOKYO-MITSUBISHI UFJ Trust Company</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Maria Ferradas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Maria Ferradas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NORTHERN TRUST COMPANY</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David Graham</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David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Commercial Banking Officer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Robert H. Friend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Robert H.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220"/>
          </w:cols>
          <w:pgMar w:left="1440" w:top="136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4(f)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INCREASE SUPPLEMENT</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SUPPLEMENT, dated February 24, 2006, to the Revolving Credit Agreement, dated as of July 21, 2005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subsidiaries of the Borrower from time to time parties thereto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and Citicorp North America, Inc., as Syndication Agents, Bank of Tokyo-Mitsubishi Trust Company, BNP Paribas, CoBank, ACB, Harris, N.A., Rabobank International, and Suntrust Bank, as Documentation Agents and JPMorgan Chase Bank, N.A. (together with its banking affiliates, as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 :</w:t>
      </w:r>
    </w:p>
    <w:p>
      <w:pPr>
        <w:spacing w:after="0" w:line="117"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WHEREAS, the Credit Agreement provides in subsection 2.23(a) thereof that any Lender to which a commitment increase is offered may increase the amount of its Revolving Credit Commitment in respect of each or any of the Revolving Credit Facilities by executing and delivering to the Borrower, the Subsidiary Borrowers and the Administrative Agent a supplement to the Credit Agreement in substantially the form of this Supplement; and</w:t>
      </w:r>
    </w:p>
    <w:p>
      <w:pPr>
        <w:spacing w:after="0" w:line="39" w:lineRule="exact"/>
        <w:rPr>
          <w:sz w:val="20"/>
          <w:szCs w:val="20"/>
          <w:color w:val="auto"/>
        </w:rPr>
      </w:pPr>
    </w:p>
    <w:p>
      <w:pPr>
        <w:ind w:left="240" w:right="1720" w:hanging="2"/>
        <w:spacing w:after="0" w:line="375" w:lineRule="auto"/>
        <w:rPr>
          <w:sz w:val="20"/>
          <w:szCs w:val="20"/>
          <w:color w:val="auto"/>
        </w:rPr>
      </w:pPr>
      <w:r>
        <w:rPr>
          <w:rFonts w:ascii="Arial" w:cs="Arial" w:eastAsia="Arial" w:hAnsi="Arial"/>
          <w:sz w:val="18"/>
          <w:szCs w:val="18"/>
          <w:color w:val="auto"/>
        </w:rPr>
        <w:t>WHEREAS, the undersigned now desires to increase the amount of its Revolving Credit Commitment under the Credit Agreement; NOW, THEREFORE, the undersigned hereby agrees as follows:</w:t>
      </w:r>
    </w:p>
    <w:p>
      <w:pPr>
        <w:spacing w:after="0" w:line="1" w:lineRule="exact"/>
        <w:rPr>
          <w:sz w:val="20"/>
          <w:szCs w:val="20"/>
          <w:color w:val="auto"/>
        </w:rPr>
      </w:pPr>
    </w:p>
    <w:p>
      <w:pPr>
        <w:ind w:left="360" w:right="60" w:firstLine="215"/>
        <w:spacing w:after="0" w:line="264"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agrees, subject to the terms and conditions of the Credit Agreement, that on the date this Supplement is accepted by the Borrower, the Subsidiary Borrowers and the Administrative Agent it shall have its Revolving Credit Commitment increased by $10,000,000 in respect of Facility A, thereby making the amount of its Revolving Credit Commitment $40,000,000 in respect of Facility A.</w:t>
      </w:r>
    </w:p>
    <w:p>
      <w:pPr>
        <w:spacing w:after="0" w:line="73" w:lineRule="exact"/>
        <w:rPr>
          <w:rFonts w:ascii="Arial" w:cs="Arial" w:eastAsia="Arial" w:hAnsi="Arial"/>
          <w:sz w:val="18"/>
          <w:szCs w:val="18"/>
          <w:color w:val="auto"/>
        </w:rPr>
      </w:pPr>
    </w:p>
    <w:p>
      <w:pPr>
        <w:ind w:left="760" w:hanging="18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ind w:firstLine="225"/>
        <w:spacing w:after="0" w:line="277" w:lineRule="auto"/>
        <w:rPr>
          <w:sz w:val="20"/>
          <w:szCs w:val="20"/>
          <w:color w:val="auto"/>
        </w:rPr>
      </w:pPr>
      <w:r>
        <w:rPr>
          <w:rFonts w:ascii="Arial" w:cs="Arial" w:eastAsia="Arial" w:hAnsi="Arial"/>
          <w:sz w:val="18"/>
          <w:szCs w:val="18"/>
          <w:color w:val="auto"/>
        </w:rPr>
        <w:t>IN WITNESS WHEREOF, the undersigned has caused this Supplement to be executed and delivered by a duly authorized officer on the date first above written.</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ind w:left="512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Molly J. Drennan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Molly J. Drennan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Commitment Increase Supplement — SUNTRUST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6" w:right="4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3"/>
        </w:trPr>
        <w:tc>
          <w:tcPr>
            <w:tcW w:w="1020" w:type="dxa"/>
            <w:vAlign w:val="bottom"/>
            <w:gridSpan w:val="2"/>
          </w:tcPr>
          <w:p>
            <w:pPr>
              <w:spacing w:after="0"/>
              <w:rPr>
                <w:sz w:val="20"/>
                <w:szCs w:val="20"/>
                <w:color w:val="auto"/>
              </w:rPr>
            </w:pPr>
            <w:r>
              <w:rPr>
                <w:rFonts w:ascii="Arial" w:cs="Arial" w:eastAsia="Arial" w:hAnsi="Arial"/>
                <w:sz w:val="18"/>
                <w:szCs w:val="18"/>
                <w:color w:val="auto"/>
                <w:w w:val="92"/>
              </w:rPr>
              <w:t>Accepted this</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79"/>
              </w:rPr>
              <w:t>th</w:t>
            </w:r>
          </w:p>
        </w:tc>
        <w:tc>
          <w:tcPr>
            <w:tcW w:w="1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day of February, 2006.</w:t>
            </w:r>
          </w:p>
        </w:tc>
      </w:tr>
      <w:tr>
        <w:trPr>
          <w:trHeight w:val="20"/>
        </w:trPr>
        <w:tc>
          <w:tcPr>
            <w:tcW w:w="104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40"/>
        </w:trPr>
        <w:tc>
          <w:tcPr>
            <w:tcW w:w="4580" w:type="dxa"/>
            <w:vAlign w:val="bottom"/>
            <w:gridSpan w:val="8"/>
          </w:tcPr>
          <w:p>
            <w:pPr>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gridSpan w:val="7"/>
          </w:tcPr>
          <w:p>
            <w:pPr>
              <w:ind w:left="4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4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gridSpan w:val="6"/>
          </w:tcPr>
          <w:p>
            <w:pPr>
              <w:ind w:left="2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6"/>
          </w:tcPr>
          <w:p>
            <w:pPr>
              <w:ind w:left="2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8"/>
          </w:tcPr>
          <w:p>
            <w:pPr>
              <w:spacing w:after="0"/>
              <w:rPr>
                <w:sz w:val="20"/>
                <w:szCs w:val="20"/>
                <w:color w:val="auto"/>
              </w:rPr>
            </w:pPr>
            <w:r>
              <w:rPr>
                <w:rFonts w:ascii="Arial" w:cs="Arial" w:eastAsia="Arial" w:hAnsi="Arial"/>
                <w:sz w:val="18"/>
                <w:szCs w:val="18"/>
                <w:color w:val="auto"/>
              </w:rPr>
              <w:t>HYPONEX CORPORATION</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gridSpan w:val="7"/>
          </w:tcPr>
          <w:p>
            <w:pPr>
              <w:ind w:left="4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4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gridSpan w:val="6"/>
          </w:tcPr>
          <w:p>
            <w:pPr>
              <w:ind w:left="20"/>
              <w:spacing w:after="0"/>
              <w:rPr>
                <w:sz w:val="20"/>
                <w:szCs w:val="20"/>
                <w:color w:val="auto"/>
              </w:rPr>
            </w:pPr>
            <w:r>
              <w:rPr>
                <w:rFonts w:ascii="Arial" w:cs="Arial" w:eastAsia="Arial" w:hAnsi="Arial"/>
                <w:sz w:val="18"/>
                <w:szCs w:val="18"/>
                <w:color w:val="auto"/>
              </w:rPr>
              <w:t>Edward R. Claggett</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6"/>
          </w:tcPr>
          <w:p>
            <w:pPr>
              <w:ind w:left="20"/>
              <w:spacing w:after="0"/>
              <w:rPr>
                <w:sz w:val="20"/>
                <w:szCs w:val="20"/>
                <w:color w:val="auto"/>
              </w:rPr>
            </w:pPr>
            <w:r>
              <w:rPr>
                <w:rFonts w:ascii="Arial" w:cs="Arial" w:eastAsia="Arial" w:hAnsi="Arial"/>
                <w:sz w:val="18"/>
                <w:szCs w:val="18"/>
                <w:color w:val="auto"/>
              </w:rPr>
              <w:t>Vice President and Assistant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SCOTTS AUSTRALIA PTY. LTD.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CANADA LTD.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Vice President &amp;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HOLDINGS LIMITED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Director</w:t>
      </w:r>
    </w:p>
    <w:p>
      <w:pPr>
        <w:spacing w:after="0" w:line="319" w:lineRule="exact"/>
        <w:rPr>
          <w:sz w:val="20"/>
          <w:szCs w:val="20"/>
          <w:color w:val="auto"/>
        </w:rPr>
      </w:pPr>
    </w:p>
    <w:p>
      <w:pPr>
        <w:jc w:val="right"/>
        <w:ind w:right="2719"/>
        <w:spacing w:after="0"/>
        <w:rPr>
          <w:sz w:val="20"/>
          <w:szCs w:val="20"/>
          <w:color w:val="auto"/>
        </w:rPr>
      </w:pPr>
      <w:r>
        <w:rPr>
          <w:rFonts w:ascii="Arial" w:cs="Arial" w:eastAsia="Arial" w:hAnsi="Arial"/>
          <w:sz w:val="18"/>
          <w:szCs w:val="18"/>
          <w:i w:val="1"/>
          <w:iCs w:val="1"/>
          <w:color w:val="auto"/>
        </w:rPr>
        <w:t>Commitment Increase Supplement — SUNTRUST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85"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Christopher L. Nagel</w:t>
            </w:r>
          </w:p>
        </w:tc>
      </w:tr>
      <w:tr>
        <w:trPr>
          <w:trHeight w:val="209"/>
        </w:trPr>
        <w:tc>
          <w:tcPr>
            <w:tcW w:w="420" w:type="dxa"/>
            <w:vAlign w:val="bottom"/>
          </w:tcPr>
          <w:p>
            <w:pPr>
              <w:spacing w:after="0"/>
              <w:rPr>
                <w:sz w:val="18"/>
                <w:szCs w:val="18"/>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Name:</w:t>
            </w:r>
          </w:p>
        </w:tc>
        <w:tc>
          <w:tcPr>
            <w:tcW w:w="36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4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EG SYSTEMS,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420" w:type="dxa"/>
            <w:vAlign w:val="bottom"/>
          </w:tcPr>
          <w:p>
            <w:pPr>
              <w:spacing w:after="0"/>
              <w:rPr>
                <w:sz w:val="18"/>
                <w:szCs w:val="18"/>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Name:</w:t>
            </w:r>
          </w:p>
        </w:tc>
        <w:tc>
          <w:tcPr>
            <w:tcW w:w="36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Edward R. Claggett</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4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Vice President &amp; Assistant Secretary</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SCOTTS TEMECULA OPERATIONS, LLC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420" w:type="dxa"/>
            <w:vAlign w:val="bottom"/>
          </w:tcPr>
          <w:p>
            <w:pPr>
              <w:spacing w:after="0"/>
              <w:rPr>
                <w:sz w:val="18"/>
                <w:szCs w:val="18"/>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Name:</w:t>
            </w:r>
          </w:p>
        </w:tc>
        <w:tc>
          <w:tcPr>
            <w:tcW w:w="36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4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Executive Vice President and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(UK) LTD.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TREASURY EEIG</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K. Weyer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K. Weyer</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Manager</w:t>
      </w:r>
    </w:p>
    <w:p>
      <w:pPr>
        <w:spacing w:after="0" w:line="319" w:lineRule="exact"/>
        <w:rPr>
          <w:sz w:val="20"/>
          <w:szCs w:val="20"/>
          <w:color w:val="auto"/>
        </w:rPr>
      </w:pPr>
    </w:p>
    <w:p>
      <w:pPr>
        <w:jc w:val="right"/>
        <w:ind w:right="2719"/>
        <w:spacing w:after="0"/>
        <w:rPr>
          <w:sz w:val="20"/>
          <w:szCs w:val="20"/>
          <w:color w:val="auto"/>
        </w:rPr>
      </w:pPr>
      <w:r>
        <w:rPr>
          <w:rFonts w:ascii="Arial" w:cs="Arial" w:eastAsia="Arial" w:hAnsi="Arial"/>
          <w:sz w:val="18"/>
          <w:szCs w:val="18"/>
          <w:i w:val="1"/>
          <w:iCs w:val="1"/>
          <w:color w:val="auto"/>
        </w:rPr>
        <w:t>Commitment Increase Supplement — SUNTRUST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L. Nagel</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L. Nagel</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L. Nagel</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Vice President and Assistant Secretary</w:t>
      </w:r>
    </w:p>
    <w:p>
      <w:pPr>
        <w:spacing w:after="0" w:line="319" w:lineRule="exact"/>
        <w:rPr>
          <w:sz w:val="20"/>
          <w:szCs w:val="20"/>
          <w:color w:val="auto"/>
        </w:rPr>
      </w:pPr>
    </w:p>
    <w:p>
      <w:pPr>
        <w:jc w:val="right"/>
        <w:ind w:right="2719"/>
        <w:spacing w:after="0"/>
        <w:rPr>
          <w:sz w:val="20"/>
          <w:szCs w:val="20"/>
          <w:color w:val="auto"/>
        </w:rPr>
      </w:pPr>
      <w:r>
        <w:rPr>
          <w:rFonts w:ascii="Arial" w:cs="Arial" w:eastAsia="Arial" w:hAnsi="Arial"/>
          <w:sz w:val="18"/>
          <w:szCs w:val="18"/>
          <w:i w:val="1"/>
          <w:iCs w:val="1"/>
          <w:color w:val="auto"/>
        </w:rPr>
        <w:t>Commitment Increase Supplement — SUNTRUST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Accepted this </w:t>
      </w:r>
      <w:r>
        <w:rPr>
          <w:rFonts w:ascii="Arial" w:cs="Arial" w:eastAsia="Arial" w:hAnsi="Arial"/>
          <w:sz w:val="18"/>
          <w:szCs w:val="18"/>
          <w:u w:val="single" w:color="auto"/>
          <w:color w:val="auto"/>
        </w:rPr>
        <w:t>24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February,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Randolph Cates</w:t>
      </w:r>
    </w:p>
    <w:p>
      <w:pPr>
        <w:spacing w:after="0" w:line="23"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jc w:val="right"/>
        <w:ind w:right="2719"/>
        <w:spacing w:after="0"/>
        <w:rPr>
          <w:sz w:val="20"/>
          <w:szCs w:val="20"/>
          <w:color w:val="auto"/>
        </w:rPr>
      </w:pPr>
      <w:r>
        <w:rPr>
          <w:rFonts w:ascii="Arial" w:cs="Arial" w:eastAsia="Arial" w:hAnsi="Arial"/>
          <w:sz w:val="18"/>
          <w:szCs w:val="18"/>
          <w:i w:val="1"/>
          <w:iCs w:val="1"/>
          <w:color w:val="auto"/>
        </w:rPr>
        <w:t>Commitment Increase Supplement — SUNTRUST</w:t>
      </w:r>
    </w:p>
    <w:p>
      <w:pPr>
        <w:sectPr>
          <w:pgSz w:w="11900" w:h="16838" w:orient="portrait"/>
          <w:cols w:equalWidth="0" w:num="1">
            <w:col w:w="10219"/>
          </w:cols>
          <w:pgMar w:left="240" w:top="936"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4(g)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INCREASE SUPPLEMENT</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SUPPLEMENT, dated February 24, 2006, to the Revolving Credit Agreement, dated as of July 21, 2005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subsidiaries of the Borrower from time to time parties thereto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and Citicorp North America, Inc., as Syndication Agents, Bank of Tokyo-Mitsubishi Trust Company, BNP Paribas, CoBank, ACB, Harris, N.A., Rabobank International, and Suntrust Bank, as Documentation Agents and JPMorgan Chase Bank, N.A. (together with its banking affiliates, as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 :</w:t>
      </w:r>
    </w:p>
    <w:p>
      <w:pPr>
        <w:spacing w:after="0" w:line="117"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WHEREAS, the Credit Agreement provides in subsection 2.23(a) thereof that any Lender to which a commitment increase is offered may increase the amount of its Revolving Credit Commitment in respect of each or any of the Revolving Credit Facilities by executing and delivering to the Borrower, the Subsidiary Borrowers and the Administrative Agent a supplement to the Credit Agreement in substantially the form of this Supplement; and</w:t>
      </w:r>
    </w:p>
    <w:p>
      <w:pPr>
        <w:spacing w:after="0" w:line="39" w:lineRule="exact"/>
        <w:rPr>
          <w:sz w:val="20"/>
          <w:szCs w:val="20"/>
          <w:color w:val="auto"/>
        </w:rPr>
      </w:pPr>
    </w:p>
    <w:p>
      <w:pPr>
        <w:ind w:left="240" w:right="1720" w:hanging="2"/>
        <w:spacing w:after="0" w:line="375" w:lineRule="auto"/>
        <w:rPr>
          <w:sz w:val="20"/>
          <w:szCs w:val="20"/>
          <w:color w:val="auto"/>
        </w:rPr>
      </w:pPr>
      <w:r>
        <w:rPr>
          <w:rFonts w:ascii="Arial" w:cs="Arial" w:eastAsia="Arial" w:hAnsi="Arial"/>
          <w:sz w:val="18"/>
          <w:szCs w:val="18"/>
          <w:color w:val="auto"/>
        </w:rPr>
        <w:t>WHEREAS, the undersigned now desires to increase the amount of its Revolving Credit Commitment under the Credit Agreement; NOW, THEREFORE, the undersigned hereby agrees as follows:</w:t>
      </w:r>
    </w:p>
    <w:p>
      <w:pPr>
        <w:spacing w:after="0" w:line="1" w:lineRule="exact"/>
        <w:rPr>
          <w:sz w:val="20"/>
          <w:szCs w:val="20"/>
          <w:color w:val="auto"/>
        </w:rPr>
      </w:pPr>
    </w:p>
    <w:p>
      <w:pPr>
        <w:ind w:left="360" w:right="60" w:firstLine="215"/>
        <w:spacing w:after="0" w:line="264" w:lineRule="auto"/>
        <w:tabs>
          <w:tab w:leader="none" w:pos="7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agrees, subject to the terms and conditions of the Credit Agreement, that on the date this Supplement is accepted by the Borrower, the Subsidiary Borrowers and the Administrative Agent it shall have its Revolving Credit Commitment increased by $12,000,000 in respect of Facility A, thereby making the amount of its Revolving Credit Commitment $17,000,000 in respect of Facility A.</w:t>
      </w:r>
    </w:p>
    <w:p>
      <w:pPr>
        <w:spacing w:after="0" w:line="73" w:lineRule="exact"/>
        <w:rPr>
          <w:rFonts w:ascii="Arial" w:cs="Arial" w:eastAsia="Arial" w:hAnsi="Arial"/>
          <w:sz w:val="18"/>
          <w:szCs w:val="18"/>
          <w:color w:val="auto"/>
        </w:rPr>
      </w:pPr>
    </w:p>
    <w:p>
      <w:pPr>
        <w:ind w:left="760" w:hanging="185"/>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9" w:name="page70"/>
    <w:bookmarkEnd w:id="69"/>
    <w:p>
      <w:pPr>
        <w:ind w:firstLine="225"/>
        <w:spacing w:after="0" w:line="277" w:lineRule="auto"/>
        <w:rPr>
          <w:sz w:val="20"/>
          <w:szCs w:val="20"/>
          <w:color w:val="auto"/>
        </w:rPr>
      </w:pPr>
      <w:r>
        <w:rPr>
          <w:rFonts w:ascii="Arial" w:cs="Arial" w:eastAsia="Arial" w:hAnsi="Arial"/>
          <w:sz w:val="18"/>
          <w:szCs w:val="18"/>
          <w:color w:val="auto"/>
        </w:rPr>
        <w:t>IN WITNESS WHEREOF, the undersigned has caused this Supplement to be executed and delivered by a duly authorized officer on the date first above written.</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512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Sharon Burks Horos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Sharon Burks Horos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Commitment Increase Supplement — 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Accepted this </w:t>
      </w:r>
      <w:r>
        <w:rPr>
          <w:rFonts w:ascii="Arial" w:cs="Arial" w:eastAsia="Arial" w:hAnsi="Arial"/>
          <w:sz w:val="18"/>
          <w:szCs w:val="18"/>
          <w:u w:val="single" w:color="auto"/>
          <w:color w:val="auto"/>
        </w:rPr>
        <w:t>24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February,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HYPONEX CORPORATION</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Edward R. Claggett</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Vice President and Assistant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SCOTTS AUSTRALIA PTY. LTD.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CANADA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420" w:type="dxa"/>
            <w:vAlign w:val="bottom"/>
          </w:tcPr>
          <w:p>
            <w:pPr>
              <w:spacing w:after="0"/>
              <w:rPr>
                <w:sz w:val="18"/>
                <w:szCs w:val="18"/>
                <w:color w:val="auto"/>
              </w:rPr>
            </w:pPr>
          </w:p>
        </w:tc>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Edward R. Claggett</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3760" w:type="dxa"/>
            <w:vAlign w:val="bottom"/>
          </w:tcPr>
          <w:p>
            <w:pPr>
              <w:ind w:left="260"/>
              <w:spacing w:after="0"/>
              <w:rPr>
                <w:sz w:val="20"/>
                <w:szCs w:val="20"/>
                <w:color w:val="auto"/>
              </w:rPr>
            </w:pPr>
            <w:r>
              <w:rPr>
                <w:rFonts w:ascii="Arial" w:cs="Arial" w:eastAsia="Arial" w:hAnsi="Arial"/>
                <w:sz w:val="18"/>
                <w:szCs w:val="18"/>
                <w:color w:val="auto"/>
              </w:rPr>
              <w:t>Vice President &amp; Assistant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SCOTTS HOLDINGS LIMITED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Title:</w:t>
        <w:tab/>
        <w:t>Director</w:t>
      </w:r>
    </w:p>
    <w:p>
      <w:pPr>
        <w:spacing w:after="0" w:line="319" w:lineRule="exact"/>
        <w:rPr>
          <w:sz w:val="20"/>
          <w:szCs w:val="20"/>
          <w:color w:val="auto"/>
        </w:rPr>
      </w:pPr>
    </w:p>
    <w:p>
      <w:pPr>
        <w:jc w:val="right"/>
        <w:ind w:right="2159"/>
        <w:spacing w:after="0"/>
        <w:rPr>
          <w:sz w:val="20"/>
          <w:szCs w:val="20"/>
          <w:color w:val="auto"/>
        </w:rPr>
      </w:pPr>
      <w:r>
        <w:rPr>
          <w:rFonts w:ascii="Arial" w:cs="Arial" w:eastAsia="Arial" w:hAnsi="Arial"/>
          <w:sz w:val="18"/>
          <w:szCs w:val="18"/>
          <w:i w:val="1"/>
          <w:iCs w:val="1"/>
          <w:color w:val="auto"/>
        </w:rPr>
        <w:t>Commitment Increase Supplement — 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Christopher L. Nagel</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EG SYSTEMS,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Edward R. Claggett</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Vice President &amp; Assistant Secretary</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SCOTTS TEMECULA OPERATIONS, LLC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(UK) LTD.</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R. Claggett</w:t>
      </w:r>
    </w:p>
    <w:p>
      <w:pPr>
        <w:spacing w:after="0" w:line="2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TREASURY EEIG</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K. Weyer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K. Weyer</w:t>
      </w:r>
    </w:p>
    <w:p>
      <w:pPr>
        <w:spacing w:after="0" w:line="2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Title:</w:t>
        <w:tab/>
        <w:t>Manager</w:t>
      </w:r>
    </w:p>
    <w:p>
      <w:pPr>
        <w:spacing w:after="0" w:line="319" w:lineRule="exact"/>
        <w:rPr>
          <w:sz w:val="20"/>
          <w:szCs w:val="20"/>
          <w:color w:val="auto"/>
        </w:rPr>
      </w:pPr>
    </w:p>
    <w:p>
      <w:pPr>
        <w:jc w:val="right"/>
        <w:ind w:right="2159"/>
        <w:spacing w:after="0"/>
        <w:rPr>
          <w:sz w:val="20"/>
          <w:szCs w:val="20"/>
          <w:color w:val="auto"/>
        </w:rPr>
      </w:pPr>
      <w:r>
        <w:rPr>
          <w:rFonts w:ascii="Arial" w:cs="Arial" w:eastAsia="Arial" w:hAnsi="Arial"/>
          <w:sz w:val="18"/>
          <w:szCs w:val="18"/>
          <w:i w:val="1"/>
          <w:iCs w:val="1"/>
          <w:color w:val="auto"/>
        </w:rPr>
        <w:t>Commitment Increase Supplement — 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SMITH &amp; HAWKEN, LTD.</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Christopher L. Nagel</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SMG GROWING MEDIA,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Christopher L. Nagel</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GUTWEIN &amp; CO., INC.</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42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Edward R. Claggett</w:t>
            </w:r>
          </w:p>
        </w:tc>
      </w:tr>
      <w:tr>
        <w:trPr>
          <w:trHeight w:val="230"/>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Vice President and Assistant Secretary</w:t>
            </w:r>
          </w:p>
        </w:tc>
      </w:tr>
    </w:tbl>
    <w:p>
      <w:pPr>
        <w:spacing w:after="0" w:line="310" w:lineRule="exact"/>
        <w:rPr>
          <w:sz w:val="20"/>
          <w:szCs w:val="20"/>
          <w:color w:val="auto"/>
        </w:rPr>
      </w:pPr>
    </w:p>
    <w:p>
      <w:pPr>
        <w:jc w:val="right"/>
        <w:ind w:right="2159"/>
        <w:spacing w:after="0"/>
        <w:rPr>
          <w:sz w:val="20"/>
          <w:szCs w:val="20"/>
          <w:color w:val="auto"/>
        </w:rPr>
      </w:pPr>
      <w:r>
        <w:rPr>
          <w:rFonts w:ascii="Arial" w:cs="Arial" w:eastAsia="Arial" w:hAnsi="Arial"/>
          <w:sz w:val="18"/>
          <w:szCs w:val="18"/>
          <w:i w:val="1"/>
          <w:iCs w:val="1"/>
          <w:color w:val="auto"/>
        </w:rPr>
        <w:t>Commitment Increase Supplement — 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73" w:name="page74"/>
    <w:bookmarkEnd w:id="73"/>
    <w:p>
      <w:pPr>
        <w:spacing w:after="0"/>
        <w:tabs>
          <w:tab w:leader="none" w:pos="1160" w:val="left"/>
          <w:tab w:leader="none" w:pos="1720" w:val="left"/>
        </w:tabs>
        <w:rPr>
          <w:sz w:val="20"/>
          <w:szCs w:val="20"/>
          <w:color w:val="auto"/>
        </w:rPr>
      </w:pPr>
      <w:r>
        <w:rPr>
          <w:rFonts w:ascii="Arial" w:cs="Arial" w:eastAsia="Arial" w:hAnsi="Arial"/>
          <w:sz w:val="18"/>
          <w:szCs w:val="18"/>
          <w:color w:val="auto"/>
        </w:rPr>
        <w:t>Accepted this</w:t>
        <w:tab/>
        <w:t>24</w:t>
      </w:r>
      <w:r>
        <w:rPr>
          <w:rFonts w:ascii="Arial" w:cs="Arial" w:eastAsia="Arial" w:hAnsi="Arial"/>
          <w:sz w:val="15"/>
          <w:szCs w:val="15"/>
          <w:u w:val="single" w:color="auto"/>
          <w:color w:val="auto"/>
        </w:rPr>
        <w:t>th</w:t>
      </w:r>
      <w:r>
        <w:rPr>
          <w:sz w:val="20"/>
          <w:szCs w:val="20"/>
          <w:color w:val="auto"/>
        </w:rPr>
        <w:tab/>
      </w:r>
      <w:r>
        <w:rPr>
          <w:rFonts w:ascii="Arial" w:cs="Arial" w:eastAsia="Arial" w:hAnsi="Arial"/>
          <w:sz w:val="16"/>
          <w:szCs w:val="16"/>
          <w:color w:val="auto"/>
        </w:rPr>
        <w:t>day of February,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-10160</wp:posOffset>
            </wp:positionV>
            <wp:extent cx="4184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84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416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Randolph Cates</w:t>
      </w:r>
    </w:p>
    <w:p>
      <w:pPr>
        <w:spacing w:after="0" w:line="2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jc w:val="right"/>
        <w:ind w:right="2159"/>
        <w:spacing w:after="0"/>
        <w:rPr>
          <w:sz w:val="20"/>
          <w:szCs w:val="20"/>
          <w:color w:val="auto"/>
        </w:rPr>
      </w:pPr>
      <w:r>
        <w:rPr>
          <w:rFonts w:ascii="Arial" w:cs="Arial" w:eastAsia="Arial" w:hAnsi="Arial"/>
          <w:sz w:val="18"/>
          <w:szCs w:val="18"/>
          <w:i w:val="1"/>
          <w:iCs w:val="1"/>
          <w:color w:val="auto"/>
        </w:rPr>
        <w:t>Commitment Increase Supplement — BANK OF AMERICA, N.A.</w:t>
      </w:r>
    </w:p>
    <w:p>
      <w:pPr>
        <w:sectPr>
          <w:pgSz w:w="11900" w:h="16838" w:orient="portrait"/>
          <w:cols w:equalWidth="0" w:num="1">
            <w:col w:w="10219"/>
          </w:cols>
          <w:pgMar w:left="240" w:top="935"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4(h)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INCREASE SUPPLEMENT</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SUPPLEMENT, dated February 24, 2006, to the Revolving Credit Agreement, dated as of July 21, 2005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subsidiaries of the Borrower from time to time parties thereto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and Citicorp North America, Inc., as Syndication Agents, Bank of Tokyo-Mitsubishi Trust Company, BNP Paribas, CoBank, ACB, Harris, N.A., Rabobank International, and Suntrust Bank, as Documentation Agents and JPMorgan Chase Bank, N.A. (together with its banking affiliates, as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 :</w:t>
      </w:r>
    </w:p>
    <w:p>
      <w:pPr>
        <w:spacing w:after="0" w:line="117"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WHEREAS, the Credit Agreement provides in subsection 2.23(a) thereof that any Lender to which a commitment increase is offered may increase the amount of its Revolving Credit Commitment in respect of each or any of the Revolving Credit Facilities by executing and delivering to the Borrower, the Subsidiary Borrowers and the Administrative Agent a supplement to the Credit Agreement in substantially the form of this Supplement; and</w:t>
      </w:r>
    </w:p>
    <w:p>
      <w:pPr>
        <w:spacing w:after="0" w:line="39" w:lineRule="exact"/>
        <w:rPr>
          <w:sz w:val="20"/>
          <w:szCs w:val="20"/>
          <w:color w:val="auto"/>
        </w:rPr>
      </w:pPr>
    </w:p>
    <w:p>
      <w:pPr>
        <w:ind w:left="240" w:right="1720" w:hanging="2"/>
        <w:spacing w:after="0" w:line="375" w:lineRule="auto"/>
        <w:rPr>
          <w:sz w:val="20"/>
          <w:szCs w:val="20"/>
          <w:color w:val="auto"/>
        </w:rPr>
      </w:pPr>
      <w:r>
        <w:rPr>
          <w:rFonts w:ascii="Arial" w:cs="Arial" w:eastAsia="Arial" w:hAnsi="Arial"/>
          <w:sz w:val="18"/>
          <w:szCs w:val="18"/>
          <w:color w:val="auto"/>
        </w:rPr>
        <w:t>WHEREAS, the undersigned now desires to increase the amount of its Revolving Credit Commitment under the Credit Agreement; NOW, THEREFORE, the undersigned hereby agrees as follows:</w:t>
      </w:r>
    </w:p>
    <w:p>
      <w:pPr>
        <w:spacing w:after="0" w:line="1" w:lineRule="exact"/>
        <w:rPr>
          <w:sz w:val="20"/>
          <w:szCs w:val="20"/>
          <w:color w:val="auto"/>
        </w:rPr>
      </w:pPr>
    </w:p>
    <w:p>
      <w:pPr>
        <w:ind w:left="360" w:right="60" w:firstLine="215"/>
        <w:spacing w:after="0" w:line="277"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agrees, subject to the terms and conditions of the Credit Agreement, that on the date this Supplement is accepted by the Borrower, the Subsidiary Borrowers and the Administrative Agent it shall have its Revolving Credit Commitment increased by:</w:t>
      </w:r>
    </w:p>
    <w:p>
      <w:pPr>
        <w:spacing w:after="0" w:line="62" w:lineRule="exact"/>
        <w:rPr>
          <w:rFonts w:ascii="Arial" w:cs="Arial" w:eastAsia="Arial" w:hAnsi="Arial"/>
          <w:sz w:val="18"/>
          <w:szCs w:val="18"/>
          <w:color w:val="auto"/>
        </w:rPr>
      </w:pPr>
    </w:p>
    <w:p>
      <w:pPr>
        <w:ind w:left="900" w:hanging="207"/>
        <w:spacing w:after="0"/>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$15,000,000 in respect of Facility B, thereby making the amount of its Revolving Credit Commitment $60,000,000 in respect of Facility B;</w:t>
      </w:r>
    </w:p>
    <w:p>
      <w:pPr>
        <w:spacing w:after="0" w:line="128" w:lineRule="exact"/>
        <w:rPr>
          <w:rFonts w:ascii="Arial" w:cs="Arial" w:eastAsia="Arial" w:hAnsi="Arial"/>
          <w:sz w:val="17"/>
          <w:szCs w:val="17"/>
          <w:color w:val="auto"/>
        </w:rPr>
      </w:pPr>
    </w:p>
    <w:p>
      <w:pPr>
        <w:ind w:left="960" w:hanging="267"/>
        <w:spacing w:after="0"/>
        <w:tabs>
          <w:tab w:leader="none" w:pos="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$1,250,000 in respect of Facility C, thereby making the amount of its Revolving Credit Commitment $26,250,000 in respect of Facility C;</w:t>
      </w:r>
    </w:p>
    <w:p>
      <w:pPr>
        <w:spacing w:after="0" w:line="128" w:lineRule="exact"/>
        <w:rPr>
          <w:rFonts w:ascii="Arial" w:cs="Arial" w:eastAsia="Arial" w:hAnsi="Arial"/>
          <w:sz w:val="17"/>
          <w:szCs w:val="17"/>
          <w:color w:val="auto"/>
        </w:rPr>
      </w:pPr>
    </w:p>
    <w:p>
      <w:pPr>
        <w:ind w:left="1000" w:hanging="307"/>
        <w:spacing w:after="0"/>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$1,750,000 in respect of Facility D, thereby making the amount of its Revolving Credit Commitment $1,750,000 in respect of Facility D.</w:t>
      </w:r>
    </w:p>
    <w:p>
      <w:pPr>
        <w:spacing w:after="0" w:line="128" w:lineRule="exact"/>
        <w:rPr>
          <w:rFonts w:ascii="Arial" w:cs="Arial" w:eastAsia="Arial" w:hAnsi="Arial"/>
          <w:sz w:val="17"/>
          <w:szCs w:val="17"/>
          <w:color w:val="auto"/>
        </w:rPr>
      </w:pPr>
    </w:p>
    <w:p>
      <w:pPr>
        <w:ind w:left="760" w:hanging="185"/>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5" w:name="page76"/>
    <w:bookmarkEnd w:id="75"/>
    <w:p>
      <w:pPr>
        <w:ind w:firstLine="225"/>
        <w:spacing w:after="0" w:line="277" w:lineRule="auto"/>
        <w:rPr>
          <w:sz w:val="20"/>
          <w:szCs w:val="20"/>
          <w:color w:val="auto"/>
        </w:rPr>
      </w:pPr>
      <w:r>
        <w:rPr>
          <w:rFonts w:ascii="Arial" w:cs="Arial" w:eastAsia="Arial" w:hAnsi="Arial"/>
          <w:sz w:val="18"/>
          <w:szCs w:val="18"/>
          <w:color w:val="auto"/>
        </w:rPr>
        <w:t>IN WITNESS WHEREOF, the undersigned has caused this Supplement to be executed and delivered by a duly authorized officer on the date first above written.</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574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812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Commitment Increase Supplement —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6" w:right="459" w:bottom="1440" w:gutter="0" w:footer="0" w:header="0"/>
        </w:sectPr>
      </w:pPr>
    </w:p>
    <w:bookmarkStart w:id="76" w:name="page77"/>
    <w:bookmarkEnd w:id="76"/>
    <w:p>
      <w:pPr>
        <w:spacing w:after="0"/>
        <w:tabs>
          <w:tab w:leader="none" w:pos="1160" w:val="left"/>
          <w:tab w:leader="none" w:pos="1720" w:val="left"/>
        </w:tabs>
        <w:rPr>
          <w:sz w:val="20"/>
          <w:szCs w:val="20"/>
          <w:color w:val="auto"/>
        </w:rPr>
      </w:pPr>
      <w:r>
        <w:rPr>
          <w:rFonts w:ascii="Arial" w:cs="Arial" w:eastAsia="Arial" w:hAnsi="Arial"/>
          <w:sz w:val="18"/>
          <w:szCs w:val="18"/>
          <w:color w:val="auto"/>
        </w:rPr>
        <w:t>Accepted this</w:t>
        <w:tab/>
        <w:t>24</w:t>
      </w:r>
      <w:r>
        <w:rPr>
          <w:rFonts w:ascii="Arial" w:cs="Arial" w:eastAsia="Arial" w:hAnsi="Arial"/>
          <w:sz w:val="15"/>
          <w:szCs w:val="15"/>
          <w:u w:val="single" w:color="auto"/>
          <w:color w:val="auto"/>
        </w:rPr>
        <w:t>th</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-10160</wp:posOffset>
            </wp:positionV>
            <wp:extent cx="4184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84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HYPONEX CORPORATION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 and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AUSTRALIA PTY.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CANADA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 &amp;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HOLDINGS LIMITED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319" w:lineRule="exact"/>
        <w:rPr>
          <w:sz w:val="20"/>
          <w:szCs w:val="20"/>
          <w:color w:val="auto"/>
        </w:rPr>
      </w:pPr>
    </w:p>
    <w:p>
      <w:pPr>
        <w:jc w:val="right"/>
        <w:ind w:right="1919"/>
        <w:spacing w:after="0"/>
        <w:rPr>
          <w:sz w:val="20"/>
          <w:szCs w:val="20"/>
          <w:color w:val="auto"/>
        </w:rPr>
      </w:pPr>
      <w:r>
        <w:rPr>
          <w:rFonts w:ascii="Arial" w:cs="Arial" w:eastAsia="Arial" w:hAnsi="Arial"/>
          <w:sz w:val="18"/>
          <w:szCs w:val="18"/>
          <w:i w:val="1"/>
          <w:iCs w:val="1"/>
          <w:color w:val="auto"/>
        </w:rPr>
        <w:t>Commitment Increase Supplement —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7"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Christopher L. Nagel</w:t>
            </w:r>
          </w:p>
        </w:tc>
      </w:tr>
      <w:tr>
        <w:trPr>
          <w:trHeight w:val="209"/>
        </w:trPr>
        <w:tc>
          <w:tcPr>
            <w:tcW w:w="380" w:type="dxa"/>
            <w:vAlign w:val="bottom"/>
          </w:tcPr>
          <w:p>
            <w:pPr>
              <w:spacing w:after="0"/>
              <w:rPr>
                <w:sz w:val="18"/>
                <w:szCs w:val="18"/>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Christopher L. Nagel</w:t>
            </w:r>
          </w:p>
        </w:tc>
      </w:tr>
      <w:tr>
        <w:trPr>
          <w:trHeight w:val="230"/>
        </w:trPr>
        <w:tc>
          <w:tcPr>
            <w:tcW w:w="860" w:type="dxa"/>
            <w:vAlign w:val="bottom"/>
            <w:gridSpan w:val="3"/>
          </w:tcPr>
          <w:p>
            <w:pPr>
              <w:ind w:left="380"/>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640" w:type="dxa"/>
            <w:vAlign w:val="bottom"/>
            <w:gridSpan w:val="4"/>
          </w:tcPr>
          <w:p>
            <w:pPr>
              <w:spacing w:after="0"/>
              <w:rPr>
                <w:sz w:val="20"/>
                <w:szCs w:val="20"/>
                <w:color w:val="auto"/>
              </w:rPr>
            </w:pPr>
            <w:r>
              <w:rPr>
                <w:rFonts w:ascii="Arial" w:cs="Arial" w:eastAsia="Arial" w:hAnsi="Arial"/>
                <w:sz w:val="18"/>
                <w:szCs w:val="18"/>
                <w:color w:val="auto"/>
              </w:rPr>
              <w:t>EG SYSTEMS, INC.</w:t>
            </w: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/s/ Edward R. Claggett</w:t>
            </w:r>
          </w:p>
        </w:tc>
      </w:tr>
      <w:tr>
        <w:trPr>
          <w:trHeight w:val="209"/>
        </w:trPr>
        <w:tc>
          <w:tcPr>
            <w:tcW w:w="380" w:type="dxa"/>
            <w:vAlign w:val="bottom"/>
          </w:tcPr>
          <w:p>
            <w:pPr>
              <w:spacing w:after="0"/>
              <w:rPr>
                <w:sz w:val="18"/>
                <w:szCs w:val="18"/>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Edward R. Claggett</w:t>
            </w:r>
          </w:p>
        </w:tc>
      </w:tr>
      <w:tr>
        <w:trPr>
          <w:trHeight w:val="230"/>
        </w:trPr>
        <w:tc>
          <w:tcPr>
            <w:tcW w:w="780" w:type="dxa"/>
            <w:vAlign w:val="bottom"/>
            <w:gridSpan w:val="2"/>
          </w:tcPr>
          <w:p>
            <w:pPr>
              <w:ind w:left="380"/>
              <w:spacing w:after="0"/>
              <w:rPr>
                <w:sz w:val="20"/>
                <w:szCs w:val="20"/>
                <w:color w:val="auto"/>
              </w:rPr>
            </w:pPr>
            <w:r>
              <w:rPr>
                <w:rFonts w:ascii="Arial" w:cs="Arial" w:eastAsia="Arial" w:hAnsi="Arial"/>
                <w:sz w:val="18"/>
                <w:szCs w:val="18"/>
                <w:color w:val="auto"/>
                <w:w w:val="97"/>
              </w:rPr>
              <w:t>Title:</w:t>
            </w:r>
          </w:p>
        </w:tc>
        <w:tc>
          <w:tcPr>
            <w:tcW w:w="8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Vice President &amp; Assistant Secretary</w:t>
            </w:r>
          </w:p>
        </w:tc>
      </w:tr>
      <w:tr>
        <w:trPr>
          <w:trHeight w:val="432"/>
        </w:trPr>
        <w:tc>
          <w:tcPr>
            <w:tcW w:w="4640" w:type="dxa"/>
            <w:vAlign w:val="bottom"/>
            <w:gridSpan w:val="4"/>
          </w:tcPr>
          <w:p>
            <w:pPr>
              <w:spacing w:after="0"/>
              <w:rPr>
                <w:sz w:val="20"/>
                <w:szCs w:val="20"/>
                <w:color w:val="auto"/>
              </w:rPr>
            </w:pPr>
            <w:r>
              <w:rPr>
                <w:rFonts w:ascii="Arial" w:cs="Arial" w:eastAsia="Arial" w:hAnsi="Arial"/>
                <w:sz w:val="18"/>
                <w:szCs w:val="18"/>
                <w:color w:val="auto"/>
              </w:rPr>
              <w:t>SCOTTS TEMECULA OPERATIONS, LLC</w:t>
            </w: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380" w:type="dxa"/>
            <w:vAlign w:val="bottom"/>
          </w:tcPr>
          <w:p>
            <w:pPr>
              <w:spacing w:after="0"/>
              <w:rPr>
                <w:sz w:val="18"/>
                <w:szCs w:val="18"/>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Christopher L. Nagel</w:t>
            </w:r>
          </w:p>
        </w:tc>
      </w:tr>
      <w:tr>
        <w:trPr>
          <w:trHeight w:val="230"/>
        </w:trPr>
        <w:tc>
          <w:tcPr>
            <w:tcW w:w="780" w:type="dxa"/>
            <w:vAlign w:val="bottom"/>
            <w:gridSpan w:val="2"/>
          </w:tcPr>
          <w:p>
            <w:pPr>
              <w:ind w:left="380"/>
              <w:spacing w:after="0"/>
              <w:rPr>
                <w:sz w:val="20"/>
                <w:szCs w:val="20"/>
                <w:color w:val="auto"/>
              </w:rPr>
            </w:pPr>
            <w:r>
              <w:rPr>
                <w:rFonts w:ascii="Arial" w:cs="Arial" w:eastAsia="Arial" w:hAnsi="Arial"/>
                <w:sz w:val="18"/>
                <w:szCs w:val="18"/>
                <w:color w:val="auto"/>
                <w:w w:val="97"/>
              </w:rPr>
              <w:t>Title:</w:t>
            </w:r>
          </w:p>
        </w:tc>
        <w:tc>
          <w:tcPr>
            <w:tcW w:w="8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Executive Vice President and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(UK)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TREASURY EEIG</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K. Weyer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Brian K. Weyer</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Manager</w:t>
      </w:r>
    </w:p>
    <w:p>
      <w:pPr>
        <w:spacing w:after="0" w:line="319" w:lineRule="exact"/>
        <w:rPr>
          <w:sz w:val="20"/>
          <w:szCs w:val="20"/>
          <w:color w:val="auto"/>
        </w:rPr>
      </w:pPr>
    </w:p>
    <w:p>
      <w:pPr>
        <w:jc w:val="right"/>
        <w:ind w:right="1919"/>
        <w:spacing w:after="0"/>
        <w:rPr>
          <w:sz w:val="20"/>
          <w:szCs w:val="20"/>
          <w:color w:val="auto"/>
        </w:rPr>
      </w:pPr>
      <w:r>
        <w:rPr>
          <w:rFonts w:ascii="Arial" w:cs="Arial" w:eastAsia="Arial" w:hAnsi="Arial"/>
          <w:sz w:val="18"/>
          <w:szCs w:val="18"/>
          <w:i w:val="1"/>
          <w:iCs w:val="1"/>
          <w:color w:val="auto"/>
        </w:rPr>
        <w:t>Commitment Increase Supplement —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 and Assistant Secretary</w:t>
      </w:r>
    </w:p>
    <w:p>
      <w:pPr>
        <w:spacing w:after="0" w:line="319" w:lineRule="exact"/>
        <w:rPr>
          <w:sz w:val="20"/>
          <w:szCs w:val="20"/>
          <w:color w:val="auto"/>
        </w:rPr>
      </w:pPr>
    </w:p>
    <w:p>
      <w:pPr>
        <w:jc w:val="right"/>
        <w:ind w:right="1919"/>
        <w:spacing w:after="0"/>
        <w:rPr>
          <w:sz w:val="20"/>
          <w:szCs w:val="20"/>
          <w:color w:val="auto"/>
        </w:rPr>
      </w:pPr>
      <w:r>
        <w:rPr>
          <w:rFonts w:ascii="Arial" w:cs="Arial" w:eastAsia="Arial" w:hAnsi="Arial"/>
          <w:sz w:val="18"/>
          <w:szCs w:val="18"/>
          <w:i w:val="1"/>
          <w:iCs w:val="1"/>
          <w:color w:val="auto"/>
        </w:rPr>
        <w:t>Commitment Increase Supplement —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Accepted this </w:t>
      </w:r>
      <w:r>
        <w:rPr>
          <w:rFonts w:ascii="Arial" w:cs="Arial" w:eastAsia="Arial" w:hAnsi="Arial"/>
          <w:sz w:val="18"/>
          <w:szCs w:val="18"/>
          <w:u w:val="single" w:color="auto"/>
          <w:color w:val="auto"/>
        </w:rPr>
        <w:t>24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jc w:val="right"/>
        <w:ind w:right="1919"/>
        <w:spacing w:after="0"/>
        <w:rPr>
          <w:sz w:val="20"/>
          <w:szCs w:val="20"/>
          <w:color w:val="auto"/>
        </w:rPr>
      </w:pPr>
      <w:r>
        <w:rPr>
          <w:rFonts w:ascii="Arial" w:cs="Arial" w:eastAsia="Arial" w:hAnsi="Arial"/>
          <w:sz w:val="18"/>
          <w:szCs w:val="18"/>
          <w:i w:val="1"/>
          <w:iCs w:val="1"/>
          <w:color w:val="auto"/>
        </w:rPr>
        <w:t>Commitment Increase Supplement — JPMORGAN CHASE BANK, N.A.</w:t>
      </w:r>
    </w:p>
    <w:p>
      <w:pPr>
        <w:sectPr>
          <w:pgSz w:w="11900" w:h="16838" w:orient="portrait"/>
          <w:cols w:equalWidth="0" w:num="1">
            <w:col w:w="10219"/>
          </w:cols>
          <w:pgMar w:left="240" w:top="1368"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4(i)</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INCREASE SUPPLEMENT</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SUPPLEMENT, dated February 24, 2006, to the Revolving Credit Agreement, dated as of July 21, 2005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subsidiaries of the Borrower from time to time parties thereto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Bank of America, N.A. and Citicorp North America, Inc., as Syndication Agents, Bank of Tokyo-Mitsubishi Trust Company, BNP Paribas, CoBank, ACB, Harris, N.A., Rabobank International, and Suntrust Bank, as Documentation Agents and JPMorgan Chase Bank, N.A. (together with its banking affiliates, as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17"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WHEREAS, the Credit Agreement provides in subsection 2.23(a) thereof that any Lender to which a commitment increase is offered may increase the amount of its Revolving Credit Commitment in respect of each or any of the Revolving Credit Facilities by executing and delivering to the Borrower, the Subsidiary Borrowers and the Administrative Agent a supplement to the Credit Agreement in substantially the form of this Supplement; and</w:t>
      </w:r>
    </w:p>
    <w:p>
      <w:pPr>
        <w:spacing w:after="0" w:line="39" w:lineRule="exact"/>
        <w:rPr>
          <w:sz w:val="20"/>
          <w:szCs w:val="20"/>
          <w:color w:val="auto"/>
        </w:rPr>
      </w:pPr>
    </w:p>
    <w:p>
      <w:pPr>
        <w:ind w:left="240" w:right="1720" w:hanging="2"/>
        <w:spacing w:after="0" w:line="375" w:lineRule="auto"/>
        <w:rPr>
          <w:sz w:val="20"/>
          <w:szCs w:val="20"/>
          <w:color w:val="auto"/>
        </w:rPr>
      </w:pPr>
      <w:r>
        <w:rPr>
          <w:rFonts w:ascii="Arial" w:cs="Arial" w:eastAsia="Arial" w:hAnsi="Arial"/>
          <w:sz w:val="18"/>
          <w:szCs w:val="18"/>
          <w:color w:val="auto"/>
        </w:rPr>
        <w:t>WHEREAS, the undersigned now desires to increase the amount of its Revolving Credit Commitment under the Credit Agreement; NOW, THEREFORE, the undersigned hereby agrees as follows:</w:t>
      </w:r>
    </w:p>
    <w:p>
      <w:pPr>
        <w:spacing w:after="0" w:line="1" w:lineRule="exact"/>
        <w:rPr>
          <w:sz w:val="20"/>
          <w:szCs w:val="20"/>
          <w:color w:val="auto"/>
        </w:rPr>
      </w:pPr>
    </w:p>
    <w:p>
      <w:pPr>
        <w:ind w:left="360" w:right="60" w:firstLine="215"/>
        <w:spacing w:after="0" w:line="264" w:lineRule="auto"/>
        <w:tabs>
          <w:tab w:leader="none" w:pos="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undersigned agrees, subject to the terms and conditions of the Credit Agreement, that on the date this Supplement is accepted by the Borrower, the Subsidiary Borrowers and the Administrative Agent it shall have its Revolving Credit Commitment increased by $10,000,000 in respect of Facility A, thereby making the amount of its Revolving Credit Commitment $15,000,000 in respect of Facility A.</w:t>
      </w:r>
    </w:p>
    <w:p>
      <w:pPr>
        <w:spacing w:after="0" w:line="73" w:lineRule="exact"/>
        <w:rPr>
          <w:rFonts w:ascii="Arial" w:cs="Arial" w:eastAsia="Arial" w:hAnsi="Arial"/>
          <w:sz w:val="18"/>
          <w:szCs w:val="18"/>
          <w:color w:val="auto"/>
        </w:rPr>
      </w:pPr>
    </w:p>
    <w:p>
      <w:pPr>
        <w:ind w:left="760" w:hanging="185"/>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ind w:firstLine="225"/>
        <w:spacing w:after="0" w:line="277" w:lineRule="auto"/>
        <w:rPr>
          <w:sz w:val="20"/>
          <w:szCs w:val="20"/>
          <w:color w:val="auto"/>
        </w:rPr>
      </w:pPr>
      <w:r>
        <w:rPr>
          <w:rFonts w:ascii="Arial" w:cs="Arial" w:eastAsia="Arial" w:hAnsi="Arial"/>
          <w:sz w:val="18"/>
          <w:szCs w:val="18"/>
          <w:color w:val="auto"/>
        </w:rPr>
        <w:t>IN WITNESS WHEREOF, the undersigned has caused this Supplement to be executed and delivered by a duly authorized officer on the date first above written.</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CITICORP NORTH AMERICA, INC.</w:t>
      </w:r>
    </w:p>
    <w:p>
      <w:pPr>
        <w:spacing w:after="0" w:line="225" w:lineRule="exact"/>
        <w:rPr>
          <w:sz w:val="20"/>
          <w:szCs w:val="20"/>
          <w:color w:val="auto"/>
        </w:rPr>
      </w:pPr>
    </w:p>
    <w:p>
      <w:pPr>
        <w:ind w:left="574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William S. Timmons,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812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William S. Timmons, III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Commitment Increase Supplement — CITICORP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Accepted this </w:t>
      </w:r>
      <w:r>
        <w:rPr>
          <w:rFonts w:ascii="Arial" w:cs="Arial" w:eastAsia="Arial" w:hAnsi="Arial"/>
          <w:sz w:val="18"/>
          <w:szCs w:val="18"/>
          <w:u w:val="single" w:color="auto"/>
          <w:color w:val="auto"/>
        </w:rPr>
        <w:t>24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HYPONEX CORPORATION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 and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AUSTRALIA PTY.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CANADA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 &amp;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HOLDINGS LIMITED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319" w:lineRule="exact"/>
        <w:rPr>
          <w:sz w:val="20"/>
          <w:szCs w:val="20"/>
          <w:color w:val="auto"/>
        </w:rPr>
      </w:pPr>
    </w:p>
    <w:p>
      <w:pPr>
        <w:jc w:val="right"/>
        <w:ind w:right="1799"/>
        <w:spacing w:after="0"/>
        <w:rPr>
          <w:sz w:val="20"/>
          <w:szCs w:val="20"/>
          <w:color w:val="auto"/>
        </w:rPr>
      </w:pPr>
      <w:r>
        <w:rPr>
          <w:rFonts w:ascii="Arial" w:cs="Arial" w:eastAsia="Arial" w:hAnsi="Arial"/>
          <w:sz w:val="18"/>
          <w:szCs w:val="18"/>
          <w:i w:val="1"/>
          <w:iCs w:val="1"/>
          <w:color w:val="auto"/>
        </w:rPr>
        <w:t>Commitment Increase Supplement — CITICORP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43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Christopher L. Nagel</w:t>
            </w:r>
          </w:p>
        </w:tc>
      </w:tr>
      <w:tr>
        <w:trPr>
          <w:trHeight w:val="209"/>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60"/>
              <w:spacing w:after="0"/>
              <w:rPr>
                <w:sz w:val="20"/>
                <w:szCs w:val="20"/>
                <w:color w:val="auto"/>
              </w:rPr>
            </w:pPr>
            <w:r>
              <w:rPr>
                <w:rFonts w:ascii="Arial" w:cs="Arial" w:eastAsia="Arial" w:hAnsi="Arial"/>
                <w:sz w:val="18"/>
                <w:szCs w:val="18"/>
                <w:color w:val="auto"/>
              </w:rPr>
              <w:t>Christopher L. Nagel</w:t>
            </w:r>
          </w:p>
        </w:tc>
      </w:tr>
      <w:tr>
        <w:trPr>
          <w:trHeight w:val="230"/>
        </w:trPr>
        <w:tc>
          <w:tcPr>
            <w:tcW w:w="3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700" w:type="dxa"/>
            <w:vAlign w:val="bottom"/>
          </w:tcPr>
          <w:p>
            <w:pPr>
              <w:ind w:left="60"/>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4740" w:type="dxa"/>
            <w:vAlign w:val="bottom"/>
            <w:gridSpan w:val="4"/>
          </w:tcPr>
          <w:p>
            <w:pPr>
              <w:spacing w:after="0"/>
              <w:rPr>
                <w:sz w:val="20"/>
                <w:szCs w:val="20"/>
                <w:color w:val="auto"/>
              </w:rPr>
            </w:pPr>
            <w:r>
              <w:rPr>
                <w:rFonts w:ascii="Arial" w:cs="Arial" w:eastAsia="Arial" w:hAnsi="Arial"/>
                <w:sz w:val="18"/>
                <w:szCs w:val="18"/>
                <w:color w:val="auto"/>
              </w:rPr>
              <w:t>EG SYSTEMS, INC.</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i w:val="1"/>
                <w:iCs w:val="1"/>
                <w:color w:val="auto"/>
              </w:rPr>
              <w:t>/s/</w:t>
            </w:r>
          </w:p>
        </w:tc>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Edward R. Claggett</w:t>
            </w:r>
          </w:p>
        </w:tc>
      </w:tr>
      <w:tr>
        <w:trPr>
          <w:trHeight w:val="209"/>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60"/>
              <w:spacing w:after="0"/>
              <w:rPr>
                <w:sz w:val="20"/>
                <w:szCs w:val="20"/>
                <w:color w:val="auto"/>
              </w:rPr>
            </w:pPr>
            <w:r>
              <w:rPr>
                <w:rFonts w:ascii="Arial" w:cs="Arial" w:eastAsia="Arial" w:hAnsi="Arial"/>
                <w:sz w:val="18"/>
                <w:szCs w:val="18"/>
                <w:color w:val="auto"/>
              </w:rPr>
              <w:t>Edward R. Claggett</w:t>
            </w:r>
          </w:p>
        </w:tc>
      </w:tr>
      <w:tr>
        <w:trPr>
          <w:trHeight w:val="230"/>
        </w:trPr>
        <w:tc>
          <w:tcPr>
            <w:tcW w:w="3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700" w:type="dxa"/>
            <w:vAlign w:val="bottom"/>
          </w:tcPr>
          <w:p>
            <w:pPr>
              <w:ind w:left="60"/>
              <w:spacing w:after="0"/>
              <w:rPr>
                <w:sz w:val="20"/>
                <w:szCs w:val="20"/>
                <w:color w:val="auto"/>
              </w:rPr>
            </w:pPr>
            <w:r>
              <w:rPr>
                <w:rFonts w:ascii="Arial" w:cs="Arial" w:eastAsia="Arial" w:hAnsi="Arial"/>
                <w:sz w:val="18"/>
                <w:szCs w:val="18"/>
                <w:color w:val="auto"/>
              </w:rPr>
              <w:t>Vice President &amp; Assistant Secretary</w:t>
            </w:r>
          </w:p>
        </w:tc>
      </w:tr>
      <w:tr>
        <w:trPr>
          <w:trHeight w:val="432"/>
        </w:trPr>
        <w:tc>
          <w:tcPr>
            <w:tcW w:w="4740" w:type="dxa"/>
            <w:vAlign w:val="bottom"/>
            <w:gridSpan w:val="4"/>
          </w:tcPr>
          <w:p>
            <w:pPr>
              <w:spacing w:after="0"/>
              <w:rPr>
                <w:sz w:val="20"/>
                <w:szCs w:val="20"/>
                <w:color w:val="auto"/>
              </w:rPr>
            </w:pPr>
            <w:r>
              <w:rPr>
                <w:rFonts w:ascii="Arial" w:cs="Arial" w:eastAsia="Arial" w:hAnsi="Arial"/>
                <w:sz w:val="18"/>
                <w:szCs w:val="18"/>
                <w:color w:val="auto"/>
              </w:rPr>
              <w:t>SCOTTS TEMECULA OPERATIONS, LLC</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3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i w:val="1"/>
                <w:iCs w:val="1"/>
                <w:color w:val="auto"/>
              </w:rPr>
              <w:t>/s/ Christopher L. Nagel</w:t>
            </w:r>
          </w:p>
        </w:tc>
      </w:tr>
      <w:tr>
        <w:trPr>
          <w:trHeight w:val="209"/>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60"/>
              <w:spacing w:after="0"/>
              <w:rPr>
                <w:sz w:val="20"/>
                <w:szCs w:val="20"/>
                <w:color w:val="auto"/>
              </w:rPr>
            </w:pPr>
            <w:r>
              <w:rPr>
                <w:rFonts w:ascii="Arial" w:cs="Arial" w:eastAsia="Arial" w:hAnsi="Arial"/>
                <w:sz w:val="18"/>
                <w:szCs w:val="18"/>
                <w:color w:val="auto"/>
              </w:rPr>
              <w:t>Christopher L. Nagel</w:t>
            </w:r>
          </w:p>
        </w:tc>
      </w:tr>
      <w:tr>
        <w:trPr>
          <w:trHeight w:val="230"/>
        </w:trPr>
        <w:tc>
          <w:tcPr>
            <w:tcW w:w="3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700" w:type="dxa"/>
            <w:vAlign w:val="bottom"/>
          </w:tcPr>
          <w:p>
            <w:pPr>
              <w:ind w:left="60"/>
              <w:spacing w:after="0"/>
              <w:rPr>
                <w:sz w:val="20"/>
                <w:szCs w:val="20"/>
                <w:color w:val="auto"/>
              </w:rPr>
            </w:pPr>
            <w:r>
              <w:rPr>
                <w:rFonts w:ascii="Arial" w:cs="Arial" w:eastAsia="Arial" w:hAnsi="Arial"/>
                <w:sz w:val="18"/>
                <w:szCs w:val="18"/>
                <w:color w:val="auto"/>
              </w:rPr>
              <w:t>Executive Vice President and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(UK)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69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Name:</w:t>
        <w:tab/>
        <w:t>Edward R. Claggett</w:t>
      </w:r>
    </w:p>
    <w:p>
      <w:pPr>
        <w:spacing w:after="0" w:line="23"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TREASURY EEIG</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Brian K. Weyer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698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Name:</w:t>
        <w:tab/>
        <w:t>Brian K. Weyer</w:t>
      </w:r>
    </w:p>
    <w:p>
      <w:pPr>
        <w:spacing w:after="0" w:line="23"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319" w:lineRule="exact"/>
        <w:rPr>
          <w:sz w:val="20"/>
          <w:szCs w:val="20"/>
          <w:color w:val="auto"/>
        </w:rPr>
      </w:pPr>
    </w:p>
    <w:p>
      <w:pPr>
        <w:jc w:val="right"/>
        <w:ind w:right="1799"/>
        <w:spacing w:after="0"/>
        <w:rPr>
          <w:sz w:val="20"/>
          <w:szCs w:val="20"/>
          <w:color w:val="auto"/>
        </w:rPr>
      </w:pPr>
      <w:r>
        <w:rPr>
          <w:rFonts w:ascii="Arial" w:cs="Arial" w:eastAsia="Arial" w:hAnsi="Arial"/>
          <w:sz w:val="18"/>
          <w:szCs w:val="18"/>
          <w:i w:val="1"/>
          <w:iCs w:val="1"/>
          <w:color w:val="auto"/>
        </w:rPr>
        <w:t>Commitment Increase Supplement — CITICORP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L. Nagel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and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 and Assistant Secretary</w:t>
      </w:r>
    </w:p>
    <w:p>
      <w:pPr>
        <w:spacing w:after="0" w:line="319" w:lineRule="exact"/>
        <w:rPr>
          <w:sz w:val="20"/>
          <w:szCs w:val="20"/>
          <w:color w:val="auto"/>
        </w:rPr>
      </w:pPr>
    </w:p>
    <w:p>
      <w:pPr>
        <w:jc w:val="right"/>
        <w:ind w:right="1799"/>
        <w:spacing w:after="0"/>
        <w:rPr>
          <w:sz w:val="20"/>
          <w:szCs w:val="20"/>
          <w:color w:val="auto"/>
        </w:rPr>
      </w:pPr>
      <w:r>
        <w:rPr>
          <w:rFonts w:ascii="Arial" w:cs="Arial" w:eastAsia="Arial" w:hAnsi="Arial"/>
          <w:sz w:val="18"/>
          <w:szCs w:val="18"/>
          <w:i w:val="1"/>
          <w:iCs w:val="1"/>
          <w:color w:val="auto"/>
        </w:rPr>
        <w:t>Commitment Increase Supplement — CITICORP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Accepted this </w:t>
      </w:r>
      <w:r>
        <w:rPr>
          <w:rFonts w:ascii="Arial" w:cs="Arial" w:eastAsia="Arial" w:hAnsi="Arial"/>
          <w:sz w:val="18"/>
          <w:szCs w:val="18"/>
          <w:u w:val="single" w:color="auto"/>
          <w:color w:val="auto"/>
        </w:rPr>
        <w:t>24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710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jc w:val="right"/>
        <w:ind w:right="1799"/>
        <w:spacing w:after="0"/>
        <w:rPr>
          <w:sz w:val="20"/>
          <w:szCs w:val="20"/>
          <w:color w:val="auto"/>
        </w:rPr>
      </w:pPr>
      <w:r>
        <w:rPr>
          <w:rFonts w:ascii="Arial" w:cs="Arial" w:eastAsia="Arial" w:hAnsi="Arial"/>
          <w:sz w:val="18"/>
          <w:szCs w:val="18"/>
          <w:i w:val="1"/>
          <w:iCs w:val="1"/>
          <w:color w:val="auto"/>
        </w:rPr>
        <w:t>Commitment Increase Supplement — CITICORP NORTH AMERICA, INC.</w:t>
      </w:r>
    </w:p>
    <w:p>
      <w:pPr>
        <w:sectPr>
          <w:pgSz w:w="11900" w:h="16838" w:orient="portrait"/>
          <w:cols w:equalWidth="0" w:num="1">
            <w:col w:w="10219"/>
          </w:cols>
          <w:pgMar w:left="240" w:top="1368"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April 1,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80" w:val="left"/>
          <w:tab w:leader="none" w:pos="5480" w:val="left"/>
        </w:tabs>
        <w:rPr>
          <w:sz w:val="20"/>
          <w:szCs w:val="20"/>
          <w:color w:val="auto"/>
        </w:rPr>
      </w:pPr>
      <w:r>
        <w:rPr>
          <w:rFonts w:ascii="Arial" w:cs="Arial" w:eastAsia="Arial" w:hAnsi="Arial"/>
          <w:sz w:val="18"/>
          <w:szCs w:val="18"/>
          <w:color w:val="auto"/>
        </w:rPr>
        <w:t>Dated: May 10,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25298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Chief Executive Officer and Chairman of the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32"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 Nagel, certify that:</w:t>
      </w:r>
    </w:p>
    <w:p>
      <w:pPr>
        <w:spacing w:after="0" w:line="117"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April 1,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Dated: May 10, 2006</w:t>
      </w:r>
      <w:r>
        <w:rPr>
          <w:sz w:val="20"/>
          <w:szCs w:val="20"/>
          <w:color w:val="auto"/>
        </w:rPr>
        <w:tab/>
      </w:r>
      <w:r>
        <w:rPr>
          <w:rFonts w:ascii="Arial" w:cs="Arial" w:eastAsia="Arial" w:hAnsi="Arial"/>
          <w:sz w:val="16"/>
          <w:szCs w:val="16"/>
          <w:color w:val="auto"/>
        </w:rPr>
        <w:t>By: /s/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2744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Printed Name: Christopher L. Nagel</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32"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April 1, 2006 as filed with the Securities and Exchange Commission on the date hereof (the “Report”), the undersigned James Hagedorn,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420"/>
          </w:cols>
          <w:pgMar w:left="240" w:top="93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02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Chairman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May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584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May 10, 2006</w:t>
      </w:r>
    </w:p>
    <w:p>
      <w:pPr>
        <w:spacing w:after="0" w:line="200" w:lineRule="exact"/>
        <w:rPr>
          <w:sz w:val="20"/>
          <w:szCs w:val="20"/>
          <w:color w:val="auto"/>
        </w:rPr>
      </w:pPr>
    </w:p>
    <w:p>
      <w:pPr>
        <w:sectPr>
          <w:pgSz w:w="11900" w:h="16838" w:orient="portrait"/>
          <w:cols w:equalWidth="0" w:num="2">
            <w:col w:w="6040" w:space="720"/>
            <w:col w:w="4660"/>
          </w:cols>
          <w:pgMar w:left="240" w:top="935" w:right="239" w:bottom="1440" w:gutter="0" w:footer="0" w:header="0"/>
          <w:type w:val="continuous"/>
        </w:sectPr>
      </w:pPr>
    </w:p>
    <w:p>
      <w:pPr>
        <w:spacing w:after="0" w:line="187" w:lineRule="exact"/>
        <w:rPr>
          <w:sz w:val="20"/>
          <w:szCs w:val="20"/>
          <w:color w:val="auto"/>
        </w:rPr>
      </w:pPr>
    </w:p>
    <w:p>
      <w:pPr>
        <w:ind w:left="460" w:right="6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IT BY REFERENCE IN SUCH FILING.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sectPr>
      <w:pgSz w:w="11900" w:h="16838" w:orient="portrait"/>
      <w:cols w:equalWidth="0" w:num="1">
        <w:col w:w="11420"/>
      </w:cols>
      <w:pgMar w:left="240" w:top="9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4"/>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6"/>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lvl w:ilvl="1">
      <w:lvlJc w:val="left"/>
      <w:lvlText w:val="(%2)"/>
      <w:numFmt w:val="lowerRoman"/>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2019-12-20T02:57:20Z</dcterms:created>
  <dcterms:modified xsi:type="dcterms:W3CDTF">2019-12-20T02:57:20Z</dcterms:modified>
</cp:coreProperties>
</file>