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102235</wp:posOffset>
            </wp:positionV>
            <wp:extent cx="71577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596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tabs>
          <w:tab w:leader="none" w:pos="260" w:val="left"/>
          <w:tab w:leader="none" w:pos="200" w:val="left"/>
        </w:tabs>
        <w:rPr>
          <w:sz w:val="20"/>
          <w:szCs w:val="20"/>
          <w:color w:val="auto"/>
        </w:rPr>
      </w:pPr>
      <w:r>
        <w:rPr>
          <w:rFonts w:ascii="Arial" w:cs="Arial" w:eastAsia="Arial" w:hAnsi="Arial"/>
          <w:sz w:val="22"/>
          <w:szCs w:val="22"/>
          <w:b w:val="1"/>
          <w:bCs w:val="1"/>
          <w:color w:val="auto"/>
        </w:rPr>
        <w:t>(Amendment No.</w:t>
        <w:tab/>
        <w:t>2</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3862705</wp:posOffset>
            </wp:positionH>
            <wp:positionV relativeFrom="paragraph">
              <wp:posOffset>-12065</wp:posOffset>
            </wp:positionV>
            <wp:extent cx="3429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SCOTTS MIRACLE-GRO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621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34290"/>
                    </a:xfrm>
                    <a:prstGeom prst="rect">
                      <a:avLst/>
                    </a:prstGeom>
                    <a:noFill/>
                  </pic:spPr>
                </pic:pic>
              </a:graphicData>
            </a:graphic>
          </wp:anchor>
        </w:drawing>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62165" cy="33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810186106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62165" cy="3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621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34290"/>
                    </a:xfrm>
                    <a:prstGeom prst="rect">
                      <a:avLst/>
                    </a:prstGeom>
                    <a:noFill/>
                  </pic:spPr>
                </pic:pic>
              </a:graphicData>
            </a:graphic>
          </wp:anchor>
        </w:drawing>
      </w:r>
    </w:p>
    <w:p>
      <w:pPr>
        <w:spacing w:after="0" w:line="182"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80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1" w:lineRule="exact"/>
        <w:rPr>
          <w:rFonts w:ascii="Arial" w:cs="Arial" w:eastAsia="Arial" w:hAnsi="Arial"/>
          <w:sz w:val="16"/>
          <w:szCs w:val="16"/>
          <w:color w:val="auto"/>
        </w:rPr>
      </w:pPr>
    </w:p>
    <w:p>
      <w:pPr>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412750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36"/>
          <w:szCs w:val="36"/>
          <w:color w:val="auto"/>
          <w:vertAlign w:val="superscript"/>
        </w:rPr>
        <w:t>CUSIP</w:t>
      </w:r>
      <w:r>
        <w:rPr>
          <w:sz w:val="20"/>
          <w:szCs w:val="20"/>
          <w:color w:val="auto"/>
        </w:rPr>
        <w:tab/>
      </w:r>
      <w:r>
        <w:rPr>
          <w:rFonts w:ascii="Arial" w:cs="Arial" w:eastAsia="Arial" w:hAnsi="Arial"/>
          <w:sz w:val="18"/>
          <w:szCs w:val="18"/>
          <w:color w:val="auto"/>
        </w:rPr>
        <w:t>810186106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-71120</wp:posOffset>
            </wp:positionV>
            <wp:extent cx="723900" cy="278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900" cy="278130"/>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6231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6231890"/>
                    </a:xfrm>
                    <a:prstGeom prst="rect">
                      <a:avLst/>
                    </a:prstGeom>
                    <a:noFill/>
                  </pic:spPr>
                </pic:pic>
              </a:graphicData>
            </a:graphic>
          </wp:anchor>
        </w:drawing>
      </w:r>
    </w:p>
    <w:p>
      <w:pPr>
        <w:spacing w:after="0" w:line="2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760" w:right="4900" w:hanging="529"/>
        <w:spacing w:after="0" w:line="180" w:lineRule="auto"/>
        <w:tabs>
          <w:tab w:leader="none" w:pos="760" w:val="left"/>
        </w:tabs>
        <w:numPr>
          <w:ilvl w:val="0"/>
          <w:numId w:val="2"/>
        </w:numPr>
        <w:rPr>
          <w:rFonts w:ascii="Arial" w:cs="Arial" w:eastAsia="Arial" w:hAnsi="Arial"/>
          <w:sz w:val="46"/>
          <w:szCs w:val="46"/>
          <w:b w:val="1"/>
          <w:bCs w:val="1"/>
          <w:color w:val="auto"/>
          <w:vertAlign w:val="subscript"/>
        </w:rPr>
      </w:pPr>
      <w:r>
        <w:rPr>
          <w:rFonts w:ascii="Arial" w:cs="Arial" w:eastAsia="Arial" w:hAnsi="Arial"/>
          <w:sz w:val="16"/>
          <w:szCs w:val="16"/>
          <w:color w:val="auto"/>
        </w:rPr>
        <w:t>I.R.S. IDENTIFICATION NOS. OF ABOVE PERSONS (ENTITIES ONLY) KAYNE ANDERSON RUDNICK INVESTMENT MANAGEMENT LLC 95-4575414</w:t>
      </w:r>
    </w:p>
    <w:p>
      <w:pPr>
        <w:spacing w:after="0" w:line="68" w:lineRule="exact"/>
        <w:rPr>
          <w:rFonts w:ascii="Arial" w:cs="Arial" w:eastAsia="Arial" w:hAnsi="Arial"/>
          <w:sz w:val="46"/>
          <w:szCs w:val="46"/>
          <w:b w:val="1"/>
          <w:bCs w:val="1"/>
          <w:color w:val="auto"/>
          <w:vertAlign w:val="subscript"/>
        </w:rPr>
      </w:pPr>
    </w:p>
    <w:p>
      <w:pPr>
        <w:ind w:left="760"/>
        <w:spacing w:after="0"/>
        <w:rPr>
          <w:rFonts w:ascii="Arial" w:cs="Arial" w:eastAsia="Arial" w:hAnsi="Arial"/>
          <w:sz w:val="46"/>
          <w:szCs w:val="46"/>
          <w:b w:val="1"/>
          <w:bCs w:val="1"/>
          <w:color w:val="auto"/>
          <w:vertAlign w:val="subscript"/>
        </w:rPr>
      </w:pPr>
      <w:r>
        <w:rPr>
          <w:rFonts w:ascii="Arial" w:cs="Arial" w:eastAsia="Arial" w:hAnsi="Arial"/>
          <w:sz w:val="18"/>
          <w:szCs w:val="18"/>
          <w:color w:val="auto"/>
        </w:rPr>
        <w:t>CHECK THE APPROPRIATE BOX IF A MEMBER OF A GROUP (SEE INSTRUCTIONS)</w:t>
      </w:r>
    </w:p>
    <w:p>
      <w:pPr>
        <w:spacing w:after="0" w:line="258" w:lineRule="exact"/>
        <w:rPr>
          <w:sz w:val="20"/>
          <w:szCs w:val="20"/>
          <w:color w:val="auto"/>
        </w:rPr>
      </w:pPr>
    </w:p>
    <w:p>
      <w:pPr>
        <w:jc w:val="right"/>
        <w:ind w:left="240" w:right="10060" w:firstLine="510"/>
        <w:spacing w:after="0" w:line="248" w:lineRule="auto"/>
        <w:tabs>
          <w:tab w:leader="none" w:pos="1094" w:val="left"/>
        </w:tabs>
        <w:numPr>
          <w:ilvl w:val="0"/>
          <w:numId w:val="3"/>
        </w:numPr>
        <w:rPr>
          <w:rFonts w:ascii="Arial" w:cs="Arial" w:eastAsia="Arial" w:hAnsi="Arial"/>
          <w:sz w:val="15"/>
          <w:szCs w:val="15"/>
          <w:color w:val="auto"/>
        </w:rPr>
      </w:pPr>
      <w:r>
        <w:rPr>
          <w:rFonts w:ascii="Arial" w:cs="Arial" w:eastAsia="Arial" w:hAnsi="Arial"/>
          <w:sz w:val="15"/>
          <w:szCs w:val="15"/>
          <w:color w:val="auto"/>
        </w:rPr>
        <w:t xml:space="preserve">o </w:t>
      </w:r>
      <w:r>
        <w:rPr>
          <w:rFonts w:ascii="Arial" w:cs="Arial" w:eastAsia="Arial" w:hAnsi="Arial"/>
          <w:sz w:val="26"/>
          <w:szCs w:val="26"/>
          <w:b w:val="1"/>
          <w:bCs w:val="1"/>
          <w:color w:val="auto"/>
        </w:rPr>
        <w:t xml:space="preserve">2  </w:t>
      </w:r>
      <w:r>
        <w:rPr>
          <w:rFonts w:ascii="Arial" w:cs="Arial" w:eastAsia="Arial" w:hAnsi="Arial"/>
          <w:sz w:val="15"/>
          <w:szCs w:val="15"/>
          <w:color w:val="auto"/>
        </w:rPr>
        <w:t>(b)</w:t>
      </w:r>
      <w:r>
        <w:rPr>
          <w:rFonts w:ascii="Arial" w:cs="Arial" w:eastAsia="Arial" w:hAnsi="Arial"/>
          <w:sz w:val="26"/>
          <w:szCs w:val="26"/>
          <w:b w:val="1"/>
          <w:bCs w:val="1"/>
          <w:color w:val="auto"/>
        </w:rPr>
        <w:t xml:space="preserve">  </w:t>
      </w:r>
      <w:r>
        <w:rPr>
          <w:rFonts w:ascii="Arial" w:cs="Arial" w:eastAsia="Arial" w:hAnsi="Arial"/>
          <w:sz w:val="15"/>
          <w:szCs w:val="15"/>
          <w:color w:val="auto"/>
        </w:rPr>
        <w:t>o</w:t>
      </w:r>
    </w:p>
    <w:p>
      <w:pPr>
        <w:spacing w:after="0" w:line="46" w:lineRule="exact"/>
        <w:rPr>
          <w:rFonts w:ascii="Arial" w:cs="Arial" w:eastAsia="Arial" w:hAnsi="Arial"/>
          <w:sz w:val="15"/>
          <w:szCs w:val="15"/>
          <w:color w:val="auto"/>
        </w:rPr>
      </w:pPr>
    </w:p>
    <w:p>
      <w:pPr>
        <w:ind w:left="760"/>
        <w:spacing w:after="0"/>
        <w:rPr>
          <w:rFonts w:ascii="Arial" w:cs="Arial" w:eastAsia="Arial" w:hAnsi="Arial"/>
          <w:sz w:val="15"/>
          <w:szCs w:val="15"/>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3</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CITIZENSHIP OR PLACE OF ORGANIZATION</w:t>
      </w:r>
    </w:p>
    <w:p>
      <w:pPr>
        <w:spacing w:after="0" w:line="141"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A California Limited Liability Company</w:t>
      </w:r>
    </w:p>
    <w:p>
      <w:pPr>
        <w:spacing w:after="0" w:line="66" w:lineRule="exact"/>
        <w:rPr>
          <w:rFonts w:ascii="Arial" w:cs="Arial" w:eastAsia="Arial" w:hAnsi="Arial"/>
          <w:sz w:val="32"/>
          <w:szCs w:val="32"/>
          <w:b w:val="1"/>
          <w:bCs w:val="1"/>
          <w:color w:val="auto"/>
        </w:rPr>
      </w:pPr>
    </w:p>
    <w:p>
      <w:pPr>
        <w:ind w:left="2000"/>
        <w:spacing w:after="0"/>
        <w:rPr>
          <w:rFonts w:ascii="Arial" w:cs="Arial" w:eastAsia="Arial" w:hAnsi="Arial"/>
          <w:sz w:val="32"/>
          <w:szCs w:val="32"/>
          <w:b w:val="1"/>
          <w:bCs w:val="1"/>
          <w:color w:val="auto"/>
        </w:rPr>
      </w:pPr>
      <w:r>
        <w:rPr>
          <w:rFonts w:ascii="Arial" w:cs="Arial" w:eastAsia="Arial" w:hAnsi="Arial"/>
          <w:sz w:val="18"/>
          <w:szCs w:val="18"/>
          <w:color w:val="auto"/>
        </w:rPr>
        <w:t>SOLE VOTING POWER</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419"/>
        </w:trPr>
        <w:tc>
          <w:tcPr>
            <w:tcW w:w="132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32"/>
                <w:szCs w:val="32"/>
                <w:b w:val="1"/>
                <w:bCs w:val="1"/>
                <w:color w:val="auto"/>
              </w:rPr>
              <w:t>5</w:t>
            </w:r>
          </w:p>
        </w:tc>
        <w:tc>
          <w:tcPr>
            <w:tcW w:w="93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3,784,167</w:t>
            </w:r>
          </w:p>
        </w:tc>
        <w:tc>
          <w:tcPr>
            <w:tcW w:w="0" w:type="dxa"/>
            <w:vAlign w:val="bottom"/>
          </w:tcPr>
          <w:p>
            <w:pPr>
              <w:spacing w:after="0"/>
              <w:rPr>
                <w:sz w:val="1"/>
                <w:szCs w:val="1"/>
                <w:color w:val="auto"/>
              </w:rPr>
            </w:pPr>
          </w:p>
        </w:tc>
      </w:tr>
      <w:tr>
        <w:trPr>
          <w:trHeight w:val="263"/>
        </w:trPr>
        <w:tc>
          <w:tcPr>
            <w:tcW w:w="1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38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99"/>
        </w:trPr>
        <w:tc>
          <w:tcPr>
            <w:tcW w:w="132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32"/>
                <w:szCs w:val="32"/>
                <w:b w:val="1"/>
                <w:bCs w:val="1"/>
                <w:color w:val="auto"/>
              </w:rPr>
              <w:t>6</w:t>
            </w:r>
          </w:p>
        </w:tc>
        <w:tc>
          <w:tcPr>
            <w:tcW w:w="93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910,568</w:t>
            </w:r>
          </w:p>
        </w:tc>
        <w:tc>
          <w:tcPr>
            <w:tcW w:w="0" w:type="dxa"/>
            <w:vAlign w:val="bottom"/>
          </w:tcPr>
          <w:p>
            <w:pPr>
              <w:spacing w:after="0"/>
              <w:rPr>
                <w:sz w:val="1"/>
                <w:szCs w:val="1"/>
                <w:color w:val="auto"/>
              </w:rPr>
            </w:pPr>
          </w:p>
        </w:tc>
      </w:tr>
      <w:tr>
        <w:trPr>
          <w:trHeight w:val="222"/>
        </w:trPr>
        <w:tc>
          <w:tcPr>
            <w:tcW w:w="132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520" w:type="dxa"/>
            <w:vAlign w:val="bottom"/>
          </w:tcPr>
          <w:p>
            <w:pPr>
              <w:spacing w:after="0"/>
              <w:rPr>
                <w:sz w:val="19"/>
                <w:szCs w:val="19"/>
                <w:color w:val="auto"/>
              </w:rPr>
            </w:pPr>
          </w:p>
        </w:tc>
        <w:tc>
          <w:tcPr>
            <w:tcW w:w="9380" w:type="dxa"/>
            <w:vAlign w:val="bottom"/>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52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32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520" w:type="dxa"/>
            <w:vAlign w:val="bottom"/>
            <w:vMerge w:val="continue"/>
          </w:tcPr>
          <w:p>
            <w:pPr>
              <w:spacing w:after="0"/>
              <w:rPr>
                <w:sz w:val="22"/>
                <w:szCs w:val="22"/>
                <w:color w:val="auto"/>
              </w:rPr>
            </w:pPr>
          </w:p>
        </w:tc>
        <w:tc>
          <w:tcPr>
            <w:tcW w:w="9380" w:type="dxa"/>
            <w:vAlign w:val="bottom"/>
          </w:tcPr>
          <w:p>
            <w:pPr>
              <w:ind w:left="140"/>
              <w:spacing w:after="0"/>
              <w:rPr>
                <w:sz w:val="20"/>
                <w:szCs w:val="20"/>
                <w:color w:val="auto"/>
              </w:rPr>
            </w:pPr>
            <w:r>
              <w:rPr>
                <w:rFonts w:ascii="Arial" w:cs="Arial" w:eastAsia="Arial" w:hAnsi="Arial"/>
                <w:sz w:val="18"/>
                <w:szCs w:val="18"/>
                <w:color w:val="auto"/>
              </w:rPr>
              <w:t>4,034,747</w:t>
            </w:r>
          </w:p>
        </w:tc>
        <w:tc>
          <w:tcPr>
            <w:tcW w:w="0" w:type="dxa"/>
            <w:vAlign w:val="bottom"/>
          </w:tcPr>
          <w:p>
            <w:pPr>
              <w:spacing w:after="0"/>
              <w:rPr>
                <w:sz w:val="1"/>
                <w:szCs w:val="1"/>
                <w:color w:val="auto"/>
              </w:rPr>
            </w:pPr>
          </w:p>
        </w:tc>
      </w:tr>
      <w:tr>
        <w:trPr>
          <w:trHeight w:val="67"/>
        </w:trPr>
        <w:tc>
          <w:tcPr>
            <w:tcW w:w="1320" w:type="dxa"/>
            <w:vAlign w:val="bottom"/>
            <w:vMerge w:val="restart"/>
          </w:tcPr>
          <w:p>
            <w:pPr>
              <w:jc w:val="center"/>
              <w:spacing w:after="0" w:line="175" w:lineRule="exact"/>
              <w:rPr>
                <w:sz w:val="20"/>
                <w:szCs w:val="20"/>
                <w:color w:val="auto"/>
              </w:rPr>
            </w:pPr>
            <w:r>
              <w:rPr>
                <w:rFonts w:ascii="Arial" w:cs="Arial" w:eastAsia="Arial" w:hAnsi="Arial"/>
                <w:sz w:val="18"/>
                <w:szCs w:val="18"/>
                <w:color w:val="auto"/>
                <w:w w:val="97"/>
              </w:rPr>
              <w:t>OWNED BY</w:t>
            </w:r>
          </w:p>
        </w:tc>
        <w:tc>
          <w:tcPr>
            <w:tcW w:w="520" w:type="dxa"/>
            <w:vAlign w:val="bottom"/>
            <w:tcBorders>
              <w:bottom w:val="single" w:sz="8" w:color="auto"/>
            </w:tcBorders>
          </w:tcPr>
          <w:p>
            <w:pPr>
              <w:spacing w:after="0"/>
              <w:rPr>
                <w:sz w:val="5"/>
                <w:szCs w:val="5"/>
                <w:color w:val="auto"/>
              </w:rPr>
            </w:pPr>
          </w:p>
        </w:tc>
        <w:tc>
          <w:tcPr>
            <w:tcW w:w="9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3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938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520" w:type="dxa"/>
            <w:vAlign w:val="bottom"/>
          </w:tcPr>
          <w:p>
            <w:pPr>
              <w:spacing w:after="0"/>
              <w:rPr>
                <w:sz w:val="18"/>
                <w:szCs w:val="18"/>
                <w:color w:val="auto"/>
              </w:rPr>
            </w:pPr>
          </w:p>
        </w:tc>
        <w:tc>
          <w:tcPr>
            <w:tcW w:w="9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52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8</w:t>
            </w: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320" w:type="dxa"/>
            <w:vAlign w:val="bottom"/>
          </w:tcPr>
          <w:p>
            <w:pPr>
              <w:jc w:val="center"/>
              <w:spacing w:after="0"/>
              <w:rPr>
                <w:sz w:val="20"/>
                <w:szCs w:val="20"/>
                <w:color w:val="auto"/>
              </w:rPr>
            </w:pPr>
            <w:r>
              <w:rPr>
                <w:rFonts w:ascii="Arial" w:cs="Arial" w:eastAsia="Arial" w:hAnsi="Arial"/>
                <w:sz w:val="18"/>
                <w:szCs w:val="18"/>
                <w:color w:val="auto"/>
                <w:w w:val="95"/>
              </w:rPr>
              <w:t>PERSON WITH:</w:t>
            </w:r>
          </w:p>
        </w:tc>
        <w:tc>
          <w:tcPr>
            <w:tcW w:w="520" w:type="dxa"/>
            <w:vAlign w:val="bottom"/>
            <w:vMerge w:val="continue"/>
          </w:tcPr>
          <w:p>
            <w:pPr>
              <w:spacing w:after="0"/>
              <w:rPr>
                <w:sz w:val="21"/>
                <w:szCs w:val="21"/>
                <w:color w:val="auto"/>
              </w:rPr>
            </w:pPr>
          </w:p>
        </w:tc>
        <w:tc>
          <w:tcPr>
            <w:tcW w:w="9380" w:type="dxa"/>
            <w:vAlign w:val="bottom"/>
          </w:tcPr>
          <w:p>
            <w:pPr>
              <w:ind w:left="140"/>
              <w:spacing w:after="0"/>
              <w:rPr>
                <w:sz w:val="20"/>
                <w:szCs w:val="20"/>
                <w:color w:val="auto"/>
              </w:rPr>
            </w:pPr>
            <w:r>
              <w:rPr>
                <w:rFonts w:ascii="Arial" w:cs="Arial" w:eastAsia="Arial" w:hAnsi="Arial"/>
                <w:sz w:val="18"/>
                <w:szCs w:val="18"/>
                <w:color w:val="auto"/>
              </w:rPr>
              <w:t>910,568</w:t>
            </w: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1"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4,945,315</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8.99%</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8"/>
          <w:szCs w:val="18"/>
          <w:color w:val="auto"/>
        </w:rPr>
        <w:t>IA</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SCOTTS MIRACLE-GRO COMPANY</w:t>
      </w:r>
    </w:p>
    <w:p>
      <w:pPr>
        <w:spacing w:after="0" w:line="237" w:lineRule="exact"/>
        <w:rPr>
          <w:rFonts w:ascii="Arial" w:cs="Arial" w:eastAsia="Arial" w:hAnsi="Arial"/>
          <w:sz w:val="18"/>
          <w:szCs w:val="18"/>
          <w:color w:val="auto"/>
        </w:rPr>
      </w:pPr>
    </w:p>
    <w:p>
      <w:pPr>
        <w:ind w:left="1300" w:right="6480" w:hanging="644"/>
        <w:spacing w:after="0" w:line="263"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 14111 SCOTTSLAWN ROAD MARYSVILLE, OH 43041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KAYNE ANDERSON RUDNICK INVESTMENT MANAGEMENT LLC</w:t>
      </w:r>
    </w:p>
    <w:p>
      <w:pPr>
        <w:spacing w:after="0" w:line="237" w:lineRule="exact"/>
        <w:rPr>
          <w:rFonts w:ascii="Arial" w:cs="Arial" w:eastAsia="Arial" w:hAnsi="Arial"/>
          <w:sz w:val="18"/>
          <w:szCs w:val="18"/>
          <w:color w:val="auto"/>
        </w:rPr>
      </w:pPr>
    </w:p>
    <w:p>
      <w:pPr>
        <w:ind w:left="1300" w:right="546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Address of Principal Business Office or, if none, Residence 1800 Avenue of the Stars, 2nd Floor, Los Angeles, CA 90067</w:t>
      </w:r>
    </w:p>
    <w:p>
      <w:pPr>
        <w:spacing w:after="0" w:line="150" w:lineRule="exact"/>
        <w:rPr>
          <w:rFonts w:ascii="Arial" w:cs="Arial" w:eastAsia="Arial" w:hAnsi="Arial"/>
          <w:sz w:val="16"/>
          <w:szCs w:val="16"/>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A California Limited Liability Company</w:t>
      </w:r>
    </w:p>
    <w:p>
      <w:pPr>
        <w:spacing w:after="0" w:line="237" w:lineRule="exact"/>
        <w:rPr>
          <w:rFonts w:ascii="Arial" w:cs="Arial" w:eastAsia="Arial" w:hAnsi="Arial"/>
          <w:sz w:val="18"/>
          <w:szCs w:val="18"/>
          <w:color w:val="auto"/>
        </w:rPr>
      </w:pPr>
    </w:p>
    <w:p>
      <w:pPr>
        <w:ind w:left="1300" w:right="798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150" w:lineRule="exact"/>
        <w:rPr>
          <w:rFonts w:ascii="Arial" w:cs="Arial" w:eastAsia="Arial" w:hAnsi="Arial"/>
          <w:sz w:val="16"/>
          <w:szCs w:val="16"/>
          <w:color w:val="auto"/>
        </w:rPr>
      </w:pPr>
    </w:p>
    <w:p>
      <w:pPr>
        <w:ind w:left="1300" w:right="876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810186106</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75"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 4,945,315</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8.99%</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960" w:hanging="656"/>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3,784,167</w:t>
      </w:r>
    </w:p>
    <w:p>
      <w:pPr>
        <w:spacing w:after="0" w:line="252" w:lineRule="exact"/>
        <w:rPr>
          <w:rFonts w:ascii="Arial" w:cs="Arial" w:eastAsia="Arial" w:hAnsi="Arial"/>
          <w:sz w:val="18"/>
          <w:szCs w:val="18"/>
          <w:color w:val="auto"/>
        </w:rPr>
      </w:pPr>
    </w:p>
    <w:p>
      <w:pPr>
        <w:ind w:left="1960" w:hanging="656"/>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910,568</w:t>
      </w:r>
    </w:p>
    <w:p>
      <w:pPr>
        <w:spacing w:after="0" w:line="252" w:lineRule="exact"/>
        <w:rPr>
          <w:rFonts w:ascii="Arial" w:cs="Arial" w:eastAsia="Arial" w:hAnsi="Arial"/>
          <w:sz w:val="18"/>
          <w:szCs w:val="18"/>
          <w:color w:val="auto"/>
        </w:rPr>
      </w:pPr>
    </w:p>
    <w:p>
      <w:pPr>
        <w:ind w:left="1960" w:hanging="656"/>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4,034,747</w:t>
      </w:r>
    </w:p>
    <w:p>
      <w:pPr>
        <w:spacing w:after="0" w:line="252" w:lineRule="exact"/>
        <w:rPr>
          <w:rFonts w:ascii="Arial" w:cs="Arial" w:eastAsia="Arial" w:hAnsi="Arial"/>
          <w:sz w:val="18"/>
          <w:szCs w:val="18"/>
          <w:color w:val="auto"/>
        </w:rPr>
      </w:pPr>
    </w:p>
    <w:p>
      <w:pPr>
        <w:ind w:left="1960" w:hanging="656"/>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910,568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Subsidiary Which Acquired the Security Being Reported on By the Parent Holding Company</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513" w:right="539" w:bottom="1440" w:gutter="0" w:footer="0" w:header="0"/>
        </w:sectPr>
      </w:pPr>
    </w:p>
    <w:bookmarkStart w:id="4" w:name="page5"/>
    <w:bookmarkEnd w:id="4"/>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Kayne Anderson Rudnick Investment Management</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LLC</w:t>
      </w:r>
    </w:p>
    <w:p>
      <w:pPr>
        <w:sectPr>
          <w:pgSz w:w="11900" w:h="16838" w:orient="portrait"/>
          <w:cols w:equalWidth="0" w:num="1">
            <w:col w:w="11180"/>
          </w:cols>
          <w:pgMar w:left="320" w:top="756" w:right="39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11, 2022</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By: /s/ Michael Shoemaker</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Michael Shoemaker</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Title: Chief Compliance Officer</w:t>
      </w:r>
    </w:p>
    <w:p>
      <w:pPr>
        <w:spacing w:after="0" w:line="200" w:lineRule="exact"/>
        <w:rPr>
          <w:sz w:val="20"/>
          <w:szCs w:val="20"/>
          <w:color w:val="auto"/>
        </w:rPr>
      </w:pPr>
    </w:p>
    <w:p>
      <w:pPr>
        <w:sectPr>
          <w:pgSz w:w="11900" w:h="16838" w:orient="portrait"/>
          <w:cols w:equalWidth="0" w:num="2">
            <w:col w:w="4920" w:space="720"/>
            <w:col w:w="5540"/>
          </w:cols>
          <w:pgMar w:left="320" w:top="756" w:right="399" w:bottom="1440" w:gutter="0" w:footer="0" w:header="0"/>
          <w:type w:val="continuous"/>
        </w:sect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379095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sectPr>
      <w:pgSz w:w="11900" w:h="16838" w:orient="portrait"/>
      <w:cols w:equalWidth="0" w:num="1">
        <w:col w:w="11180"/>
      </w:cols>
      <w:pgMar w:left="320" w:top="756"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x"/>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9"/>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2022-02-14T05:25:49Z</dcterms:created>
  <dcterms:modified xsi:type="dcterms:W3CDTF">2022-02-14T05:25:49Z</dcterms:modified>
</cp:coreProperties>
</file>