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2" w:lineRule="exact"/>
        <w:rPr>
          <w:sz w:val="24"/>
          <w:szCs w:val="24"/>
          <w:color w:val="auto"/>
        </w:rPr>
      </w:pPr>
    </w:p>
    <w:p>
      <w:pPr>
        <w:ind w:left="360" w:right="4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-228600</wp:posOffset>
            </wp:positionV>
            <wp:extent cx="123825" cy="1238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825" cy="123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19" w:lineRule="exact"/>
        <w:rPr>
          <w:sz w:val="24"/>
          <w:szCs w:val="24"/>
          <w:color w:val="auto"/>
        </w:rPr>
      </w:pPr>
    </w:p>
    <w:p>
      <w:pPr>
        <w:ind w:left="360"/>
        <w:spacing w:after="0" w:line="231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-666750</wp:posOffset>
            </wp:positionV>
            <wp:extent cx="123825" cy="12382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825" cy="123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8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4"/>
        </w:trPr>
        <w:tc>
          <w:tcPr>
            <w:tcW w:w="6320" w:type="dxa"/>
            <w:vAlign w:val="bottom"/>
          </w:tcPr>
          <w:p>
            <w:pPr>
              <w:jc w:val="center"/>
              <w:ind w:right="1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15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6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6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5278120</wp:posOffset>
            </wp:positionH>
            <wp:positionV relativeFrom="paragraph">
              <wp:posOffset>-632460</wp:posOffset>
            </wp:positionV>
            <wp:extent cx="58420" cy="64579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57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4003675</wp:posOffset>
            </wp:positionH>
            <wp:positionV relativeFrom="paragraph">
              <wp:posOffset>-632460</wp:posOffset>
            </wp:positionV>
            <wp:extent cx="58420" cy="64579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57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-1622425</wp:posOffset>
            </wp:positionH>
            <wp:positionV relativeFrom="paragraph">
              <wp:posOffset>752475</wp:posOffset>
            </wp:positionV>
            <wp:extent cx="6992620" cy="499808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2620" cy="49980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5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220"/>
            <w:col w:w="8540"/>
          </w:cols>
          <w:pgMar w:left="460" w:top="216" w:right="359" w:bottom="1440" w:gutter="0" w:footer="0" w:header="0"/>
        </w:sectPr>
      </w:pP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Johnson Stephen L</w:t>
        </w:r>
      </w:hyperlink>
    </w:p>
    <w:p>
      <w:pPr>
        <w:spacing w:after="0" w:line="296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72" w:lineRule="exact"/>
        <w:rPr>
          <w:sz w:val="24"/>
          <w:szCs w:val="24"/>
          <w:color w:val="auto"/>
        </w:rPr>
      </w:pPr>
    </w:p>
    <w:p>
      <w:pPr>
        <w:ind w:left="120" w:right="220"/>
        <w:spacing w:after="0" w:line="348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C/O THE SCOTTS MIRACLE-GRO COMPANY 14111 SCOTTSLAWN ROAD</w:t>
      </w:r>
    </w:p>
    <w:p>
      <w:pPr>
        <w:spacing w:after="0" w:line="176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1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MARYSVILLE</w:t>
            </w: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OH</w:t>
            </w:r>
          </w:p>
        </w:tc>
        <w:tc>
          <w:tcPr>
            <w:tcW w:w="16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43041</w:t>
            </w:r>
          </w:p>
        </w:tc>
      </w:tr>
      <w:tr>
        <w:trPr>
          <w:trHeight w:val="1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</w:t>
            </w:r>
          </w:p>
        </w:tc>
        <w:tc>
          <w:tcPr>
            <w:tcW w:w="30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760" w:type="dxa"/>
            <w:vAlign w:val="bottom"/>
            <w:gridSpan w:val="3"/>
          </w:tcPr>
          <w:p>
            <w:pPr>
              <w:spacing w:after="0" w:line="222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SCOTTS MIRACLE-GRO CO </w:t>
              </w:r>
            </w:hyperlink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SMG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]</w:t>
            </w:r>
          </w:p>
        </w:tc>
        <w:tc>
          <w:tcPr>
            <w:tcW w:w="18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2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40" w:type="dxa"/>
            <w:vAlign w:val="bottom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ind w:left="3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9"/>
        </w:trPr>
        <w:tc>
          <w:tcPr>
            <w:tcW w:w="270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02/03/2026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2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5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</w:t>
            </w:r>
          </w:p>
        </w:tc>
        <w:tc>
          <w:tcPr>
            <w:tcW w:w="30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4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2" w:lineRule="exact"/>
        <w:rPr>
          <w:sz w:val="24"/>
          <w:szCs w:val="24"/>
          <w:color w:val="auto"/>
        </w:rPr>
      </w:pPr>
    </w:p>
    <w:p>
      <w:pPr>
        <w:ind w:left="4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4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9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16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1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5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20" w:type="dxa"/>
            <w:vAlign w:val="bottom"/>
            <w:gridSpan w:val="2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6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740" w:type="dxa"/>
            <w:vAlign w:val="bottom"/>
            <w:gridSpan w:val="4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Disposed Of (D) (Instr. 3, 4 and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gridSpan w:val="2"/>
          </w:tcPr>
          <w:p>
            <w:pPr>
              <w:ind w:left="6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2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gridSpan w:val="4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</w:tcPr>
          <w:p>
            <w:pPr>
              <w:ind w:left="3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6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Shares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720" w:type="dxa"/>
            <w:vAlign w:val="bottom"/>
            <w:gridSpan w:val="2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02/03/2026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336</w:t>
            </w:r>
          </w:p>
        </w:tc>
        <w:tc>
          <w:tcPr>
            <w:tcW w:w="66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52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31,127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92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10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380" w:type="dxa"/>
            <w:vAlign w:val="bottom"/>
            <w:gridSpan w:val="11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8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7. Title and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Dividend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336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Equivalent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vMerge w:val="restart"/>
          </w:tcPr>
          <w:p>
            <w:pPr>
              <w:ind w:left="26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02/03/2026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14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44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336</w:t>
            </w: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24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ind w:left="32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612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2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Shares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Rights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7006590</wp:posOffset>
            </wp:positionH>
            <wp:positionV relativeFrom="paragraph">
              <wp:posOffset>-2113915</wp:posOffset>
            </wp:positionV>
            <wp:extent cx="29210" cy="211899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10" cy="21189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Restricted stock units convert into common shares of the Issuer on a one-for-one basis.</w:t>
      </w:r>
    </w:p>
    <w:p>
      <w:pPr>
        <w:spacing w:after="0" w:line="45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On February 3, 2023, the reporting person was granted 2,553 restricted stock units, with accruing dividend equivalent rights, vesting on February 3, 2024.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ind w:left="6600"/>
        <w:spacing w:after="0" w:line="225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 xml:space="preserve">/s/ Kathy L. Uttley as attorney- </w:t>
      </w:r>
      <w:r>
        <w:rPr>
          <w:rFonts w:ascii="Times New Roman" w:cs="Times New Roman" w:eastAsia="Times New Roman" w:hAnsi="Times New Roman"/>
          <w:sz w:val="33"/>
          <w:szCs w:val="33"/>
          <w:color w:val="0000FF"/>
          <w:vertAlign w:val="subscript"/>
        </w:rPr>
        <w:t>02/05/2026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4189730</wp:posOffset>
            </wp:positionH>
            <wp:positionV relativeFrom="paragraph">
              <wp:posOffset>-26670</wp:posOffset>
            </wp:positionV>
            <wp:extent cx="133794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794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in-fact for Stephen L. Johnson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4189730</wp:posOffset>
            </wp:positionH>
            <wp:positionV relativeFrom="paragraph">
              <wp:posOffset>-19685</wp:posOffset>
            </wp:positionV>
            <wp:extent cx="130556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0556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5588000</wp:posOffset>
            </wp:positionH>
            <wp:positionV relativeFrom="paragraph">
              <wp:posOffset>-85725</wp:posOffset>
            </wp:positionV>
            <wp:extent cx="490220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022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7" w:lineRule="exact"/>
        <w:rPr>
          <w:sz w:val="24"/>
          <w:szCs w:val="24"/>
          <w:color w:val="auto"/>
        </w:rPr>
      </w:pPr>
    </w:p>
    <w:p>
      <w:pPr>
        <w:ind w:left="6600"/>
        <w:spacing w:after="0"/>
        <w:tabs>
          <w:tab w:leader="none" w:pos="8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jc w:val="both"/>
        <w:ind w:left="40" w:right="3520" w:firstLine="3"/>
        <w:spacing w:after="0" w:line="313" w:lineRule="auto"/>
        <w:tabs>
          <w:tab w:leader="none" w:pos="178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6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3" Type="http://schemas.openxmlformats.org/officeDocument/2006/relationships/hyperlink" Target="http://www.sec.gov/cgi-bin/browse-edgar?action=getcompany&amp;CIK=0001505744" TargetMode="External"/><Relationship Id="rId14" Type="http://schemas.openxmlformats.org/officeDocument/2006/relationships/hyperlink" Target="http://www.sec.gov/cgi-bin/browse-edgar?action=getcompany&amp;CIK=0000825542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2026-02-05T11:56:43Z</dcterms:created>
  <dcterms:modified xsi:type="dcterms:W3CDTF">2026-02-05T11:56:43Z</dcterms:modified>
</cp:coreProperties>
</file>