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29,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849" w:type="dxa"/>
        <w:jc w:val="center"/>
        <w:tblInd w:w="0" w:type="dxa"/>
        <w:tblLayout w:type="fixed"/>
        <w:tblCellMar>
          <w:top w:w="28" w:type="dxa"/>
          <w:left w:w="28" w:type="dxa"/>
          <w:bottom w:w="28" w:type="dxa"/>
          <w:right w:w="28" w:type="dxa"/>
        </w:tblCellMar>
      </w:tblPr>
      <w:tblGrid>
        <w:gridCol w:w="1075"/>
        <w:gridCol w:w="942"/>
        <w:gridCol w:w="953"/>
        <w:gridCol w:w="408"/>
        <w:gridCol w:w="408"/>
        <w:gridCol w:w="413"/>
        <w:gridCol w:w="482"/>
        <w:gridCol w:w="482"/>
        <w:gridCol w:w="686"/>
      </w:tblGrid>
      <w:tr>
        <w:trPr/>
        <w:tc>
          <w:tcPr>
            <w:tcW w:w="10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(State or other jurisdiction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(937) 644-0011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left"/>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 of this chapter).  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Item 2.02. Results of Operations and Financial Condition.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29, 2026, Scotts Miracle-Gro issued a news release reporting information regarding its financial results for the three and nine months ended June 27, 2026 and its financial condition as of June 27, 2026. The news release is furnished herewith as Exhibit 99.1 to this Current Report on Form 8-K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Item 9.01. Financial Statements and Exhibits. </w:t>
      </w:r>
    </w:p>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Shell company transactions: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18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6"/>
        <w:gridCol w:w="1926"/>
        <w:gridCol w:w="274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News release issued by The Scotts Miracle-Gro Company on July 29,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9148"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2027"/>
        <w:gridCol w:w="2027"/>
        <w:gridCol w:w="287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 on 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Dated July 29,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left"/>
        <w:rPr/>
      </w:pPr>
      <w:r>
        <w:rPr/>
      </w:r>
    </w:p>
    <w:p>
      <w:pPr>
        <w:pStyle w:val="TextBody"/>
        <w:bidi w:val="0"/>
        <w:spacing w:before="0" w:after="0"/>
        <w:jc w:val="center"/>
        <w:rPr/>
      </w:pPr>
      <w:r>
        <w:rPr/>
      </w:r>
    </w:p>
    <w:tbl>
      <w:tblPr>
        <w:tblW w:w="7259" w:type="dxa"/>
        <w:jc w:val="center"/>
        <w:tblInd w:w="0" w:type="dxa"/>
        <w:tblLayout w:type="fixed"/>
        <w:tblCellMar>
          <w:top w:w="28" w:type="dxa"/>
          <w:left w:w="28" w:type="dxa"/>
          <w:bottom w:w="28" w:type="dxa"/>
          <w:right w:w="28" w:type="dxa"/>
        </w:tblCellMar>
      </w:tblPr>
      <w:tblGrid>
        <w:gridCol w:w="391"/>
        <w:gridCol w:w="344"/>
        <w:gridCol w:w="345"/>
        <w:gridCol w:w="1803"/>
        <w:gridCol w:w="1803"/>
        <w:gridCol w:w="257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3f26newsrelease.htm">
              <w:r>
                <w:rPr>
                  <w:rStyle w:val="InternetLink"/>
                  <w:rFonts w:ascii="Times New Roman;serif" w:hAnsi="Times New Roman;serif"/>
                  <w:b w:val="false"/>
                  <w:color w:val="0000FF"/>
                  <w:sz w:val="20"/>
                  <w:u w:val="single"/>
                </w:rPr>
                <w:t>99.1</w:t>
              </w:r>
            </w:hyperlink>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News release issued by The Scotts Miracle-Gro Company on July 29,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61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95" w:type="dxa"/>
        <w:jc w:val="left"/>
        <w:tblInd w:w="0" w:type="dxa"/>
        <w:tblLayout w:type="fixed"/>
        <w:tblCellMar>
          <w:top w:w="28" w:type="dxa"/>
          <w:left w:w="28" w:type="dxa"/>
          <w:bottom w:w="28" w:type="dxa"/>
          <w:right w:w="28" w:type="dxa"/>
        </w:tblCellMar>
      </w:tblPr>
      <w:tblGrid>
        <w:gridCol w:w="1200"/>
        <w:gridCol w:w="1053"/>
        <w:gridCol w:w="1061"/>
        <w:gridCol w:w="228"/>
        <w:gridCol w:w="228"/>
        <w:gridCol w:w="325"/>
      </w:tblGrid>
      <w:tr>
        <w:trPr/>
        <w:tc>
          <w:tcPr>
            <w:tcW w:w="1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99.1</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rPr>
            </w:pPr>
            <w:r>
              <w:rPr>
                <w:rFonts w:ascii="Times New Roman;serif" w:hAnsi="Times New Roman;serif"/>
                <w:b/>
                <w:i/>
                <w:color w:val="000000"/>
                <w:sz w:val="22"/>
              </w:rPr>
              <w:t>The Scotts Miracle-Gro Company</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2"/>
              </w:rPr>
            </w:pPr>
            <w:r>
              <w:rPr>
                <w:rFonts w:ascii="Times New Roman;serif" w:hAnsi="Times New Roman;serif"/>
                <w:b/>
                <w:i/>
                <w:color w:val="000000"/>
                <w:sz w:val="22"/>
              </w:rPr>
              <w:t>NEWS</w:t>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ScottsMiracle-Gro Reports Third Quarter Results; </w:t>
      </w:r>
    </w:p>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Updates Full-Year Outlook Reflecting Accelerated EPS Growth</w:t>
      </w:r>
    </w:p>
    <w:p>
      <w:pPr>
        <w:pStyle w:val="TextBody"/>
        <w:bidi w:val="0"/>
        <w:spacing w:lineRule="auto" w:line="360" w:before="0" w:after="0"/>
        <w:jc w:val="center"/>
        <w:rPr>
          <w:rFonts w:ascii="Times New Roman;serif" w:hAnsi="Times New Roman;serif"/>
          <w:b w:val="false"/>
          <w:i/>
          <w:color w:val="000000"/>
          <w:sz w:val="24"/>
        </w:rPr>
      </w:pPr>
      <w:r>
        <w:rPr>
          <w:rFonts w:ascii="Times New Roman;serif" w:hAnsi="Times New Roman;serif"/>
          <w:b w:val="false"/>
          <w:i/>
          <w:color w:val="000000"/>
          <w:sz w:val="24"/>
        </w:rPr>
        <w:t>Company raises its full-year non-GAAP adjusted EPS from continuing operations guidance to $4.30 to $4.45, up from the prior guidance of $4.15 to $4.35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MARYSVILLE, Ohio, July 29, 2026 – The Scotts Miracle-Gro Company (NYSE: SMG), the leading marketer of branded consumer lawn and garden products in North America, today reported results for the third quarter ended June 27, 2026, and updated full-year guidance. </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 xml:space="preserve">Our performance year to date demonstrates we are on track for the guidance we provided at the start of the fiscal year,” said Nate Baxter, president and CEO. “At the same time we are making meaningful strides with our multi-year SMG 2.0 growth strategy through channel expansion, innovation and a shift in how we are engaging with consumers. We have positioned ourselves well to strengthen the building blocks of SMG 2.0, putting us on a path to drive long-term sustainable growth and shareholder value.”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 Scheiwer, chief financial officer and chief accounting officer, added, “We have consistently met or exceeded every one of our financial commitments this year by diligently managing our margin profile and strengthening the balance sheet. The increase in our EPS guidance is a reflection of this work as we continue to take a disciplined approach to execution while making strategic investments in our business and brands to help drive current and future profitability.”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Hagedorn Partnership, L.P., the largest shareholder of the Company, has expressed its support for Baxter, who joined the Company in 2023 and was announced as president and CEO on June 29 after previously serving as president and COO. Baxter succeeded Jim Hagedorn, who completed a nearly 40-year career with ScottsMiracle-Gro and served as CEO since 2001.</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Our family’s partnership fully supports Nate and his strategic vision for ScottsMiracle-Gro,” said Hope Reeves, chair of the Hagedorn Partnership. “We are incredibly grateful for Jim’s inspired leadership and remain fully committed to the Company our family helped build. Horace Hagedorn, father and grandfather to many of us, invented Miracle-Gro 75 years ago, and we couldn’t be more optimistic about SMG’s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Fiscal 2026 Third Quarter Highlights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Net sales were $1.17 billion, an increase of 1% versus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GAAP gross margin rate of 31.2% and non-GAAP adjusted gross margin rate of 31.3% decreased by 90 and 100 basis points over prior year, respectively, driven by higher freight and commodity costs resulting from the Iran conflict.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margin rate expansion remains on track over prior year, despite the higher freight and commodity costs, through continued supply chain automation, expanded use of AI, continued strong investment in manufacturing capital expenditures and purchasing efficiencies.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GAAP net income from continuing operations was $1.75 per diluted share, a decline of 34% versus prior year, driven by impairment, restructuring and other non-recurring items.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adjusted net income from continuing operations of $2.82 per diluted share improved by 8% over prior year, partially the result of the strong operating performance of our Bonnie Plants joint venture, and lower tax rate driven by higher earnings and discrete tax items as the Company expects its full year tax rate to range from 27-28% versus prior year of 29%.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leverage ratio of 3.78x improved 0.37x versus last year.</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Full-Year Fiscal 2026 Outlook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2D1E23"/>
          <w:sz w:val="20"/>
        </w:rPr>
      </w:pPr>
      <w:r>
        <w:rPr>
          <w:rFonts w:ascii="Times New Roman;serif" w:hAnsi="Times New Roman;serif"/>
          <w:b w:val="false"/>
          <w:color w:val="2D1E23"/>
          <w:sz w:val="20"/>
        </w:rPr>
        <w:t xml:space="preserve">The Company now expects non-GAAP adjusted diluted net income per share from continuing operations of $4.30 to $4.45. The Company has reaffirmed the following elements of its original fiscal 2026 guidance: </w:t>
      </w:r>
    </w:p>
    <w:p>
      <w:pPr>
        <w:pStyle w:val="TextBody"/>
        <w:bidi w:val="0"/>
        <w:spacing w:before="0" w:after="0"/>
        <w:jc w:val="both"/>
        <w:rPr/>
      </w:pPr>
      <w:r>
        <w:rPr/>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2D1E23"/>
          <w:sz w:val="20"/>
        </w:rPr>
        <w:t xml:space="preserve">U.S. Consumer net sales low single-digit growth </w:t>
      </w:r>
    </w:p>
    <w:p>
      <w:pPr>
        <w:pStyle w:val="TextBody"/>
        <w:bidi w:val="0"/>
        <w:spacing w:lineRule="auto" w:line="288" w:before="0" w:after="0"/>
        <w:ind w:left="0" w:right="0" w:hanging="360"/>
        <w:jc w:val="left"/>
        <w:rPr/>
      </w:pPr>
      <w:r>
        <w:rPr>
          <w:color w:val="2D1E23"/>
        </w:rPr>
        <w:t>•</w:t>
      </w:r>
      <w:r>
        <w:rPr>
          <w:rFonts w:ascii="Times New Roman;serif" w:hAnsi="Times New Roman;serif"/>
          <w:b w:val="false"/>
          <w:color w:val="2D1E23"/>
          <w:sz w:val="20"/>
        </w:rPr>
        <w:t>Non-GAAP adjusted gross margin rate of at least 32%</w:t>
      </w:r>
    </w:p>
    <w:p>
      <w:pPr>
        <w:pStyle w:val="TextBody"/>
        <w:bidi w:val="0"/>
        <w:spacing w:lineRule="auto" w:line="288" w:before="0" w:after="0"/>
        <w:ind w:left="0" w:right="0" w:hanging="360"/>
        <w:jc w:val="left"/>
        <w:rPr/>
      </w:pPr>
      <w:r>
        <w:rPr>
          <w:color w:val="2D1E23"/>
        </w:rPr>
        <w:t>•</w:t>
      </w:r>
      <w:r>
        <w:rPr>
          <w:rFonts w:ascii="Times New Roman;serif" w:hAnsi="Times New Roman;serif"/>
          <w:b w:val="false"/>
          <w:color w:val="2D1E23"/>
          <w:sz w:val="20"/>
        </w:rPr>
        <w:t>Non-GAAP adjusted EBITDA mid single-digit growth</w:t>
      </w:r>
    </w:p>
    <w:p>
      <w:pPr>
        <w:pStyle w:val="TextBody"/>
        <w:bidi w:val="0"/>
        <w:spacing w:lineRule="auto" w:line="288" w:before="0" w:after="0"/>
        <w:ind w:left="0" w:right="0" w:hanging="360"/>
        <w:jc w:val="left"/>
        <w:rPr/>
      </w:pPr>
      <w:r>
        <w:rPr>
          <w:color w:val="2D1E23"/>
        </w:rPr>
        <w:t>•</w:t>
      </w:r>
      <w:r>
        <w:rPr>
          <w:rFonts w:ascii="Times New Roman;serif" w:hAnsi="Times New Roman;serif"/>
          <w:b w:val="false"/>
          <w:color w:val="2D1E23"/>
          <w:sz w:val="20"/>
        </w:rPr>
        <w:t xml:space="preserve">Free cash flow of $275 million, driving leverage ratio down to the high 3s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 and Webcast Scheduled for 8:15 a.m. ET Today, July 29,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discuss results during a video presentation via webcast today at 8:15 a.m. ET. To watch the Company presentation and listen to the question-and-answer session, please register in advance at this webcast link. For those planning to participate in the question-and-answer session that follows the video presentation, please register for the webcast to view the presentation in addition to registering in advance via this audio link to receive call-in details and a unique PIN. A replay of the conference call will also be available on the Company’s investor website, where an archive of the press release and any accompanying information will remain available for at least a 12-month period.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18"/>
        </w:rPr>
        <w:t>About ScottsMiracle-Gro</w:t>
      </w:r>
      <w:r>
        <w:rPr>
          <w:color w:val="000000"/>
        </w:rPr>
        <w:t xml:space="preserve"> </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With approximately $3.3 billion in sales, the Company is the leading marketer of branded consumer lawn and garden products in North America. The Company’s brands are among the most recognized in the industry. The Company’s Scotts®, Miracle-Gro®, Ortho® and Tomcat® brands are market-leading in their categories. For additional information, visit us at www.scottsmiraclegro.com.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Cautionary Note Regarding Forward-Looking Statements </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An economic downturn and economic uncertainty may adversely affect demand for the Company’s products;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The Company’s operations, financial condition or reputation may be impaired if its information or operational technology systems fail to perform adequately or if the Company is the subject of a data breach or cyber attack;</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The highly competitive nature of the Company’s markets could adversely affect its ability to maintain or grow revenues;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In the event of a disaster, the Company’s disaster recovery and business continuity plans may fail, which could adversely interrupt its operations;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Climate change and unfavorable weather conditions could adversely impact financial results;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The Company may not successfully develop new product lines and products or improve existing product lines and products;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T</w:t>
      </w:r>
      <w:r>
        <w:rPr>
          <w:rFonts w:ascii="Times New Roman;serif" w:hAnsi="Times New Roman;serif"/>
          <w:b w:val="false"/>
          <w:color w:val="000000"/>
          <w:sz w:val="18"/>
        </w:rPr>
        <w:t xml:space="preserve">he Company’s indebtedness could limit its flexibility and adversely affect its financial condition;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rPr>
        <w:t>Compliance with environmental and other public health regulations or changes in such regulations or regulatory enforcement priorities could increase the Company’s costs of doing business or limit its ability to market certain products;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rPr>
        <w:t>Because of the concentration of the Company’s sales to a small number of retail customers, the loss of one or more of, or significant reduction in orders from, any of its top customers, or a material reduction in the inventory of the Company’s products that they carry, could adversely affect the Company’s financial results;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rPr>
        <w:t>If the perception of the Company’s brands or organizational reputation are damaged, its consumers, distributors and retailers may react negatively, which could materially and adversely affect the Company’s business, financial condition and results of operations;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The Company’s success depends on the retention and availability of key personnel and the effective succession of senior management;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18"/>
          <w:shd w:fill="FFFFFF" w:val="clear"/>
        </w:rPr>
        <w:t>The Company is involved in a number of legal proceedings and, while it cannot predict the outcomes of such proceedings and other contingencies with certainty, some of these outcomes could adversely affect the Company’s financial condition, results of operations and cash flows.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For investor inquiries: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Brad Chelton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Vice President</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Treasury, Tax and Investor Relations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brad.chelton@scotts.com</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(937) 309-2503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media inquiries: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Tom Matthews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Chief Communications Officer</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tom.matthews@scotts.com</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(937) 844-3864</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THE SCOTTS MIRACLE-GRO COMPANY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88.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7"/>
        <w:gridCol w:w="322"/>
        <w:gridCol w:w="313"/>
        <w:gridCol w:w="109"/>
        <w:gridCol w:w="109"/>
        <w:gridCol w:w="109"/>
        <w:gridCol w:w="260"/>
        <w:gridCol w:w="260"/>
        <w:gridCol w:w="261"/>
        <w:gridCol w:w="109"/>
        <w:gridCol w:w="109"/>
        <w:gridCol w:w="109"/>
        <w:gridCol w:w="196"/>
        <w:gridCol w:w="691"/>
        <w:gridCol w:w="241"/>
        <w:gridCol w:w="109"/>
        <w:gridCol w:w="109"/>
        <w:gridCol w:w="109"/>
        <w:gridCol w:w="196"/>
        <w:gridCol w:w="691"/>
        <w:gridCol w:w="241"/>
        <w:gridCol w:w="109"/>
        <w:gridCol w:w="109"/>
        <w:gridCol w:w="109"/>
        <w:gridCol w:w="173"/>
        <w:gridCol w:w="173"/>
        <w:gridCol w:w="333"/>
        <w:gridCol w:w="109"/>
        <w:gridCol w:w="109"/>
        <w:gridCol w:w="109"/>
        <w:gridCol w:w="196"/>
        <w:gridCol w:w="691"/>
        <w:gridCol w:w="241"/>
        <w:gridCol w:w="109"/>
        <w:gridCol w:w="109"/>
        <w:gridCol w:w="109"/>
        <w:gridCol w:w="196"/>
        <w:gridCol w:w="691"/>
        <w:gridCol w:w="241"/>
        <w:gridCol w:w="109"/>
        <w:gridCol w:w="109"/>
        <w:gridCol w:w="109"/>
        <w:gridCol w:w="173"/>
        <w:gridCol w:w="173"/>
        <w:gridCol w:w="386"/>
      </w:tblGrid>
      <w:tr>
        <w:trPr/>
        <w:tc>
          <w:tcPr>
            <w:tcW w:w="57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Footnotes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w:t>
              <w:br/>
              <w:t>Change</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sales—impairment, restructuring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restructuring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used in basic net income (loss) per share calculation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and potential common shares used in diluted net income (loss) per share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diluted net income per common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686.6 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See accompanying footnotes.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Results (4)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classification of the Hawthorne business as a discontinued operation, the Company’s reportable segments for fiscal 2026 differ from those used in prior periods. The prior period amounts have been reclassified to reflect the removal of Hawthorne as a reportable segment and from results of continuing operations. U.S. Consumer consists of the Company’s consumer lawn and garden business in the United States. Other primarily consists of the Company’s consumer lawn and garden business in Canada. Corporate consists of general and administrative expenses and certain other income and expense items not allocated to the Company’s operating segments.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Segment performance is evaluated based on several factors, including income (loss) before income taxes, amortization, impairment, restructuring and other charges (“Segment Profit (Loss)”), which is a non-GAAP financial measure. The Company believes this measure is indicative of performance trends and the overall earnings potential of each segment.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financial information from continuing operations for the periods indicated:</w:t>
      </w:r>
    </w:p>
    <w:tbl>
      <w:tblPr>
        <w:tblW w:w="10205" w:type="dxa"/>
        <w:jc w:val="left"/>
        <w:tblInd w:w="0" w:type="dxa"/>
        <w:tblLayout w:type="fixed"/>
        <w:tblCellMar>
          <w:top w:w="28" w:type="dxa"/>
          <w:left w:w="28" w:type="dxa"/>
          <w:bottom w:w="28" w:type="dxa"/>
          <w:right w:w="28" w:type="dxa"/>
        </w:tblCellMar>
      </w:tblPr>
      <w:tblGrid>
        <w:gridCol w:w="1231"/>
        <w:gridCol w:w="949"/>
        <w:gridCol w:w="951"/>
        <w:gridCol w:w="196"/>
        <w:gridCol w:w="691"/>
        <w:gridCol w:w="109"/>
        <w:gridCol w:w="109"/>
        <w:gridCol w:w="109"/>
        <w:gridCol w:w="109"/>
        <w:gridCol w:w="196"/>
        <w:gridCol w:w="691"/>
        <w:gridCol w:w="109"/>
        <w:gridCol w:w="109"/>
        <w:gridCol w:w="109"/>
        <w:gridCol w:w="109"/>
        <w:gridCol w:w="203"/>
        <w:gridCol w:w="203"/>
        <w:gridCol w:w="333"/>
        <w:gridCol w:w="109"/>
        <w:gridCol w:w="109"/>
        <w:gridCol w:w="109"/>
        <w:gridCol w:w="196"/>
        <w:gridCol w:w="691"/>
        <w:gridCol w:w="109"/>
        <w:gridCol w:w="109"/>
        <w:gridCol w:w="109"/>
        <w:gridCol w:w="109"/>
        <w:gridCol w:w="196"/>
        <w:gridCol w:w="691"/>
        <w:gridCol w:w="109"/>
        <w:gridCol w:w="109"/>
        <w:gridCol w:w="109"/>
        <w:gridCol w:w="109"/>
        <w:gridCol w:w="165"/>
        <w:gridCol w:w="166"/>
        <w:gridCol w:w="385"/>
      </w:tblGrid>
      <w:tr>
        <w:trPr/>
        <w:tc>
          <w:tcPr>
            <w:tcW w:w="123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Change</w:t>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Consumer reportable segment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 Profit (Loss)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Consumer reportable segment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restructuring and 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unconsolidated affiliates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 (GAAP)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087" w:type="dxa"/>
        <w:jc w:val="center"/>
        <w:tblInd w:w="0" w:type="dxa"/>
        <w:tblLayout w:type="fixed"/>
        <w:tblCellMar>
          <w:top w:w="28" w:type="dxa"/>
          <w:left w:w="28" w:type="dxa"/>
          <w:bottom w:w="28" w:type="dxa"/>
          <w:right w:w="28" w:type="dxa"/>
        </w:tblCellMar>
      </w:tblPr>
      <w:tblGrid>
        <w:gridCol w:w="1029"/>
        <w:gridCol w:w="902"/>
        <w:gridCol w:w="904"/>
        <w:gridCol w:w="109"/>
        <w:gridCol w:w="109"/>
        <w:gridCol w:w="109"/>
        <w:gridCol w:w="109"/>
        <w:gridCol w:w="196"/>
        <w:gridCol w:w="691"/>
        <w:gridCol w:w="109"/>
        <w:gridCol w:w="109"/>
        <w:gridCol w:w="109"/>
        <w:gridCol w:w="109"/>
        <w:gridCol w:w="196"/>
        <w:gridCol w:w="691"/>
        <w:gridCol w:w="109"/>
        <w:gridCol w:w="109"/>
        <w:gridCol w:w="109"/>
        <w:gridCol w:w="109"/>
        <w:gridCol w:w="220"/>
        <w:gridCol w:w="777"/>
        <w:gridCol w:w="173"/>
      </w:tblGrid>
      <w:tr>
        <w:trPr/>
        <w:tc>
          <w:tcPr>
            <w:tcW w:w="102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3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r>
      <w:tr>
        <w:trPr/>
        <w:tc>
          <w:tcPr>
            <w:tcW w:w="28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1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 (DEFICIT)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(deficit)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 (deficit)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Disclosure Items (3)(4)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53"/>
        <w:gridCol w:w="636"/>
        <w:gridCol w:w="639"/>
        <w:gridCol w:w="109"/>
        <w:gridCol w:w="109"/>
        <w:gridCol w:w="109"/>
        <w:gridCol w:w="220"/>
        <w:gridCol w:w="626"/>
        <w:gridCol w:w="288"/>
        <w:gridCol w:w="122"/>
        <w:gridCol w:w="277"/>
        <w:gridCol w:w="639"/>
        <w:gridCol w:w="130"/>
        <w:gridCol w:w="109"/>
        <w:gridCol w:w="136"/>
        <w:gridCol w:w="245"/>
        <w:gridCol w:w="697"/>
        <w:gridCol w:w="320"/>
        <w:gridCol w:w="136"/>
        <w:gridCol w:w="136"/>
        <w:gridCol w:w="136"/>
        <w:gridCol w:w="196"/>
        <w:gridCol w:w="556"/>
        <w:gridCol w:w="256"/>
        <w:gridCol w:w="109"/>
        <w:gridCol w:w="291"/>
        <w:gridCol w:w="582"/>
        <w:gridCol w:w="163"/>
        <w:gridCol w:w="109"/>
        <w:gridCol w:w="109"/>
        <w:gridCol w:w="196"/>
        <w:gridCol w:w="556"/>
        <w:gridCol w:w="310"/>
      </w:tblGrid>
      <w:tr>
        <w:trPr/>
        <w:tc>
          <w:tcPr>
            <w:tcW w:w="95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27,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28, 2025</w:t>
            </w:r>
          </w:p>
        </w:tc>
        <w:tc>
          <w:tcPr>
            <w:tcW w:w="3433" w:type="dxa"/>
            <w:gridSpan w:val="12"/>
            <w:tcBorders/>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w:t>
              <w:br/>
              <w:t>Reported</w:t>
              <w:br/>
              <w:t>(GAAP)</w:t>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w:t>
              <w:br/>
              <w:t>Restructuring</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Adjusted </w:t>
              <w:br/>
              <w:t>(Non-</w:t>
              <w:br/>
              <w:t>GAAP)</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w:t>
              <w:br/>
              <w:t>Reported</w:t>
              <w:br/>
              <w:t>(GAAP)</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w:t>
              <w:br/>
              <w:t>Restructuring</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Adjusted</w:t>
              <w:br/>
              <w:t>(Non-</w:t>
              <w:br/>
              <w:t>GAAP)</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margin as a % of sales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as a %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103.6</w:t>
            </w: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166.9</w:t>
            </w: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153.4</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net income per common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w:t>
            </w: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0.02</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8"/>
        <w:gridCol w:w="1356"/>
        <w:gridCol w:w="1365"/>
        <w:gridCol w:w="109"/>
        <w:gridCol w:w="109"/>
        <w:gridCol w:w="109"/>
        <w:gridCol w:w="585"/>
        <w:gridCol w:w="1707"/>
        <w:gridCol w:w="325"/>
        <w:gridCol w:w="109"/>
        <w:gridCol w:w="109"/>
        <w:gridCol w:w="109"/>
        <w:gridCol w:w="566"/>
        <w:gridCol w:w="1651"/>
        <w:gridCol w:w="448"/>
      </w:tblGrid>
      <w:tr>
        <w:trPr/>
        <w:tc>
          <w:tcPr>
            <w:tcW w:w="154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Calculation of Adjusted EBITDA</w:t>
            </w:r>
            <w:r>
              <w:rPr>
                <w:color w:val="000000"/>
              </w:rPr>
              <w:t xml:space="preserve"> </w:t>
            </w:r>
            <w:r>
              <w:rPr>
                <w:rFonts w:ascii="Times New Roman;serif" w:hAnsi="Times New Roman;serif"/>
                <w:b/>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28, 2025</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restructuring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non-core equity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246.3</w:t>
            </w:r>
            <w:r>
              <w:rPr>
                <w:color w:val="000000"/>
              </w:rPr>
              <w:t>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253.5</w:t>
            </w:r>
            <w:r>
              <w:rPr>
                <w:color w:val="000000"/>
              </w:rPr>
              <w:t>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See accompanying footnotes.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sum of the components may not equal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Disclosure Items (3)(4)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9"/>
        <w:gridCol w:w="455"/>
        <w:gridCol w:w="458"/>
        <w:gridCol w:w="109"/>
        <w:gridCol w:w="109"/>
        <w:gridCol w:w="109"/>
        <w:gridCol w:w="109"/>
        <w:gridCol w:w="206"/>
        <w:gridCol w:w="727"/>
        <w:gridCol w:w="269"/>
        <w:gridCol w:w="114"/>
        <w:gridCol w:w="291"/>
        <w:gridCol w:w="582"/>
        <w:gridCol w:w="163"/>
        <w:gridCol w:w="109"/>
        <w:gridCol w:w="126"/>
        <w:gridCol w:w="126"/>
        <w:gridCol w:w="227"/>
        <w:gridCol w:w="803"/>
        <w:gridCol w:w="297"/>
        <w:gridCol w:w="109"/>
        <w:gridCol w:w="109"/>
        <w:gridCol w:w="109"/>
        <w:gridCol w:w="196"/>
        <w:gridCol w:w="691"/>
        <w:gridCol w:w="256"/>
        <w:gridCol w:w="109"/>
        <w:gridCol w:w="291"/>
        <w:gridCol w:w="582"/>
        <w:gridCol w:w="163"/>
        <w:gridCol w:w="109"/>
        <w:gridCol w:w="109"/>
        <w:gridCol w:w="196"/>
        <w:gridCol w:w="691"/>
        <w:gridCol w:w="307"/>
      </w:tblGrid>
      <w:tr>
        <w:trPr/>
        <w:tc>
          <w:tcPr>
            <w:tcW w:w="78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27,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28, 2025</w:t>
            </w:r>
          </w:p>
        </w:tc>
        <w:tc>
          <w:tcPr>
            <w:tcW w:w="4027" w:type="dxa"/>
            <w:gridSpan w:val="15"/>
            <w:tcBorders/>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w:t>
              <w:br/>
              <w:t>Reported</w:t>
              <w:br/>
              <w:t>(GAAP)</w:t>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w:t>
              <w:br/>
              <w:t>Restructuring</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Adjusted </w:t>
              <w:br/>
              <w:t>(Non-</w:t>
              <w:b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w:t>
              <w:br/>
              <w:t>Reported</w:t>
              <w:br/>
              <w:t>(GAAP)</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w:t>
              <w:br/>
              <w:t>Restructuring</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Adjusted</w:t>
              <w:br/>
              <w:t>(Non-</w:t>
              <w:br/>
              <w:t>GAAP)</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1,067.5 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1,011.9 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margin as a % of sales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as a % of sales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319.1</w:t>
            </w: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390.2</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336.9</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net income per common share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5.40</w:t>
            </w: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w:t>
            </w: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5.75</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7"/>
        <w:gridCol w:w="1374"/>
        <w:gridCol w:w="1383"/>
        <w:gridCol w:w="109"/>
        <w:gridCol w:w="109"/>
        <w:gridCol w:w="109"/>
        <w:gridCol w:w="578"/>
        <w:gridCol w:w="1688"/>
        <w:gridCol w:w="322"/>
        <w:gridCol w:w="109"/>
        <w:gridCol w:w="109"/>
        <w:gridCol w:w="109"/>
        <w:gridCol w:w="560"/>
        <w:gridCol w:w="1633"/>
        <w:gridCol w:w="446"/>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Calculation of Adjusted EBITDA</w:t>
            </w:r>
            <w:r>
              <w:rPr>
                <w:color w:val="000000"/>
              </w:rPr>
              <w:t xml:space="preserve"> </w:t>
            </w:r>
            <w:r>
              <w:rPr>
                <w:rFonts w:ascii="Times New Roman;serif" w:hAnsi="Times New Roman;serif"/>
                <w:b/>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28, 2025</w:t>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restructuring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non-core equity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686.6</w:t>
            </w:r>
            <w:r>
              <w:rPr>
                <w:color w:val="000000"/>
              </w:rPr>
              <w:t>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655.9</w:t>
            </w:r>
            <w:r>
              <w:rPr>
                <w:color w:val="000000"/>
              </w:rPr>
              <w:t>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See accompanying footnotes.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sum of the components may not equal due to rounding.</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Footnotes to Preceding Financial Statements</w: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(1)Basic net income (loss) per common share amounts are calculated by dividing net income (loss) from continuing operations and discontinued operations by the weighted average number of common shares outstanding during the period.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(2)Diluted net income (loss) per common share amounts are calculated by dividing net income (loss) from continuing operations and discontinued operations by the weighted average number of common shares, plus all potential dilutive securities (common stock options, performance shares, performance units, restricted stock and restricted stock units) outstanding during the period.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rPr>
        <w:t>Reconciliation of Non-GAAP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Use of Non-GAAP Measures</w:t>
      </w:r>
      <w:r>
        <w:rPr>
          <w:color w:val="000000"/>
        </w:rPr>
        <w:t xml:space="preserve">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the financial measures prepared in accordance with U.S. generally accepted accounting principles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 Management views free cash flow as an important measure because it is one factor used in determining the amount of cash available for dividends and discretionary investment.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Exclusions from Non-GAAP Financial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reflect adjustments based on the following items: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Unrealized gains and losses on non-core equity and other investments, which are excluded because the valuations of these investments are subject to significant market volatility that is not directly related to the operating performance of the Company’s core business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pStyle w:val="TextBody"/>
        <w:bidi w:val="0"/>
        <w:jc w:val="both"/>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Footnotes to Preceding Financial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tax effect for each of the items listed above is determined using the tax rate and other tax attributes applicable to the item and the jurisdiction(s) in which the item is recorded.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Definitions of Non-GAAP Financial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reconciliations of non-GAAP disclosure items include the following financial measures that are not calculated in accordance with GAAP: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Adjusted gross margin</w:t>
      </w:r>
      <w:r>
        <w:rPr>
          <w:rFonts w:ascii="Times New Roman;serif" w:hAnsi="Times New Roman;serif"/>
          <w:b w:val="false"/>
          <w:color w:val="000000"/>
          <w:sz w:val="20"/>
        </w:rPr>
        <w:t>: Gross margin excluding impairment, restructuring and other charges / recoveries.</w:t>
      </w:r>
    </w:p>
    <w:p>
      <w:pPr>
        <w:pStyle w:val="TextBody"/>
        <w:bidi w:val="0"/>
        <w:spacing w:lineRule="auto" w:line="288" w:before="0" w:after="0"/>
        <w:jc w:val="both"/>
        <w:rPr/>
      </w:pPr>
      <w:r>
        <w:rPr>
          <w:rFonts w:ascii="Times New Roman;serif" w:hAnsi="Times New Roman;serif"/>
          <w:b/>
          <w:color w:val="000000"/>
          <w:sz w:val="20"/>
        </w:rPr>
        <w:t>Adjusted income (loss) from operations</w:t>
      </w:r>
      <w:r>
        <w:rPr>
          <w:rFonts w:ascii="Times New Roman;serif" w:hAnsi="Times New Roman;serif"/>
          <w:b w:val="false"/>
          <w:color w:val="000000"/>
          <w:sz w:val="20"/>
        </w:rPr>
        <w:t xml:space="preserve">: Income (loss) from operations excluding impairment, restructuring and other charges / recoveries. </w:t>
      </w:r>
    </w:p>
    <w:p>
      <w:pPr>
        <w:pStyle w:val="TextBody"/>
        <w:bidi w:val="0"/>
        <w:spacing w:lineRule="auto" w:line="288" w:before="0" w:after="0"/>
        <w:jc w:val="both"/>
        <w:rPr/>
      </w:pPr>
      <w:r>
        <w:rPr>
          <w:rFonts w:ascii="Times New Roman;serif" w:hAnsi="Times New Roman;serif"/>
          <w:b/>
          <w:color w:val="000000"/>
          <w:sz w:val="20"/>
        </w:rPr>
        <w:t>Adjusted income (loss) from continuing operations before income taxes</w:t>
      </w:r>
      <w:r>
        <w:rPr>
          <w:rFonts w:ascii="Times New Roman;serif" w:hAnsi="Times New Roman;serif"/>
          <w:b w:val="false"/>
          <w:color w:val="000000"/>
          <w:sz w:val="20"/>
        </w:rPr>
        <w:t>: Income (loss) from continuing operations before income taxes excluding impairment, restructuring and other charges / recoveries, unrealized gains and losses on non-core equity and other investments, costs related to refinancing and certain other non-operating income / expense items.</w:t>
      </w:r>
    </w:p>
    <w:p>
      <w:pPr>
        <w:pStyle w:val="TextBody"/>
        <w:bidi w:val="0"/>
        <w:spacing w:lineRule="auto" w:line="288" w:before="0" w:after="0"/>
        <w:jc w:val="both"/>
        <w:rPr/>
      </w:pPr>
      <w:r>
        <w:rPr>
          <w:rFonts w:ascii="Times New Roman;serif" w:hAnsi="Times New Roman;serif"/>
          <w:b/>
          <w:color w:val="000000"/>
          <w:sz w:val="20"/>
        </w:rPr>
        <w:t>Adjusted income tax expense (benefit) from continuing operations</w:t>
      </w:r>
      <w:r>
        <w:rPr>
          <w:rFonts w:ascii="Times New Roman;serif" w:hAnsi="Times New Roman;serif"/>
          <w:b w:val="false"/>
          <w:color w:val="000000"/>
          <w:sz w:val="20"/>
        </w:rPr>
        <w:t>: Income tax expense (benefit) from continuing operations excluding the tax effect of impairment, restructuring and other charges / recoveries, unrealized gains and losses on non-core equity and other investments, costs related to refinancing and certain other non-operating income / expense items.</w:t>
      </w:r>
    </w:p>
    <w:p>
      <w:pPr>
        <w:pStyle w:val="TextBody"/>
        <w:bidi w:val="0"/>
        <w:spacing w:lineRule="auto" w:line="288" w:before="0" w:after="0"/>
        <w:jc w:val="both"/>
        <w:rPr/>
      </w:pPr>
      <w:r>
        <w:rPr>
          <w:rFonts w:ascii="Times New Roman;serif" w:hAnsi="Times New Roman;serif"/>
          <w:b/>
          <w:color w:val="000000"/>
          <w:sz w:val="20"/>
        </w:rPr>
        <w:t>Adjusted net income (loss) from continuing operations</w:t>
      </w:r>
      <w:r>
        <w:rPr>
          <w:rFonts w:ascii="Times New Roman;serif" w:hAnsi="Times New Roman;serif"/>
          <w:b w:val="false"/>
          <w:color w:val="000000"/>
          <w:sz w:val="20"/>
        </w:rPr>
        <w:t xml:space="preserve">: Net income (loss) from continuing operations excluding impairment, restructuring and other charges / recoveries, unrealized gains and losses on non-core equity and other investments, costs related to refinancing and certain other non-operating income / expense items, each net of tax. </w:t>
      </w:r>
    </w:p>
    <w:p>
      <w:pPr>
        <w:pStyle w:val="TextBody"/>
        <w:bidi w:val="0"/>
        <w:spacing w:lineRule="auto" w:line="288" w:before="0" w:after="0"/>
        <w:jc w:val="both"/>
        <w:rPr/>
      </w:pPr>
      <w:r>
        <w:rPr>
          <w:rFonts w:ascii="Times New Roman;serif" w:hAnsi="Times New Roman;serif"/>
          <w:b/>
          <w:color w:val="000000"/>
          <w:sz w:val="20"/>
        </w:rPr>
        <w:t>Adjusted diluted net income (loss) per common share from continuing operations</w:t>
      </w:r>
      <w:r>
        <w:rPr>
          <w:rFonts w:ascii="Times New Roman;serif" w:hAnsi="Times New Roman;serif"/>
          <w:b w:val="false"/>
          <w:color w:val="000000"/>
          <w:sz w:val="20"/>
        </w:rPr>
        <w:t>: Diluted net income (loss) per common share from continuing operations excluding impairment, restructuring and other charges / recoveries, unrealized gains and losses on non-core equity and other investments, costs related to refinancing and certain other non-operating income / expense items, each net of tax.</w:t>
      </w:r>
    </w:p>
    <w:p>
      <w:pPr>
        <w:pStyle w:val="TextBody"/>
        <w:bidi w:val="0"/>
        <w:spacing w:lineRule="auto" w:line="288" w:before="0" w:after="0"/>
        <w:jc w:val="both"/>
        <w:rPr/>
      </w:pPr>
      <w:r>
        <w:rPr>
          <w:rFonts w:ascii="Times New Roman;serif" w:hAnsi="Times New Roman;serif"/>
          <w:b/>
          <w:color w:val="000000"/>
          <w:sz w:val="20"/>
        </w:rPr>
        <w:t>Adjusted EBITDA</w:t>
      </w:r>
      <w:r>
        <w:rPr>
          <w:rFonts w:ascii="Times New Roman;serif" w:hAnsi="Times New Roman;serif"/>
          <w:b w:val="false"/>
          <w:color w:val="000000"/>
          <w:sz w:val="20"/>
        </w:rPr>
        <w:t xml:space="preserve">: Net income (loss) before interest, taxes, depreciation and amortization as well as certain other items such as discontinued operations, the impact of 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June 27, 2026, the following items were adjusted, in accordance with the definitions above, to arrive at the non-GAAP financial measures: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(loss) from discontinued operations, net of tax, associated with the Hawthorne business was $8.6 million and $(93.3) million for the three and nine months ended June 27, 2026, respectively. This includes a pre-tax loss of $101.8 million for the nine months ended June 27, 2026 related to the sale of the Hawthorne business in North America. During the three months ended June 27, 2026, the Company recorded a $32.6 million reduction to the cumulative pre-tax loss driven by the closing date valuation of the non-cash sale consideration.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three and nine months ended June 27, 2026, the Company recorded employee and executive severance charges of $1.0 million and $1.7 million, respectively, in the “Cost of sales—impairment, restructuring and other” line in the Condensed Consolidated Statements of Operations and $21.5 million and $21.7 million, respectively, in the “Impairment, restructuring and other” line in the Condensed Consolidated Statements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three and nine months ended June 27, 2026, the Company recorded unrealized losses on non-core equity and other investments of $15.7 million in the “Other non-operating expense, net” line in the Condensed Consolidated Statements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three and nine months ended June 27, 2026, the Company recorded a non-cash impairment charge of $8.7 million related to a seller financing loan in the “Impairment, restructuring and other” line in the Condensed Consolidated Statements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three and nine months ended June 27, 2026, the Company recorded a non-cash impairment charge of $7.9 million related to a convertible debt investment in the “Impairment, restructuring and other” line in the Condensed Consolidated Statements of Operations.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During the three and nine months ended June 27, 2026, the Company recorded a charge of $4.0 million in the “Impairment, restructuring and other” line in the Condensed Consolidated Statements of Operations associated with a settlement agreement to resolve a dispute with former shareholders of a business that was acquired in fiscal 2021.</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SCOTTS MIRACLE-GRO COMPANY</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9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Footnotes to Preceding Financial Statements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June 28, 2025, the following items were adjusted, in accordance with the definitions above, to arrive at the non-GAAP financial measures: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three and nine months ended June 28, 2025, the Company recorded employee and executive severance charges of $2.0 million and $5.0 million, respectively, in the “Cost of sales—impairment, restructuring and other” line in the Condensed Consolidated Statements of Operations. During the three months ended June 28, 2025, employee and executive severance charges recorded in the “Impairment, restructuring and other” line in the Condensed Consolidated Statements of Operations were not material. During the nine months ended June 28, 2025, the Company recorded employee and executive severance charges of $13.5 million in the “Impairment, restructuring and other” line in the Condensed Consolidated Statements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three and nine months ended June 28, 2025, the Company recorded a non-cash loss of $0.0 million and $7.0 million, respectively, in the “Impairment, restructuring and other” line in the Condensed Consolidated Statements of Operations related to the exchange of its convertible debt investment in RIV Capital Inc. for non-voting exchangeable shares of FLUENT Corp. (formerly Cansortium Inc.).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During the three months ended June 28, 2025, costs associated with this restructuring initiative were not material. During the nine months ended June 28, 2025, the Company recorded costs of $3.6 million in the “Cost of sales—impairment, restructuring and other” line in the Condensed Consolidated Statements of Operations associated with this restructuring initiative.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Forward Looking Non-GAAP Measures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release, the Company presents certain forward-looking non-GAAP measures. The Company does not provide outlook on a GAAP basis because changes in the items that the Company excludes from GAAP to calculate the comparable non-GAAP measure, described above, can be dependent on future events that are less capable of being controlled or reliably predicted by management and are not part of the Company’s routine operating activities. Additionally, due to their unpredictability, management does not forecast many of the excluded items for internal use and therefore cannot create or rely on a GAAP outlook without unreasonable efforts. The occurrence, timing and amount of any of the items excluded from GAAP to calculate non-GAAP could significantly impact the Company’s GAAP results. As a result, the Company does not provide a reconciliation of forward-looking non-GAAP measures to GAAP measures, in reliance on the unreasonable efforts exception provided under Item 10(e)(1)(i)(B) of Regulation S-K.</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(4)During the three months ended December 27, 2025, the Company determined that the Hawthorne business met the criteria to be classified as held for sale, and classified the related assets and liabilities as held for sale on the Condensed Consolidated Balance Sheets for all periods presented. Effective in its first quarter of fiscal 2026, the Company classified its results of operations for all periods presented to reflect the Hawthorne business as a discontinued operation. The Company completed the divestiture of its Hawthorne business in North America on April 8, 2026. </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5336</Words>
  <Characters>30203</Characters>
  <CharactersWithSpaces>35010</CharactersWithSpaces>
  <Paragraphs>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