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55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CURRENT REPORT</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17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July 18, 1994</w:t>
      </w:r>
    </w:p>
    <w:p>
      <w:pPr>
        <w:spacing w:after="0" w:line="200" w:lineRule="exact"/>
        <w:rPr>
          <w:sz w:val="24"/>
          <w:szCs w:val="24"/>
          <w:color w:val="auto"/>
        </w:rPr>
      </w:pPr>
    </w:p>
    <w:p>
      <w:pPr>
        <w:spacing w:after="0" w:line="22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ind w:left="2000"/>
        <w:spacing w:after="0" w:line="238" w:lineRule="auto"/>
        <w:rPr>
          <w:sz w:val="20"/>
          <w:szCs w:val="20"/>
          <w:color w:val="auto"/>
        </w:rPr>
      </w:pPr>
      <w:r>
        <w:rPr>
          <w:rFonts w:ascii="Courier New" w:cs="Courier New" w:eastAsia="Courier New" w:hAnsi="Courier New"/>
          <w:sz w:val="18"/>
          <w:szCs w:val="18"/>
          <w:color w:val="auto"/>
        </w:rPr>
        <w:t>THE O.M. SCOTT &amp; SONS COMPANY</w:t>
      </w:r>
    </w:p>
    <w:p>
      <w:pPr>
        <w:ind w:left="64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0-19768</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(Commission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31-1199481</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1900" w:space="540"/>
            <w:col w:w="1260" w:space="320"/>
            <w:col w:w="6199"/>
          </w:cols>
          <w:pgMar w:left="240" w:top="244"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760" w:space="720"/>
            <w:col w:w="4739"/>
          </w:cols>
          <w:pgMar w:left="240" w:top="244" w:right="1440" w:bottom="1440" w:gutter="0" w:footer="0" w:header="0"/>
          <w:type w:val="continuous"/>
        </w:sect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(513) 644-0011</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3679" w:firstLine="1053"/>
        <w:spacing w:after="0" w:line="269" w:lineRule="auto"/>
        <w:rPr>
          <w:sz w:val="20"/>
          <w:szCs w:val="20"/>
          <w:color w:val="auto"/>
        </w:rPr>
      </w:pPr>
      <w:r>
        <w:rPr>
          <w:rFonts w:ascii="Courier New" w:cs="Courier New" w:eastAsia="Courier New" w:hAnsi="Courier New"/>
          <w:sz w:val="16"/>
          <w:szCs w:val="16"/>
          <w:color w:val="auto"/>
        </w:rPr>
        <w:t>On July 12, 1994, The Scotts Company and The O.M. Scott &amp; Sons Company (the "Issuers") entered into a pricing agreement (the "Pricing Agreement") with Goldman, Sachs &amp; Co. and Chemical Securities Inc. covering the issuance and sale of $100,000,000 aggregate principal amount of 9 7/8% Senior Subordinated Notes due August 1, 2004 (the "Notes") issuable under an Indenture, dated as of June 1, 1994 between the Issuers and Chemical Bank, as Trustee, as supplemented by the First Supplemental Indenture dated as of July 12, 1994, between the Issuers and Chemical Bank, as Trustee (the "First Supplemental Indenture"). The Notes were registered under the Securities Act of 1933, as amended (the "Act"), pursuant to the Issuers' Registration Statement on Form S-3 (File No. 33-53941). Three exhibits to such Registration Statement are filed herewith in connection with the issuance and sale of such securities, consisting of the Pricing Agreement, the First Supplemental Indenture and the form of Note.</w:t>
      </w:r>
    </w:p>
    <w:p>
      <w:pPr>
        <w:spacing w:after="0" w:line="396" w:lineRule="exact"/>
        <w:rPr>
          <w:sz w:val="20"/>
          <w:szCs w:val="20"/>
          <w:color w:val="auto"/>
        </w:rPr>
      </w:pPr>
    </w:p>
    <w:p>
      <w:pPr>
        <w:ind w:left="1060" w:right="4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Pro Forma Financial Information and Exhibits</w:t>
      </w:r>
    </w:p>
    <w:p>
      <w:pPr>
        <w:spacing w:after="0" w:line="203"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580" w:right="37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Pricing Agreement, dated July 12, 1994 between The Scotts Company and The O.M. Scott &amp; Sons Company, as Issuers, and Goldman, Sachs &amp; Co. and Chemical Securities Inc., as Underwriters.</w:t>
      </w:r>
    </w:p>
    <w:p>
      <w:pPr>
        <w:spacing w:after="0" w:line="182" w:lineRule="exact"/>
        <w:rPr>
          <w:sz w:val="20"/>
          <w:szCs w:val="20"/>
          <w:color w:val="auto"/>
        </w:rPr>
      </w:pPr>
    </w:p>
    <w:p>
      <w:pPr>
        <w:ind w:left="1580" w:right="3779" w:hanging="736"/>
        <w:spacing w:after="0" w:line="275" w:lineRule="auto"/>
        <w:tabs>
          <w:tab w:leader="none" w:pos="15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First Supplemental Indenture, dated as of July 12, 1994, between The Scotts Company and The O.M. Scott &amp; Sons Company, as Issuers, and Chemical Bank, as Trustee (the "Indenture").</w:t>
      </w:r>
    </w:p>
    <w:p>
      <w:pPr>
        <w:spacing w:after="0" w:line="182" w:lineRule="exact"/>
        <w:rPr>
          <w:sz w:val="20"/>
          <w:szCs w:val="20"/>
          <w:color w:val="auto"/>
        </w:rPr>
      </w:pPr>
    </w:p>
    <w:p>
      <w:pPr>
        <w:ind w:left="1580" w:right="3999" w:hanging="736"/>
        <w:spacing w:after="0" w:line="236" w:lineRule="auto"/>
        <w:tabs>
          <w:tab w:leader="none" w:pos="15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Form of 9 7/8% Senior Subordinated Notes due August 1, 2004 (included in Exhibit 4.1 as Exhibit A).</w:t>
      </w:r>
    </w:p>
    <w:p>
      <w:pPr>
        <w:sectPr>
          <w:pgSz w:w="11900" w:h="16838" w:orient="portrait"/>
          <w:cols w:equalWidth="0" w:num="1">
            <w:col w:w="10219"/>
          </w:cols>
          <w:pgMar w:left="240" w:top="312" w:right="1440" w:bottom="1440" w:gutter="0" w:footer="0" w:header="0"/>
        </w:sectPr>
      </w:pPr>
    </w:p>
    <w:bookmarkStart w:id="3" w:name="page4"/>
    <w:bookmarkEnd w:id="3"/>
    <w:p>
      <w:pPr>
        <w:spacing w:after="0" w:line="236" w:lineRule="auto"/>
        <w:tabs>
          <w:tab w:leader="none" w:pos="156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99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registrants have duly caused this report to be signed on their behalf by the undersigned hereunto duly authorized.</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18, 1994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Paul D. Yeager</w:t>
      </w:r>
    </w:p>
    <w:p>
      <w:pPr>
        <w:ind w:left="3700"/>
        <w:spacing w:after="0" w:line="238" w:lineRule="auto"/>
        <w:rPr>
          <w:sz w:val="20"/>
          <w:szCs w:val="20"/>
          <w:color w:val="auto"/>
        </w:rPr>
      </w:pPr>
      <w:r>
        <w:rPr>
          <w:rFonts w:ascii="Courier New" w:cs="Courier New" w:eastAsia="Courier New" w:hAnsi="Courier New"/>
          <w:sz w:val="18"/>
          <w:szCs w:val="18"/>
          <w:color w:val="auto"/>
        </w:rPr>
        <w:t>Name: Paul D. Yeager</w:t>
      </w:r>
    </w:p>
    <w:p>
      <w:pPr>
        <w:ind w:left="3700"/>
        <w:spacing w:after="0"/>
        <w:rPr>
          <w:sz w:val="20"/>
          <w:szCs w:val="20"/>
          <w:color w:val="auto"/>
        </w:rPr>
      </w:pPr>
      <w:r>
        <w:rPr>
          <w:rFonts w:ascii="Courier New" w:cs="Courier New" w:eastAsia="Courier New" w:hAnsi="Courier New"/>
          <w:sz w:val="18"/>
          <w:szCs w:val="18"/>
          <w:color w:val="auto"/>
        </w:rPr>
        <w:t>Title: Executive Vice</w:t>
      </w:r>
    </w:p>
    <w:p>
      <w:pPr>
        <w:jc w:val="right"/>
        <w:ind w:right="3779"/>
        <w:spacing w:after="0" w:line="237" w:lineRule="auto"/>
        <w:rPr>
          <w:sz w:val="20"/>
          <w:szCs w:val="20"/>
          <w:color w:val="auto"/>
        </w:rPr>
      </w:pPr>
      <w:r>
        <w:rPr>
          <w:rFonts w:ascii="Courier New" w:cs="Courier New" w:eastAsia="Courier New" w:hAnsi="Courier New"/>
          <w:sz w:val="18"/>
          <w:szCs w:val="18"/>
          <w:color w:val="auto"/>
        </w:rPr>
        <w:t>President and Chief</w:t>
      </w:r>
    </w:p>
    <w:p>
      <w:pPr>
        <w:ind w:left="444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Paul D. Yeager</w:t>
      </w:r>
    </w:p>
    <w:p>
      <w:pPr>
        <w:ind w:left="3700"/>
        <w:spacing w:after="0" w:line="238" w:lineRule="auto"/>
        <w:rPr>
          <w:sz w:val="20"/>
          <w:szCs w:val="20"/>
          <w:color w:val="auto"/>
        </w:rPr>
      </w:pPr>
      <w:r>
        <w:rPr>
          <w:rFonts w:ascii="Courier New" w:cs="Courier New" w:eastAsia="Courier New" w:hAnsi="Courier New"/>
          <w:sz w:val="18"/>
          <w:szCs w:val="18"/>
          <w:color w:val="auto"/>
        </w:rPr>
        <w:t>Name: Paul D. Yeager</w:t>
      </w:r>
    </w:p>
    <w:p>
      <w:pPr>
        <w:ind w:left="3700"/>
        <w:spacing w:after="0"/>
        <w:rPr>
          <w:sz w:val="20"/>
          <w:szCs w:val="20"/>
          <w:color w:val="auto"/>
        </w:rPr>
      </w:pPr>
      <w:r>
        <w:rPr>
          <w:rFonts w:ascii="Courier New" w:cs="Courier New" w:eastAsia="Courier New" w:hAnsi="Courier New"/>
          <w:sz w:val="18"/>
          <w:szCs w:val="18"/>
          <w:color w:val="auto"/>
        </w:rPr>
        <w:t>Title: Executive Vice</w:t>
      </w:r>
    </w:p>
    <w:p>
      <w:pPr>
        <w:jc w:val="right"/>
        <w:ind w:right="3779"/>
        <w:spacing w:after="0" w:line="237" w:lineRule="auto"/>
        <w:rPr>
          <w:sz w:val="20"/>
          <w:szCs w:val="20"/>
          <w:color w:val="auto"/>
        </w:rPr>
      </w:pPr>
      <w:r>
        <w:rPr>
          <w:rFonts w:ascii="Courier New" w:cs="Courier New" w:eastAsia="Courier New" w:hAnsi="Courier New"/>
          <w:sz w:val="18"/>
          <w:szCs w:val="18"/>
          <w:color w:val="auto"/>
        </w:rPr>
        <w:t>President and Chief</w:t>
      </w:r>
    </w:p>
    <w:p>
      <w:pPr>
        <w:ind w:left="4440"/>
        <w:spacing w:after="0" w:line="238" w:lineRule="auto"/>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Pricing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85 Broad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Securities Inc.,</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line="203"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July 12,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The Scotts Company, a Delaware corporation (the "Company"), and the O.M. Scott &amp; Sons Company, a Delaware Corporation ("Scott" and, together with the Company, the "Issuers") propose, subject to the terms and conditions stated herein and in the Underwriting Agreement, dated July 12, 1994 (the "Underwriting Agreement"), to issue and sell to you as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200" w:lineRule="exact"/>
        <w:rPr>
          <w:sz w:val="20"/>
          <w:szCs w:val="20"/>
          <w:color w:val="auto"/>
        </w:rPr>
      </w:pPr>
    </w:p>
    <w:p>
      <w:pPr>
        <w:spacing w:after="0" w:line="396"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 Prospectus relating to the Designated Securities, in the form of the Preliminary Prospectus heretofore delivered to you, is now proposed to be filed with the Commission.</w:t>
      </w:r>
    </w:p>
    <w:p>
      <w:pPr>
        <w:spacing w:after="0" w:line="209"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the Issuers agree to issue and sell to each of the Underwriters, and each of the Underwriters agrees, severally and not jointly, to purchase from the Issuers, at the time and place and at the purchase price to the Underwriters set forth in Schedule II hereto, the principal amount of Designated Securities set forth opposite the name of such Underwriter in Schedule I hereto.</w:t>
      </w:r>
    </w:p>
    <w:p>
      <w:pPr>
        <w:spacing w:after="0" w:line="188" w:lineRule="exact"/>
        <w:rPr>
          <w:sz w:val="20"/>
          <w:szCs w:val="20"/>
          <w:color w:val="auto"/>
        </w:rPr>
      </w:pPr>
    </w:p>
    <w:p>
      <w:pPr>
        <w:ind w:right="2419" w:firstLine="1264"/>
        <w:spacing w:after="0" w:line="272"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ten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Issuers.</w:t>
      </w:r>
    </w:p>
    <w:p>
      <w:pPr>
        <w:sectPr>
          <w:pgSz w:w="11900" w:h="16838" w:orient="portrait"/>
          <w:cols w:equalWidth="0" w:num="1">
            <w:col w:w="10219"/>
          </w:cols>
          <w:pgMar w:left="240" w:top="136" w:right="1440" w:bottom="1440" w:gutter="0" w:footer="0" w:header="0"/>
        </w:sectPr>
      </w:pPr>
    </w:p>
    <w:bookmarkStart w:id="6" w:name="page7"/>
    <w:bookmarkEnd w:id="6"/>
    <w:p>
      <w:pPr>
        <w:spacing w:after="0" w:line="272"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Goldman, Sachs &amp; Co.</w:t>
      </w:r>
    </w:p>
    <w:p>
      <w:pPr>
        <w:ind w:left="420"/>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A. Schmidt-Fellner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Name: Peter A. Schmidt-Fellner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 Managing Director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D. Bergum</w:t>
      </w:r>
    </w:p>
    <w:p>
      <w:pPr>
        <w:ind w:left="320"/>
        <w:spacing w:after="0" w:line="238" w:lineRule="auto"/>
        <w:rPr>
          <w:sz w:val="20"/>
          <w:szCs w:val="20"/>
          <w:color w:val="auto"/>
        </w:rPr>
      </w:pPr>
      <w:r>
        <w:rPr>
          <w:rFonts w:ascii="Courier New" w:cs="Courier New" w:eastAsia="Courier New" w:hAnsi="Courier New"/>
          <w:sz w:val="18"/>
          <w:szCs w:val="18"/>
          <w:color w:val="auto"/>
        </w:rPr>
        <w:t>Name: Richard D. Bergum</w:t>
      </w:r>
    </w:p>
    <w:p>
      <w:pPr>
        <w:ind w:left="320"/>
        <w:spacing w:after="0"/>
        <w:rPr>
          <w:sz w:val="20"/>
          <w:szCs w:val="20"/>
          <w:color w:val="auto"/>
        </w:rPr>
      </w:pPr>
      <w:r>
        <w:rPr>
          <w:rFonts w:ascii="Courier New" w:cs="Courier New" w:eastAsia="Courier New" w:hAnsi="Courier New"/>
          <w:sz w:val="18"/>
          <w:szCs w:val="18"/>
          <w:color w:val="auto"/>
        </w:rPr>
        <w:t>Title: Treasurer</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O.M. Scott &amp; Sons Company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D. Bergum</w:t>
      </w:r>
    </w:p>
    <w:p>
      <w:pPr>
        <w:ind w:left="320"/>
        <w:spacing w:after="0" w:line="238" w:lineRule="auto"/>
        <w:rPr>
          <w:sz w:val="20"/>
          <w:szCs w:val="20"/>
          <w:color w:val="auto"/>
        </w:rPr>
      </w:pPr>
      <w:r>
        <w:rPr>
          <w:rFonts w:ascii="Courier New" w:cs="Courier New" w:eastAsia="Courier New" w:hAnsi="Courier New"/>
          <w:sz w:val="18"/>
          <w:szCs w:val="18"/>
          <w:color w:val="auto"/>
        </w:rPr>
        <w:t>Name: Richard D. Bergum</w:t>
      </w:r>
    </w:p>
    <w:p>
      <w:pPr>
        <w:ind w:left="320"/>
        <w:spacing w:after="0"/>
        <w:rPr>
          <w:sz w:val="20"/>
          <w:szCs w:val="20"/>
          <w:color w:val="auto"/>
        </w:rPr>
      </w:pPr>
      <w:r>
        <w:rPr>
          <w:rFonts w:ascii="Courier New" w:cs="Courier New" w:eastAsia="Courier New" w:hAnsi="Courier New"/>
          <w:sz w:val="18"/>
          <w:szCs w:val="18"/>
          <w:color w:val="auto"/>
        </w:rPr>
        <w:t>Title: Treasurer</w:t>
      </w:r>
    </w:p>
    <w:p>
      <w:pPr>
        <w:sectPr>
          <w:pgSz w:w="11900" w:h="16838" w:orient="portrait"/>
          <w:cols w:equalWidth="0" w:num="2">
            <w:col w:w="3580" w:space="220"/>
            <w:col w:w="6419"/>
          </w:cols>
          <w:pgMar w:left="240" w:top="312"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099"/>
          </w:cols>
          <w:pgMar w:left="3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6"/>
          <w:szCs w:val="16"/>
          <w:color w:val="auto"/>
        </w:rPr>
        <w:t>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238" w:lineRule="auto"/>
        <w:rPr>
          <w:sz w:val="20"/>
          <w:szCs w:val="20"/>
          <w:color w:val="auto"/>
        </w:rPr>
      </w:pPr>
      <w:r>
        <w:rPr>
          <w:rFonts w:ascii="Courier New" w:cs="Courier New" w:eastAsia="Courier New" w:hAnsi="Courier New"/>
          <w:sz w:val="18"/>
          <w:szCs w:val="18"/>
          <w:color w:val="auto"/>
        </w:rPr>
        <w:t>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w:t>
      </w:r>
    </w:p>
    <w:p>
      <w:pPr>
        <w:spacing w:after="0" w:line="238" w:lineRule="auto"/>
        <w:rPr>
          <w:sz w:val="20"/>
          <w:szCs w:val="20"/>
          <w:color w:val="auto"/>
        </w:rPr>
      </w:pPr>
      <w:r>
        <w:rPr>
          <w:rFonts w:ascii="Courier New" w:cs="Courier New" w:eastAsia="Courier New" w:hAnsi="Courier New"/>
          <w:sz w:val="18"/>
          <w:szCs w:val="18"/>
          <w:color w:val="auto"/>
        </w:rPr>
        <w:t>PURCHASED</w:t>
      </w:r>
    </w:p>
    <w:p>
      <w:pPr>
        <w:spacing w:after="0" w:line="200" w:lineRule="exact"/>
        <w:rPr>
          <w:sz w:val="20"/>
          <w:szCs w:val="20"/>
          <w:color w:val="auto"/>
        </w:rPr>
      </w:pPr>
    </w:p>
    <w:p>
      <w:pPr>
        <w:sectPr>
          <w:pgSz w:w="11900" w:h="16838" w:orient="portrait"/>
          <w:cols w:equalWidth="0" w:num="2">
            <w:col w:w="5180" w:space="720"/>
            <w:col w:w="4199"/>
          </w:cols>
          <w:pgMar w:left="36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 Securities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$40,000,000</w:t>
      </w:r>
    </w:p>
    <w:p>
      <w:pPr>
        <w:spacing w:after="0" w:line="200" w:lineRule="exact"/>
        <w:rPr>
          <w:sz w:val="20"/>
          <w:szCs w:val="20"/>
          <w:color w:val="auto"/>
        </w:rPr>
      </w:pPr>
    </w:p>
    <w:p>
      <w:pPr>
        <w:sectPr>
          <w:pgSz w:w="11900" w:h="16838" w:orient="portrait"/>
          <w:cols w:equalWidth="0" w:num="2">
            <w:col w:w="5180" w:space="720"/>
            <w:col w:w="4199"/>
          </w:cols>
          <w:pgMar w:left="3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80"/>
        <w:spacing w:after="0"/>
        <w:rPr>
          <w:sz w:val="20"/>
          <w:szCs w:val="20"/>
          <w:color w:val="auto"/>
        </w:rPr>
      </w:pPr>
      <w:r>
        <w:rPr>
          <w:rFonts w:ascii="Courier New" w:cs="Courier New" w:eastAsia="Courier New" w:hAnsi="Courier New"/>
          <w:sz w:val="16"/>
          <w:szCs w:val="16"/>
          <w:color w:val="auto"/>
        </w:rPr>
        <w:t>_____________</w:t>
      </w:r>
    </w:p>
    <w:p>
      <w:pPr>
        <w:spacing w:after="0" w:line="2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Total . . . . . . . . . . . . . . . . . . $ 100,000,000</w:t>
      </w:r>
    </w:p>
    <w:p>
      <w:pPr>
        <w:sectPr>
          <w:pgSz w:w="11900" w:h="16838" w:orient="portrait"/>
          <w:cols w:equalWidth="0" w:num="1">
            <w:col w:w="10099"/>
          </w:cols>
          <w:pgMar w:left="360" w:top="312" w:right="1440" w:bottom="1440" w:gutter="0" w:footer="0" w:header="0"/>
          <w:type w:val="continuous"/>
        </w:sectPr>
      </w:pPr>
    </w:p>
    <w:bookmarkStart w:id="10" w:name="page11"/>
    <w:bookmarkEnd w:id="1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DESIGNATED SECURITIES: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 7/8% Senior Subordinated Notes due August 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w:t>
      </w:r>
    </w:p>
    <w:p>
      <w:pPr>
        <w:spacing w:after="0" w:line="20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8"/>
          <w:szCs w:val="18"/>
          <w:color w:val="auto"/>
        </w:rPr>
        <w:t>$100,000,000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TO PUBLIC:</w:t>
      </w:r>
    </w:p>
    <w:p>
      <w:pPr>
        <w:spacing w:after="0" w:line="207" w:lineRule="exact"/>
        <w:rPr>
          <w:sz w:val="20"/>
          <w:szCs w:val="20"/>
          <w:color w:val="auto"/>
        </w:rPr>
      </w:pPr>
    </w:p>
    <w:p>
      <w:pPr>
        <w:ind w:left="220" w:right="3039"/>
        <w:spacing w:after="0" w:line="235" w:lineRule="auto"/>
        <w:rPr>
          <w:sz w:val="20"/>
          <w:szCs w:val="20"/>
          <w:color w:val="auto"/>
        </w:rPr>
      </w:pPr>
      <w:r>
        <w:rPr>
          <w:rFonts w:ascii="Courier New" w:cs="Courier New" w:eastAsia="Courier New" w:hAnsi="Courier New"/>
          <w:sz w:val="18"/>
          <w:szCs w:val="18"/>
          <w:color w:val="auto"/>
        </w:rPr>
        <w:t>99.212% of the principal amount of the Designated Securities, plus accrued interest from July 19,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BY UNDERWRITERS: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96.762% of the principal amount of the Designated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FUNDS FOR PAYMENT OF PURCHASE PRICE: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Immediately Available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jc w:val="both"/>
        <w:ind w:left="220" w:right="2419"/>
        <w:spacing w:after="0" w:line="279" w:lineRule="auto"/>
        <w:rPr>
          <w:sz w:val="20"/>
          <w:szCs w:val="20"/>
          <w:color w:val="auto"/>
        </w:rPr>
      </w:pPr>
      <w:r>
        <w:rPr>
          <w:rFonts w:ascii="Courier New" w:cs="Courier New" w:eastAsia="Courier New" w:hAnsi="Courier New"/>
          <w:sz w:val="16"/>
          <w:szCs w:val="16"/>
          <w:color w:val="auto"/>
        </w:rPr>
        <w:t>Indenture dated June 1, 1994, between the Issuers and Chemical Bank, as Trustee, as supplemented by the First Supplemental Indenture dated as of July 12, 1994, between the Issuers and Chemical Bank, as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 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February 1 and August 1, commencing February 1,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left="220" w:right="2619"/>
        <w:spacing w:after="0" w:line="237" w:lineRule="auto"/>
        <w:rPr>
          <w:sz w:val="20"/>
          <w:szCs w:val="20"/>
          <w:color w:val="auto"/>
        </w:rPr>
      </w:pPr>
      <w:r>
        <w:rPr>
          <w:rFonts w:ascii="Courier New" w:cs="Courier New" w:eastAsia="Courier New" w:hAnsi="Courier New"/>
          <w:sz w:val="18"/>
          <w:szCs w:val="18"/>
          <w:color w:val="auto"/>
        </w:rPr>
        <w:t>The payment of principal of and premium, if any, and interest on the Designated Securities, and any other obligations of the Issuers in respect of the Designated Securities, will, to the extent set forth in the Indenture, be subordinate in right of payment to the prior payment in full of all Senior Debt as defined in the Indenture.</w:t>
      </w:r>
    </w:p>
    <w:p>
      <w:pPr>
        <w:sectPr>
          <w:pgSz w:w="11900" w:h="16838" w:orient="portrait"/>
          <w:cols w:equalWidth="0" w:num="1">
            <w:col w:w="10219"/>
          </w:cols>
          <w:pgMar w:left="240" w:top="312" w:right="1440" w:bottom="1440" w:gutter="0" w:footer="0" w:header="0"/>
        </w:sectPr>
      </w:pPr>
    </w:p>
    <w:bookmarkStart w:id="12" w:name="page13"/>
    <w:bookmarkEnd w:id="1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PROVISIONS:</w:t>
      </w:r>
    </w:p>
    <w:p>
      <w:pPr>
        <w:spacing w:after="0" w:line="207" w:lineRule="exact"/>
        <w:rPr>
          <w:sz w:val="20"/>
          <w:szCs w:val="20"/>
          <w:color w:val="auto"/>
        </w:rPr>
      </w:pPr>
    </w:p>
    <w:p>
      <w:pPr>
        <w:ind w:left="220" w:right="2619"/>
        <w:spacing w:after="0" w:line="237" w:lineRule="auto"/>
        <w:rPr>
          <w:sz w:val="20"/>
          <w:szCs w:val="20"/>
          <w:color w:val="auto"/>
        </w:rPr>
      </w:pPr>
      <w:r>
        <w:rPr>
          <w:rFonts w:ascii="Courier New" w:cs="Courier New" w:eastAsia="Courier New" w:hAnsi="Courier New"/>
          <w:sz w:val="18"/>
          <w:szCs w:val="18"/>
          <w:color w:val="auto"/>
        </w:rPr>
        <w:t>The Designated Securites shall be subject to redemption, at the option of the Issuers, in whole or in part, at any time on or after August 1, 1999 and prior to maturity, at the following redemption prices (expressed in percentages of principal amount). If redeemed during the 12-month period beginning August 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Redemption</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r>
      <w:tr>
        <w:trPr>
          <w:trHeight w:val="608"/>
        </w:trPr>
        <w:tc>
          <w:tcPr>
            <w:tcW w:w="194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104.9375%</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103.2917%</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2001</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101.6458%</w:t>
            </w:r>
          </w:p>
        </w:tc>
      </w:tr>
    </w:tbl>
    <w:p>
      <w:pPr>
        <w:spacing w:after="0" w:line="200" w:lineRule="exact"/>
        <w:rPr>
          <w:sz w:val="20"/>
          <w:szCs w:val="20"/>
          <w:color w:val="auto"/>
        </w:rPr>
      </w:pPr>
    </w:p>
    <w:p>
      <w:pPr>
        <w:spacing w:after="0" w:line="209" w:lineRule="exact"/>
        <w:rPr>
          <w:sz w:val="20"/>
          <w:szCs w:val="20"/>
          <w:color w:val="auto"/>
        </w:rPr>
      </w:pPr>
    </w:p>
    <w:p>
      <w:pPr>
        <w:ind w:left="220" w:right="2519"/>
        <w:spacing w:after="0" w:line="235" w:lineRule="auto"/>
        <w:rPr>
          <w:sz w:val="20"/>
          <w:szCs w:val="20"/>
          <w:color w:val="auto"/>
        </w:rPr>
      </w:pPr>
      <w:r>
        <w:rPr>
          <w:rFonts w:ascii="Courier New" w:cs="Courier New" w:eastAsia="Courier New" w:hAnsi="Courier New"/>
          <w:sz w:val="18"/>
          <w:szCs w:val="18"/>
          <w:color w:val="auto"/>
        </w:rPr>
        <w:t>and thereafter at 100.0000% of their principal amount, together in each case with accrued interest to the redemption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 PROVISIONS:</w:t>
      </w:r>
    </w:p>
    <w:p>
      <w:pPr>
        <w:spacing w:after="0" w:line="207" w:lineRule="exact"/>
        <w:rPr>
          <w:sz w:val="20"/>
          <w:szCs w:val="20"/>
          <w:color w:val="auto"/>
        </w:rPr>
      </w:pPr>
    </w:p>
    <w:p>
      <w:pPr>
        <w:ind w:left="220" w:right="2939"/>
        <w:spacing w:after="0" w:line="235" w:lineRule="auto"/>
        <w:rPr>
          <w:sz w:val="20"/>
          <w:szCs w:val="20"/>
          <w:color w:val="auto"/>
        </w:rPr>
      </w:pPr>
      <w:r>
        <w:rPr>
          <w:rFonts w:ascii="Courier New" w:cs="Courier New" w:eastAsia="Courier New" w:hAnsi="Courier New"/>
          <w:sz w:val="18"/>
          <w:szCs w:val="18"/>
          <w:color w:val="auto"/>
        </w:rPr>
        <w:t>The Designated Securities shall not have the benefit of any sinking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PROVISIONS:</w:t>
      </w:r>
    </w:p>
    <w:p>
      <w:pPr>
        <w:spacing w:after="0" w:line="207" w:lineRule="exact"/>
        <w:rPr>
          <w:sz w:val="20"/>
          <w:szCs w:val="20"/>
          <w:color w:val="auto"/>
        </w:rPr>
      </w:pPr>
    </w:p>
    <w:p>
      <w:pPr>
        <w:jc w:val="both"/>
        <w:ind w:left="220" w:right="3159"/>
        <w:spacing w:after="0" w:line="236" w:lineRule="auto"/>
        <w:rPr>
          <w:sz w:val="20"/>
          <w:szCs w:val="20"/>
          <w:color w:val="auto"/>
        </w:rPr>
      </w:pPr>
      <w:r>
        <w:rPr>
          <w:rFonts w:ascii="Courier New" w:cs="Courier New" w:eastAsia="Courier New" w:hAnsi="Courier New"/>
          <w:sz w:val="18"/>
          <w:szCs w:val="18"/>
          <w:color w:val="auto"/>
        </w:rPr>
        <w:t>The provisions of Article Thirteen of the Indenture, relating to defeasance and covenant defeasance, shall apply to the Designated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OF DELIVERY: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July 19, 1994, 10:00 a.m. New York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LOCATION: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Sullivan &amp; Cromwell, 125 Broad Street, New York, New York</w:t>
      </w:r>
    </w:p>
    <w:p>
      <w:pPr>
        <w:sectPr>
          <w:pgSz w:w="11900" w:h="16838" w:orient="portrait"/>
          <w:cols w:equalWidth="0" w:num="1">
            <w:col w:w="10219"/>
          </w:cols>
          <w:pgMar w:left="24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THE SCOTTS COMPANY</w:t>
      </w:r>
    </w:p>
    <w:p>
      <w:pPr>
        <w:ind w:left="1680"/>
        <w:spacing w:after="0" w:line="238" w:lineRule="auto"/>
        <w:rPr>
          <w:sz w:val="20"/>
          <w:szCs w:val="20"/>
          <w:color w:val="auto"/>
        </w:rPr>
      </w:pPr>
      <w:r>
        <w:rPr>
          <w:rFonts w:ascii="Courier New" w:cs="Courier New" w:eastAsia="Courier New" w:hAnsi="Courier New"/>
          <w:sz w:val="18"/>
          <w:szCs w:val="18"/>
          <w:color w:val="auto"/>
        </w:rPr>
        <w:t>THE O.M. SCOTT &amp; SONS COMPANY</w:t>
      </w:r>
    </w:p>
    <w:p>
      <w:pPr>
        <w:jc w:val="right"/>
        <w:ind w:right="4199"/>
        <w:spacing w:after="0"/>
        <w:rPr>
          <w:sz w:val="20"/>
          <w:szCs w:val="20"/>
          <w:color w:val="auto"/>
        </w:rPr>
      </w:pPr>
      <w:r>
        <w:rPr>
          <w:rFonts w:ascii="Courier New" w:cs="Courier New" w:eastAsia="Courier New" w:hAnsi="Courier New"/>
          <w:sz w:val="18"/>
          <w:szCs w:val="18"/>
          <w:color w:val="auto"/>
        </w:rPr>
        <w:t>Issuers</w:t>
      </w:r>
    </w:p>
    <w:p>
      <w:pPr>
        <w:spacing w:after="0" w:line="200"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CHEMICAL BANK</w:t>
      </w:r>
    </w:p>
    <w:p>
      <w:pPr>
        <w:jc w:val="right"/>
        <w:ind w:right="4199"/>
        <w:spacing w:after="0" w:line="238"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______________</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FIRST SUPPLEMENTAL INDENTURE</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Dated as of July 12, 1994</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Dated as of June 1, 1994</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______________</w:t>
      </w:r>
    </w:p>
    <w:p>
      <w:pPr>
        <w:spacing w:after="0" w:line="20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9 7/8% Senior Subordinated Notes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due August 1, 2004</w:t>
      </w:r>
    </w:p>
    <w:p>
      <w:pPr>
        <w:sectPr>
          <w:pgSz w:w="11900" w:h="16838" w:orient="portrait"/>
          <w:cols w:equalWidth="0" w:num="1">
            <w:col w:w="10099"/>
          </w:cols>
          <w:pgMar w:left="360" w:top="136" w:right="1440" w:bottom="1440" w:gutter="0" w:footer="0" w:header="0"/>
        </w:sectPr>
      </w:pPr>
    </w:p>
    <w:bookmarkStart w:id="15" w:name="page16"/>
    <w:bookmarkEnd w:id="15"/>
    <w:p>
      <w:pPr>
        <w:jc w:val="cente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right="3779" w:firstLine="316"/>
        <w:spacing w:after="0" w:line="270" w:lineRule="auto"/>
        <w:rPr>
          <w:sz w:val="20"/>
          <w:szCs w:val="20"/>
          <w:color w:val="auto"/>
        </w:rPr>
      </w:pPr>
      <w:r>
        <w:rPr>
          <w:rFonts w:ascii="Courier New" w:cs="Courier New" w:eastAsia="Courier New" w:hAnsi="Courier New"/>
          <w:sz w:val="16"/>
          <w:szCs w:val="16"/>
          <w:color w:val="auto"/>
        </w:rPr>
        <w:t>FIRST SUPPLEMENTAL INDENTURE, dated as of July 12, 1994 between The Scotts Company, a corporation duly organized and existing under the laws of the State of Delaware (herein called "Scotts"), and The O.M. Scott &amp; Sons Company, a corporation duly organized and existing under the laws of the State of Delaware (herein called "OMS"), as joint and several obligors (collectively, herein called the "Issuers"), each having its principal office at 14111 Scottslawn Road, Marysville, Ohio 43043, and Chemical Bank, a banking corporation duly organized and existing under the laws of the State of New York, as Trustee (herein called the "Trustee").</w:t>
      </w:r>
    </w:p>
    <w:p>
      <w:pPr>
        <w:spacing w:after="0" w:line="200" w:lineRule="exact"/>
        <w:rPr>
          <w:sz w:val="20"/>
          <w:szCs w:val="20"/>
          <w:color w:val="auto"/>
        </w:rPr>
      </w:pPr>
    </w:p>
    <w:p>
      <w:pPr>
        <w:spacing w:after="0" w:line="389"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RECITALS OF THE ISSUERS</w:t>
      </w:r>
    </w:p>
    <w:p>
      <w:pPr>
        <w:spacing w:after="0" w:line="207" w:lineRule="exact"/>
        <w:rPr>
          <w:sz w:val="20"/>
          <w:szCs w:val="20"/>
          <w:color w:val="auto"/>
        </w:rPr>
      </w:pPr>
    </w:p>
    <w:p>
      <w:pPr>
        <w:ind w:right="3779" w:firstLine="316"/>
        <w:spacing w:after="0" w:line="236" w:lineRule="auto"/>
        <w:rPr>
          <w:sz w:val="20"/>
          <w:szCs w:val="20"/>
          <w:color w:val="auto"/>
        </w:rPr>
      </w:pPr>
      <w:r>
        <w:rPr>
          <w:rFonts w:ascii="Courier New" w:cs="Courier New" w:eastAsia="Courier New" w:hAnsi="Courier New"/>
          <w:sz w:val="18"/>
          <w:szCs w:val="18"/>
          <w:color w:val="auto"/>
        </w:rPr>
        <w:t>The Issuers and the Trustee have executed and delivered an Indenture dated as of June 1, 1994, to provide for the issuance from time to time of the Issuer's Securities.</w:t>
      </w:r>
    </w:p>
    <w:p>
      <w:pPr>
        <w:spacing w:after="0" w:line="209" w:lineRule="exact"/>
        <w:rPr>
          <w:sz w:val="20"/>
          <w:szCs w:val="20"/>
          <w:color w:val="auto"/>
        </w:rPr>
      </w:pPr>
    </w:p>
    <w:p>
      <w:pPr>
        <w:ind w:right="3779" w:firstLine="316"/>
        <w:spacing w:after="0" w:line="279" w:lineRule="auto"/>
        <w:rPr>
          <w:sz w:val="20"/>
          <w:szCs w:val="20"/>
          <w:color w:val="auto"/>
        </w:rPr>
      </w:pPr>
      <w:r>
        <w:rPr>
          <w:rFonts w:ascii="Courier New" w:cs="Courier New" w:eastAsia="Courier New" w:hAnsi="Courier New"/>
          <w:sz w:val="16"/>
          <w:szCs w:val="16"/>
          <w:color w:val="auto"/>
        </w:rPr>
        <w:t>Sections 201 and 301 of the Indenture provide for the form and terms of Securities of any series to be established pursuant to an indenture supplemental to the Indenture.</w:t>
      </w:r>
    </w:p>
    <w:p>
      <w:pPr>
        <w:spacing w:after="0" w:line="178" w:lineRule="exact"/>
        <w:rPr>
          <w:sz w:val="20"/>
          <w:szCs w:val="20"/>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All things necessary to make the Securities, when executed by the Issuers and authenticated and delivered hereunder and under the Indenture and duly issued by the Issuers and to make this First Supplemental Indenture a valid agreement of the Issuers, in accordance with their and its terms, have been done.</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7" w:lineRule="exact"/>
        <w:rPr>
          <w:sz w:val="20"/>
          <w:szCs w:val="20"/>
          <w:color w:val="auto"/>
        </w:rPr>
      </w:pPr>
    </w:p>
    <w:p>
      <w:pPr>
        <w:ind w:right="3779" w:firstLine="316"/>
        <w:spacing w:after="0" w:line="237" w:lineRule="auto"/>
        <w:rPr>
          <w:sz w:val="20"/>
          <w:szCs w:val="20"/>
          <w:color w:val="auto"/>
        </w:rPr>
      </w:pPr>
      <w:r>
        <w:rPr>
          <w:rFonts w:ascii="Courier New" w:cs="Courier New" w:eastAsia="Courier New" w:hAnsi="Courier New"/>
          <w:sz w:val="18"/>
          <w:szCs w:val="18"/>
          <w:color w:val="auto"/>
        </w:rPr>
        <w:t>For and in consideration of the premises and the purchase of the acquisition of the Securities by the Holders thereof, it is mutually covenanted and agreed, for the equal and proportionate benefit of all Holders of the Securities of the series hereby established, as follows:</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ONE</w:t>
      </w:r>
    </w:p>
    <w:p>
      <w:pPr>
        <w:spacing w:after="0" w:line="207" w:lineRule="exact"/>
        <w:rPr>
          <w:sz w:val="20"/>
          <w:szCs w:val="20"/>
          <w:color w:val="auto"/>
        </w:rPr>
      </w:pPr>
    </w:p>
    <w:p>
      <w:pPr>
        <w:ind w:right="4099" w:firstLine="316"/>
        <w:spacing w:after="0" w:line="236" w:lineRule="auto"/>
        <w:rPr>
          <w:sz w:val="20"/>
          <w:szCs w:val="20"/>
          <w:color w:val="auto"/>
        </w:rPr>
      </w:pPr>
      <w:r>
        <w:rPr>
          <w:rFonts w:ascii="Courier New" w:cs="Courier New" w:eastAsia="Courier New" w:hAnsi="Courier New"/>
          <w:sz w:val="18"/>
          <w:szCs w:val="18"/>
          <w:color w:val="auto"/>
        </w:rPr>
        <w:t>Section 1.01. Relation to the Indenture. This First Supplemental Indenture constitutes an integral part of the Indenture.</w:t>
      </w:r>
    </w:p>
    <w:p>
      <w:pPr>
        <w:spacing w:after="0" w:line="209" w:lineRule="exact"/>
        <w:rPr>
          <w:sz w:val="20"/>
          <w:szCs w:val="20"/>
          <w:color w:val="auto"/>
        </w:rPr>
      </w:pPr>
    </w:p>
    <w:p>
      <w:pPr>
        <w:ind w:right="3779" w:firstLine="316"/>
        <w:spacing w:after="0" w:line="236" w:lineRule="auto"/>
        <w:rPr>
          <w:sz w:val="20"/>
          <w:szCs w:val="20"/>
          <w:color w:val="auto"/>
        </w:rPr>
      </w:pPr>
      <w:r>
        <w:rPr>
          <w:rFonts w:ascii="Courier New" w:cs="Courier New" w:eastAsia="Courier New" w:hAnsi="Courier New"/>
          <w:sz w:val="18"/>
          <w:szCs w:val="18"/>
          <w:color w:val="auto"/>
        </w:rPr>
        <w:t>Section 1.02. Definitions and Other Provisions of General Application. For all purposes of this First Supplemental Indenture unless otherwise specified herein:</w:t>
      </w:r>
    </w:p>
    <w:p>
      <w:pPr>
        <w:spacing w:after="0" w:line="209" w:lineRule="exact"/>
        <w:rPr>
          <w:sz w:val="20"/>
          <w:szCs w:val="20"/>
          <w:color w:val="auto"/>
        </w:rPr>
      </w:pPr>
    </w:p>
    <w:p>
      <w:pPr>
        <w:ind w:left="220" w:right="3999" w:firstLine="315"/>
        <w:spacing w:after="0" w:line="236" w:lineRule="auto"/>
        <w:tabs>
          <w:tab w:leader="none" w:pos="106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terms defined in the Indenture which are used and not otherwise defined herein shall have the meanings they are given in the Indenture; and</w:t>
      </w:r>
    </w:p>
    <w:p>
      <w:pPr>
        <w:spacing w:after="0" w:line="208" w:lineRule="exact"/>
        <w:rPr>
          <w:rFonts w:ascii="Courier New" w:cs="Courier New" w:eastAsia="Courier New" w:hAnsi="Courier New"/>
          <w:sz w:val="18"/>
          <w:szCs w:val="18"/>
          <w:color w:val="auto"/>
        </w:rPr>
      </w:pPr>
    </w:p>
    <w:p>
      <w:pPr>
        <w:ind w:left="220" w:right="4199" w:firstLine="315"/>
        <w:spacing w:after="0" w:line="268" w:lineRule="auto"/>
        <w:tabs>
          <w:tab w:leader="none" w:pos="10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general application stated in Section 101 of the Indenture shall apply to this First Supplemental Indenture, except that the words "herein,"</w:t>
      </w:r>
    </w:p>
    <w:p>
      <w:pPr>
        <w:ind w:left="220" w:right="3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 and "hereunder" and other words of similar import refer to this First Supplemental Indenture as a whole and not to the Indenture or any particular Article, Section or other subdivision of the Indenture or this First Supplemental Indenture.</w:t>
      </w:r>
    </w:p>
    <w:p>
      <w:pPr>
        <w:sectPr>
          <w:pgSz w:w="11900" w:h="16838" w:orient="portrait"/>
          <w:cols w:equalWidth="0" w:num="1">
            <w:col w:w="10219"/>
          </w:cols>
          <w:pgMar w:left="240" w:top="312" w:right="1440" w:bottom="1440" w:gutter="0" w:footer="0" w:header="0"/>
        </w:sectPr>
      </w:pPr>
    </w:p>
    <w:bookmarkStart w:id="17" w:name="page18"/>
    <w:bookmarkEnd w:id="17"/>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220" w:right="3679" w:firstLine="315"/>
        <w:spacing w:after="0" w:line="237" w:lineRule="auto"/>
        <w:tabs>
          <w:tab w:leader="none" w:pos="10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First Supplemental Indenture shall be applicable only to the Notes except to the extent that another series of Securities shall specifically provide that such provisions shall also be applicable to such series.</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Title.</w:t>
      </w:r>
    </w:p>
    <w:p>
      <w:pPr>
        <w:spacing w:after="0" w:line="207" w:lineRule="exact"/>
        <w:rPr>
          <w:sz w:val="20"/>
          <w:szCs w:val="20"/>
          <w:color w:val="auto"/>
        </w:rPr>
      </w:pPr>
    </w:p>
    <w:p>
      <w:pPr>
        <w:ind w:right="4099" w:firstLine="316"/>
        <w:spacing w:after="0" w:line="236" w:lineRule="auto"/>
        <w:rPr>
          <w:sz w:val="20"/>
          <w:szCs w:val="20"/>
          <w:color w:val="auto"/>
        </w:rPr>
      </w:pPr>
      <w:r>
        <w:rPr>
          <w:rFonts w:ascii="Courier New" w:cs="Courier New" w:eastAsia="Courier New" w:hAnsi="Courier New"/>
          <w:sz w:val="18"/>
          <w:szCs w:val="18"/>
          <w:color w:val="auto"/>
        </w:rPr>
        <w:t>There shall be a series of Securities designated the "9 7/8% Senior Subordinated Notes due August 1, 2004" (the "Notes").</w:t>
      </w:r>
    </w:p>
    <w:p>
      <w:pPr>
        <w:spacing w:after="0" w:line="203"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Principal Amount.</w:t>
      </w:r>
    </w:p>
    <w:p>
      <w:pPr>
        <w:spacing w:after="0" w:line="207" w:lineRule="exact"/>
        <w:rPr>
          <w:sz w:val="20"/>
          <w:szCs w:val="20"/>
          <w:color w:val="auto"/>
        </w:rPr>
      </w:pPr>
    </w:p>
    <w:p>
      <w:pPr>
        <w:ind w:right="3779" w:firstLine="316"/>
        <w:spacing w:after="0" w:line="237" w:lineRule="auto"/>
        <w:rPr>
          <w:sz w:val="20"/>
          <w:szCs w:val="20"/>
          <w:color w:val="auto"/>
        </w:rPr>
      </w:pPr>
      <w:r>
        <w:rPr>
          <w:rFonts w:ascii="Courier New" w:cs="Courier New" w:eastAsia="Courier New" w:hAnsi="Courier New"/>
          <w:sz w:val="18"/>
          <w:szCs w:val="18"/>
          <w:color w:val="auto"/>
        </w:rPr>
        <w:t>The aggregate principal amount of the Notes which may be authenticated and delivered under this First Supplemental Indenture shall not exceed $100,000,000 (except for Notes which may be authenticated and delivered upon registration of transfer of, or in exchange for, or in lieu of, other Notes pursuant to Sections 304, 305, 306, 906, 1008 or 1107 of the Indenture).</w:t>
      </w:r>
    </w:p>
    <w:p>
      <w:pPr>
        <w:spacing w:after="0" w:line="205"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6"/>
          <w:szCs w:val="16"/>
          <w:color w:val="auto"/>
        </w:rPr>
        <w:t>Maturity.</w:t>
      </w:r>
    </w:p>
    <w:p>
      <w:pPr>
        <w:spacing w:after="0" w:line="207" w:lineRule="exact"/>
        <w:rPr>
          <w:sz w:val="20"/>
          <w:szCs w:val="20"/>
          <w:color w:val="auto"/>
        </w:rPr>
      </w:pPr>
    </w:p>
    <w:p>
      <w:pPr>
        <w:ind w:right="4319" w:firstLine="316"/>
        <w:spacing w:after="0" w:line="235" w:lineRule="auto"/>
        <w:rPr>
          <w:sz w:val="20"/>
          <w:szCs w:val="20"/>
          <w:color w:val="auto"/>
        </w:rPr>
      </w:pPr>
      <w:r>
        <w:rPr>
          <w:rFonts w:ascii="Courier New" w:cs="Courier New" w:eastAsia="Courier New" w:hAnsi="Courier New"/>
          <w:sz w:val="18"/>
          <w:szCs w:val="18"/>
          <w:color w:val="auto"/>
        </w:rPr>
        <w:t>The date on which the principal of the Notes shall be payable shall be August 1, 2004.</w:t>
      </w:r>
    </w:p>
    <w:p>
      <w:pPr>
        <w:spacing w:after="0" w:line="203"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Interest.</w:t>
      </w:r>
    </w:p>
    <w:p>
      <w:pPr>
        <w:spacing w:after="0" w:line="207" w:lineRule="exact"/>
        <w:rPr>
          <w:sz w:val="20"/>
          <w:szCs w:val="20"/>
          <w:color w:val="auto"/>
        </w:rPr>
      </w:pPr>
    </w:p>
    <w:p>
      <w:pPr>
        <w:ind w:right="3779" w:firstLine="316"/>
        <w:spacing w:after="0" w:line="271" w:lineRule="auto"/>
        <w:rPr>
          <w:sz w:val="20"/>
          <w:szCs w:val="20"/>
          <w:color w:val="auto"/>
        </w:rPr>
      </w:pPr>
      <w:r>
        <w:rPr>
          <w:rFonts w:ascii="Courier New" w:cs="Courier New" w:eastAsia="Courier New" w:hAnsi="Courier New"/>
          <w:sz w:val="16"/>
          <w:szCs w:val="16"/>
          <w:color w:val="auto"/>
        </w:rPr>
        <w:t>The Notes shall bear interest at the rate of 9 7/8% per annum. Interest shall accrue from July 19, 1994 or from the most recent Interest Payment Date to which interest has been paid or provided for. Accrued interest shall be payable on each February 1 and August 1, commencing February 1, 1995, to the Persons in whose names the Notes are registered at the close of business on the preceding January 15 or July 15 ("Regular Record Dates"), as the case may be.</w:t>
      </w:r>
    </w:p>
    <w:p>
      <w:pPr>
        <w:spacing w:after="0" w:line="180"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Place of Payment.</w:t>
      </w:r>
    </w:p>
    <w:p>
      <w:pPr>
        <w:spacing w:after="0" w:line="207" w:lineRule="exact"/>
        <w:rPr>
          <w:sz w:val="20"/>
          <w:szCs w:val="20"/>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Initially, the Trustee will act as Paying Agent. The Place of Payment for the Notes shall be at the Corporate Trust Office of the Trustee, as Paying Agent, or such other office of the Paying Agent as the Paying Agent may reasonably request by notice to the Issuers and the Trustee (if the Paying Agent is not the Trustee).</w:t>
      </w:r>
    </w:p>
    <w:p>
      <w:pPr>
        <w:spacing w:after="0" w:line="204"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2.06.</w:t>
      </w:r>
      <w:r>
        <w:rPr>
          <w:sz w:val="20"/>
          <w:szCs w:val="20"/>
          <w:color w:val="auto"/>
        </w:rPr>
        <w:tab/>
      </w:r>
      <w:r>
        <w:rPr>
          <w:rFonts w:ascii="Courier New" w:cs="Courier New" w:eastAsia="Courier New" w:hAnsi="Courier New"/>
          <w:sz w:val="16"/>
          <w:szCs w:val="16"/>
          <w:color w:val="auto"/>
        </w:rPr>
        <w:t>Redemption at the Option of the Issuers.</w:t>
      </w:r>
    </w:p>
    <w:p>
      <w:pPr>
        <w:spacing w:after="0" w:line="207" w:lineRule="exact"/>
        <w:rPr>
          <w:sz w:val="20"/>
          <w:szCs w:val="20"/>
          <w:color w:val="auto"/>
        </w:rPr>
      </w:pPr>
    </w:p>
    <w:p>
      <w:pPr>
        <w:jc w:val="both"/>
        <w:ind w:right="3779" w:firstLine="316"/>
        <w:spacing w:after="0" w:line="290" w:lineRule="auto"/>
        <w:rPr>
          <w:sz w:val="20"/>
          <w:szCs w:val="20"/>
          <w:color w:val="auto"/>
        </w:rPr>
      </w:pPr>
      <w:r>
        <w:rPr>
          <w:rFonts w:ascii="Courier New" w:cs="Courier New" w:eastAsia="Courier New" w:hAnsi="Courier New"/>
          <w:sz w:val="16"/>
          <w:szCs w:val="16"/>
          <w:color w:val="auto"/>
        </w:rPr>
        <w:t>The Notes shall be redeemable at the option of the Issuers as provided in the form of Note attached hereto as Exhibit A.</w:t>
      </w:r>
    </w:p>
    <w:p>
      <w:pPr>
        <w:sectPr>
          <w:pgSz w:w="11900" w:h="16838" w:orient="portrait"/>
          <w:cols w:equalWidth="0" w:num="1">
            <w:col w:w="10219"/>
          </w:cols>
          <w:pgMar w:left="240" w:top="312" w:right="1440" w:bottom="1440" w:gutter="0" w:footer="0" w:header="0"/>
        </w:sectPr>
      </w:pPr>
    </w:p>
    <w:bookmarkStart w:id="19" w:name="page20"/>
    <w:bookmarkEnd w:id="19"/>
    <w:p>
      <w:pPr>
        <w:jc w:val="both"/>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2.07.</w:t>
      </w:r>
      <w:r>
        <w:rPr>
          <w:sz w:val="20"/>
          <w:szCs w:val="20"/>
          <w:color w:val="auto"/>
        </w:rPr>
        <w:tab/>
      </w:r>
      <w:r>
        <w:rPr>
          <w:rFonts w:ascii="Courier New" w:cs="Courier New" w:eastAsia="Courier New" w:hAnsi="Courier New"/>
          <w:sz w:val="16"/>
          <w:szCs w:val="16"/>
          <w:color w:val="auto"/>
        </w:rPr>
        <w:t>No Sinking Fund.</w:t>
      </w:r>
    </w:p>
    <w:p>
      <w:pPr>
        <w:spacing w:after="0" w:line="207"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The provisions of Article Twelve of the Indenture shall not apply to the Notes.</w:t>
      </w:r>
    </w:p>
    <w:p>
      <w:pPr>
        <w:spacing w:after="0" w:line="203"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2.08.</w:t>
      </w:r>
      <w:r>
        <w:rPr>
          <w:sz w:val="20"/>
          <w:szCs w:val="20"/>
          <w:color w:val="auto"/>
        </w:rPr>
        <w:tab/>
      </w:r>
      <w:r>
        <w:rPr>
          <w:rFonts w:ascii="Courier New" w:cs="Courier New" w:eastAsia="Courier New" w:hAnsi="Courier New"/>
          <w:sz w:val="16"/>
          <w:szCs w:val="16"/>
          <w:color w:val="auto"/>
        </w:rPr>
        <w:t>Defeasance.</w:t>
      </w:r>
    </w:p>
    <w:p>
      <w:pPr>
        <w:spacing w:after="0" w:line="207"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The Notes shall be defeasible pursuant to Sections 1302 and 1303 of the Indenture.</w:t>
      </w:r>
    </w:p>
    <w:p>
      <w:pPr>
        <w:spacing w:after="0" w:line="203"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Section 2.09.</w:t>
      </w:r>
      <w:r>
        <w:rPr>
          <w:sz w:val="20"/>
          <w:szCs w:val="20"/>
          <w:color w:val="auto"/>
        </w:rPr>
        <w:tab/>
      </w:r>
      <w:r>
        <w:rPr>
          <w:rFonts w:ascii="Courier New" w:cs="Courier New" w:eastAsia="Courier New" w:hAnsi="Courier New"/>
          <w:sz w:val="16"/>
          <w:szCs w:val="16"/>
          <w:color w:val="auto"/>
        </w:rPr>
        <w:t>Form of Notes.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Notes shall be in the form attached hereto as</w:t>
      </w:r>
    </w:p>
    <w:p>
      <w:pPr>
        <w:spacing w:after="0"/>
        <w:tabs>
          <w:tab w:leader="none" w:pos="12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The Notes shall be issuable in the form of one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Global Notes registered in the name of the nominee of the</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Depositary for the Global Notes.</w:t>
      </w:r>
      <w:r>
        <w:rPr>
          <w:sz w:val="20"/>
          <w:szCs w:val="20"/>
          <w:color w:val="auto"/>
        </w:rPr>
        <w:tab/>
      </w:r>
      <w:r>
        <w:rPr>
          <w:rFonts w:ascii="Courier New" w:cs="Courier New" w:eastAsia="Courier New" w:hAnsi="Courier New"/>
          <w:sz w:val="16"/>
          <w:szCs w:val="16"/>
          <w:color w:val="auto"/>
        </w:rPr>
        <w:t>The Depositary for the</w:t>
      </w:r>
    </w:p>
    <w:p>
      <w:pPr>
        <w:spacing w:after="0"/>
        <w:tabs>
          <w:tab w:leader="none" w:pos="5580" w:val="left"/>
        </w:tabs>
        <w:rPr>
          <w:sz w:val="20"/>
          <w:szCs w:val="20"/>
          <w:color w:val="auto"/>
        </w:rPr>
      </w:pPr>
      <w:r>
        <w:rPr>
          <w:rFonts w:ascii="Courier New" w:cs="Courier New" w:eastAsia="Courier New" w:hAnsi="Courier New"/>
          <w:sz w:val="18"/>
          <w:szCs w:val="18"/>
          <w:color w:val="auto"/>
        </w:rPr>
        <w:t>Global Notes shall be The Depositary Trust Company.</w:t>
      </w:r>
      <w:r>
        <w:rPr>
          <w:sz w:val="20"/>
          <w:szCs w:val="20"/>
          <w:color w:val="auto"/>
        </w:rPr>
        <w:tab/>
      </w:r>
      <w:r>
        <w:rPr>
          <w:rFonts w:ascii="Courier New" w:cs="Courier New" w:eastAsia="Courier New" w:hAnsi="Courier New"/>
          <w:sz w:val="16"/>
          <w:szCs w:val="16"/>
          <w:color w:val="auto"/>
        </w:rPr>
        <w:t>The form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legend to be borne by the Global Notes in lieu of that set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in Section 204 shall be as provided in the form of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attached hereto as Exhibit A.</w:t>
      </w:r>
    </w:p>
    <w:p>
      <w:pPr>
        <w:spacing w:after="0" w:line="200" w:lineRule="exact"/>
        <w:rPr>
          <w:sz w:val="20"/>
          <w:szCs w:val="20"/>
          <w:color w:val="auto"/>
        </w:rPr>
      </w:pPr>
    </w:p>
    <w:p>
      <w:pPr>
        <w:spacing w:after="0" w:line="204"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ARTICLE THREE</w:t>
      </w:r>
    </w:p>
    <w:p>
      <w:pPr>
        <w:spacing w:after="0" w:line="207" w:lineRule="exact"/>
        <w:rPr>
          <w:sz w:val="20"/>
          <w:szCs w:val="20"/>
          <w:color w:val="auto"/>
        </w:rPr>
      </w:pPr>
    </w:p>
    <w:p>
      <w:pPr>
        <w:ind w:right="3899" w:firstLine="316"/>
        <w:spacing w:after="0" w:line="290" w:lineRule="auto"/>
        <w:rPr>
          <w:sz w:val="20"/>
          <w:szCs w:val="20"/>
          <w:color w:val="auto"/>
        </w:rPr>
      </w:pPr>
      <w:r>
        <w:rPr>
          <w:rFonts w:ascii="Courier New" w:cs="Courier New" w:eastAsia="Courier New" w:hAnsi="Courier New"/>
          <w:sz w:val="16"/>
          <w:szCs w:val="16"/>
          <w:color w:val="auto"/>
        </w:rPr>
        <w:t>Section 3.01. Section 101 of the Indenture is amended to include therein the following provisions and amendments:</w:t>
      </w:r>
    </w:p>
    <w:p>
      <w:pPr>
        <w:spacing w:after="0" w:line="164" w:lineRule="exact"/>
        <w:rPr>
          <w:sz w:val="20"/>
          <w:szCs w:val="20"/>
          <w:color w:val="auto"/>
        </w:rPr>
      </w:pPr>
    </w:p>
    <w:p>
      <w:pPr>
        <w:ind w:left="740" w:hanging="521"/>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definition of Holder:</w:t>
      </w:r>
    </w:p>
    <w:p>
      <w:pPr>
        <w:spacing w:after="0" w:line="207" w:lineRule="exact"/>
        <w:rPr>
          <w:sz w:val="20"/>
          <w:szCs w:val="20"/>
          <w:color w:val="auto"/>
        </w:rPr>
      </w:pPr>
    </w:p>
    <w:p>
      <w:pPr>
        <w:ind w:left="320" w:right="3899" w:firstLine="211"/>
        <w:spacing w:after="0" w:line="238" w:lineRule="auto"/>
        <w:rPr>
          <w:sz w:val="20"/>
          <w:szCs w:val="20"/>
          <w:color w:val="auto"/>
        </w:rPr>
      </w:pPr>
      <w:r>
        <w:rPr>
          <w:rFonts w:ascii="Courier New" w:cs="Courier New" w:eastAsia="Courier New" w:hAnsi="Courier New"/>
          <w:sz w:val="18"/>
          <w:szCs w:val="18"/>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202" w:lineRule="exact"/>
        <w:rPr>
          <w:sz w:val="20"/>
          <w:szCs w:val="20"/>
          <w:color w:val="auto"/>
        </w:rPr>
      </w:pPr>
    </w:p>
    <w:p>
      <w:pPr>
        <w:ind w:left="860" w:hanging="641"/>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definition of Issuer Request or Issuer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Order:</w:t>
      </w:r>
    </w:p>
    <w:p>
      <w:pPr>
        <w:spacing w:after="0" w:line="207" w:lineRule="exact"/>
        <w:rPr>
          <w:sz w:val="20"/>
          <w:szCs w:val="20"/>
          <w:color w:val="auto"/>
        </w:rPr>
      </w:pPr>
    </w:p>
    <w:p>
      <w:pPr>
        <w:ind w:left="320" w:right="3899" w:firstLine="211"/>
        <w:spacing w:after="0" w:line="270" w:lineRule="auto"/>
        <w:rPr>
          <w:sz w:val="20"/>
          <w:szCs w:val="20"/>
          <w:color w:val="auto"/>
        </w:rPr>
      </w:pPr>
      <w:r>
        <w:rPr>
          <w:rFonts w:ascii="Courier New" w:cs="Courier New" w:eastAsia="Courier New" w:hAnsi="Courier New"/>
          <w:sz w:val="16"/>
          <w:szCs w:val="16"/>
          <w:color w:val="auto"/>
        </w:rPr>
        <w:t>"'Lien' means, with respect to any property or assets, any mortgage or deed of trust, pledge, hypothecation, assignment, deposit arrangement, security interest, lien, charge, easement (other than any easement not materially impairing usefulness or marketability), encumbrance, preference, priority or other security agreement or preferential arrangement of any kind or nature whatsoever on or with respect to such property or assets (including, without limitation, any conditional sale or other title retention agreement having substantially the same economic effect as any of the foregoing)."</w:t>
      </w:r>
    </w:p>
    <w:p>
      <w:pPr>
        <w:sectPr>
          <w:pgSz w:w="11900" w:h="16838" w:orient="portrait"/>
          <w:cols w:equalWidth="0" w:num="1">
            <w:col w:w="10219"/>
          </w:cols>
          <w:pgMar w:left="240" w:top="312" w:right="1440" w:bottom="1440" w:gutter="0" w:footer="0" w:header="0"/>
        </w:sectPr>
      </w:pPr>
    </w:p>
    <w:bookmarkStart w:id="21" w:name="page22"/>
    <w:bookmarkEnd w:id="21"/>
    <w:p>
      <w:pPr>
        <w:spacing w:after="0" w:line="270" w:lineRule="auto"/>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960" w:hanging="74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definition of Outstanding:</w:t>
      </w:r>
    </w:p>
    <w:p>
      <w:pPr>
        <w:spacing w:after="0" w:line="207" w:lineRule="exact"/>
        <w:rPr>
          <w:sz w:val="20"/>
          <w:szCs w:val="20"/>
          <w:color w:val="auto"/>
        </w:rPr>
      </w:pPr>
    </w:p>
    <w:p>
      <w:pPr>
        <w:ind w:left="320" w:right="3899" w:firstLine="211"/>
        <w:spacing w:after="0" w:line="271" w:lineRule="auto"/>
        <w:rPr>
          <w:sz w:val="20"/>
          <w:szCs w:val="20"/>
          <w:color w:val="auto"/>
        </w:rPr>
      </w:pPr>
      <w:r>
        <w:rPr>
          <w:rFonts w:ascii="Courier New" w:cs="Courier New" w:eastAsia="Courier New" w:hAnsi="Courier New"/>
          <w:sz w:val="16"/>
          <w:szCs w:val="16"/>
          <w:color w:val="auto"/>
        </w:rPr>
        <w:t>"'pari passu', when used with respect to the ranking of any Debt of any Person in relation to other Debt of such Person, means that each such Debt (a) either (i) is not subordinated in right of payment to the same Debt of such Person or (ii) is subordinate in right of payment to the same Debt of such Person as is the other and is so subordinate to the same extent and (b) is not subordinate in right of payment to the other or to any Debt of such Person as to which the other is not so subordinate."</w:t>
      </w:r>
    </w:p>
    <w:p>
      <w:pPr>
        <w:spacing w:after="0" w:line="178" w:lineRule="exact"/>
        <w:rPr>
          <w:sz w:val="20"/>
          <w:szCs w:val="20"/>
          <w:color w:val="auto"/>
        </w:rPr>
      </w:pPr>
    </w:p>
    <w:p>
      <w:pPr>
        <w:ind w:left="860" w:hanging="641"/>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definition of Predecessor Security:</w:t>
      </w:r>
    </w:p>
    <w:p>
      <w:pPr>
        <w:spacing w:after="0" w:line="207" w:lineRule="exact"/>
        <w:rPr>
          <w:sz w:val="20"/>
          <w:szCs w:val="20"/>
          <w:color w:val="auto"/>
        </w:rPr>
      </w:pPr>
    </w:p>
    <w:p>
      <w:pPr>
        <w:ind w:left="320" w:right="3899" w:firstLine="211"/>
        <w:spacing w:after="0" w:line="237" w:lineRule="auto"/>
        <w:rPr>
          <w:sz w:val="20"/>
          <w:szCs w:val="20"/>
          <w:color w:val="auto"/>
        </w:rPr>
      </w:pPr>
      <w:r>
        <w:rPr>
          <w:rFonts w:ascii="Courier New" w:cs="Courier New" w:eastAsia="Courier New" w:hAnsi="Courier New"/>
          <w:sz w:val="18"/>
          <w:szCs w:val="18"/>
          <w:color w:val="auto"/>
        </w:rPr>
        <w:t>"'Preferred Stock' of any Person means Capital Stock of such Person of any class or classes (however designated) that ranks prior, as to the payment of dividends or as to the distribution of assets upon any voluntary or involuntary liquidation, dissolution or winding up of such Person, to shares of Capital Stock of any other class of such Person."</w:t>
      </w:r>
    </w:p>
    <w:p>
      <w:pPr>
        <w:spacing w:after="0" w:line="211" w:lineRule="exact"/>
        <w:rPr>
          <w:sz w:val="20"/>
          <w:szCs w:val="20"/>
          <w:color w:val="auto"/>
        </w:rPr>
      </w:pPr>
    </w:p>
    <w:p>
      <w:pPr>
        <w:ind w:right="3779" w:firstLine="316"/>
        <w:spacing w:after="0" w:line="236" w:lineRule="auto"/>
        <w:rPr>
          <w:sz w:val="20"/>
          <w:szCs w:val="20"/>
          <w:color w:val="auto"/>
        </w:rPr>
      </w:pPr>
      <w:r>
        <w:rPr>
          <w:rFonts w:ascii="Courier New" w:cs="Courier New" w:eastAsia="Courier New" w:hAnsi="Courier New"/>
          <w:sz w:val="18"/>
          <w:szCs w:val="18"/>
          <w:color w:val="auto"/>
        </w:rPr>
        <w:t>Section 3.02. Section 1009 is renumbered Section 1014 and amended by replacing the reference to "1009" in the last sentence thereof with "1014".</w:t>
      </w:r>
    </w:p>
    <w:p>
      <w:pPr>
        <w:spacing w:after="0" w:line="209" w:lineRule="exact"/>
        <w:rPr>
          <w:sz w:val="20"/>
          <w:szCs w:val="20"/>
          <w:color w:val="auto"/>
        </w:rPr>
      </w:pPr>
    </w:p>
    <w:p>
      <w:pPr>
        <w:ind w:right="3779" w:firstLine="316"/>
        <w:spacing w:after="0" w:line="236" w:lineRule="auto"/>
        <w:rPr>
          <w:sz w:val="20"/>
          <w:szCs w:val="20"/>
          <w:color w:val="auto"/>
        </w:rPr>
      </w:pPr>
      <w:r>
        <w:rPr>
          <w:rFonts w:ascii="Courier New" w:cs="Courier New" w:eastAsia="Courier New" w:hAnsi="Courier New"/>
          <w:sz w:val="18"/>
          <w:szCs w:val="18"/>
          <w:color w:val="auto"/>
        </w:rPr>
        <w:t>Section 3.03. Section 1010 is renumbered Section 1015 and amended by replacing the reference to "1009" in the first sentence thereof with "1014".</w:t>
      </w:r>
    </w:p>
    <w:p>
      <w:pPr>
        <w:spacing w:after="0" w:line="209"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Section 3.04. Sections 1009, 1010, 1011, 1012 and 1013 are added, to read in their entirety as follows:</w:t>
      </w:r>
    </w:p>
    <w:p>
      <w:pPr>
        <w:spacing w:after="0" w:line="208" w:lineRule="exact"/>
        <w:rPr>
          <w:sz w:val="20"/>
          <w:szCs w:val="20"/>
          <w:color w:val="auto"/>
        </w:rPr>
      </w:pPr>
    </w:p>
    <w:p>
      <w:pPr>
        <w:ind w:left="2120" w:right="3779" w:hanging="1790"/>
        <w:spacing w:after="0" w:line="235" w:lineRule="auto"/>
        <w:tabs>
          <w:tab w:leader="none" w:pos="2100" w:val="left"/>
        </w:tabs>
        <w:rPr>
          <w:sz w:val="20"/>
          <w:szCs w:val="20"/>
          <w:color w:val="auto"/>
        </w:rPr>
      </w:pPr>
      <w:r>
        <w:rPr>
          <w:rFonts w:ascii="Courier New" w:cs="Courier New" w:eastAsia="Courier New" w:hAnsi="Courier New"/>
          <w:sz w:val="18"/>
          <w:szCs w:val="18"/>
          <w:color w:val="auto"/>
        </w:rPr>
        <w:t>"Section 1009.</w:t>
      </w:r>
      <w:r>
        <w:rPr>
          <w:sz w:val="20"/>
          <w:szCs w:val="20"/>
          <w:color w:val="auto"/>
        </w:rPr>
        <w:tab/>
      </w:r>
      <w:r>
        <w:rPr>
          <w:rFonts w:ascii="Courier New" w:cs="Courier New" w:eastAsia="Courier New" w:hAnsi="Courier New"/>
          <w:sz w:val="18"/>
          <w:szCs w:val="18"/>
          <w:color w:val="auto"/>
        </w:rPr>
        <w:t>Limitation on Debt and Preferred Stock of Subsidiaries.</w:t>
      </w:r>
    </w:p>
    <w:p>
      <w:pPr>
        <w:spacing w:after="0" w:line="208" w:lineRule="exact"/>
        <w:rPr>
          <w:sz w:val="20"/>
          <w:szCs w:val="20"/>
          <w:color w:val="auto"/>
        </w:rPr>
      </w:pPr>
    </w:p>
    <w:p>
      <w:pPr>
        <w:ind w:left="320" w:right="3999" w:firstLine="421"/>
        <w:spacing w:after="0" w:line="237" w:lineRule="auto"/>
        <w:rPr>
          <w:sz w:val="20"/>
          <w:szCs w:val="20"/>
          <w:color w:val="auto"/>
        </w:rPr>
      </w:pPr>
      <w:r>
        <w:rPr>
          <w:rFonts w:ascii="Courier New" w:cs="Courier New" w:eastAsia="Courier New" w:hAnsi="Courier New"/>
          <w:sz w:val="18"/>
          <w:szCs w:val="18"/>
          <w:color w:val="auto"/>
        </w:rPr>
        <w:t>The Issuers shall not permit any Subsidiary (other than, in the case of Scotts, OMS) of an Issuer to Incur or suffer to exist any Debt or issue any Preferred Stock except:</w:t>
      </w:r>
    </w:p>
    <w:p>
      <w:pPr>
        <w:spacing w:after="0" w:line="207" w:lineRule="exact"/>
        <w:rPr>
          <w:sz w:val="20"/>
          <w:szCs w:val="20"/>
          <w:color w:val="auto"/>
        </w:rPr>
      </w:pPr>
    </w:p>
    <w:p>
      <w:pPr>
        <w:ind w:left="540" w:right="3999" w:firstLine="311"/>
        <w:spacing w:after="0" w:line="237" w:lineRule="auto"/>
        <w:tabs>
          <w:tab w:leader="none" w:pos="127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or Preferred Stock outstanding on the date of issuance of the Notes after giving effect to the application of the proceeds of the Notes as described in Schedule A hereto;</w:t>
      </w:r>
    </w:p>
    <w:p>
      <w:pPr>
        <w:spacing w:after="0" w:line="207" w:lineRule="exact"/>
        <w:rPr>
          <w:rFonts w:ascii="Courier New" w:cs="Courier New" w:eastAsia="Courier New" w:hAnsi="Courier New"/>
          <w:sz w:val="18"/>
          <w:szCs w:val="18"/>
          <w:color w:val="auto"/>
        </w:rPr>
      </w:pPr>
    </w:p>
    <w:p>
      <w:pPr>
        <w:ind w:left="540" w:right="3999" w:firstLine="205"/>
        <w:spacing w:after="0" w:line="237" w:lineRule="auto"/>
        <w:tabs>
          <w:tab w:leader="none" w:pos="127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consisting of a guarantee by Subsidiary of Senior Debt Incurred by the Issuer, including, but not limited to, the guarantees by Subsidiaries of the Issuers of Debt Incurred by the Issuers under the Bank Agreement;</w:t>
      </w:r>
    </w:p>
    <w:p>
      <w:pPr>
        <w:spacing w:after="0" w:line="208" w:lineRule="exact"/>
        <w:rPr>
          <w:rFonts w:ascii="Courier New" w:cs="Courier New" w:eastAsia="Courier New" w:hAnsi="Courier New"/>
          <w:sz w:val="18"/>
          <w:szCs w:val="18"/>
          <w:color w:val="auto"/>
        </w:rPr>
      </w:pPr>
    </w:p>
    <w:p>
      <w:pPr>
        <w:ind w:left="540" w:right="4099" w:firstLine="100"/>
        <w:spacing w:after="0" w:line="271" w:lineRule="auto"/>
        <w:tabs>
          <w:tab w:leader="none" w:pos="127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Incurred or Preferred Stock issued to and held by an Issuer or a Wholly Owned Subsidiary of an Issuer; provided, however, that upon either (x) the transfer or other disposition by an Issuer or such Wholly Owned Subsidiary of any Debt so permitted to a Person other than an Issuer or another Wholly Owned Subsidiary of an Issuer or (y) the issuance</w:t>
      </w:r>
    </w:p>
    <w:p>
      <w:pPr>
        <w:sectPr>
          <w:pgSz w:w="11900" w:h="16838" w:orient="portrait"/>
          <w:cols w:equalWidth="0" w:num="1">
            <w:col w:w="10219"/>
          </w:cols>
          <w:pgMar w:left="240" w:top="312" w:right="1440" w:bottom="1440" w:gutter="0" w:footer="0" w:header="0"/>
        </w:sectPr>
      </w:pPr>
    </w:p>
    <w:bookmarkStart w:id="23" w:name="page24"/>
    <w:bookmarkEnd w:id="23"/>
    <w:p>
      <w:pPr>
        <w:spacing w:after="0" w:line="271" w:lineRule="auto"/>
        <w:tabs>
          <w:tab w:leader="none" w:pos="1277" w:val="left"/>
        </w:tabs>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20" w:right="3899"/>
        <w:spacing w:after="0" w:line="271" w:lineRule="auto"/>
        <w:rPr>
          <w:sz w:val="20"/>
          <w:szCs w:val="20"/>
          <w:color w:val="auto"/>
        </w:rPr>
      </w:pPr>
      <w:r>
        <w:rPr>
          <w:rFonts w:ascii="Courier New" w:cs="Courier New" w:eastAsia="Courier New" w:hAnsi="Courier New"/>
          <w:sz w:val="16"/>
          <w:szCs w:val="16"/>
          <w:color w:val="auto"/>
        </w:rPr>
        <w:t>(other than directors' qualifying shares), sale, lease, transfer or other disposition of shares of Capital Stock (including by consolidation or merger) of such Wholly Owned Subsidiary to a Person other than an Issuer or another such Wholly Owned Subsidiary, the provisions of this clause (iii) of this Section 1009 shall no longer be applicable to such Debt and such Debt shall be deemed to have been Incurred at the time of such transfer or other disposition;</w:t>
      </w:r>
    </w:p>
    <w:p>
      <w:pPr>
        <w:spacing w:after="0" w:line="388" w:lineRule="exact"/>
        <w:rPr>
          <w:sz w:val="20"/>
          <w:szCs w:val="20"/>
          <w:color w:val="auto"/>
        </w:rPr>
      </w:pPr>
    </w:p>
    <w:p>
      <w:pPr>
        <w:ind w:left="420" w:right="3899" w:firstLine="205"/>
        <w:spacing w:after="0" w:line="237" w:lineRule="auto"/>
        <w:tabs>
          <w:tab w:leader="none" w:pos="11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Incurred or Preferred Stock issued by a Person prior to the time (A) such Person became a Subsidiary of an Issuer, (B) such Person merges into or consolidates with a Subsidiary of an Issuer or (C) another Subsidiary of an Issuer merges into or consolidates with such Person (in a transaction in which such Person becomes a Subsidiary of an Issuer), which Debt or Preferred Stock was not Incurred or issued in anticipation of such transaction and was outstanding prior to such transaction;</w:t>
      </w:r>
    </w:p>
    <w:p>
      <w:pPr>
        <w:spacing w:after="0" w:line="214" w:lineRule="exact"/>
        <w:rPr>
          <w:rFonts w:ascii="Courier New" w:cs="Courier New" w:eastAsia="Courier New" w:hAnsi="Courier New"/>
          <w:sz w:val="18"/>
          <w:szCs w:val="18"/>
          <w:color w:val="auto"/>
        </w:rPr>
      </w:pPr>
    </w:p>
    <w:p>
      <w:pPr>
        <w:ind w:left="420" w:right="3899" w:firstLine="311"/>
        <w:spacing w:after="0" w:line="237" w:lineRule="auto"/>
        <w:tabs>
          <w:tab w:leader="none" w:pos="11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secured by a Lien on real or personal property which Debt (a) constitutes all or a part of the purchase price of such property or (b) is Incurred prior to, at the time of or within 270 days after the acquisition of such property for the purpose of financing all or any part of the purchase price thereof; provided, however, the Debt so secured does not exceed the purchase price of such property and such Lien does not extend to or cover any property other than such item of property and any improvements on such item;</w:t>
      </w:r>
    </w:p>
    <w:p>
      <w:pPr>
        <w:spacing w:after="0" w:line="215" w:lineRule="exact"/>
        <w:rPr>
          <w:rFonts w:ascii="Courier New" w:cs="Courier New" w:eastAsia="Courier New" w:hAnsi="Courier New"/>
          <w:sz w:val="18"/>
          <w:szCs w:val="18"/>
          <w:color w:val="auto"/>
        </w:rPr>
      </w:pPr>
    </w:p>
    <w:p>
      <w:pPr>
        <w:ind w:left="420" w:right="3899" w:firstLine="205"/>
        <w:spacing w:after="0" w:line="269" w:lineRule="auto"/>
        <w:tabs>
          <w:tab w:leader="none" w:pos="11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or Preferred Stock which is exchanged for, or the proceeds of which are used to refinance or refund, any Debt or Preferred Stock permitted to be outstanding pursuant to clauses (iv) and (v) of this Section 1009 (or any extension or renewal thereof), in an aggregate principal amount, in the case of Debt, or liquidation preference, in the case of Preferred Stock, not to exceed the principal amount or liquidation preference of the Debt or Preferred Stock, respectively, so exchanged, refinanced or refunded plus the amount of any premium required to be paid in connection with such refinancing pursuant to the terms of the Debt or Preferred Stock so exchanged, refinanced or refunded or the amount of any premium reasonably determined by the Issuers as necessary to accomplish such refinancing by means of a tender offer or privately negotiated repurchase, plus the amount of expenses of the Issuers and the Subsidiary incurred in connection with such refinancing and provided such exchanging, refinancing or refunding Debt or Preferred Stock by its terms, or by the terms of any agreement or instrument pursuant to which such Debt or Preferred Stock is issued, (x) does not provide for payments of principal or liquidation value at the stated maturity of such Debt or Preferred Stock or by way of a sinking fund applicable to such Debt or Preferred Stock or by way of any mandatory redemption, defeasance, retirement or repurchase of such Debt or Preferred Stock by an Issuer or any Subsidiary of an Issuer (including any redemption, retirement or repurchase which is contingent</w:t>
      </w:r>
    </w:p>
    <w:p>
      <w:pPr>
        <w:sectPr>
          <w:pgSz w:w="11900" w:h="16838" w:orient="portrait"/>
          <w:cols w:equalWidth="0" w:num="1">
            <w:col w:w="10099"/>
          </w:cols>
          <w:pgMar w:left="360" w:top="312" w:right="1440" w:bottom="1440" w:gutter="0" w:footer="0" w:header="0"/>
        </w:sectPr>
      </w:pPr>
    </w:p>
    <w:bookmarkStart w:id="25" w:name="page26"/>
    <w:bookmarkEnd w:id="25"/>
    <w:p>
      <w:pPr>
        <w:spacing w:after="0" w:line="269" w:lineRule="auto"/>
        <w:tabs>
          <w:tab w:leader="none" w:pos="1157" w:val="left"/>
        </w:tabs>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420" w:right="3899"/>
        <w:spacing w:after="0" w:line="269" w:lineRule="auto"/>
        <w:rPr>
          <w:sz w:val="20"/>
          <w:szCs w:val="20"/>
          <w:color w:val="auto"/>
        </w:rPr>
      </w:pPr>
      <w:r>
        <w:rPr>
          <w:rFonts w:ascii="Courier New" w:cs="Courier New" w:eastAsia="Courier New" w:hAnsi="Courier New"/>
          <w:sz w:val="16"/>
          <w:szCs w:val="16"/>
          <w:color w:val="auto"/>
        </w:rPr>
        <w:t>upon events or circumstances, but excluding any retirement required by virtue of acceleration of such Debt upon an event of default thereunder), in each case prior to the stated maturity of the Debt or Preferred Stock being refinanced or refunded and (y) does not permit redemption or other retirement (including pursuant to an offer to purchase made by an Issuer or a Subsidiary of an Issuer) of such Debt or Preferred Stock at the option of the holder thereof prior to the stated maturity of the Debt or Preferred Stock being refinanced or refunded, other than a redemption or other retirement at the option of the holder of such Debt or Preferred Stock (including pursuant to an offer to purchase made by an Issuer or a Subsidiary of an Issuer) which is conditioned upon the change of control of the Issuers pursuant to provisions substantially similar to those contained in Section 1008, and provided, further, that (a) such exchanging, refinancing or refunding debt shall be Incurred only by the Subsidiary that is the obligor with respect to the Debt or Preferred Stock being exchanged, refinanced or refunded, (b) in the case of any exchange, refinancing or refunding of Preferred Stock, such Preferred Stock is exchanged, refinanced or refunded with Preferred Stock and (c) any exchange, refinancing or refunding of Debt permitted to be outstanding pursuant to clause (v) of this Section 1009 shall consist of Debt secured by a Lien on the property securing the Debt being exchanged, refinanced or refunded, and no other property;</w:t>
      </w:r>
    </w:p>
    <w:p>
      <w:pPr>
        <w:spacing w:after="0" w:line="200" w:lineRule="exact"/>
        <w:rPr>
          <w:sz w:val="20"/>
          <w:szCs w:val="20"/>
          <w:color w:val="auto"/>
        </w:rPr>
      </w:pPr>
    </w:p>
    <w:p>
      <w:pPr>
        <w:spacing w:after="0" w:line="392" w:lineRule="exact"/>
        <w:rPr>
          <w:sz w:val="20"/>
          <w:szCs w:val="20"/>
          <w:color w:val="auto"/>
        </w:rPr>
      </w:pPr>
    </w:p>
    <w:p>
      <w:pPr>
        <w:ind w:left="420" w:right="3899" w:firstLine="100"/>
        <w:spacing w:after="0" w:line="237" w:lineRule="auto"/>
        <w:tabs>
          <w:tab w:leader="none" w:pos="11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Incurred by any Subsidiary or Subsidiaries substantially all of the assets and operations of which are outside the United States (each, a "Foreign Subsidiary"), the proceeds of which are used to finance, or refinance from a third party, the working capital or capital expenditures of such Foreign Subsidiary; and</w:t>
      </w:r>
    </w:p>
    <w:p>
      <w:pPr>
        <w:spacing w:after="0" w:line="211" w:lineRule="exact"/>
        <w:rPr>
          <w:rFonts w:ascii="Courier New" w:cs="Courier New" w:eastAsia="Courier New" w:hAnsi="Courier New"/>
          <w:sz w:val="18"/>
          <w:szCs w:val="18"/>
          <w:color w:val="auto"/>
        </w:rPr>
      </w:pPr>
    </w:p>
    <w:p>
      <w:pPr>
        <w:ind w:left="420" w:right="3999" w:hanging="5"/>
        <w:spacing w:after="0" w:line="272" w:lineRule="auto"/>
        <w:tabs>
          <w:tab w:leader="none" w:pos="11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or Preferred Stock not otherwise permitted pursuant to clauses (i) through (vii) of this Section 1009 which, together with any other Debt or Preferred Stock outstanding pursuant to this clause (viii) of this Section 1009, is in an aggregate amount not in excess of $5,000,000 at any time outstanding."</w:t>
      </w:r>
    </w:p>
    <w:p>
      <w:pPr>
        <w:spacing w:after="0" w:line="186" w:lineRule="exact"/>
        <w:rPr>
          <w:sz w:val="20"/>
          <w:szCs w:val="20"/>
          <w:color w:val="auto"/>
        </w:rPr>
      </w:pPr>
    </w:p>
    <w:p>
      <w:pPr>
        <w:ind w:left="1780" w:right="4199" w:hanging="1579"/>
        <w:spacing w:after="0" w:line="235" w:lineRule="auto"/>
        <w:rPr>
          <w:sz w:val="20"/>
          <w:szCs w:val="20"/>
          <w:color w:val="auto"/>
        </w:rPr>
      </w:pPr>
      <w:r>
        <w:rPr>
          <w:rFonts w:ascii="Courier New" w:cs="Courier New" w:eastAsia="Courier New" w:hAnsi="Courier New"/>
          <w:sz w:val="18"/>
          <w:szCs w:val="18"/>
          <w:color w:val="auto"/>
        </w:rPr>
        <w:t>"Section 1010. Limitations Concerning Distributions by and Transfers from Subsidiaries.</w:t>
      </w:r>
    </w:p>
    <w:p>
      <w:pPr>
        <w:spacing w:after="0" w:line="208" w:lineRule="exact"/>
        <w:rPr>
          <w:sz w:val="20"/>
          <w:szCs w:val="20"/>
          <w:color w:val="auto"/>
        </w:rPr>
      </w:pPr>
    </w:p>
    <w:p>
      <w:pPr>
        <w:ind w:left="200" w:right="4099" w:firstLine="421"/>
        <w:spacing w:after="0" w:line="237" w:lineRule="auto"/>
        <w:rPr>
          <w:sz w:val="20"/>
          <w:szCs w:val="20"/>
          <w:color w:val="auto"/>
        </w:rPr>
      </w:pPr>
      <w:r>
        <w:rPr>
          <w:rFonts w:ascii="Courier New" w:cs="Courier New" w:eastAsia="Courier New" w:hAnsi="Courier New"/>
          <w:sz w:val="18"/>
          <w:szCs w:val="18"/>
          <w:color w:val="auto"/>
        </w:rPr>
        <w:t>Each of the Issuers shall not, and shall not permit any Subsidiary to, suffer to exist any consensual encumbrance or restriction on the ability of any Subsidiary of an Issuer (other than, in the case of Scotts, OMS)</w:t>
      </w:r>
    </w:p>
    <w:p>
      <w:pPr>
        <w:spacing w:after="0" w:line="209" w:lineRule="exact"/>
        <w:rPr>
          <w:sz w:val="20"/>
          <w:szCs w:val="20"/>
          <w:color w:val="auto"/>
        </w:rPr>
      </w:pPr>
    </w:p>
    <w:p>
      <w:pPr>
        <w:ind w:left="420" w:right="3899" w:firstLine="311"/>
        <w:spacing w:after="0" w:line="237" w:lineRule="auto"/>
        <w:tabs>
          <w:tab w:leader="none" w:pos="11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directly or indirectly dividends or make any other distributions in respect of its Capital Stock or pay any Debt or other obligation owed to an Issuer or any other Subsidiary;</w:t>
      </w:r>
    </w:p>
    <w:p>
      <w:pPr>
        <w:sectPr>
          <w:pgSz w:w="11900" w:h="16838" w:orient="portrait"/>
          <w:cols w:equalWidth="0" w:num="1">
            <w:col w:w="10099"/>
          </w:cols>
          <w:pgMar w:left="360" w:top="312" w:right="1440" w:bottom="1440" w:gutter="0" w:footer="0" w:header="0"/>
        </w:sectPr>
      </w:pPr>
    </w:p>
    <w:bookmarkStart w:id="27" w:name="page28"/>
    <w:bookmarkEnd w:id="27"/>
    <w:p>
      <w:pPr>
        <w:spacing w:after="0" w:line="237" w:lineRule="auto"/>
        <w:tabs>
          <w:tab w:leader="none" w:pos="1157" w:val="left"/>
        </w:tabs>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200" w:right="4199" w:firstLine="425"/>
        <w:spacing w:after="0" w:line="235" w:lineRule="auto"/>
        <w:tabs>
          <w:tab w:leader="none" w:pos="11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loans or advances to an Issuer or any other Subsidiary; or</w:t>
      </w:r>
    </w:p>
    <w:p>
      <w:pPr>
        <w:spacing w:after="0" w:line="208" w:lineRule="exact"/>
        <w:rPr>
          <w:rFonts w:ascii="Courier New" w:cs="Courier New" w:eastAsia="Courier New" w:hAnsi="Courier New"/>
          <w:sz w:val="18"/>
          <w:szCs w:val="18"/>
          <w:color w:val="auto"/>
        </w:rPr>
      </w:pPr>
    </w:p>
    <w:p>
      <w:pPr>
        <w:ind w:left="420" w:right="3999" w:firstLine="100"/>
        <w:spacing w:after="0" w:line="235" w:lineRule="auto"/>
        <w:tabs>
          <w:tab w:leader="none" w:pos="11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transfer any of its property or assets to an Issuer or any other Subsidiary.</w:t>
      </w:r>
    </w:p>
    <w:p>
      <w:pPr>
        <w:spacing w:after="0" w:line="208" w:lineRule="exact"/>
        <w:rPr>
          <w:sz w:val="20"/>
          <w:szCs w:val="20"/>
          <w:color w:val="auto"/>
        </w:rPr>
      </w:pPr>
    </w:p>
    <w:p>
      <w:pPr>
        <w:ind w:left="200" w:right="4099" w:firstLine="421"/>
        <w:spacing w:after="0" w:line="236" w:lineRule="auto"/>
        <w:rPr>
          <w:sz w:val="20"/>
          <w:szCs w:val="20"/>
          <w:color w:val="auto"/>
        </w:rPr>
      </w:pPr>
      <w:r>
        <w:rPr>
          <w:rFonts w:ascii="Courier New" w:cs="Courier New" w:eastAsia="Courier New" w:hAnsi="Courier New"/>
          <w:sz w:val="18"/>
          <w:szCs w:val="18"/>
          <w:color w:val="auto"/>
        </w:rPr>
        <w:t>Notwithstanding the foregoing, the Issuers may, and may permit any Subsidiary to, suffer to exist any such encumbrance or restriction;</w:t>
      </w:r>
    </w:p>
    <w:p>
      <w:pPr>
        <w:spacing w:after="0" w:line="209" w:lineRule="exact"/>
        <w:rPr>
          <w:sz w:val="20"/>
          <w:szCs w:val="20"/>
          <w:color w:val="auto"/>
        </w:rPr>
      </w:pPr>
    </w:p>
    <w:p>
      <w:pPr>
        <w:ind w:left="420" w:right="3999" w:firstLine="311"/>
        <w:spacing w:after="0" w:line="236" w:lineRule="auto"/>
        <w:tabs>
          <w:tab w:leader="none" w:pos="11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agreement in effect on the date of the Indenture (including the Bank Agreement) as described in Schedule B hereto,</w:t>
      </w:r>
    </w:p>
    <w:p>
      <w:pPr>
        <w:spacing w:after="0" w:line="208" w:lineRule="exact"/>
        <w:rPr>
          <w:rFonts w:ascii="Courier New" w:cs="Courier New" w:eastAsia="Courier New" w:hAnsi="Courier New"/>
          <w:sz w:val="18"/>
          <w:szCs w:val="18"/>
          <w:color w:val="auto"/>
        </w:rPr>
      </w:pPr>
    </w:p>
    <w:p>
      <w:pPr>
        <w:ind w:left="420" w:right="3999" w:firstLine="311"/>
        <w:spacing w:after="0" w:line="237" w:lineRule="auto"/>
        <w:tabs>
          <w:tab w:leader="none" w:pos="11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agreement relating to any Debt Incurred by such Subsidiary prior to the date on which such Subsidiary was acquired by an Issuer and outstanding on such date and not Incurred in anticipation of becoming a Subsidiary,</w:t>
      </w:r>
    </w:p>
    <w:p>
      <w:pPr>
        <w:spacing w:after="0" w:line="208" w:lineRule="exact"/>
        <w:rPr>
          <w:rFonts w:ascii="Courier New" w:cs="Courier New" w:eastAsia="Courier New" w:hAnsi="Courier New"/>
          <w:sz w:val="18"/>
          <w:szCs w:val="18"/>
          <w:color w:val="auto"/>
        </w:rPr>
      </w:pPr>
    </w:p>
    <w:p>
      <w:pPr>
        <w:ind w:left="420" w:right="3899" w:firstLine="311"/>
        <w:spacing w:after="0" w:line="270" w:lineRule="auto"/>
        <w:tabs>
          <w:tab w:leader="none" w:pos="115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 agreement effecting a renewal, refunding or extension of Debt Incurred pursuant to an agreement referred to in clause (b) above; provided, however, that the provisions contained in such renewal, refunding or extension agreement relating to such encumbrance or restriction are no more restrictive in any material respect than the provisions contained in the agreement the subject thereof, as determined in good faith by the Board of Directors of Scotts and evidenced by a Board Resolution of Scotts, or</w:t>
      </w:r>
    </w:p>
    <w:p>
      <w:pPr>
        <w:spacing w:after="0" w:line="189" w:lineRule="exact"/>
        <w:rPr>
          <w:rFonts w:ascii="Courier New" w:cs="Courier New" w:eastAsia="Courier New" w:hAnsi="Courier New"/>
          <w:sz w:val="16"/>
          <w:szCs w:val="16"/>
          <w:color w:val="auto"/>
        </w:rPr>
      </w:pPr>
    </w:p>
    <w:p>
      <w:pPr>
        <w:ind w:left="420" w:right="4099" w:firstLine="311"/>
        <w:spacing w:after="0" w:line="237" w:lineRule="auto"/>
        <w:tabs>
          <w:tab w:leader="none" w:pos="11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customary encumbrances in any agreement relating to any Debt Incurred by a Foreign Subsidiary pursuant to the provisions of clause (vii) of Section 1009."</w:t>
      </w:r>
    </w:p>
    <w:p>
      <w:pPr>
        <w:spacing w:after="0" w:line="207" w:lineRule="exact"/>
        <w:rPr>
          <w:sz w:val="20"/>
          <w:szCs w:val="20"/>
          <w:color w:val="auto"/>
        </w:rPr>
      </w:pPr>
    </w:p>
    <w:p>
      <w:pPr>
        <w:ind w:left="2000" w:right="3679" w:hanging="1790"/>
        <w:spacing w:after="0" w:line="235" w:lineRule="auto"/>
        <w:tabs>
          <w:tab w:leader="none" w:pos="1980" w:val="left"/>
        </w:tabs>
        <w:rPr>
          <w:sz w:val="20"/>
          <w:szCs w:val="20"/>
          <w:color w:val="auto"/>
        </w:rPr>
      </w:pPr>
      <w:r>
        <w:rPr>
          <w:rFonts w:ascii="Courier New" w:cs="Courier New" w:eastAsia="Courier New" w:hAnsi="Courier New"/>
          <w:sz w:val="18"/>
          <w:szCs w:val="18"/>
          <w:color w:val="auto"/>
        </w:rPr>
        <w:t>"Section 1011.</w:t>
      </w:r>
      <w:r>
        <w:rPr>
          <w:sz w:val="20"/>
          <w:szCs w:val="20"/>
          <w:color w:val="auto"/>
        </w:rPr>
        <w:tab/>
      </w:r>
      <w:r>
        <w:rPr>
          <w:rFonts w:ascii="Courier New" w:cs="Courier New" w:eastAsia="Courier New" w:hAnsi="Courier New"/>
          <w:sz w:val="18"/>
          <w:szCs w:val="18"/>
          <w:color w:val="auto"/>
        </w:rPr>
        <w:t>Limitation on Liens Securing Pari Passu or Subordinated Debt.</w:t>
      </w:r>
    </w:p>
    <w:p>
      <w:pPr>
        <w:spacing w:after="0" w:line="208" w:lineRule="exact"/>
        <w:rPr>
          <w:sz w:val="20"/>
          <w:szCs w:val="20"/>
          <w:color w:val="auto"/>
        </w:rPr>
      </w:pPr>
    </w:p>
    <w:p>
      <w:pPr>
        <w:ind w:left="200" w:right="3899" w:firstLine="421"/>
        <w:spacing w:after="0" w:line="238" w:lineRule="auto"/>
        <w:rPr>
          <w:sz w:val="20"/>
          <w:szCs w:val="20"/>
          <w:color w:val="auto"/>
        </w:rPr>
      </w:pPr>
      <w:r>
        <w:rPr>
          <w:rFonts w:ascii="Courier New" w:cs="Courier New" w:eastAsia="Courier New" w:hAnsi="Courier New"/>
          <w:sz w:val="18"/>
          <w:szCs w:val="18"/>
          <w:color w:val="auto"/>
        </w:rPr>
        <w:t>Each of the Issuers shall not, and shall not permit any Subsidiary of an Issuer to, Incur or suffer to exist any Lien on or with respect to any property or assets now owned or hereafter acquired to secure any Debt which is pari passu or subordinated in right of payment to the Notes without making, or causing such Subsidiary to make, effective provision for securing the Notes (x) equally and ratably with such Debt as to such property for so long as such Debt will be so secured or (y) in the event such Debt is Debt of an Issuer which is subordinate in right of payment to the Notes, prior to such Debt as to such property for so long as such Debt will be so secured.</w:t>
      </w:r>
    </w:p>
    <w:p>
      <w:pPr>
        <w:spacing w:after="0" w:line="207" w:lineRule="exact"/>
        <w:rPr>
          <w:sz w:val="20"/>
          <w:szCs w:val="20"/>
          <w:color w:val="auto"/>
        </w:rPr>
      </w:pPr>
    </w:p>
    <w:p>
      <w:pPr>
        <w:ind w:left="200" w:right="3899" w:firstLine="421"/>
        <w:spacing w:after="0" w:line="236" w:lineRule="auto"/>
        <w:rPr>
          <w:sz w:val="20"/>
          <w:szCs w:val="20"/>
          <w:color w:val="auto"/>
        </w:rPr>
      </w:pPr>
      <w:r>
        <w:rPr>
          <w:rFonts w:ascii="Courier New" w:cs="Courier New" w:eastAsia="Courier New" w:hAnsi="Courier New"/>
          <w:sz w:val="18"/>
          <w:szCs w:val="18"/>
          <w:color w:val="auto"/>
        </w:rPr>
        <w:t>The foregoing restrictions shall not apply to: (i) Liens securing only the Notes; and (ii) Liens in favor of an Issuer."</w:t>
      </w:r>
    </w:p>
    <w:p>
      <w:pPr>
        <w:sectPr>
          <w:pgSz w:w="11900" w:h="16838" w:orient="portrait"/>
          <w:cols w:equalWidth="0" w:num="1">
            <w:col w:w="10099"/>
          </w:cols>
          <w:pgMar w:left="360" w:top="312" w:right="1440" w:bottom="1440" w:gutter="0" w:footer="0" w:header="0"/>
        </w:sectPr>
      </w:pPr>
    </w:p>
    <w:bookmarkStart w:id="29" w:name="page30"/>
    <w:bookmarkEnd w:id="29"/>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2120" w:right="3899" w:hanging="1790"/>
        <w:spacing w:after="0" w:line="235" w:lineRule="auto"/>
        <w:tabs>
          <w:tab w:leader="none" w:pos="2100" w:val="left"/>
        </w:tabs>
        <w:rPr>
          <w:sz w:val="20"/>
          <w:szCs w:val="20"/>
          <w:color w:val="auto"/>
        </w:rPr>
      </w:pPr>
      <w:r>
        <w:rPr>
          <w:rFonts w:ascii="Courier New" w:cs="Courier New" w:eastAsia="Courier New" w:hAnsi="Courier New"/>
          <w:sz w:val="18"/>
          <w:szCs w:val="18"/>
          <w:color w:val="auto"/>
        </w:rPr>
        <w:t>"Section 1012.</w:t>
      </w:r>
      <w:r>
        <w:rPr>
          <w:sz w:val="20"/>
          <w:szCs w:val="20"/>
          <w:color w:val="auto"/>
        </w:rPr>
        <w:tab/>
      </w:r>
      <w:r>
        <w:rPr>
          <w:rFonts w:ascii="Courier New" w:cs="Courier New" w:eastAsia="Courier New" w:hAnsi="Courier New"/>
          <w:sz w:val="18"/>
          <w:szCs w:val="18"/>
          <w:color w:val="auto"/>
        </w:rPr>
        <w:t>Transactions with Affiliates and Related Persons.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Each of the Issuers shall not, and shall not permit</w:t>
      </w:r>
    </w:p>
    <w:p>
      <w:pPr>
        <w:ind w:left="320"/>
        <w:spacing w:after="0" w:line="238" w:lineRule="auto"/>
        <w:rPr>
          <w:sz w:val="20"/>
          <w:szCs w:val="20"/>
          <w:color w:val="auto"/>
        </w:rPr>
      </w:pPr>
      <w:r>
        <w:rPr>
          <w:rFonts w:ascii="Courier New" w:cs="Courier New" w:eastAsia="Courier New" w:hAnsi="Courier New"/>
          <w:sz w:val="18"/>
          <w:szCs w:val="18"/>
          <w:color w:val="auto"/>
        </w:rPr>
        <w:t>any Subsidiary of an Issuer to, enter into any</w:t>
      </w:r>
    </w:p>
    <w:p>
      <w:pPr>
        <w:ind w:left="320"/>
        <w:spacing w:after="0"/>
        <w:rPr>
          <w:sz w:val="20"/>
          <w:szCs w:val="20"/>
          <w:color w:val="auto"/>
        </w:rPr>
      </w:pPr>
      <w:r>
        <w:rPr>
          <w:rFonts w:ascii="Courier New" w:cs="Courier New" w:eastAsia="Courier New" w:hAnsi="Courier New"/>
          <w:sz w:val="18"/>
          <w:szCs w:val="18"/>
          <w:color w:val="auto"/>
        </w:rPr>
        <w:t>transaction (or series of related transactions) with an</w:t>
      </w:r>
    </w:p>
    <w:p>
      <w:pPr>
        <w:ind w:left="320"/>
        <w:spacing w:after="0" w:line="237" w:lineRule="auto"/>
        <w:rPr>
          <w:sz w:val="20"/>
          <w:szCs w:val="20"/>
          <w:color w:val="auto"/>
        </w:rPr>
      </w:pPr>
      <w:r>
        <w:rPr>
          <w:rFonts w:ascii="Courier New" w:cs="Courier New" w:eastAsia="Courier New" w:hAnsi="Courier New"/>
          <w:sz w:val="18"/>
          <w:szCs w:val="18"/>
          <w:color w:val="auto"/>
        </w:rPr>
        <w:t>Affiliate or Related Person of an Issuer (other than an</w:t>
      </w:r>
    </w:p>
    <w:p>
      <w:pPr>
        <w:ind w:left="320"/>
        <w:spacing w:after="0" w:line="238" w:lineRule="auto"/>
        <w:rPr>
          <w:sz w:val="20"/>
          <w:szCs w:val="20"/>
          <w:color w:val="auto"/>
        </w:rPr>
      </w:pPr>
      <w:r>
        <w:rPr>
          <w:rFonts w:ascii="Courier New" w:cs="Courier New" w:eastAsia="Courier New" w:hAnsi="Courier New"/>
          <w:sz w:val="18"/>
          <w:szCs w:val="18"/>
          <w:color w:val="auto"/>
        </w:rPr>
        <w:t>Issuer or a Wholly Owned Subsidiary of an Issuer),</w:t>
      </w:r>
    </w:p>
    <w:p>
      <w:pPr>
        <w:ind w:left="320"/>
        <w:spacing w:after="0"/>
        <w:rPr>
          <w:sz w:val="20"/>
          <w:szCs w:val="20"/>
          <w:color w:val="auto"/>
        </w:rPr>
      </w:pPr>
      <w:r>
        <w:rPr>
          <w:rFonts w:ascii="Courier New" w:cs="Courier New" w:eastAsia="Courier New" w:hAnsi="Courier New"/>
          <w:sz w:val="18"/>
          <w:szCs w:val="18"/>
          <w:color w:val="auto"/>
        </w:rPr>
        <w:t>including any Investment, either directly or indirectly,</w:t>
      </w:r>
    </w:p>
    <w:p>
      <w:pPr>
        <w:ind w:left="320"/>
        <w:spacing w:after="0" w:line="237" w:lineRule="auto"/>
        <w:rPr>
          <w:sz w:val="20"/>
          <w:szCs w:val="20"/>
          <w:color w:val="auto"/>
        </w:rPr>
      </w:pPr>
      <w:r>
        <w:rPr>
          <w:rFonts w:ascii="Courier New" w:cs="Courier New" w:eastAsia="Courier New" w:hAnsi="Courier New"/>
          <w:sz w:val="18"/>
          <w:szCs w:val="18"/>
          <w:color w:val="auto"/>
        </w:rPr>
        <w:t>unless such transaction is on terms no less favorable to</w:t>
      </w:r>
    </w:p>
    <w:p>
      <w:pPr>
        <w:ind w:left="320"/>
        <w:spacing w:after="0"/>
        <w:rPr>
          <w:sz w:val="20"/>
          <w:szCs w:val="20"/>
          <w:color w:val="auto"/>
        </w:rPr>
      </w:pPr>
      <w:r>
        <w:rPr>
          <w:rFonts w:ascii="Courier New" w:cs="Courier New" w:eastAsia="Courier New" w:hAnsi="Courier New"/>
          <w:sz w:val="18"/>
          <w:szCs w:val="18"/>
          <w:color w:val="auto"/>
        </w:rPr>
        <w:t>such Issuer or such Subsidiary than those that could be</w:t>
      </w:r>
    </w:p>
    <w:p>
      <w:pPr>
        <w:ind w:left="320"/>
        <w:spacing w:after="0" w:line="237" w:lineRule="auto"/>
        <w:rPr>
          <w:sz w:val="20"/>
          <w:szCs w:val="20"/>
          <w:color w:val="auto"/>
        </w:rPr>
      </w:pPr>
      <w:r>
        <w:rPr>
          <w:rFonts w:ascii="Courier New" w:cs="Courier New" w:eastAsia="Courier New" w:hAnsi="Courier New"/>
          <w:sz w:val="18"/>
          <w:szCs w:val="18"/>
          <w:color w:val="auto"/>
        </w:rPr>
        <w:t>obtained in a comparable arm's length transaction with an</w:t>
      </w:r>
    </w:p>
    <w:p>
      <w:pPr>
        <w:ind w:left="320"/>
        <w:spacing w:after="0"/>
        <w:rPr>
          <w:sz w:val="20"/>
          <w:szCs w:val="20"/>
          <w:color w:val="auto"/>
        </w:rPr>
      </w:pPr>
      <w:r>
        <w:rPr>
          <w:rFonts w:ascii="Courier New" w:cs="Courier New" w:eastAsia="Courier New" w:hAnsi="Courier New"/>
          <w:sz w:val="18"/>
          <w:szCs w:val="18"/>
          <w:color w:val="auto"/>
        </w:rPr>
        <w:t>entity that is not an Affiliate or Related Person and is</w:t>
      </w:r>
    </w:p>
    <w:p>
      <w:pPr>
        <w:ind w:left="320"/>
        <w:spacing w:after="0" w:line="237" w:lineRule="auto"/>
        <w:rPr>
          <w:sz w:val="20"/>
          <w:szCs w:val="20"/>
          <w:color w:val="auto"/>
        </w:rPr>
      </w:pPr>
      <w:r>
        <w:rPr>
          <w:rFonts w:ascii="Courier New" w:cs="Courier New" w:eastAsia="Courier New" w:hAnsi="Courier New"/>
          <w:sz w:val="18"/>
          <w:szCs w:val="18"/>
          <w:color w:val="auto"/>
        </w:rPr>
        <w:t>in the best interests of such Issuer or such Subsidiary.</w:t>
      </w:r>
    </w:p>
    <w:p>
      <w:pPr>
        <w:ind w:left="320"/>
        <w:spacing w:after="0" w:line="238" w:lineRule="auto"/>
        <w:rPr>
          <w:sz w:val="20"/>
          <w:szCs w:val="20"/>
          <w:color w:val="auto"/>
        </w:rPr>
      </w:pPr>
      <w:r>
        <w:rPr>
          <w:rFonts w:ascii="Courier New" w:cs="Courier New" w:eastAsia="Courier New" w:hAnsi="Courier New"/>
          <w:sz w:val="18"/>
          <w:szCs w:val="18"/>
          <w:color w:val="auto"/>
        </w:rPr>
        <w:t>For any transaction that involves in excess of $100,000</w:t>
      </w:r>
    </w:p>
    <w:p>
      <w:pPr>
        <w:ind w:left="320"/>
        <w:spacing w:after="0"/>
        <w:rPr>
          <w:sz w:val="20"/>
          <w:szCs w:val="20"/>
          <w:color w:val="auto"/>
        </w:rPr>
      </w:pPr>
      <w:r>
        <w:rPr>
          <w:rFonts w:ascii="Courier New" w:cs="Courier New" w:eastAsia="Courier New" w:hAnsi="Courier New"/>
          <w:sz w:val="18"/>
          <w:szCs w:val="18"/>
          <w:color w:val="auto"/>
        </w:rPr>
        <w:t>but less than or equal to $1,000,000, the Chief Executive</w:t>
      </w:r>
    </w:p>
    <w:p>
      <w:pPr>
        <w:ind w:left="320"/>
        <w:spacing w:after="0" w:line="237" w:lineRule="auto"/>
        <w:rPr>
          <w:sz w:val="20"/>
          <w:szCs w:val="20"/>
          <w:color w:val="auto"/>
        </w:rPr>
      </w:pPr>
      <w:r>
        <w:rPr>
          <w:rFonts w:ascii="Courier New" w:cs="Courier New" w:eastAsia="Courier New" w:hAnsi="Courier New"/>
          <w:sz w:val="18"/>
          <w:szCs w:val="18"/>
          <w:color w:val="auto"/>
        </w:rPr>
        <w:t>Officer of Scotts shall determine that the transaction</w:t>
      </w:r>
    </w:p>
    <w:p>
      <w:pPr>
        <w:ind w:left="320"/>
        <w:spacing w:after="0"/>
        <w:rPr>
          <w:sz w:val="20"/>
          <w:szCs w:val="20"/>
          <w:color w:val="auto"/>
        </w:rPr>
      </w:pPr>
      <w:r>
        <w:rPr>
          <w:rFonts w:ascii="Courier New" w:cs="Courier New" w:eastAsia="Courier New" w:hAnsi="Courier New"/>
          <w:sz w:val="18"/>
          <w:szCs w:val="18"/>
          <w:color w:val="auto"/>
        </w:rPr>
        <w:t>satisfies the above criteria and shall evidence such a</w:t>
      </w:r>
    </w:p>
    <w:p>
      <w:pPr>
        <w:ind w:left="320"/>
        <w:spacing w:after="0" w:line="237" w:lineRule="auto"/>
        <w:rPr>
          <w:sz w:val="20"/>
          <w:szCs w:val="20"/>
          <w:color w:val="auto"/>
        </w:rPr>
      </w:pPr>
      <w:r>
        <w:rPr>
          <w:rFonts w:ascii="Courier New" w:cs="Courier New" w:eastAsia="Courier New" w:hAnsi="Courier New"/>
          <w:sz w:val="18"/>
          <w:szCs w:val="18"/>
          <w:color w:val="auto"/>
        </w:rPr>
        <w:t>determination by a certificate filed with the Trustee.</w:t>
      </w:r>
    </w:p>
    <w:p>
      <w:pPr>
        <w:ind w:left="320"/>
        <w:spacing w:after="0"/>
        <w:rPr>
          <w:sz w:val="20"/>
          <w:szCs w:val="20"/>
          <w:color w:val="auto"/>
        </w:rPr>
      </w:pPr>
      <w:r>
        <w:rPr>
          <w:rFonts w:ascii="Courier New" w:cs="Courier New" w:eastAsia="Courier New" w:hAnsi="Courier New"/>
          <w:sz w:val="18"/>
          <w:szCs w:val="18"/>
          <w:color w:val="auto"/>
        </w:rPr>
        <w:t>For any transaction that involves in excess of</w:t>
      </w:r>
    </w:p>
    <w:p>
      <w:pPr>
        <w:ind w:left="320"/>
        <w:spacing w:after="0" w:line="237" w:lineRule="auto"/>
        <w:rPr>
          <w:sz w:val="20"/>
          <w:szCs w:val="20"/>
          <w:color w:val="auto"/>
        </w:rPr>
      </w:pPr>
      <w:r>
        <w:rPr>
          <w:rFonts w:ascii="Courier New" w:cs="Courier New" w:eastAsia="Courier New" w:hAnsi="Courier New"/>
          <w:sz w:val="18"/>
          <w:szCs w:val="18"/>
          <w:color w:val="auto"/>
        </w:rPr>
        <w:t>$1,000,000, a majority of the disinterested members of</w:t>
      </w:r>
    </w:p>
    <w:p>
      <w:pPr>
        <w:ind w:left="320"/>
        <w:spacing w:after="0" w:line="238" w:lineRule="auto"/>
        <w:rPr>
          <w:sz w:val="20"/>
          <w:szCs w:val="20"/>
          <w:color w:val="auto"/>
        </w:rPr>
      </w:pPr>
      <w:r>
        <w:rPr>
          <w:rFonts w:ascii="Courier New" w:cs="Courier New" w:eastAsia="Courier New" w:hAnsi="Courier New"/>
          <w:sz w:val="18"/>
          <w:szCs w:val="18"/>
          <w:color w:val="auto"/>
        </w:rPr>
        <w:t>the Board of Directors shall determine that the</w:t>
      </w:r>
    </w:p>
    <w:p>
      <w:pPr>
        <w:ind w:left="320"/>
        <w:spacing w:after="0"/>
        <w:rPr>
          <w:sz w:val="20"/>
          <w:szCs w:val="20"/>
          <w:color w:val="auto"/>
        </w:rPr>
      </w:pPr>
      <w:r>
        <w:rPr>
          <w:rFonts w:ascii="Courier New" w:cs="Courier New" w:eastAsia="Courier New" w:hAnsi="Courier New"/>
          <w:sz w:val="18"/>
          <w:szCs w:val="18"/>
          <w:color w:val="auto"/>
        </w:rPr>
        <w:t>transaction satisfies the above criteria and shall</w:t>
      </w:r>
    </w:p>
    <w:p>
      <w:pPr>
        <w:ind w:left="320"/>
        <w:spacing w:after="0" w:line="237" w:lineRule="auto"/>
        <w:rPr>
          <w:sz w:val="20"/>
          <w:szCs w:val="20"/>
          <w:color w:val="auto"/>
        </w:rPr>
      </w:pPr>
      <w:r>
        <w:rPr>
          <w:rFonts w:ascii="Courier New" w:cs="Courier New" w:eastAsia="Courier New" w:hAnsi="Courier New"/>
          <w:sz w:val="18"/>
          <w:szCs w:val="18"/>
          <w:color w:val="auto"/>
        </w:rPr>
        <w:t>evidence such a determination by a Board Resolution filed</w:t>
      </w:r>
    </w:p>
    <w:p>
      <w:pPr>
        <w:ind w:left="320"/>
        <w:spacing w:after="0"/>
        <w:tabs>
          <w:tab w:leader="none" w:pos="2300" w:val="left"/>
        </w:tabs>
        <w:rPr>
          <w:sz w:val="20"/>
          <w:szCs w:val="20"/>
          <w:color w:val="auto"/>
        </w:rPr>
      </w:pPr>
      <w:r>
        <w:rPr>
          <w:rFonts w:ascii="Courier New" w:cs="Courier New" w:eastAsia="Courier New" w:hAnsi="Courier New"/>
          <w:sz w:val="18"/>
          <w:szCs w:val="18"/>
          <w:color w:val="auto"/>
        </w:rPr>
        <w:t>with the Trustee.</w:t>
      </w:r>
      <w:r>
        <w:rPr>
          <w:sz w:val="20"/>
          <w:szCs w:val="20"/>
          <w:color w:val="auto"/>
        </w:rPr>
        <w:tab/>
      </w:r>
      <w:r>
        <w:rPr>
          <w:rFonts w:ascii="Courier New" w:cs="Courier New" w:eastAsia="Courier New" w:hAnsi="Courier New"/>
          <w:sz w:val="16"/>
          <w:szCs w:val="16"/>
          <w:color w:val="auto"/>
        </w:rPr>
        <w:t>The foregoing requirements will not be</w:t>
      </w:r>
    </w:p>
    <w:p>
      <w:pPr>
        <w:ind w:left="320"/>
        <w:spacing w:after="0" w:line="237" w:lineRule="auto"/>
        <w:rPr>
          <w:sz w:val="20"/>
          <w:szCs w:val="20"/>
          <w:color w:val="auto"/>
        </w:rPr>
      </w:pPr>
      <w:r>
        <w:rPr>
          <w:rFonts w:ascii="Courier New" w:cs="Courier New" w:eastAsia="Courier New" w:hAnsi="Courier New"/>
          <w:sz w:val="18"/>
          <w:szCs w:val="18"/>
          <w:color w:val="auto"/>
        </w:rPr>
        <w:t>applicable to (i) any issuance of securities, or other</w:t>
      </w:r>
    </w:p>
    <w:p>
      <w:pPr>
        <w:ind w:left="320"/>
        <w:spacing w:after="0"/>
        <w:rPr>
          <w:sz w:val="20"/>
          <w:szCs w:val="20"/>
          <w:color w:val="auto"/>
        </w:rPr>
      </w:pPr>
      <w:r>
        <w:rPr>
          <w:rFonts w:ascii="Courier New" w:cs="Courier New" w:eastAsia="Courier New" w:hAnsi="Courier New"/>
          <w:sz w:val="18"/>
          <w:szCs w:val="18"/>
          <w:color w:val="auto"/>
        </w:rPr>
        <w:t>payments, awards or grants in cash, securities or</w:t>
      </w:r>
    </w:p>
    <w:p>
      <w:pPr>
        <w:ind w:left="320"/>
        <w:spacing w:after="0" w:line="237" w:lineRule="auto"/>
        <w:rPr>
          <w:sz w:val="20"/>
          <w:szCs w:val="20"/>
          <w:color w:val="auto"/>
        </w:rPr>
      </w:pPr>
      <w:r>
        <w:rPr>
          <w:rFonts w:ascii="Courier New" w:cs="Courier New" w:eastAsia="Courier New" w:hAnsi="Courier New"/>
          <w:sz w:val="18"/>
          <w:szCs w:val="18"/>
          <w:color w:val="auto"/>
        </w:rPr>
        <w:t>otherwise pursuant to employment arrangements or employee</w:t>
      </w:r>
    </w:p>
    <w:p>
      <w:pPr>
        <w:ind w:left="320"/>
        <w:spacing w:after="0"/>
        <w:rPr>
          <w:sz w:val="20"/>
          <w:szCs w:val="20"/>
          <w:color w:val="auto"/>
        </w:rPr>
      </w:pPr>
      <w:r>
        <w:rPr>
          <w:rFonts w:ascii="Courier New" w:cs="Courier New" w:eastAsia="Courier New" w:hAnsi="Courier New"/>
          <w:sz w:val="18"/>
          <w:szCs w:val="18"/>
          <w:color w:val="auto"/>
        </w:rPr>
        <w:t>stock option or ownership plans approved by the Board of</w:t>
      </w:r>
    </w:p>
    <w:p>
      <w:pPr>
        <w:ind w:left="320"/>
        <w:spacing w:after="0" w:line="237" w:lineRule="auto"/>
        <w:rPr>
          <w:sz w:val="20"/>
          <w:szCs w:val="20"/>
          <w:color w:val="auto"/>
        </w:rPr>
      </w:pPr>
      <w:r>
        <w:rPr>
          <w:rFonts w:ascii="Courier New" w:cs="Courier New" w:eastAsia="Courier New" w:hAnsi="Courier New"/>
          <w:sz w:val="18"/>
          <w:szCs w:val="18"/>
          <w:color w:val="auto"/>
        </w:rPr>
        <w:t>Directors; (ii) directors' fees and expenses or (iii)</w:t>
      </w:r>
    </w:p>
    <w:p>
      <w:pPr>
        <w:ind w:left="320"/>
        <w:spacing w:after="0" w:line="238" w:lineRule="auto"/>
        <w:rPr>
          <w:sz w:val="20"/>
          <w:szCs w:val="20"/>
          <w:color w:val="auto"/>
        </w:rPr>
      </w:pPr>
      <w:r>
        <w:rPr>
          <w:rFonts w:ascii="Courier New" w:cs="Courier New" w:eastAsia="Courier New" w:hAnsi="Courier New"/>
          <w:sz w:val="18"/>
          <w:szCs w:val="18"/>
          <w:color w:val="auto"/>
        </w:rPr>
        <w:t>loans or advances to employees in the ordinary course of</w:t>
      </w:r>
    </w:p>
    <w:p>
      <w:pPr>
        <w:ind w:left="32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ind w:left="320"/>
        <w:spacing w:after="0"/>
        <w:tabs>
          <w:tab w:leader="none" w:pos="2100" w:val="left"/>
        </w:tabs>
        <w:rPr>
          <w:sz w:val="20"/>
          <w:szCs w:val="20"/>
          <w:color w:val="auto"/>
        </w:rPr>
      </w:pPr>
      <w:r>
        <w:rPr>
          <w:rFonts w:ascii="Courier New" w:cs="Courier New" w:eastAsia="Courier New" w:hAnsi="Courier New"/>
          <w:sz w:val="18"/>
          <w:szCs w:val="18"/>
          <w:color w:val="auto"/>
        </w:rPr>
        <w:t>"Section 1013.</w:t>
      </w:r>
      <w:r>
        <w:rPr>
          <w:sz w:val="20"/>
          <w:szCs w:val="20"/>
          <w:color w:val="auto"/>
        </w:rPr>
        <w:tab/>
      </w:r>
      <w:r>
        <w:rPr>
          <w:rFonts w:ascii="Courier New" w:cs="Courier New" w:eastAsia="Courier New" w:hAnsi="Courier New"/>
          <w:sz w:val="16"/>
          <w:szCs w:val="16"/>
          <w:color w:val="auto"/>
        </w:rPr>
        <w:t>Limitation on Certain Debt.</w:t>
      </w:r>
    </w:p>
    <w:p>
      <w:pPr>
        <w:spacing w:after="0" w:line="207" w:lineRule="exact"/>
        <w:rPr>
          <w:sz w:val="20"/>
          <w:szCs w:val="20"/>
          <w:color w:val="auto"/>
        </w:rPr>
      </w:pPr>
    </w:p>
    <w:p>
      <w:pPr>
        <w:ind w:left="320" w:right="3899" w:firstLine="421"/>
        <w:spacing w:after="0" w:line="237" w:lineRule="auto"/>
        <w:rPr>
          <w:sz w:val="20"/>
          <w:szCs w:val="20"/>
          <w:color w:val="auto"/>
        </w:rPr>
      </w:pPr>
      <w:r>
        <w:rPr>
          <w:rFonts w:ascii="Courier New" w:cs="Courier New" w:eastAsia="Courier New" w:hAnsi="Courier New"/>
          <w:sz w:val="18"/>
          <w:szCs w:val="18"/>
          <w:color w:val="auto"/>
        </w:rPr>
        <w:t>Each of the Issuers shall not Incur any Debt which by its terms is both (i) subordinated in right of payment to any Senior Debt of such Issuer and (ii) senior in right of payment to the Notes."</w:t>
      </w:r>
    </w:p>
    <w:p>
      <w:pPr>
        <w:spacing w:after="0" w:line="207" w:lineRule="exact"/>
        <w:rPr>
          <w:sz w:val="20"/>
          <w:szCs w:val="20"/>
          <w:color w:val="auto"/>
        </w:rPr>
      </w:pPr>
    </w:p>
    <w:p>
      <w:pPr>
        <w:ind w:right="4199" w:firstLine="316"/>
        <w:spacing w:after="0" w:line="290" w:lineRule="auto"/>
        <w:rPr>
          <w:sz w:val="20"/>
          <w:szCs w:val="20"/>
          <w:color w:val="auto"/>
        </w:rPr>
      </w:pPr>
      <w:r>
        <w:rPr>
          <w:rFonts w:ascii="Courier New" w:cs="Courier New" w:eastAsia="Courier New" w:hAnsi="Courier New"/>
          <w:sz w:val="16"/>
          <w:szCs w:val="16"/>
          <w:color w:val="auto"/>
        </w:rPr>
        <w:t>Section 3.05. Clause (3) of Section 902 is amended by replacing the references therein to "1010" to "1015".</w:t>
      </w:r>
    </w:p>
    <w:p>
      <w:pPr>
        <w:spacing w:after="0" w:line="170" w:lineRule="exact"/>
        <w:rPr>
          <w:sz w:val="20"/>
          <w:szCs w:val="20"/>
          <w:color w:val="auto"/>
        </w:rPr>
      </w:pPr>
    </w:p>
    <w:p>
      <w:pPr>
        <w:ind w:right="4099" w:firstLine="316"/>
        <w:spacing w:after="0" w:line="235" w:lineRule="auto"/>
        <w:rPr>
          <w:sz w:val="20"/>
          <w:szCs w:val="20"/>
          <w:color w:val="auto"/>
        </w:rPr>
      </w:pPr>
      <w:r>
        <w:rPr>
          <w:rFonts w:ascii="Courier New" w:cs="Courier New" w:eastAsia="Courier New" w:hAnsi="Courier New"/>
          <w:sz w:val="18"/>
          <w:szCs w:val="18"/>
          <w:color w:val="auto"/>
        </w:rPr>
        <w:t>Section 3.06. Section 1303 is amended by replacing the references therein to "1010" to "1015".</w:t>
      </w:r>
    </w:p>
    <w:p>
      <w:pPr>
        <w:spacing w:after="0" w:line="200" w:lineRule="exact"/>
        <w:rPr>
          <w:sz w:val="20"/>
          <w:szCs w:val="20"/>
          <w:color w:val="auto"/>
        </w:rPr>
      </w:pPr>
    </w:p>
    <w:p>
      <w:pPr>
        <w:spacing w:after="0" w:line="20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ARTICLE FOUR</w:t>
      </w:r>
    </w:p>
    <w:p>
      <w:pPr>
        <w:spacing w:after="0" w:line="207" w:lineRule="exact"/>
        <w:rPr>
          <w:sz w:val="20"/>
          <w:szCs w:val="20"/>
          <w:color w:val="auto"/>
        </w:rPr>
      </w:pPr>
    </w:p>
    <w:p>
      <w:pPr>
        <w:ind w:right="3679" w:firstLine="316"/>
        <w:spacing w:after="0" w:line="279" w:lineRule="auto"/>
        <w:rPr>
          <w:sz w:val="20"/>
          <w:szCs w:val="20"/>
          <w:color w:val="auto"/>
        </w:rPr>
      </w:pPr>
      <w:r>
        <w:rPr>
          <w:rFonts w:ascii="Courier New" w:cs="Courier New" w:eastAsia="Courier New" w:hAnsi="Courier New"/>
          <w:sz w:val="16"/>
          <w:szCs w:val="16"/>
          <w:color w:val="auto"/>
        </w:rPr>
        <w:t>Section 4.01. Supplemental Indenture. The Indenture, as supplemented and amended by this First Supplemental Indenture, is in all respects hereby adopted, ratified and confirmed.</w:t>
      </w:r>
    </w:p>
    <w:p>
      <w:pPr>
        <w:spacing w:after="0" w:line="178" w:lineRule="exact"/>
        <w:rPr>
          <w:sz w:val="20"/>
          <w:szCs w:val="20"/>
          <w:color w:val="auto"/>
        </w:rPr>
      </w:pPr>
    </w:p>
    <w:p>
      <w:pPr>
        <w:ind w:right="3679" w:firstLine="316"/>
        <w:spacing w:after="0" w:line="275" w:lineRule="auto"/>
        <w:rPr>
          <w:sz w:val="20"/>
          <w:szCs w:val="20"/>
          <w:color w:val="auto"/>
        </w:rPr>
      </w:pPr>
      <w:r>
        <w:rPr>
          <w:rFonts w:ascii="Courier New" w:cs="Courier New" w:eastAsia="Courier New" w:hAnsi="Courier New"/>
          <w:sz w:val="16"/>
          <w:szCs w:val="16"/>
          <w:color w:val="auto"/>
        </w:rPr>
        <w:t>Section 4.02. Counterparts. This instrument may be executed in any number of counterparts, each of which so executed shall be deemed to be an original, but all such counterparts shall constitute but one and the same instrument.</w:t>
      </w:r>
    </w:p>
    <w:p>
      <w:pPr>
        <w:sectPr>
          <w:pgSz w:w="11900" w:h="16838" w:orient="portrait"/>
          <w:cols w:equalWidth="0" w:num="1">
            <w:col w:w="10219"/>
          </w:cols>
          <w:pgMar w:left="240" w:top="312" w:right="1440" w:bottom="1440" w:gutter="0" w:footer="0" w:header="0"/>
        </w:sectPr>
      </w:pPr>
    </w:p>
    <w:bookmarkStart w:id="31" w:name="page32"/>
    <w:bookmarkEnd w:id="31"/>
    <w:p>
      <w:pPr>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3779" w:firstLine="316"/>
        <w:spacing w:after="0" w:line="236" w:lineRule="auto"/>
        <w:rPr>
          <w:sz w:val="20"/>
          <w:szCs w:val="20"/>
          <w:color w:val="auto"/>
        </w:rPr>
      </w:pPr>
      <w:r>
        <w:rPr>
          <w:rFonts w:ascii="Courier New" w:cs="Courier New" w:eastAsia="Courier New" w:hAnsi="Courier New"/>
          <w:sz w:val="18"/>
          <w:szCs w:val="18"/>
          <w:color w:val="auto"/>
        </w:rPr>
        <w:t>Section 4.03. Governing Law. This First Supplemental Indenture and the Notes shall be governed by and construed in accordance with the law of the State of New York.</w:t>
      </w:r>
    </w:p>
    <w:p>
      <w:pPr>
        <w:spacing w:after="0" w:line="209" w:lineRule="exact"/>
        <w:rPr>
          <w:sz w:val="20"/>
          <w:szCs w:val="20"/>
          <w:color w:val="auto"/>
        </w:rPr>
      </w:pPr>
    </w:p>
    <w:p>
      <w:pPr>
        <w:ind w:right="3679" w:firstLine="316"/>
        <w:spacing w:after="0" w:line="238" w:lineRule="auto"/>
        <w:rPr>
          <w:sz w:val="20"/>
          <w:szCs w:val="20"/>
          <w:color w:val="auto"/>
        </w:rPr>
      </w:pPr>
      <w:r>
        <w:rPr>
          <w:rFonts w:ascii="Courier New" w:cs="Courier New" w:eastAsia="Courier New" w:hAnsi="Courier New"/>
          <w:sz w:val="18"/>
          <w:szCs w:val="18"/>
          <w:color w:val="auto"/>
        </w:rPr>
        <w:t>Section 4.04. Trustee Responsibility. The recitals contained herein and in the Notes, except the Trustee's certificates of authentication, shall be taken as the statements of the Issuers, and neither the Trustee nor any Authenticating Agent assumes any responsibility for their correctness. The Trustee makes no representations as to the validity or sufficiency of this Indenture or of the Notes. Neither the Trustee nor any Authenticating Agent shall be accountable for the use or application by the Issuers of the Notes or the proceeds thereof. Subject to the provisions of Section 601 of the Indenture the Trustee shall not be liable for any action taken, suffered or omitted by it in good faith and reasonably believed by it to be authorized or within the discretion or rights or powers conferred upon it by this First Supplemental Indenture.</w:t>
      </w:r>
    </w:p>
    <w:p>
      <w:pPr>
        <w:sectPr>
          <w:pgSz w:w="11900" w:h="16838" w:orient="portrait"/>
          <w:cols w:equalWidth="0" w:num="1">
            <w:col w:w="10219"/>
          </w:cols>
          <w:pgMar w:left="240" w:top="312" w:right="1440" w:bottom="1440" w:gutter="0" w:footer="0" w:header="0"/>
        </w:sectPr>
      </w:pPr>
    </w:p>
    <w:bookmarkStart w:id="33" w:name="page34"/>
    <w:bookmarkEnd w:id="3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3999" w:firstLine="316"/>
        <w:spacing w:after="0" w:line="275" w:lineRule="auto"/>
        <w:rPr>
          <w:sz w:val="20"/>
          <w:szCs w:val="20"/>
          <w:color w:val="auto"/>
        </w:rPr>
      </w:pPr>
      <w:r>
        <w:rPr>
          <w:rFonts w:ascii="Courier New" w:cs="Courier New" w:eastAsia="Courier New" w:hAnsi="Courier New"/>
          <w:sz w:val="16"/>
          <w:szCs w:val="16"/>
          <w:color w:val="auto"/>
        </w:rPr>
        <w:t>IN WITNESS WHEREOF, the parties hereto have caused this First Supplemental Indenture to be duly executed, and their respective corporate seals to be hereunto affixed and attested, all as of the day and year first above written.</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CHEMICAL BANK</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312" w:right="1440" w:bottom="1440" w:gutter="0" w:footer="0" w:header="0"/>
        </w:sectPr>
      </w:pPr>
    </w:p>
    <w:bookmarkStart w:id="35" w:name="page36"/>
    <w:bookmarkEnd w:id="35"/>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ss.:</w:t>
      </w:r>
    </w:p>
    <w:p>
      <w:pPr>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sectPr>
          <w:pgSz w:w="11900" w:h="16838" w:orient="portrait"/>
          <w:cols w:equalWidth="0" w:num="2">
            <w:col w:w="1900" w:space="220"/>
            <w:col w:w="8099"/>
          </w:cols>
          <w:pgMar w:left="240" w:top="317" w:right="144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2220" w:type="dxa"/>
            <w:vAlign w:val="bottom"/>
          </w:tcPr>
          <w:p>
            <w:pPr>
              <w:ind w:left="320"/>
              <w:spacing w:after="0" w:line="199" w:lineRule="exact"/>
              <w:rPr>
                <w:sz w:val="20"/>
                <w:szCs w:val="20"/>
                <w:color w:val="auto"/>
              </w:rPr>
            </w:pPr>
            <w:r>
              <w:rPr>
                <w:rFonts w:ascii="Courier New" w:cs="Courier New" w:eastAsia="Courier New" w:hAnsi="Courier New"/>
                <w:sz w:val="18"/>
                <w:szCs w:val="18"/>
                <w:color w:val="auto"/>
                <w:w w:val="96"/>
              </w:rPr>
              <w:t>On the .... day of</w:t>
            </w:r>
          </w:p>
        </w:tc>
        <w:tc>
          <w:tcPr>
            <w:tcW w:w="4320" w:type="dxa"/>
            <w:vAlign w:val="bottom"/>
            <w:gridSpan w:val="2"/>
          </w:tcPr>
          <w:p>
            <w:pPr>
              <w:ind w:left="100"/>
              <w:spacing w:after="0" w:line="199" w:lineRule="exact"/>
              <w:rPr>
                <w:sz w:val="20"/>
                <w:szCs w:val="20"/>
                <w:color w:val="auto"/>
              </w:rPr>
            </w:pPr>
            <w:r>
              <w:rPr>
                <w:rFonts w:ascii="Courier New" w:cs="Courier New" w:eastAsia="Courier New" w:hAnsi="Courier New"/>
                <w:sz w:val="18"/>
                <w:szCs w:val="18"/>
                <w:color w:val="auto"/>
                <w:w w:val="99"/>
              </w:rPr>
              <w:t>..........., ...., before me personally</w:t>
            </w: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 duly sworn, did depose and say that he is</w:t>
            </w:r>
          </w:p>
        </w:tc>
        <w:tc>
          <w:tcPr>
            <w:tcW w:w="10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 .................................</w:t>
            </w:r>
          </w:p>
        </w:tc>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 one</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signed his</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thereto by like authority.</w:t>
            </w: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STATE OF NEW YORK</w:t>
      </w:r>
      <w:r>
        <w:rPr>
          <w:sz w:val="20"/>
          <w:szCs w:val="20"/>
          <w:color w:val="auto"/>
        </w:rPr>
        <w:tab/>
      </w:r>
      <w:r>
        <w:rPr>
          <w:rFonts w:ascii="Courier New" w:cs="Courier New" w:eastAsia="Courier New" w:hAnsi="Courier New"/>
          <w:sz w:val="16"/>
          <w:szCs w:val="16"/>
          <w:color w:val="auto"/>
        </w:rPr>
        <w:t>)</w:t>
      </w:r>
    </w:p>
    <w:p>
      <w:pPr>
        <w:ind w:left="2440" w:hanging="325"/>
        <w:spacing w:after="0" w:line="238" w:lineRule="auto"/>
        <w:tabs>
          <w:tab w:leader="none" w:pos="24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NEW YORK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the .... day of</w:t>
            </w:r>
          </w:p>
        </w:tc>
        <w:tc>
          <w:tcPr>
            <w:tcW w:w="4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 before me personally</w:t>
            </w:r>
          </w:p>
        </w:tc>
      </w:t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me duly sworn, did depose and say that he is</w:t>
            </w:r>
          </w:p>
        </w:tc>
        <w:tc>
          <w:tcPr>
            <w:tcW w:w="1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 .................................</w:t>
            </w:r>
          </w:p>
        </w:tc>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 one</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signed his</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name thereto by like authority.</w:t>
            </w:r>
          </w:p>
        </w:tc>
        <w:tc>
          <w:tcPr>
            <w:tcW w:w="1160" w:type="dxa"/>
            <w:vAlign w:val="bottom"/>
          </w:tcPr>
          <w:p>
            <w:pPr>
              <w:spacing w:after="0"/>
              <w:rPr>
                <w:sz w:val="17"/>
                <w:szCs w:val="17"/>
                <w:color w:val="auto"/>
              </w:rPr>
            </w:pPr>
          </w:p>
        </w:tc>
      </w:tr>
      <w:tr>
        <w:trPr>
          <w:trHeight w:val="608"/>
        </w:trPr>
        <w:tc>
          <w:tcPr>
            <w:tcW w:w="6640" w:type="dxa"/>
            <w:vAlign w:val="bottom"/>
            <w:gridSpan w:val="4"/>
          </w:tcPr>
          <w:p>
            <w:pPr>
              <w:ind w:left="1700"/>
              <w:spacing w:after="0"/>
              <w:rPr>
                <w:sz w:val="20"/>
                <w:szCs w:val="20"/>
                <w:color w:val="auto"/>
              </w:rPr>
            </w:pPr>
            <w:r>
              <w:rPr>
                <w:rFonts w:ascii="Courier New" w:cs="Courier New" w:eastAsia="Courier New" w:hAnsi="Courier New"/>
                <w:sz w:val="18"/>
                <w:szCs w:val="18"/>
                <w:color w:val="auto"/>
                <w:w w:val="96"/>
              </w:rPr>
              <w:t>...............................................</w:t>
            </w: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STATE OF NEW YORK</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ss.:</w:t>
            </w:r>
          </w:p>
        </w:tc>
        <w:tc>
          <w:tcPr>
            <w:tcW w:w="1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COUNTY OF NEW YORK</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the .... day of</w:t>
            </w:r>
          </w:p>
        </w:tc>
        <w:tc>
          <w:tcPr>
            <w:tcW w:w="4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 before me personally</w:t>
            </w:r>
          </w:p>
        </w:tc>
      </w:tr>
      <w:tr>
        <w:trPr>
          <w:trHeight w:val="203"/>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w w:val="71"/>
              </w:rPr>
              <w:t>came ...........................</w:t>
            </w:r>
          </w:p>
        </w:tc>
        <w:tc>
          <w:tcPr>
            <w:tcW w:w="32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 to me known, who,</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by</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me duly sworn, did depose and say that he is</w:t>
            </w:r>
          </w:p>
        </w:tc>
        <w:tc>
          <w:tcPr>
            <w:tcW w:w="11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of .................................</w:t>
            </w:r>
          </w:p>
        </w:tc>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 one</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of the corporations described in and which executed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foregoing instrument;</w:t>
            </w:r>
          </w:p>
        </w:tc>
        <w:tc>
          <w:tcPr>
            <w:tcW w:w="4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that he knows the seal of said corpo-</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ration; that the seal</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affixed to said instrument is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corporate seal; that it was so affixed by authority</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Board of Directors of</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said corporation; and that he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signed his</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name thereto by like authority.</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7" w:right="1440" w:bottom="1440" w:gutter="0" w:footer="0" w:header="0"/>
          <w:type w:val="continuous"/>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3779"/>
        <w:spacing w:after="0" w:line="238"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SCOTTS COMPANY</w:t>
      </w:r>
    </w:p>
    <w:p>
      <w:pPr>
        <w:ind w:left="1800"/>
        <w:spacing w:after="0" w:line="238" w:lineRule="auto"/>
        <w:rPr>
          <w:sz w:val="20"/>
          <w:szCs w:val="20"/>
          <w:color w:val="auto"/>
        </w:rPr>
      </w:pPr>
      <w:r>
        <w:rPr>
          <w:rFonts w:ascii="Courier New" w:cs="Courier New" w:eastAsia="Courier New" w:hAnsi="Courier New"/>
          <w:sz w:val="18"/>
          <w:szCs w:val="18"/>
          <w:color w:val="auto"/>
        </w:rPr>
        <w:t>THE O.M. SCOTT &amp; SONS COMPANY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 7/8% Senior Subordinated Notes due August 1, 2004</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810187 AA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6"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7" w:lineRule="exact"/>
        <w:rPr>
          <w:sz w:val="20"/>
          <w:szCs w:val="20"/>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The Scotts Company, a corporation duly organized and existing under the laws of the State of Delaware (herein called "Scotts", which term includes any successor Person under the Indenture hereinafter referred to), and The O.M. Scott &amp; Sons Company, a corporation duly organized and existing under the laws of the State of Delaware (herein called "OMS", which term includes any successor Person under the Indenture hereinafter referred to), as joint and several obligors (collectively, herein called the "Issuers" ), for value received, hereby promise to pay to Cede &amp; Co., or regis-tered assigns, the principal sum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Dollars on August 1,</w:t>
      </w:r>
    </w:p>
    <w:p>
      <w:pPr>
        <w:spacing w:after="0" w:line="4" w:lineRule="exact"/>
        <w:rPr>
          <w:sz w:val="20"/>
          <w:szCs w:val="20"/>
          <w:color w:val="auto"/>
        </w:rPr>
      </w:pPr>
    </w:p>
    <w:p>
      <w:pPr>
        <w:ind w:right="3679"/>
        <w:spacing w:after="0" w:line="269" w:lineRule="auto"/>
        <w:rPr>
          <w:sz w:val="20"/>
          <w:szCs w:val="20"/>
          <w:color w:val="auto"/>
        </w:rPr>
      </w:pPr>
      <w:r>
        <w:rPr>
          <w:rFonts w:ascii="Courier New" w:cs="Courier New" w:eastAsia="Courier New" w:hAnsi="Courier New"/>
          <w:sz w:val="16"/>
          <w:szCs w:val="16"/>
          <w:color w:val="auto"/>
        </w:rPr>
        <w:t>2004, and to pay interest thereon from July 19, 1994, or from the most recent Interest Payment Date to which interest has been paid or duly provided for, semi-annually on February 1 and August 1 in each year, commencing February 1, 1995, at the rate of 9 7/8% per annum, until the principal hereof is paid or made available for payment, provided that any principal and premium, and any such instalment of interest, which is overdue shall bear interest at the rate of 10 7/8%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January 15 or July 15 (whether or not a</w:t>
      </w:r>
    </w:p>
    <w:p>
      <w:pPr>
        <w:sectPr>
          <w:pgSz w:w="11900" w:h="16838" w:orient="portrait"/>
          <w:cols w:equalWidth="0" w:num="1">
            <w:col w:w="10219"/>
          </w:cols>
          <w:pgMar w:left="240" w:top="312" w:right="1440" w:bottom="1440" w:gutter="0" w:footer="0" w:header="0"/>
          <w:type w:val="continuous"/>
        </w:sectPr>
      </w:pPr>
    </w:p>
    <w:bookmarkStart w:id="39" w:name="page40"/>
    <w:bookmarkEnd w:id="39"/>
    <w:p>
      <w:pPr>
        <w:spacing w:after="0" w:line="269" w:lineRule="auto"/>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w:t>
      </w:r>
    </w:p>
    <w:p>
      <w:pPr>
        <w:spacing w:after="0" w:line="2"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10" w:lineRule="exact"/>
        <w:rPr>
          <w:sz w:val="20"/>
          <w:szCs w:val="20"/>
          <w:color w:val="auto"/>
        </w:rPr>
      </w:pPr>
    </w:p>
    <w:p>
      <w:pPr>
        <w:ind w:right="3679" w:firstLine="316"/>
        <w:spacing w:after="0" w:line="270" w:lineRule="auto"/>
        <w:rPr>
          <w:sz w:val="20"/>
          <w:szCs w:val="20"/>
          <w:color w:val="auto"/>
        </w:rPr>
      </w:pPr>
      <w:r>
        <w:rPr>
          <w:rFonts w:ascii="Courier New" w:cs="Courier New" w:eastAsia="Courier New" w:hAnsi="Courier New"/>
          <w:sz w:val="16"/>
          <w:szCs w:val="16"/>
          <w:color w:val="auto"/>
        </w:rPr>
        <w:t>Payment of the principal of (and premium, if any) and any such interest on this Security will be made at the office or agency of the Issuers in the Borough of Manhattan, the City of New York, the State of New York maintained for such purpose or at any other office or agency maintained by the Issuers for such purpose, in such coin or currency of the United States of America as at the time of payment is legal tender for payment of public and private debts; provided, however, that at the option of the Issuers payment of interest may be made by check mailed to the address of the Person entitled thereto as such address shall appear in the Security Register.</w:t>
      </w:r>
    </w:p>
    <w:p>
      <w:pPr>
        <w:spacing w:after="0" w:line="188" w:lineRule="exact"/>
        <w:rPr>
          <w:sz w:val="20"/>
          <w:szCs w:val="20"/>
          <w:color w:val="auto"/>
        </w:rPr>
      </w:pPr>
    </w:p>
    <w:p>
      <w:pPr>
        <w:ind w:right="3779" w:firstLine="316"/>
        <w:spacing w:after="0" w:line="237"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207" w:lineRule="exact"/>
        <w:rPr>
          <w:sz w:val="20"/>
          <w:szCs w:val="20"/>
          <w:color w:val="auto"/>
        </w:rPr>
      </w:pPr>
    </w:p>
    <w:p>
      <w:pPr>
        <w:ind w:right="3779" w:firstLine="316"/>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9" w:lineRule="exact"/>
        <w:rPr>
          <w:sz w:val="20"/>
          <w:szCs w:val="20"/>
          <w:color w:val="auto"/>
        </w:rPr>
      </w:pPr>
    </w:p>
    <w:p>
      <w:pPr>
        <w:ind w:right="4099" w:firstLine="316"/>
        <w:spacing w:after="0" w:line="290" w:lineRule="auto"/>
        <w:rPr>
          <w:sz w:val="20"/>
          <w:szCs w:val="20"/>
          <w:color w:val="auto"/>
        </w:rPr>
      </w:pPr>
      <w:r>
        <w:rPr>
          <w:rFonts w:ascii="Courier New" w:cs="Courier New" w:eastAsia="Courier New" w:hAnsi="Courier New"/>
          <w:sz w:val="16"/>
          <w:szCs w:val="16"/>
          <w:color w:val="auto"/>
        </w:rPr>
        <w:t>IN WITNESS WHEREOF, each of the Issuers has caused this instrument to be duly executed under its corporate seal.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By______________________________</w:t>
      </w:r>
    </w:p>
    <w:p>
      <w:pPr>
        <w:ind w:left="29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312" w:right="1440" w:bottom="1440" w:gutter="0" w:footer="0" w:header="0"/>
        </w:sectPr>
      </w:pPr>
    </w:p>
    <w:bookmarkStart w:id="41" w:name="page42"/>
    <w:bookmarkEnd w:id="41"/>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O.M. SCOTT &amp; SONS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By_______________________________</w:t>
      </w:r>
    </w:p>
    <w:p>
      <w:pPr>
        <w:ind w:left="296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REVERSE OF SECURITY</w:t>
      </w:r>
    </w:p>
    <w:p>
      <w:pPr>
        <w:spacing w:after="0" w:line="207" w:lineRule="exact"/>
        <w:rPr>
          <w:sz w:val="20"/>
          <w:szCs w:val="20"/>
          <w:color w:val="auto"/>
        </w:rPr>
      </w:pPr>
    </w:p>
    <w:p>
      <w:pPr>
        <w:ind w:right="3679" w:firstLine="316"/>
        <w:spacing w:after="0" w:line="238" w:lineRule="auto"/>
        <w:rPr>
          <w:sz w:val="20"/>
          <w:szCs w:val="20"/>
          <w:color w:val="auto"/>
        </w:rPr>
      </w:pPr>
      <w:r>
        <w:rPr>
          <w:rFonts w:ascii="Courier New" w:cs="Courier New" w:eastAsia="Courier New" w:hAnsi="Courier New"/>
          <w:sz w:val="18"/>
          <w:szCs w:val="18"/>
          <w:color w:val="auto"/>
        </w:rPr>
        <w:t>This Security is one of a duly authorized issue of securities of the Issuers (herein called the "Securities"), issued and to be issued in one or more series under an Indenture, dated as of June 1, 1994, as supplemented by the First Supplemental Indenture, dated as of July 12, 1994 (as so supplemented, herein called the "Indenture", which term shall have the meaning assigned to it in such instrument), between the Issuers and Chemical Bank, as Trustee (herein called the "Trustee", which term includes any successor trustee under the Indenture), and reference is hereby made to the Indenture for a statement of the respective rights, limitations of rights, duties and immunities thereunder of the Issuers, the Trustee and the Holders of the Securities and of the terms upon which the Securities are, and are to be, authenticated and delivered. This Security is one of the series designated on the face hereof.</w:t>
      </w:r>
    </w:p>
    <w:p>
      <w:pPr>
        <w:spacing w:after="0" w:line="208" w:lineRule="exact"/>
        <w:rPr>
          <w:sz w:val="20"/>
          <w:szCs w:val="20"/>
          <w:color w:val="auto"/>
        </w:rPr>
      </w:pPr>
    </w:p>
    <w:p>
      <w:pPr>
        <w:ind w:right="3779" w:firstLine="316"/>
        <w:spacing w:after="0" w:line="271" w:lineRule="auto"/>
        <w:rPr>
          <w:sz w:val="20"/>
          <w:szCs w:val="20"/>
          <w:color w:val="auto"/>
        </w:rPr>
      </w:pPr>
      <w:r>
        <w:rPr>
          <w:rFonts w:ascii="Courier New" w:cs="Courier New" w:eastAsia="Courier New" w:hAnsi="Courier New"/>
          <w:sz w:val="16"/>
          <w:szCs w:val="16"/>
          <w:color w:val="auto"/>
        </w:rPr>
        <w:t>The Securities of this series are subject to redemption upon not less than 30 nor more than 60 days' notice by mail, at any time on or after August 1, 1999 and prior to maturity, as a whole or in part in amounts of $1,000 or an integral multiple of $1,000, at the election of the Issuers, at the following Redemption Prices (expressed as percentages of the principal amount): If redeemed during the 12-month period beginning August 1 of the years indicated,</w:t>
      </w:r>
    </w:p>
    <w:p>
      <w:pPr>
        <w:sectPr>
          <w:pgSz w:w="11900" w:h="16838" w:orient="portrait"/>
          <w:cols w:equalWidth="0" w:num="1">
            <w:col w:w="10219"/>
          </w:cols>
          <w:pgMar w:left="240" w:top="312" w:right="1440" w:bottom="1440" w:gutter="0" w:footer="0" w:header="0"/>
        </w:sectPr>
      </w:pPr>
    </w:p>
    <w:bookmarkStart w:id="43" w:name="page44"/>
    <w:bookmarkEnd w:id="43"/>
    <w:p>
      <w:pPr>
        <w:spacing w:after="0" w:line="271" w:lineRule="auto"/>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64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2000" w:type="dxa"/>
            <w:vAlign w:val="bottom"/>
          </w:tcPr>
          <w:p>
            <w:pPr>
              <w:ind w:left="940"/>
              <w:spacing w:after="0"/>
              <w:rPr>
                <w:sz w:val="20"/>
                <w:szCs w:val="20"/>
                <w:color w:val="auto"/>
              </w:rPr>
            </w:pPr>
            <w:r>
              <w:rPr>
                <w:rFonts w:ascii="Courier New" w:cs="Courier New" w:eastAsia="Courier New" w:hAnsi="Courier New"/>
                <w:sz w:val="18"/>
                <w:szCs w:val="18"/>
                <w:color w:val="auto"/>
                <w:w w:val="96"/>
              </w:rPr>
              <w:t>Redemption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0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Price</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2000" w:type="dxa"/>
            <w:vAlign w:val="bottom"/>
          </w:tcPr>
          <w:p>
            <w:pPr>
              <w:ind w:left="940"/>
              <w:spacing w:after="0"/>
              <w:rPr>
                <w:sz w:val="20"/>
                <w:szCs w:val="20"/>
                <w:color w:val="auto"/>
              </w:rPr>
            </w:pPr>
            <w:r>
              <w:rPr>
                <w:rFonts w:ascii="Courier New" w:cs="Courier New" w:eastAsia="Courier New" w:hAnsi="Courier New"/>
                <w:sz w:val="18"/>
                <w:szCs w:val="18"/>
                <w:color w:val="auto"/>
              </w:rPr>
              <w:t>104.9375%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103.2917%</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2001</w:t>
            </w:r>
          </w:p>
        </w:tc>
        <w:tc>
          <w:tcPr>
            <w:tcW w:w="2000" w:type="dxa"/>
            <w:vAlign w:val="bottom"/>
          </w:tcPr>
          <w:p>
            <w:pPr>
              <w:ind w:left="940"/>
              <w:spacing w:after="0"/>
              <w:rPr>
                <w:sz w:val="20"/>
                <w:szCs w:val="20"/>
                <w:color w:val="auto"/>
              </w:rPr>
            </w:pPr>
            <w:r>
              <w:rPr>
                <w:rFonts w:ascii="Courier New" w:cs="Courier New" w:eastAsia="Courier New" w:hAnsi="Courier New"/>
                <w:sz w:val="18"/>
                <w:szCs w:val="18"/>
                <w:color w:val="auto"/>
              </w:rPr>
              <w:t>101.6458%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thereafter at a Redemption Price equal to 100%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11"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Upon the occurrence of a Change of Control, the Issuers will be required to make an Offer to Purchase all outstanding Securities at a purchase price equal to 101% of their principal amount plus accrued interest to the date of purchase.</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indebtedness evidenced by this Security is, to the extent provided in the Indenture, subordinate and subject in right of payment to the prior payment in full of all Senior Debt,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214"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Indenture permits, with certain exceptions as therein provided, the amendment thereof and the modification of the rights and obligations of the Issuers and the rights of the Holders of the Securities of each series to be affected under the Indenture at any time by the Issuers and the Trustee with the consent of the Holders of a majority in principal amount of the Securities at the time Outstanding of each</w:t>
      </w:r>
    </w:p>
    <w:p>
      <w:pPr>
        <w:sectPr>
          <w:pgSz w:w="11900" w:h="16838" w:orient="portrait"/>
          <w:cols w:equalWidth="0" w:num="1">
            <w:col w:w="10219"/>
          </w:cols>
          <w:pgMar w:left="240" w:top="312" w:right="1440" w:bottom="1440" w:gutter="0" w:footer="0" w:header="0"/>
        </w:sectPr>
      </w:pPr>
    </w:p>
    <w:bookmarkStart w:id="45" w:name="page46"/>
    <w:bookmarkEnd w:id="45"/>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series to be affected. The Indenture also contains provisions permitting the Holders of specified percentages in principal amount of the Securities of each series at the time Outstanding, on behalf of the Holders of all Securities of such series, to waive compliance by the Issuers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16"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Issuers, which is absolute and unconditional, to pay the principal of and any premium and interest on this Security at the times, place and rate, and in the coin or currency, herein prescribed.</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Issuers in any place where the principal of and any premium and interest on this Security are payable, duly endorsed by, or accompanied by a written instrument of transfer in form satisfactory to the Issuers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16" w:lineRule="exact"/>
        <w:rPr>
          <w:sz w:val="20"/>
          <w:szCs w:val="20"/>
          <w:color w:val="auto"/>
        </w:rPr>
      </w:pPr>
    </w:p>
    <w:p>
      <w:pPr>
        <w:ind w:right="2619" w:firstLine="421"/>
        <w:spacing w:after="0" w:line="273"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w:t>
      </w:r>
    </w:p>
    <w:p>
      <w:pPr>
        <w:sectPr>
          <w:pgSz w:w="11900" w:h="16838" w:orient="portrait"/>
          <w:cols w:equalWidth="0" w:num="1">
            <w:col w:w="10219"/>
          </w:cols>
          <w:pgMar w:left="240" w:top="312" w:right="1440" w:bottom="1440" w:gutter="0" w:footer="0" w:header="0"/>
        </w:sectPr>
      </w:pPr>
    </w:p>
    <w:bookmarkStart w:id="47" w:name="page48"/>
    <w:bookmarkEnd w:id="47"/>
    <w:p>
      <w:pPr>
        <w:spacing w:after="0" w:line="273" w:lineRule="auto"/>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ind w:left="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of like tenor of a different authorized denomination, as requested by the Holder surrendering the same.</w:t>
      </w:r>
    </w:p>
    <w:p>
      <w:pPr>
        <w:spacing w:after="0" w:line="208"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Issuers may require payment of a sum sufficient to cover any tax or other governmental charge payable in connection therewith.</w:t>
      </w:r>
    </w:p>
    <w:p>
      <w:pPr>
        <w:spacing w:after="0" w:line="178"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Prior to due presentment of this Security for registration of transfer, the Issuers, the Trustee and any agent of the Issuers or the Trustee may treat the Person in whose name this Security is registered as the owner hereof for all purposes, whether or not this Security be overdue, and neither the Issuers, the Trustee nor any such agent shall be affected by notice to the contrary.</w:t>
      </w:r>
    </w:p>
    <w:p>
      <w:pPr>
        <w:spacing w:after="0" w:line="210"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9"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CHEMICAL BANK,</w:t>
      </w:r>
    </w:p>
    <w:p>
      <w:pPr>
        <w:jc w:val="right"/>
        <w:ind w:right="231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Authorized Officer</w:t>
      </w:r>
    </w:p>
    <w:p>
      <w:pPr>
        <w:sectPr>
          <w:pgSz w:w="11900" w:h="16838" w:orient="portrait"/>
          <w:cols w:equalWidth="0" w:num="1">
            <w:col w:w="10219"/>
          </w:cols>
          <w:pgMar w:left="240" w:top="312" w:right="1440" w:bottom="1440" w:gutter="0" w:footer="0" w:header="0"/>
        </w:sectPr>
      </w:pPr>
    </w:p>
    <w:bookmarkStart w:id="49" w:name="page50"/>
    <w:bookmarkEnd w:id="4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ind w:left="1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SCHEDULE A</w:t>
      </w:r>
    </w:p>
    <w:p>
      <w:pPr>
        <w:spacing w:after="0" w:line="224"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Debt or Preferred Stock outstanding on the date of issuance of the Notes after giving effect to the application of the proceeds of the Notes and excluding any Debt or Preferred Stock subject to the exclusions in clauses (ii), (iii), (v) and (vii) of Section 1009 consists of the following:</w:t>
      </w:r>
    </w:p>
    <w:p>
      <w:pPr>
        <w:spacing w:after="0" w:line="209" w:lineRule="exact"/>
        <w:rPr>
          <w:sz w:val="20"/>
          <w:szCs w:val="20"/>
          <w:color w:val="auto"/>
        </w:rPr>
      </w:pPr>
    </w:p>
    <w:p>
      <w:pPr>
        <w:ind w:left="640" w:right="2319" w:hanging="632"/>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capital lease of Scotts-Sierra Horticultural Products Company relating to premises situtate in Iron Run Industrial Park, Fogelsville, Lehigh County, Pennsylvania with a capital book value of approximately $0.4 million at April 2, 1994.</w:t>
      </w:r>
    </w:p>
    <w:p>
      <w:pPr>
        <w:spacing w:after="0" w:line="207" w:lineRule="exact"/>
        <w:rPr>
          <w:rFonts w:ascii="Courier New" w:cs="Courier New" w:eastAsia="Courier New" w:hAnsi="Courier New"/>
          <w:sz w:val="18"/>
          <w:szCs w:val="18"/>
          <w:color w:val="auto"/>
        </w:rPr>
      </w:pPr>
    </w:p>
    <w:p>
      <w:pPr>
        <w:ind w:left="640" w:right="2319" w:hanging="632"/>
        <w:spacing w:after="0" w:line="272"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mortgage note and related obligations of Scotts-Sierra Horticultural Products Company relating to its Heerlen, Netherlands facility. The mortgage note is payable to an agency of the Netherlands government, is due in equal annual installments including interest, and is collateralized by land and a building with a net book value of approximately $1.2 million at December 16, 1993.</w:t>
      </w:r>
    </w:p>
    <w:p>
      <w:pPr>
        <w:sectPr>
          <w:pgSz w:w="11900" w:h="16838" w:orient="portrait"/>
          <w:cols w:equalWidth="0" w:num="1">
            <w:col w:w="10219"/>
          </w:cols>
          <w:pgMar w:left="240" w:top="312" w:right="1440" w:bottom="1440" w:gutter="0" w:footer="0" w:header="0"/>
        </w:sectPr>
      </w:pPr>
    </w:p>
    <w:bookmarkStart w:id="51" w:name="page52"/>
    <w:bookmarkEnd w:id="51"/>
    <w:p>
      <w:pPr>
        <w:spacing w:after="0" w:line="272" w:lineRule="auto"/>
        <w:tabs>
          <w:tab w:leader="none" w:pos="640" w:val="left"/>
        </w:tabs>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SCHEDULE B</w:t>
      </w:r>
    </w:p>
    <w:p>
      <w:pPr>
        <w:spacing w:after="0" w:line="200" w:lineRule="exact"/>
        <w:rPr>
          <w:sz w:val="20"/>
          <w:szCs w:val="20"/>
          <w:color w:val="auto"/>
        </w:rPr>
      </w:pPr>
    </w:p>
    <w:p>
      <w:pPr>
        <w:spacing w:after="0" w:line="209" w:lineRule="exact"/>
        <w:rPr>
          <w:sz w:val="20"/>
          <w:szCs w:val="20"/>
          <w:color w:val="auto"/>
        </w:rPr>
      </w:pPr>
    </w:p>
    <w:p>
      <w:pPr>
        <w:jc w:val="both"/>
        <w:ind w:right="2739" w:firstLine="1264"/>
        <w:spacing w:after="0" w:line="290" w:lineRule="auto"/>
        <w:rPr>
          <w:sz w:val="20"/>
          <w:szCs w:val="20"/>
          <w:color w:val="auto"/>
        </w:rPr>
      </w:pPr>
      <w:r>
        <w:rPr>
          <w:rFonts w:ascii="Courier New" w:cs="Courier New" w:eastAsia="Courier New" w:hAnsi="Courier New"/>
          <w:sz w:val="16"/>
          <w:szCs w:val="16"/>
          <w:color w:val="auto"/>
        </w:rPr>
        <w:t>Other than the Bank Agreement, and excluding agreements, if any, subject to the exclusions of subsection (d) of Section 1010, none.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3"/>
    </w:lvl>
    <w:lvl w:ilvl="1">
      <w:lvlJc w:val="left"/>
      <w:lvlText w:val="%2"/>
      <w:numFmt w:val="decimal"/>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1)"/>
      <w:numFmt w:val="lowerRoman"/>
      <w:start w:val="4"/>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4"/>
    </w:lvl>
  </w:abstractNum>
  <w:abstractNum w:abstractNumId="9">
    <w:nsid w:val="140E0F76"/>
    <w:multiLevelType w:val="hybridMultilevel"/>
    <w:lvl w:ilvl="0">
      <w:lvlJc w:val="left"/>
      <w:lvlText w:val="(%1)"/>
      <w:numFmt w:val="lowerRoman"/>
      <w:start w:val="7"/>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2019-12-19T23:47:46Z</dcterms:created>
  <dcterms:modified xsi:type="dcterms:W3CDTF">2019-12-19T23:47:46Z</dcterms:modified>
</cp:coreProperties>
</file>