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right="2400" w:hanging="452"/>
        <w:spacing w:after="0" w:line="261"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2011</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1-11593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Scotts Miracle-Gro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1940" w:type="dxa"/>
            <w:vAlign w:val="bottom"/>
          </w:tcPr>
          <w:p>
            <w:pPr>
              <w:spacing w:after="0"/>
              <w:rPr>
                <w:sz w:val="18"/>
                <w:szCs w:val="18"/>
                <w:color w:val="auto"/>
              </w:rPr>
            </w:pPr>
          </w:p>
        </w:tc>
        <w:tc>
          <w:tcPr>
            <w:tcW w:w="2220" w:type="dxa"/>
            <w:vAlign w:val="bottom"/>
            <w:gridSpan w:val="2"/>
          </w:tcPr>
          <w:p>
            <w:pPr>
              <w:jc w:val="center"/>
              <w:ind w:right="1012"/>
              <w:spacing w:after="0"/>
              <w:rPr>
                <w:sz w:val="20"/>
                <w:szCs w:val="20"/>
                <w:color w:val="auto"/>
              </w:rPr>
            </w:pPr>
            <w:r>
              <w:rPr>
                <w:rFonts w:ascii="Arial" w:cs="Arial" w:eastAsia="Arial" w:hAnsi="Arial"/>
                <w:sz w:val="18"/>
                <w:szCs w:val="18"/>
                <w:b w:val="1"/>
                <w:bCs w:val="1"/>
                <w:color w:val="auto"/>
                <w:w w:val="87"/>
              </w:rPr>
              <w:t>Ohio</w:t>
            </w:r>
          </w:p>
        </w:tc>
        <w:tc>
          <w:tcPr>
            <w:tcW w:w="4900" w:type="dxa"/>
            <w:vAlign w:val="bottom"/>
            <w:gridSpan w:val="4"/>
          </w:tcPr>
          <w:p>
            <w:pPr>
              <w:jc w:val="right"/>
              <w:ind w:right="232"/>
              <w:spacing w:after="0"/>
              <w:rPr>
                <w:sz w:val="20"/>
                <w:szCs w:val="20"/>
                <w:color w:val="auto"/>
              </w:rPr>
            </w:pPr>
            <w:r>
              <w:rPr>
                <w:rFonts w:ascii="Arial" w:cs="Arial" w:eastAsia="Arial" w:hAnsi="Arial"/>
                <w:sz w:val="18"/>
                <w:szCs w:val="18"/>
                <w:b w:val="1"/>
                <w:bCs w:val="1"/>
                <w:color w:val="auto"/>
              </w:rPr>
              <w:t>31-1414921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60" w:type="dxa"/>
            <w:vAlign w:val="bottom"/>
            <w:gridSpan w:val="3"/>
          </w:tcPr>
          <w:p>
            <w:pPr>
              <w:jc w:val="center"/>
              <w:ind w:left="7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140" w:type="dxa"/>
            <w:vAlign w:val="bottom"/>
            <w:gridSpan w:val="2"/>
          </w:tcPr>
          <w:p>
            <w:pPr>
              <w:jc w:val="center"/>
              <w:ind w:left="60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60" w:type="dxa"/>
            <w:vAlign w:val="bottom"/>
            <w:gridSpan w:val="3"/>
          </w:tcPr>
          <w:p>
            <w:pPr>
              <w:jc w:val="center"/>
              <w:ind w:left="760"/>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w w:val="89"/>
              </w:rPr>
              <w:t>Identification No.)</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4160" w:type="dxa"/>
            <w:vAlign w:val="bottom"/>
            <w:gridSpan w:val="3"/>
          </w:tcPr>
          <w:p>
            <w:pPr>
              <w:jc w:val="center"/>
              <w:ind w:left="760"/>
              <w:spacing w:after="0"/>
              <w:rPr>
                <w:sz w:val="20"/>
                <w:szCs w:val="20"/>
                <w:color w:val="auto"/>
              </w:rPr>
            </w:pPr>
            <w:r>
              <w:rPr>
                <w:rFonts w:ascii="Arial" w:cs="Arial" w:eastAsia="Arial" w:hAnsi="Arial"/>
                <w:sz w:val="18"/>
                <w:szCs w:val="18"/>
                <w:b w:val="1"/>
                <w:bCs w:val="1"/>
                <w:color w:val="auto"/>
                <w:w w:val="85"/>
              </w:rPr>
              <w:t>14111 Scottslawn Road,</w:t>
            </w:r>
          </w:p>
        </w:tc>
        <w:tc>
          <w:tcPr>
            <w:tcW w:w="2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60" w:type="dxa"/>
            <w:vAlign w:val="bottom"/>
            <w:gridSpan w:val="3"/>
          </w:tcPr>
          <w:p>
            <w:pPr>
              <w:jc w:val="center"/>
              <w:ind w:left="780"/>
              <w:spacing w:after="0"/>
              <w:rPr>
                <w:sz w:val="20"/>
                <w:szCs w:val="20"/>
                <w:color w:val="auto"/>
              </w:rPr>
            </w:pPr>
            <w:r>
              <w:rPr>
                <w:rFonts w:ascii="Arial" w:cs="Arial" w:eastAsia="Arial" w:hAnsi="Arial"/>
                <w:sz w:val="18"/>
                <w:szCs w:val="18"/>
                <w:b w:val="1"/>
                <w:bCs w:val="1"/>
                <w:color w:val="auto"/>
                <w:w w:val="91"/>
              </w:rPr>
              <w:t>Marysville, Ohio</w:t>
            </w:r>
          </w:p>
        </w:tc>
        <w:tc>
          <w:tcPr>
            <w:tcW w:w="4900" w:type="dxa"/>
            <w:vAlign w:val="bottom"/>
            <w:gridSpan w:val="4"/>
          </w:tcPr>
          <w:p>
            <w:pPr>
              <w:jc w:val="right"/>
              <w:ind w:right="432"/>
              <w:spacing w:after="0"/>
              <w:rPr>
                <w:sz w:val="20"/>
                <w:szCs w:val="20"/>
                <w:color w:val="auto"/>
              </w:rPr>
            </w:pPr>
            <w:r>
              <w:rPr>
                <w:rFonts w:ascii="Arial" w:cs="Arial" w:eastAsia="Arial" w:hAnsi="Arial"/>
                <w:sz w:val="18"/>
                <w:szCs w:val="18"/>
                <w:b w:val="1"/>
                <w:bCs w:val="1"/>
                <w:color w:val="auto"/>
              </w:rPr>
              <w:t>43041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160" w:type="dxa"/>
            <w:vAlign w:val="bottom"/>
            <w:gridSpan w:val="3"/>
          </w:tcPr>
          <w:p>
            <w:pPr>
              <w:jc w:val="center"/>
              <w:ind w:left="7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w w:val="89"/>
              </w:rPr>
              <w:t>(Zip Code)</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20" w:type="dxa"/>
            <w:vAlign w:val="bottom"/>
            <w:gridSpan w:val="4"/>
          </w:tcPr>
          <w:p>
            <w:pPr>
              <w:jc w:val="center"/>
              <w:ind w:right="708"/>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937-644-0011</w:t>
            </w:r>
          </w:p>
        </w:tc>
        <w:tc>
          <w:tcPr>
            <w:tcW w:w="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320" w:type="dxa"/>
            <w:vAlign w:val="bottom"/>
            <w:gridSpan w:val="4"/>
          </w:tcPr>
          <w:p>
            <w:pPr>
              <w:jc w:val="center"/>
              <w:ind w:right="70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940" w:type="dxa"/>
            <w:vAlign w:val="bottom"/>
          </w:tcPr>
          <w:p>
            <w:pPr>
              <w:spacing w:after="0"/>
              <w:rPr>
                <w:sz w:val="24"/>
                <w:szCs w:val="24"/>
                <w:color w:val="auto"/>
              </w:rPr>
            </w:pPr>
          </w:p>
        </w:tc>
        <w:tc>
          <w:tcPr>
            <w:tcW w:w="2220" w:type="dxa"/>
            <w:vAlign w:val="bottom"/>
            <w:gridSpan w:val="2"/>
          </w:tcPr>
          <w:p>
            <w:pPr>
              <w:jc w:val="center"/>
              <w:ind w:right="1012"/>
              <w:spacing w:after="0"/>
              <w:rPr>
                <w:sz w:val="20"/>
                <w:szCs w:val="20"/>
                <w:color w:val="auto"/>
              </w:rPr>
            </w:pPr>
            <w:r>
              <w:rPr>
                <w:rFonts w:ascii="Arial" w:cs="Arial" w:eastAsia="Arial" w:hAnsi="Arial"/>
                <w:sz w:val="14"/>
                <w:szCs w:val="14"/>
                <w:b w:val="1"/>
                <w:bCs w:val="1"/>
                <w:color w:val="auto"/>
                <w:w w:val="86"/>
              </w:rPr>
              <w:t>Title of Each Class</w:t>
            </w:r>
          </w:p>
        </w:tc>
        <w:tc>
          <w:tcPr>
            <w:tcW w:w="2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16"/>
        </w:trPr>
        <w:tc>
          <w:tcPr>
            <w:tcW w:w="1940" w:type="dxa"/>
            <w:vAlign w:val="bottom"/>
          </w:tcPr>
          <w:p>
            <w:pPr>
              <w:ind w:left="1260"/>
              <w:spacing w:after="0"/>
              <w:rPr>
                <w:sz w:val="20"/>
                <w:szCs w:val="20"/>
                <w:color w:val="auto"/>
              </w:rPr>
            </w:pPr>
            <w:r>
              <w:rPr>
                <w:rFonts w:ascii="Arial" w:cs="Arial" w:eastAsia="Arial" w:hAnsi="Arial"/>
                <w:sz w:val="18"/>
                <w:szCs w:val="18"/>
                <w:color w:val="auto"/>
                <w:w w:val="90"/>
              </w:rPr>
              <w:t>Common</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Shares, without</w:t>
            </w:r>
          </w:p>
        </w:tc>
        <w:tc>
          <w:tcPr>
            <w:tcW w:w="1080" w:type="dxa"/>
            <w:vAlign w:val="bottom"/>
          </w:tcPr>
          <w:p>
            <w:pPr>
              <w:ind w:left="20"/>
              <w:spacing w:after="0"/>
              <w:rPr>
                <w:sz w:val="20"/>
                <w:szCs w:val="20"/>
                <w:color w:val="auto"/>
              </w:rPr>
            </w:pPr>
            <w:r>
              <w:rPr>
                <w:rFonts w:ascii="Arial" w:cs="Arial" w:eastAsia="Arial" w:hAnsi="Arial"/>
                <w:sz w:val="18"/>
                <w:szCs w:val="18"/>
                <w:color w:val="auto"/>
              </w:rPr>
              <w:t>par value</w:t>
            </w: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New York Stock Exchange</w:t>
            </w:r>
          </w:p>
        </w:tc>
        <w:tc>
          <w:tcPr>
            <w:tcW w:w="0" w:type="dxa"/>
            <w:vAlign w:val="bottom"/>
          </w:tcPr>
          <w:p>
            <w:pPr>
              <w:spacing w:after="0"/>
              <w:rPr>
                <w:sz w:val="1"/>
                <w:szCs w:val="1"/>
                <w:color w:val="auto"/>
              </w:rPr>
            </w:pPr>
          </w:p>
        </w:tc>
      </w:tr>
      <w:tr>
        <w:trPr>
          <w:trHeight w:val="276"/>
        </w:trPr>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20" w:type="dxa"/>
            <w:vAlign w:val="bottom"/>
            <w:gridSpan w:val="4"/>
          </w:tcPr>
          <w:p>
            <w:pPr>
              <w:jc w:val="center"/>
              <w:ind w:right="688"/>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40" w:type="dxa"/>
            <w:vAlign w:val="bottom"/>
            <w:gridSpan w:val="3"/>
          </w:tcPr>
          <w:p>
            <w:pPr>
              <w:jc w:val="center"/>
              <w:ind w:right="1788"/>
              <w:spacing w:after="0"/>
              <w:rPr>
                <w:sz w:val="20"/>
                <w:szCs w:val="20"/>
                <w:color w:val="auto"/>
              </w:rPr>
            </w:pPr>
            <w:r>
              <w:rPr>
                <w:rFonts w:ascii="Arial" w:cs="Arial" w:eastAsia="Arial" w:hAnsi="Arial"/>
                <w:sz w:val="18"/>
                <w:szCs w:val="18"/>
                <w:b w:val="1"/>
                <w:bCs w:val="1"/>
                <w:color w:val="auto"/>
                <w:w w:val="84"/>
              </w:rPr>
              <w:t>None</w:t>
            </w: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160" w:type="dxa"/>
            <w:vAlign w:val="bottom"/>
            <w:gridSpan w:val="3"/>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860" w:type="dxa"/>
            <w:vAlign w:val="bottom"/>
            <w:gridSpan w:val="2"/>
          </w:tcPr>
          <w:p>
            <w:pPr>
              <w:spacing w:after="0"/>
              <w:rPr>
                <w:sz w:val="14"/>
                <w:szCs w:val="14"/>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jc w:val="both"/>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527"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240"/>
            <w:col w:w="6440" w:space="720"/>
            <w:col w:w="1560" w:space="720"/>
            <w:col w:w="160"/>
          </w:cols>
          <w:pgMar w:left="240" w:top="230" w:right="239" w:bottom="527"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320"/>
            <w:col w:w="160" w:space="140"/>
            <w:col w:w="6140" w:space="720"/>
            <w:col w:w="1940" w:space="340"/>
            <w:col w:w="160"/>
          </w:cols>
          <w:pgMar w:left="240" w:top="230" w:right="239" w:bottom="527"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7580" w:space="160"/>
            <w:col w:w="260" w:space="100"/>
            <w:col w:w="160" w:space="180"/>
            <w:col w:w="200" w:space="100"/>
            <w:col w:w="2680"/>
          </w:cols>
          <w:pgMar w:left="240" w:top="230" w:right="239" w:bottom="527" w:gutter="0" w:footer="0" w:header="0"/>
          <w:type w:val="continuous"/>
        </w:sectPr>
      </w:pPr>
    </w:p>
    <w:p>
      <w:pPr>
        <w:spacing w:after="0" w:line="6" w:lineRule="exact"/>
        <w:rPr>
          <w:sz w:val="24"/>
          <w:szCs w:val="24"/>
          <w:color w:val="auto"/>
        </w:rPr>
      </w:pPr>
    </w:p>
    <w:p>
      <w:pPr>
        <w:ind w:right="20" w:firstLine="342"/>
        <w:spacing w:after="0" w:line="268" w:lineRule="auto"/>
        <w:rPr>
          <w:sz w:val="20"/>
          <w:szCs w:val="20"/>
          <w:color w:val="auto"/>
        </w:rPr>
      </w:pPr>
      <w:r>
        <w:rPr>
          <w:rFonts w:ascii="Arial" w:cs="Arial" w:eastAsia="Arial" w:hAnsi="Arial"/>
          <w:sz w:val="18"/>
          <w:szCs w:val="18"/>
          <w:color w:val="auto"/>
        </w:rPr>
        <w:t>The aggregate market value of Common Shares (the only common equity of the registrant) held by non-affiliates as of April 1, 2011 (the last business day of the most recently completed second quarter) was approximately $2,676,710,155.</w:t>
      </w:r>
    </w:p>
    <w:p>
      <w:pPr>
        <w:spacing w:after="0" w:line="13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There were 60,957,452 Common Shares of the registrant outstanding as of November 18,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20" w:firstLine="342"/>
        <w:spacing w:after="0" w:line="268" w:lineRule="auto"/>
        <w:rPr>
          <w:sz w:val="20"/>
          <w:szCs w:val="20"/>
          <w:color w:val="auto"/>
        </w:rPr>
      </w:pPr>
      <w:r>
        <w:rPr>
          <w:rFonts w:ascii="Arial" w:cs="Arial" w:eastAsia="Arial" w:hAnsi="Arial"/>
          <w:sz w:val="18"/>
          <w:szCs w:val="18"/>
          <w:color w:val="auto"/>
        </w:rPr>
        <w:t>Portions of the definitive Proxy Statement for the registrant’s 2012 Annual Meeting of Shareholders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527"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i w:val="1"/>
          <w:iCs w:val="1"/>
          <w:u w:val="single" w:color="auto"/>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Description and Development of the Business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discussion below provides a brief description of the business conducted by The Scotts Miracle-Gro Company (“Scotts Miracle-Gro” and, together with its subsidiaries, the “Company,” “we” or “us”), including general developments in the Company’s business during the fiscal year ended September 30, 2011 (“fiscal 2011”). For additional information on recent business developments, see “ITEM 7. MANAGEMENT’S DISCUSSION AND ANALYSIS OF FINANCIAL CONDITION AND RESULTS OF OPERATIONS” of this Annual Report on Form 10-K.</w:t>
      </w:r>
    </w:p>
    <w:p>
      <w:pPr>
        <w:spacing w:after="0" w:line="14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are a leading manufacturer and marketer of branded consumer lawn and garden products. Our products are marketed under some of the most recognized brand names in the industry, including, in North America, Scotts</w:t>
      </w:r>
      <w:r>
        <w:rPr>
          <w:rFonts w:ascii="Arial" w:cs="Arial" w:eastAsia="Arial" w:hAnsi="Arial"/>
          <w:sz w:val="10"/>
          <w:szCs w:val="10"/>
          <w:color w:val="auto"/>
        </w:rPr>
        <w:t>®</w:t>
      </w:r>
      <w:r>
        <w:rPr>
          <w:rFonts w:ascii="Arial" w:cs="Arial" w:eastAsia="Arial" w:hAnsi="Arial"/>
          <w:sz w:val="16"/>
          <w:szCs w:val="16"/>
          <w:color w:val="auto"/>
        </w:rPr>
        <w:t xml:space="preserve"> and Turf Builder</w:t>
      </w:r>
      <w:r>
        <w:rPr>
          <w:rFonts w:ascii="Arial" w:cs="Arial" w:eastAsia="Arial" w:hAnsi="Arial"/>
          <w:sz w:val="10"/>
          <w:szCs w:val="10"/>
          <w:color w:val="auto"/>
        </w:rPr>
        <w:t>®</w:t>
      </w:r>
      <w:r>
        <w:rPr>
          <w:rFonts w:ascii="Arial" w:cs="Arial" w:eastAsia="Arial" w:hAnsi="Arial"/>
          <w:sz w:val="16"/>
          <w:szCs w:val="16"/>
          <w:color w:val="auto"/>
        </w:rPr>
        <w:t xml:space="preserve"> lawn and grass seed products, including the Scotts</w:t>
      </w:r>
      <w:r>
        <w:rPr>
          <w:rFonts w:ascii="Arial" w:cs="Arial" w:eastAsia="Arial" w:hAnsi="Arial"/>
          <w:sz w:val="10"/>
          <w:szCs w:val="10"/>
          <w:color w:val="auto"/>
        </w:rPr>
        <w:t>®</w:t>
      </w:r>
      <w:r>
        <w:rPr>
          <w:rFonts w:ascii="Arial" w:cs="Arial" w:eastAsia="Arial" w:hAnsi="Arial"/>
          <w:sz w:val="16"/>
          <w:szCs w:val="16"/>
          <w:color w:val="auto"/>
        </w:rPr>
        <w:t xml:space="preserve"> LawnPro</w:t>
      </w:r>
      <w:r>
        <w:rPr>
          <w:rFonts w:ascii="Arial" w:cs="Arial" w:eastAsia="Arial" w:hAnsi="Arial"/>
          <w:sz w:val="10"/>
          <w:szCs w:val="10"/>
          <w:color w:val="auto"/>
        </w:rPr>
        <w:t>®</w:t>
      </w:r>
      <w:r>
        <w:rPr>
          <w:rFonts w:ascii="Arial" w:cs="Arial" w:eastAsia="Arial" w:hAnsi="Arial"/>
          <w:sz w:val="16"/>
          <w:szCs w:val="16"/>
          <w:color w:val="auto"/>
        </w:rPr>
        <w:t xml:space="preserve"> Annual 4 Step</w:t>
      </w:r>
      <w:r>
        <w:rPr>
          <w:rFonts w:ascii="Arial" w:cs="Arial" w:eastAsia="Arial" w:hAnsi="Arial"/>
          <w:sz w:val="10"/>
          <w:szCs w:val="10"/>
          <w:color w:val="auto"/>
        </w:rPr>
        <w:t>®</w:t>
      </w:r>
      <w:r>
        <w:rPr>
          <w:rFonts w:ascii="Arial" w:cs="Arial" w:eastAsia="Arial" w:hAnsi="Arial"/>
          <w:sz w:val="16"/>
          <w:szCs w:val="16"/>
          <w:color w:val="auto"/>
        </w:rPr>
        <w:t xml:space="preserve"> Program; Miracle-Gro</w:t>
      </w:r>
      <w:r>
        <w:rPr>
          <w:rFonts w:ascii="Arial" w:cs="Arial" w:eastAsia="Arial" w:hAnsi="Arial"/>
          <w:sz w:val="10"/>
          <w:szCs w:val="10"/>
          <w:color w:val="auto"/>
        </w:rPr>
        <w:t>®</w:t>
      </w:r>
      <w:r>
        <w:rPr>
          <w:rFonts w:ascii="Arial" w:cs="Arial" w:eastAsia="Arial" w:hAnsi="Arial"/>
          <w:sz w:val="16"/>
          <w:szCs w:val="16"/>
          <w:color w:val="auto"/>
        </w:rPr>
        <w:t>, Scotts</w:t>
      </w:r>
      <w:r>
        <w:rPr>
          <w:rFonts w:ascii="Arial" w:cs="Arial" w:eastAsia="Arial" w:hAnsi="Arial"/>
          <w:sz w:val="10"/>
          <w:szCs w:val="10"/>
          <w:color w:val="auto"/>
        </w:rPr>
        <w:t>®</w:t>
      </w:r>
      <w:r>
        <w:rPr>
          <w:rFonts w:ascii="Arial" w:cs="Arial" w:eastAsia="Arial" w:hAnsi="Arial"/>
          <w:sz w:val="16"/>
          <w:szCs w:val="16"/>
          <w:color w:val="auto"/>
        </w:rPr>
        <w:t>, Liquifeed</w:t>
      </w:r>
      <w:r>
        <w:rPr>
          <w:rFonts w:ascii="Arial" w:cs="Arial" w:eastAsia="Arial" w:hAnsi="Arial"/>
          <w:sz w:val="10"/>
          <w:szCs w:val="10"/>
          <w:color w:val="auto"/>
        </w:rPr>
        <w:t>®</w:t>
      </w:r>
      <w:r>
        <w:rPr>
          <w:rFonts w:ascii="Arial" w:cs="Arial" w:eastAsia="Arial" w:hAnsi="Arial"/>
          <w:sz w:val="16"/>
          <w:szCs w:val="16"/>
          <w:color w:val="auto"/>
        </w:rPr>
        <w:t xml:space="preserve"> and Osmocote</w:t>
      </w:r>
      <w:r>
        <w:rPr>
          <w:rFonts w:ascii="Arial" w:cs="Arial" w:eastAsia="Arial" w:hAnsi="Arial"/>
          <w:sz w:val="10"/>
          <w:szCs w:val="10"/>
          <w:color w:val="auto"/>
        </w:rPr>
        <w:t>®1</w:t>
      </w:r>
      <w:r>
        <w:rPr>
          <w:rFonts w:ascii="Arial" w:cs="Arial" w:eastAsia="Arial" w:hAnsi="Arial"/>
          <w:sz w:val="16"/>
          <w:szCs w:val="16"/>
          <w:color w:val="auto"/>
        </w:rPr>
        <w:t xml:space="preserve"> gardening and landscape products; Ortho</w:t>
      </w:r>
      <w:r>
        <w:rPr>
          <w:rFonts w:ascii="Arial" w:cs="Arial" w:eastAsia="Arial" w:hAnsi="Arial"/>
          <w:sz w:val="10"/>
          <w:szCs w:val="10"/>
          <w:color w:val="auto"/>
        </w:rPr>
        <w:t>®</w:t>
      </w:r>
      <w:r>
        <w:rPr>
          <w:rFonts w:ascii="Arial" w:cs="Arial" w:eastAsia="Arial" w:hAnsi="Arial"/>
          <w:sz w:val="16"/>
          <w:szCs w:val="16"/>
          <w:color w:val="auto"/>
        </w:rPr>
        <w:t>, Roundup</w:t>
      </w:r>
      <w:r>
        <w:rPr>
          <w:rFonts w:ascii="Arial" w:cs="Arial" w:eastAsia="Arial" w:hAnsi="Arial"/>
          <w:sz w:val="10"/>
          <w:szCs w:val="10"/>
          <w:color w:val="auto"/>
        </w:rPr>
        <w:t>®2</w:t>
      </w:r>
      <w:r>
        <w:rPr>
          <w:rFonts w:ascii="Arial" w:cs="Arial" w:eastAsia="Arial" w:hAnsi="Arial"/>
          <w:sz w:val="16"/>
          <w:szCs w:val="16"/>
          <w:color w:val="auto"/>
        </w:rPr>
        <w:t xml:space="preserve"> and Home Defense</w:t>
      </w:r>
      <w:r>
        <w:rPr>
          <w:rFonts w:ascii="Arial" w:cs="Arial" w:eastAsia="Arial" w:hAnsi="Arial"/>
          <w:sz w:val="10"/>
          <w:szCs w:val="10"/>
          <w:color w:val="auto"/>
        </w:rPr>
        <w:t>®</w:t>
      </w:r>
      <w:r>
        <w:rPr>
          <w:rFonts w:ascii="Arial" w:cs="Arial" w:eastAsia="Arial" w:hAnsi="Arial"/>
          <w:sz w:val="16"/>
          <w:szCs w:val="16"/>
          <w:color w:val="auto"/>
        </w:rPr>
        <w:t xml:space="preserve"> branded insect control, weed control and rodenticide products; and Scotts</w:t>
      </w:r>
      <w:r>
        <w:rPr>
          <w:rFonts w:ascii="Arial" w:cs="Arial" w:eastAsia="Arial" w:hAnsi="Arial"/>
          <w:sz w:val="10"/>
          <w:szCs w:val="10"/>
          <w:color w:val="auto"/>
        </w:rPr>
        <w:t>®</w:t>
      </w:r>
      <w:r>
        <w:rPr>
          <w:rFonts w:ascii="Arial" w:cs="Arial" w:eastAsia="Arial" w:hAnsi="Arial"/>
          <w:sz w:val="16"/>
          <w:szCs w:val="16"/>
          <w:color w:val="auto"/>
        </w:rPr>
        <w:t xml:space="preserve"> and Morning Song</w:t>
      </w:r>
      <w:r>
        <w:rPr>
          <w:rFonts w:ascii="Arial" w:cs="Arial" w:eastAsia="Arial" w:hAnsi="Arial"/>
          <w:sz w:val="10"/>
          <w:szCs w:val="10"/>
          <w:color w:val="auto"/>
        </w:rPr>
        <w:t>®</w:t>
      </w:r>
      <w:r>
        <w:rPr>
          <w:rFonts w:ascii="Arial" w:cs="Arial" w:eastAsia="Arial" w:hAnsi="Arial"/>
          <w:sz w:val="16"/>
          <w:szCs w:val="16"/>
          <w:color w:val="auto"/>
        </w:rPr>
        <w:t xml:space="preserve"> wild bird food products. In the United Kingdom, key brands include Miracle-Gro</w:t>
      </w:r>
      <w:r>
        <w:rPr>
          <w:rFonts w:ascii="Arial" w:cs="Arial" w:eastAsia="Arial" w:hAnsi="Arial"/>
          <w:sz w:val="10"/>
          <w:szCs w:val="10"/>
          <w:color w:val="auto"/>
        </w:rPr>
        <w:t>®</w:t>
      </w:r>
      <w:r>
        <w:rPr>
          <w:rFonts w:ascii="Arial" w:cs="Arial" w:eastAsia="Arial" w:hAnsi="Arial"/>
          <w:sz w:val="16"/>
          <w:szCs w:val="16"/>
          <w:color w:val="auto"/>
        </w:rPr>
        <w:t xml:space="preserve"> plant fertilizers; Weedol</w:t>
      </w:r>
      <w:r>
        <w:rPr>
          <w:rFonts w:ascii="Arial" w:cs="Arial" w:eastAsia="Arial" w:hAnsi="Arial"/>
          <w:sz w:val="10"/>
          <w:szCs w:val="10"/>
          <w:color w:val="auto"/>
        </w:rPr>
        <w:t>®</w:t>
      </w:r>
      <w:r>
        <w:rPr>
          <w:rFonts w:ascii="Arial" w:cs="Arial" w:eastAsia="Arial" w:hAnsi="Arial"/>
          <w:sz w:val="16"/>
          <w:szCs w:val="16"/>
          <w:color w:val="auto"/>
        </w:rPr>
        <w:t xml:space="preserve"> and Pathclear</w:t>
      </w:r>
      <w:r>
        <w:rPr>
          <w:rFonts w:ascii="Arial" w:cs="Arial" w:eastAsia="Arial" w:hAnsi="Arial"/>
          <w:sz w:val="10"/>
          <w:szCs w:val="10"/>
          <w:color w:val="auto"/>
        </w:rPr>
        <w:t>®</w:t>
      </w:r>
      <w:r>
        <w:rPr>
          <w:rFonts w:ascii="Arial" w:cs="Arial" w:eastAsia="Arial" w:hAnsi="Arial"/>
          <w:sz w:val="16"/>
          <w:szCs w:val="16"/>
          <w:color w:val="auto"/>
        </w:rPr>
        <w:t xml:space="preserve"> herbicides; EverGreen</w:t>
      </w:r>
      <w:r>
        <w:rPr>
          <w:rFonts w:ascii="Arial" w:cs="Arial" w:eastAsia="Arial" w:hAnsi="Arial"/>
          <w:sz w:val="10"/>
          <w:szCs w:val="10"/>
          <w:color w:val="auto"/>
        </w:rPr>
        <w:t>®</w:t>
      </w:r>
      <w:r>
        <w:rPr>
          <w:rFonts w:ascii="Arial" w:cs="Arial" w:eastAsia="Arial" w:hAnsi="Arial"/>
          <w:sz w:val="16"/>
          <w:szCs w:val="16"/>
          <w:color w:val="auto"/>
        </w:rPr>
        <w:t xml:space="preserve"> lawn fertilizers; and Levington</w:t>
      </w:r>
      <w:r>
        <w:rPr>
          <w:rFonts w:ascii="Arial" w:cs="Arial" w:eastAsia="Arial" w:hAnsi="Arial"/>
          <w:sz w:val="10"/>
          <w:szCs w:val="10"/>
          <w:color w:val="auto"/>
        </w:rPr>
        <w:t>®</w:t>
      </w:r>
      <w:r>
        <w:rPr>
          <w:rFonts w:ascii="Arial" w:cs="Arial" w:eastAsia="Arial" w:hAnsi="Arial"/>
          <w:sz w:val="16"/>
          <w:szCs w:val="16"/>
          <w:color w:val="auto"/>
        </w:rPr>
        <w:t xml:space="preserve"> gardening and landscape products. Other significant brands in Europe include KB</w:t>
      </w:r>
      <w:r>
        <w:rPr>
          <w:rFonts w:ascii="Arial" w:cs="Arial" w:eastAsia="Arial" w:hAnsi="Arial"/>
          <w:sz w:val="10"/>
          <w:szCs w:val="10"/>
          <w:color w:val="auto"/>
        </w:rPr>
        <w:t>®</w:t>
      </w:r>
      <w:r>
        <w:rPr>
          <w:rFonts w:ascii="Arial" w:cs="Arial" w:eastAsia="Arial" w:hAnsi="Arial"/>
          <w:sz w:val="16"/>
          <w:szCs w:val="16"/>
          <w:color w:val="auto"/>
        </w:rPr>
        <w:t xml:space="preserve"> and Fertiligène</w:t>
      </w:r>
      <w:r>
        <w:rPr>
          <w:rFonts w:ascii="Arial" w:cs="Arial" w:eastAsia="Arial" w:hAnsi="Arial"/>
          <w:sz w:val="10"/>
          <w:szCs w:val="10"/>
          <w:color w:val="auto"/>
        </w:rPr>
        <w:t>®</w:t>
      </w:r>
      <w:r>
        <w:rPr>
          <w:rFonts w:ascii="Arial" w:cs="Arial" w:eastAsia="Arial" w:hAnsi="Arial"/>
          <w:sz w:val="16"/>
          <w:szCs w:val="16"/>
          <w:color w:val="auto"/>
        </w:rPr>
        <w:t xml:space="preserve"> in France; Celaflor</w:t>
      </w:r>
      <w:r>
        <w:rPr>
          <w:rFonts w:ascii="Arial" w:cs="Arial" w:eastAsia="Arial" w:hAnsi="Arial"/>
          <w:sz w:val="10"/>
          <w:szCs w:val="10"/>
          <w:color w:val="auto"/>
        </w:rPr>
        <w:t>®</w:t>
      </w:r>
      <w:r>
        <w:rPr>
          <w:rFonts w:ascii="Arial" w:cs="Arial" w:eastAsia="Arial" w:hAnsi="Arial"/>
          <w:sz w:val="16"/>
          <w:szCs w:val="16"/>
          <w:color w:val="auto"/>
        </w:rPr>
        <w:t>, Nexa Lotte</w:t>
      </w:r>
      <w:r>
        <w:rPr>
          <w:rFonts w:ascii="Arial" w:cs="Arial" w:eastAsia="Arial" w:hAnsi="Arial"/>
          <w:sz w:val="10"/>
          <w:szCs w:val="10"/>
          <w:color w:val="auto"/>
        </w:rPr>
        <w:t>®</w:t>
      </w:r>
      <w:r>
        <w:rPr>
          <w:rFonts w:ascii="Arial" w:cs="Arial" w:eastAsia="Arial" w:hAnsi="Arial"/>
          <w:sz w:val="16"/>
          <w:szCs w:val="16"/>
          <w:color w:val="auto"/>
        </w:rPr>
        <w:t xml:space="preserve"> and Substral</w:t>
      </w:r>
      <w:r>
        <w:rPr>
          <w:rFonts w:ascii="Arial" w:cs="Arial" w:eastAsia="Arial" w:hAnsi="Arial"/>
          <w:sz w:val="10"/>
          <w:szCs w:val="10"/>
          <w:color w:val="auto"/>
        </w:rPr>
        <w:t>®</w:t>
      </w:r>
      <w:r>
        <w:rPr>
          <w:rFonts w:ascii="Arial" w:cs="Arial" w:eastAsia="Arial" w:hAnsi="Arial"/>
          <w:sz w:val="16"/>
          <w:szCs w:val="16"/>
          <w:color w:val="auto"/>
        </w:rPr>
        <w:t xml:space="preserve"> in Germany and Austria; and ASEF</w:t>
      </w:r>
      <w:r>
        <w:rPr>
          <w:rFonts w:ascii="Arial" w:cs="Arial" w:eastAsia="Arial" w:hAnsi="Arial"/>
          <w:sz w:val="10"/>
          <w:szCs w:val="10"/>
          <w:color w:val="auto"/>
        </w:rPr>
        <w:t>®</w:t>
      </w:r>
      <w:r>
        <w:rPr>
          <w:rFonts w:ascii="Arial" w:cs="Arial" w:eastAsia="Arial" w:hAnsi="Arial"/>
          <w:sz w:val="16"/>
          <w:szCs w:val="16"/>
          <w:color w:val="auto"/>
        </w:rPr>
        <w:t>, KB</w:t>
      </w:r>
      <w:r>
        <w:rPr>
          <w:rFonts w:ascii="Arial" w:cs="Arial" w:eastAsia="Arial" w:hAnsi="Arial"/>
          <w:sz w:val="10"/>
          <w:szCs w:val="10"/>
          <w:color w:val="auto"/>
        </w:rPr>
        <w:t>®</w:t>
      </w:r>
      <w:r>
        <w:rPr>
          <w:rFonts w:ascii="Arial" w:cs="Arial" w:eastAsia="Arial" w:hAnsi="Arial"/>
          <w:sz w:val="16"/>
          <w:szCs w:val="16"/>
          <w:color w:val="auto"/>
        </w:rPr>
        <w:t xml:space="preserve"> and Substral</w:t>
      </w:r>
      <w:r>
        <w:rPr>
          <w:rFonts w:ascii="Arial" w:cs="Arial" w:eastAsia="Arial" w:hAnsi="Arial"/>
          <w:sz w:val="10"/>
          <w:szCs w:val="10"/>
          <w:color w:val="auto"/>
        </w:rPr>
        <w:t>®</w:t>
      </w:r>
      <w:r>
        <w:rPr>
          <w:rFonts w:ascii="Arial" w:cs="Arial" w:eastAsia="Arial" w:hAnsi="Arial"/>
          <w:sz w:val="16"/>
          <w:szCs w:val="16"/>
          <w:color w:val="auto"/>
        </w:rPr>
        <w:t xml:space="preserve"> in Belgium, the Netherlands and Luxembourg. We also operate the Scotts LawnService</w:t>
      </w:r>
      <w:r>
        <w:rPr>
          <w:rFonts w:ascii="Arial" w:cs="Arial" w:eastAsia="Arial" w:hAnsi="Arial"/>
          <w:sz w:val="10"/>
          <w:szCs w:val="10"/>
          <w:color w:val="auto"/>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heritage is tied to the 1995 merger of The Scotts Company, which traces its roots to a company founded by O.M. Scott in Marysville, Ohio in 1868, and Stern’s Miracle-Gro Products, Inc., which was formed on Long Island, New York by Horace Hagedorn and Otto Stern in 1951. Scotts Miracle-Gro is an Ohio corporation.</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dedicated to delivering strong, long-term financial results and outstanding shareholder returns by providing products of superior quality and value to enhance consumers’ outdoor lawn and garden environments. During fiscal 2011, we focused on four key initiatives designed to further strengthen our consumer-facing businesses, bring us closer to the consumer and support our long-term growth objectives:</w:t>
      </w:r>
    </w:p>
    <w:p>
      <w:pPr>
        <w:spacing w:after="0" w:line="59" w:lineRule="exact"/>
        <w:rPr>
          <w:sz w:val="20"/>
          <w:szCs w:val="20"/>
          <w:color w:val="auto"/>
        </w:rPr>
      </w:pPr>
    </w:p>
    <w:p>
      <w:pPr>
        <w:jc w:val="both"/>
        <w:ind w:left="900" w:hanging="325"/>
        <w:spacing w:after="0" w:line="29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i w:val="1"/>
          <w:iCs w:val="1"/>
          <w:u w:val="single" w:color="auto"/>
          <w:color w:val="auto"/>
        </w:rPr>
        <w:t>Streamlining our portfolio of businesses to focus on core branded consumer lawn and garden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 We continued to focus our business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core branded consumer lawn and garden products by completing the sale of our Global Professional business during our second quarter of fiscal 2011. The sale of the Global Professional business followed the wind-down of our Smith &amp; Hawken</w:t>
      </w:r>
      <w:r>
        <w:rPr>
          <w:rFonts w:ascii="Arial" w:cs="Arial" w:eastAsia="Arial" w:hAnsi="Arial"/>
          <w:sz w:val="10"/>
          <w:szCs w:val="10"/>
          <w:color w:val="auto"/>
        </w:rPr>
        <w:t>®3</w:t>
      </w:r>
      <w:r>
        <w:rPr>
          <w:rFonts w:ascii="Arial" w:cs="Arial" w:eastAsia="Arial" w:hAnsi="Arial"/>
          <w:sz w:val="16"/>
          <w:szCs w:val="16"/>
          <w:color w:val="auto"/>
        </w:rPr>
        <w:t xml:space="preserve"> business during our first quarter of the fiscal year ended September 30, 2010 (“fiscal 2010”). In addition, we are in the process of winding down the remaining portion of our professional seed business, leaving a portfolio exclusively comprised of consumer-facing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1  Osmocote</w:t>
      </w:r>
      <w:r>
        <w:rPr>
          <w:rFonts w:ascii="Arial" w:cs="Arial" w:eastAsia="Arial" w:hAnsi="Arial"/>
          <w:sz w:val="11"/>
          <w:szCs w:val="11"/>
          <w:color w:val="auto"/>
        </w:rPr>
        <w:t>®</w:t>
      </w:r>
      <w:r>
        <w:rPr>
          <w:rFonts w:ascii="Arial" w:cs="Arial" w:eastAsia="Arial" w:hAnsi="Arial"/>
          <w:sz w:val="18"/>
          <w:szCs w:val="18"/>
          <w:color w:val="auto"/>
        </w:rPr>
        <w:t xml:space="preserve"> is a registered trademark of Everris International B.V., a subsidiary of Israel Chemicals Ltd.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  Roundup</w:t>
      </w:r>
      <w:r>
        <w:rPr>
          <w:rFonts w:ascii="Arial" w:cs="Arial" w:eastAsia="Arial" w:hAnsi="Arial"/>
          <w:sz w:val="11"/>
          <w:szCs w:val="11"/>
          <w:color w:val="auto"/>
        </w:rPr>
        <w:t>®</w:t>
      </w:r>
      <w:r>
        <w:rPr>
          <w:rFonts w:ascii="Arial" w:cs="Arial" w:eastAsia="Arial" w:hAnsi="Arial"/>
          <w:sz w:val="18"/>
          <w:szCs w:val="18"/>
          <w:color w:val="auto"/>
        </w:rPr>
        <w:t xml:space="preserve"> is a registered trademark of Monsanto Technology LLC, a company affiliated with Monsanto Company (“Monsanto”).</w:t>
      </w:r>
    </w:p>
    <w:p>
      <w:pPr>
        <w:spacing w:after="0" w:line="9" w:lineRule="exact"/>
        <w:rPr>
          <w:sz w:val="20"/>
          <w:szCs w:val="20"/>
          <w:color w:val="auto"/>
        </w:rPr>
      </w:pPr>
    </w:p>
    <w:p>
      <w:pPr>
        <w:jc w:val="both"/>
        <w:ind w:left="220" w:hanging="212"/>
        <w:spacing w:after="0" w:line="302" w:lineRule="auto"/>
        <w:tabs>
          <w:tab w:leader="none" w:pos="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Smith &amp; Hawken</w:t>
      </w:r>
      <w:r>
        <w:rPr>
          <w:rFonts w:ascii="Arial" w:cs="Arial" w:eastAsia="Arial" w:hAnsi="Arial"/>
          <w:sz w:val="10"/>
          <w:szCs w:val="10"/>
          <w:color w:val="auto"/>
        </w:rPr>
        <w:t>®</w:t>
      </w:r>
      <w:r>
        <w:rPr>
          <w:rFonts w:ascii="Arial" w:cs="Arial" w:eastAsia="Arial" w:hAnsi="Arial"/>
          <w:sz w:val="16"/>
          <w:szCs w:val="16"/>
          <w:color w:val="auto"/>
        </w:rPr>
        <w:t xml:space="preserve"> is a registered trademark of Target Brands, Inc. We sold the Smith &amp; Hawken brand and certain intellectual property rights related thereto to Target Brands, Inc. on December 30, 2009, and subsequently changed the name of the subsidiary entity formerly known as Smith &amp; Hawken, Ltd. to Teak 2, Ltd. References in this Annual Report on Form 10-K to Smith &amp; Hawken refer to the subsidiary entity, not the brand itself.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u w:val="single" w:color="auto"/>
          <w:color w:val="auto"/>
        </w:rPr>
        <w:t>Ensuring our financing structure supports our long-term growth and cash utilization strategies</w:t>
      </w:r>
      <w:r>
        <w:rPr>
          <w:rFonts w:ascii="Arial" w:cs="Arial" w:eastAsia="Arial" w:hAnsi="Arial"/>
          <w:sz w:val="16"/>
          <w:szCs w:val="16"/>
          <w:i w:val="1"/>
          <w:iCs w:val="1"/>
          <w:color w:val="auto"/>
        </w:rPr>
        <w:t xml:space="preserve"> </w:t>
      </w:r>
      <w:r>
        <w:rPr>
          <w:rFonts w:ascii="Arial" w:cs="Arial" w:eastAsia="Arial" w:hAnsi="Arial"/>
          <w:sz w:val="16"/>
          <w:szCs w:val="16"/>
          <w:color w:val="auto"/>
        </w:rPr>
        <w:t>— The second initiative focused on reconfiguring our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structure to ensure we have sufficient flexibility to execute our long-term growth and cash utilization strategies:</w:t>
      </w:r>
    </w:p>
    <w:p>
      <w:pPr>
        <w:spacing w:after="0" w:line="4" w:lineRule="exact"/>
        <w:rPr>
          <w:rFonts w:ascii="Arial" w:cs="Arial" w:eastAsia="Arial" w:hAnsi="Arial"/>
          <w:sz w:val="16"/>
          <w:szCs w:val="16"/>
          <w:color w:val="auto"/>
        </w:rPr>
      </w:pPr>
    </w:p>
    <w:p>
      <w:pPr>
        <w:jc w:val="both"/>
        <w:ind w:left="1480" w:hanging="446"/>
        <w:spacing w:after="0" w:line="255"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We executed a new credit facility during our third quarter of fiscal 2011. Following the issuance of $200 million aggregate principal amount of 6.625% Senior Notes in our first quarter of fiscal 2011 and the issuance of $200 million aggregate principal amount of 7.25% Senior Notes in our second quarter of fiscal 2010, the new credit facility brought to completion the successful transformation of our financing structure from one comprised solely of bank debt with a single maturity date to one consisting of both bank and bond debt with staggered maturities that come due in 2016, 2018 and 2020.</w:t>
      </w:r>
    </w:p>
    <w:p>
      <w:pPr>
        <w:spacing w:after="0" w:line="61" w:lineRule="exact"/>
        <w:rPr>
          <w:rFonts w:ascii="Arial" w:cs="Arial" w:eastAsia="Arial" w:hAnsi="Arial"/>
          <w:sz w:val="18"/>
          <w:szCs w:val="18"/>
          <w:color w:val="auto"/>
        </w:rPr>
      </w:pPr>
    </w:p>
    <w:p>
      <w:pPr>
        <w:jc w:val="both"/>
        <w:ind w:left="1480" w:hanging="446"/>
        <w:spacing w:after="0" w:line="256"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revised financing structure provides us with significant freedom to operate within our stated target leverage ratio of 2.0 - 2.5. Within that target range we have sufficient flexibility to execute our long-term strategy of investing approximately two-thirds of our operating cash flow in growth initiatives (equally divided between capital reinvestment and modest acquisitions of additional consumer-facing brands and businesses) and returning the balance to shareholders.</w:t>
      </w:r>
    </w:p>
    <w:p>
      <w:pPr>
        <w:spacing w:after="0" w:line="62" w:lineRule="exact"/>
        <w:rPr>
          <w:rFonts w:ascii="Arial" w:cs="Arial" w:eastAsia="Arial" w:hAnsi="Arial"/>
          <w:sz w:val="18"/>
          <w:szCs w:val="18"/>
          <w:color w:val="auto"/>
        </w:rPr>
      </w:pPr>
    </w:p>
    <w:p>
      <w:pPr>
        <w:jc w:val="both"/>
        <w:ind w:left="1480" w:hanging="446"/>
        <w:spacing w:after="0" w:line="255"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During fiscal 2011, our long-term cash utilization strategy resulted in our returning $67.9 million to shareholders in the form of our quarterly dividend, which we increased by 20% in the fourth quarter of fiscal 2011, and $358.7 million through repurchases of our common shares pursuant to our 4-year, $700 million share repurchase program (cumulative purchases under this program total $383.7 million through September 30, 2011). In addition, we invested $72.7 million in capital expenditures and $10.9 million in acquisitions within our growing media and Scotts LawnService</w:t>
      </w:r>
      <w:r>
        <w:rPr>
          <w:rFonts w:ascii="Arial" w:cs="Arial" w:eastAsia="Arial" w:hAnsi="Arial"/>
          <w:sz w:val="11"/>
          <w:szCs w:val="11"/>
          <w:color w:val="auto"/>
        </w:rPr>
        <w:t>®</w:t>
      </w:r>
      <w:r>
        <w:rPr>
          <w:rFonts w:ascii="Arial" w:cs="Arial" w:eastAsia="Arial" w:hAnsi="Arial"/>
          <w:sz w:val="18"/>
          <w:szCs w:val="18"/>
          <w:color w:val="auto"/>
        </w:rPr>
        <w:t xml:space="preserve"> businesses.</w:t>
      </w:r>
    </w:p>
    <w:p>
      <w:pPr>
        <w:spacing w:after="0" w:line="61"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Restructuring our business to improve operational efficiencies and reposition our cost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Having successfully streamlined our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and reconfigured our financing structure to support long-term growth, our next initiative focused on ensuring that our internal organizational model and cost structure are designed to best help us achieve that growth:</w:t>
      </w:r>
    </w:p>
    <w:p>
      <w:pPr>
        <w:spacing w:after="0" w:line="59" w:lineRule="exact"/>
        <w:rPr>
          <w:rFonts w:ascii="Arial" w:cs="Arial" w:eastAsia="Arial" w:hAnsi="Arial"/>
          <w:sz w:val="18"/>
          <w:szCs w:val="18"/>
          <w:color w:val="auto"/>
        </w:rPr>
      </w:pPr>
    </w:p>
    <w:p>
      <w:pPr>
        <w:jc w:val="both"/>
        <w:ind w:left="1480" w:hanging="446"/>
        <w:spacing w:after="0" w:line="256"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During the second half of fiscal 2011, we undertook a restructuring effort designed to improve operational efficiencies and the speed with which key decisions are made. This effort centered on eliminating unnecessary management layers and ensuring that key decision makers have spans of control appropriate for their roles. We anticipate that the resulting reduction in force will ultimately produce $20 – $25 million in annualized savings.</w:t>
      </w:r>
    </w:p>
    <w:p>
      <w:pPr>
        <w:spacing w:after="0" w:line="62" w:lineRule="exact"/>
        <w:rPr>
          <w:rFonts w:ascii="Arial" w:cs="Arial" w:eastAsia="Arial" w:hAnsi="Arial"/>
          <w:sz w:val="18"/>
          <w:szCs w:val="18"/>
          <w:color w:val="auto"/>
        </w:rPr>
      </w:pPr>
    </w:p>
    <w:p>
      <w:pPr>
        <w:jc w:val="both"/>
        <w:ind w:left="1480" w:hanging="446"/>
        <w:spacing w:after="0" w:line="256"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Another piece of this initiative involves reducing the amount we spend on indirect purchasing and other non-revenue generating administrative matters. This multi-year effort involves better leveraging our scale to competitively bid out the products and services we buy and ultimately reduce the number of vendors we use across a variety of spending areas. We expect that, over time, this effort will generate cost savings similar to those realized from the organizational restructuring.</w:t>
      </w:r>
    </w:p>
    <w:p>
      <w:pPr>
        <w:spacing w:after="0" w:line="62" w:lineRule="exact"/>
        <w:rPr>
          <w:rFonts w:ascii="Arial" w:cs="Arial" w:eastAsia="Arial" w:hAnsi="Arial"/>
          <w:sz w:val="18"/>
          <w:szCs w:val="18"/>
          <w:color w:val="auto"/>
        </w:rPr>
      </w:pPr>
    </w:p>
    <w:p>
      <w:pPr>
        <w:jc w:val="both"/>
        <w:ind w:left="1480" w:hanging="446"/>
        <w:spacing w:after="0" w:line="306"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final step in repositioning our cost structure involves re-investing the savings generated by the organizational restructuring and indirect purchasing efforts back into our business. Through this initiative, we intend to increase the amount we spend in those areas we believe will help drive the long-term growth of our consumer business, such as advertising and innovation.</w:t>
      </w:r>
    </w:p>
    <w:p>
      <w:pPr>
        <w:spacing w:after="0" w:line="25" w:lineRule="exact"/>
        <w:rPr>
          <w:rFonts w:ascii="Arial" w:cs="Arial" w:eastAsia="Arial" w:hAnsi="Arial"/>
          <w:sz w:val="16"/>
          <w:szCs w:val="16"/>
          <w:color w:val="auto"/>
        </w:rPr>
      </w:pPr>
    </w:p>
    <w:p>
      <w:pPr>
        <w:jc w:val="both"/>
        <w:ind w:left="900" w:right="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u w:val="single" w:color="auto"/>
          <w:color w:val="auto"/>
        </w:rPr>
        <w:t>Continuing to regionalize both our sales and marketing models in order to get closer to the consumer and accelerate category growth and our manufacturing and distribution networks to further reduce costs</w:t>
      </w:r>
      <w:r>
        <w:rPr>
          <w:rFonts w:ascii="Arial" w:cs="Arial" w:eastAsia="Arial" w:hAnsi="Arial"/>
          <w:sz w:val="16"/>
          <w:szCs w:val="16"/>
          <w:i w:val="1"/>
          <w:iCs w:val="1"/>
          <w:color w:val="auto"/>
        </w:rPr>
        <w:t xml:space="preserve"> </w:t>
      </w:r>
      <w:r>
        <w:rPr>
          <w:rFonts w:ascii="Arial" w:cs="Arial" w:eastAsia="Arial" w:hAnsi="Arial"/>
          <w:sz w:val="16"/>
          <w:szCs w:val="16"/>
          <w:color w:val="auto"/>
        </w:rPr>
        <w:t>— During fiscal 2011, we continued to invest in the regional sales,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and distribution initiatives that were launched during the fiscal year ended September 30, 2009 (“fiscal 2009”):</w:t>
      </w:r>
    </w:p>
    <w:p>
      <w:pPr>
        <w:spacing w:after="0" w:line="25" w:lineRule="exact"/>
        <w:rPr>
          <w:rFonts w:ascii="Arial" w:cs="Arial" w:eastAsia="Arial" w:hAnsi="Arial"/>
          <w:sz w:val="16"/>
          <w:szCs w:val="16"/>
          <w:color w:val="auto"/>
        </w:rPr>
      </w:pPr>
    </w:p>
    <w:p>
      <w:pPr>
        <w:jc w:val="both"/>
        <w:ind w:left="1480" w:hanging="446"/>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Within the U.S., we operate regional sales and marketing offices in the North, the Southeast, the Southwest and the West. The regional offices are focused on better understanding and meeting the needs of consumers at the local level, thereby increasing both the overall participation rate in lawn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480"/>
        <w:spacing w:after="0" w:line="306" w:lineRule="auto"/>
        <w:rPr>
          <w:sz w:val="20"/>
          <w:szCs w:val="20"/>
          <w:color w:val="auto"/>
        </w:rPr>
      </w:pPr>
      <w:r>
        <w:rPr>
          <w:rFonts w:ascii="Arial" w:cs="Arial" w:eastAsia="Arial" w:hAnsi="Arial"/>
          <w:sz w:val="16"/>
          <w:szCs w:val="16"/>
          <w:color w:val="auto"/>
        </w:rPr>
        <w:t>and garden activities and our market share. Our headquarters in Marysville, Ohio continues to support the regional offices with programs and services designed to attract more consumers, enhance support to retailers, and drive innovation in our products, services, programs and operations in order to keep consumers engaged in lawn and garden activities and accelerate category growth.</w:t>
      </w:r>
    </w:p>
    <w:p>
      <w:pPr>
        <w:spacing w:after="0" w:line="26" w:lineRule="exact"/>
        <w:rPr>
          <w:sz w:val="20"/>
          <w:szCs w:val="20"/>
          <w:color w:val="auto"/>
        </w:rPr>
      </w:pPr>
    </w:p>
    <w:p>
      <w:pPr>
        <w:jc w:val="both"/>
        <w:ind w:left="1480" w:hanging="446"/>
        <w:spacing w:after="0" w:line="259"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Fiscal 2011 marked year three of a multi-year supply chain initiative to co-join distribution networks for our lawn fertilizer and growing media products at a number of our growing media facilities, which are then shipped directly to our retail customers. To date this initiative has helped eliminate the need for approximately 25% of our third-party warehouse space.</w:t>
      </w:r>
    </w:p>
    <w:p>
      <w:pPr>
        <w:spacing w:after="0" w:line="59" w:lineRule="exact"/>
        <w:rPr>
          <w:rFonts w:ascii="Arial" w:cs="Arial" w:eastAsia="Arial" w:hAnsi="Arial"/>
          <w:sz w:val="18"/>
          <w:szCs w:val="18"/>
          <w:color w:val="auto"/>
        </w:rPr>
      </w:pPr>
    </w:p>
    <w:p>
      <w:pPr>
        <w:jc w:val="both"/>
        <w:ind w:left="1480" w:hanging="446"/>
        <w:spacing w:after="0" w:line="256"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continued to regionalize our manufacturing capabilities through the acquisition of an additional growing media business in Florida, which we anticipate will help further drive cost savings through a combination of reduced freight and inventory investments. We also completed our first full year of operations at our second U.S. liquids manufacturing facility, enabling us to better serve southern U.S. markets.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divide our business into the following reportable segments:</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Consumer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Scotts LawnService</w:t>
      </w:r>
      <w:r>
        <w:rPr>
          <w:rFonts w:ascii="Arial" w:cs="Arial" w:eastAsia="Arial" w:hAnsi="Arial"/>
          <w:sz w:val="11"/>
          <w:szCs w:val="11"/>
          <w:color w:val="auto"/>
        </w:rPr>
        <w:t>®</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This division of reportable segments is consistent with how the segments report to and are managed by our senior management. Financial information about these segments for each of the three years ended September 30, 2011 is presented in “NOTE 22. SEGMENT INFORMATION” of the Notes to Consolidated Financial Statements included in this Annual Report on Form 10-K. The reportable segments have been revised from prior periods to reflect the sale of a significant majority of the assets of our previously reported Global Professional business segment, which is now reported in discontinued operations. See “NOTE 2. DISCONTINUED OPERATIONS” of the Notes to Consolidated Financial Statements included in this Annual Report on Form 10-K for additional information regarding the sale of the Global Professional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Services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Consumer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our Global Consumer segment, we manufacture and market consumer lawn and garden products in the following categories:</w:t>
      </w:r>
    </w:p>
    <w:p>
      <w:pPr>
        <w:spacing w:after="0" w:line="90" w:lineRule="exact"/>
        <w:rPr>
          <w:sz w:val="20"/>
          <w:szCs w:val="20"/>
          <w:color w:val="auto"/>
        </w:rPr>
      </w:pPr>
    </w:p>
    <w:p>
      <w:pPr>
        <w:jc w:val="both"/>
        <w:ind w:left="460" w:firstLine="438"/>
        <w:spacing w:after="0" w:line="290" w:lineRule="auto"/>
        <w:rPr>
          <w:sz w:val="20"/>
          <w:szCs w:val="20"/>
          <w:color w:val="auto"/>
        </w:rPr>
      </w:pPr>
      <w:r>
        <w:rPr>
          <w:rFonts w:ascii="Arial" w:cs="Arial" w:eastAsia="Arial" w:hAnsi="Arial"/>
          <w:sz w:val="16"/>
          <w:szCs w:val="16"/>
          <w:i w:val="1"/>
          <w:iCs w:val="1"/>
          <w:color w:val="auto"/>
        </w:rPr>
        <w:t xml:space="preserve">Lawn Care: </w:t>
      </w:r>
      <w:r>
        <w:rPr>
          <w:rFonts w:ascii="Arial" w:cs="Arial" w:eastAsia="Arial" w:hAnsi="Arial"/>
          <w:sz w:val="16"/>
          <w:szCs w:val="16"/>
          <w:color w:val="auto"/>
        </w:rPr>
        <w:t>The lawn care category is designed to help consumers obtain and enjoy the lawn they want. In the United States, products within this</w:t>
      </w:r>
      <w:r>
        <w:rPr>
          <w:rFonts w:ascii="Arial" w:cs="Arial" w:eastAsia="Arial" w:hAnsi="Arial"/>
          <w:sz w:val="16"/>
          <w:szCs w:val="16"/>
          <w:i w:val="1"/>
          <w:iCs w:val="1"/>
          <w:color w:val="auto"/>
        </w:rPr>
        <w:t xml:space="preserve"> </w:t>
      </w:r>
      <w:r>
        <w:rPr>
          <w:rFonts w:ascii="Arial" w:cs="Arial" w:eastAsia="Arial" w:hAnsi="Arial"/>
          <w:sz w:val="16"/>
          <w:szCs w:val="16"/>
          <w:color w:val="auto"/>
        </w:rPr>
        <w:t>category include fertilizer products under the Scotts</w:t>
      </w:r>
      <w:r>
        <w:rPr>
          <w:rFonts w:ascii="Arial" w:cs="Arial" w:eastAsia="Arial" w:hAnsi="Arial"/>
          <w:sz w:val="10"/>
          <w:szCs w:val="10"/>
          <w:color w:val="auto"/>
        </w:rPr>
        <w:t>®</w:t>
      </w:r>
      <w:r>
        <w:rPr>
          <w:rFonts w:ascii="Arial" w:cs="Arial" w:eastAsia="Arial" w:hAnsi="Arial"/>
          <w:sz w:val="16"/>
          <w:szCs w:val="16"/>
          <w:color w:val="auto"/>
        </w:rPr>
        <w:t xml:space="preserve"> and Turf Builder</w:t>
      </w:r>
      <w:r>
        <w:rPr>
          <w:rFonts w:ascii="Arial" w:cs="Arial" w:eastAsia="Arial" w:hAnsi="Arial"/>
          <w:sz w:val="10"/>
          <w:szCs w:val="10"/>
          <w:color w:val="auto"/>
        </w:rPr>
        <w:t>®</w:t>
      </w:r>
      <w:r>
        <w:rPr>
          <w:rFonts w:ascii="Arial" w:cs="Arial" w:eastAsia="Arial" w:hAnsi="Arial"/>
          <w:sz w:val="16"/>
          <w:szCs w:val="16"/>
          <w:color w:val="auto"/>
        </w:rPr>
        <w:t xml:space="preserve"> brand names, grass seed products under the Scotts</w:t>
      </w:r>
      <w:r>
        <w:rPr>
          <w:rFonts w:ascii="Arial" w:cs="Arial" w:eastAsia="Arial" w:hAnsi="Arial"/>
          <w:sz w:val="10"/>
          <w:szCs w:val="10"/>
          <w:color w:val="auto"/>
        </w:rPr>
        <w:t>®</w:t>
      </w:r>
      <w:r>
        <w:rPr>
          <w:rFonts w:ascii="Arial" w:cs="Arial" w:eastAsia="Arial" w:hAnsi="Arial"/>
          <w:sz w:val="16"/>
          <w:szCs w:val="16"/>
          <w:color w:val="auto"/>
        </w:rPr>
        <w:t>, Turf Builder</w:t>
      </w:r>
      <w:r>
        <w:rPr>
          <w:rFonts w:ascii="Arial" w:cs="Arial" w:eastAsia="Arial" w:hAnsi="Arial"/>
          <w:sz w:val="10"/>
          <w:szCs w:val="10"/>
          <w:color w:val="auto"/>
        </w:rPr>
        <w:t>®</w:t>
      </w:r>
      <w:r>
        <w:rPr>
          <w:rFonts w:ascii="Arial" w:cs="Arial" w:eastAsia="Arial" w:hAnsi="Arial"/>
          <w:sz w:val="16"/>
          <w:szCs w:val="16"/>
          <w:color w:val="auto"/>
        </w:rPr>
        <w:t>, EZ Seed</w:t>
      </w:r>
      <w:r>
        <w:rPr>
          <w:rFonts w:ascii="Arial" w:cs="Arial" w:eastAsia="Arial" w:hAnsi="Arial"/>
          <w:sz w:val="10"/>
          <w:szCs w:val="10"/>
          <w:color w:val="auto"/>
        </w:rPr>
        <w:t>®</w:t>
      </w:r>
      <w:r>
        <w:rPr>
          <w:rFonts w:ascii="Arial" w:cs="Arial" w:eastAsia="Arial" w:hAnsi="Arial"/>
          <w:sz w:val="16"/>
          <w:szCs w:val="16"/>
          <w:color w:val="auto"/>
        </w:rPr>
        <w:t>, Water Smart</w:t>
      </w:r>
      <w:r>
        <w:rPr>
          <w:rFonts w:ascii="Arial" w:cs="Arial" w:eastAsia="Arial" w:hAnsi="Arial"/>
          <w:sz w:val="10"/>
          <w:szCs w:val="10"/>
          <w:color w:val="auto"/>
        </w:rPr>
        <w:t>®</w:t>
      </w:r>
      <w:r>
        <w:rPr>
          <w:rFonts w:ascii="Arial" w:cs="Arial" w:eastAsia="Arial" w:hAnsi="Arial"/>
          <w:sz w:val="16"/>
          <w:szCs w:val="16"/>
          <w:color w:val="auto"/>
        </w:rPr>
        <w:t xml:space="preserve"> and PatchMaster</w:t>
      </w:r>
      <w:r>
        <w:rPr>
          <w:rFonts w:ascii="Arial" w:cs="Arial" w:eastAsia="Arial" w:hAnsi="Arial"/>
          <w:sz w:val="10"/>
          <w:szCs w:val="10"/>
          <w:color w:val="auto"/>
        </w:rPr>
        <w:t>®</w:t>
      </w:r>
      <w:r>
        <w:rPr>
          <w:rFonts w:ascii="Arial" w:cs="Arial" w:eastAsia="Arial" w:hAnsi="Arial"/>
          <w:sz w:val="16"/>
          <w:szCs w:val="16"/>
          <w:color w:val="auto"/>
        </w:rPr>
        <w:t xml:space="preserve"> brand names and lawn-related weed, pest and disease control products primarily under the Ortho</w:t>
      </w:r>
      <w:r>
        <w:rPr>
          <w:rFonts w:ascii="Arial" w:cs="Arial" w:eastAsia="Arial" w:hAnsi="Arial"/>
          <w:sz w:val="10"/>
          <w:szCs w:val="10"/>
          <w:color w:val="auto"/>
        </w:rPr>
        <w:t>®</w:t>
      </w:r>
      <w:r>
        <w:rPr>
          <w:rFonts w:ascii="Arial" w:cs="Arial" w:eastAsia="Arial" w:hAnsi="Arial"/>
          <w:sz w:val="16"/>
          <w:szCs w:val="16"/>
          <w:color w:val="auto"/>
        </w:rPr>
        <w:t>, Scotts</w:t>
      </w:r>
      <w:r>
        <w:rPr>
          <w:rFonts w:ascii="Arial" w:cs="Arial" w:eastAsia="Arial" w:hAnsi="Arial"/>
          <w:sz w:val="10"/>
          <w:szCs w:val="10"/>
          <w:color w:val="auto"/>
        </w:rPr>
        <w:t>®</w:t>
      </w:r>
      <w:r>
        <w:rPr>
          <w:rFonts w:ascii="Arial" w:cs="Arial" w:eastAsia="Arial" w:hAnsi="Arial"/>
          <w:sz w:val="16"/>
          <w:szCs w:val="16"/>
          <w:color w:val="auto"/>
        </w:rPr>
        <w:t xml:space="preserve"> and Lawn Pro</w:t>
      </w:r>
      <w:r>
        <w:rPr>
          <w:rFonts w:ascii="Arial" w:cs="Arial" w:eastAsia="Arial" w:hAnsi="Arial"/>
          <w:sz w:val="10"/>
          <w:szCs w:val="10"/>
          <w:color w:val="auto"/>
        </w:rPr>
        <w:t>®</w:t>
      </w:r>
      <w:r>
        <w:rPr>
          <w:rFonts w:ascii="Arial" w:cs="Arial" w:eastAsia="Arial" w:hAnsi="Arial"/>
          <w:sz w:val="16"/>
          <w:szCs w:val="16"/>
          <w:color w:val="auto"/>
        </w:rPr>
        <w:t xml:space="preserve"> brand names, including sub-brands such as Weed B Gon</w:t>
      </w:r>
      <w:r>
        <w:rPr>
          <w:rFonts w:ascii="Arial" w:cs="Arial" w:eastAsia="Arial" w:hAnsi="Arial"/>
          <w:sz w:val="10"/>
          <w:szCs w:val="10"/>
          <w:color w:val="auto"/>
        </w:rPr>
        <w:t>®</w:t>
      </w:r>
      <w:r>
        <w:rPr>
          <w:rFonts w:ascii="Arial" w:cs="Arial" w:eastAsia="Arial" w:hAnsi="Arial"/>
          <w:sz w:val="16"/>
          <w:szCs w:val="16"/>
          <w:color w:val="auto"/>
        </w:rPr>
        <w:t xml:space="preserve"> and GrubEx</w:t>
      </w:r>
      <w:r>
        <w:rPr>
          <w:rFonts w:ascii="Arial" w:cs="Arial" w:eastAsia="Arial" w:hAnsi="Arial"/>
          <w:sz w:val="10"/>
          <w:szCs w:val="10"/>
          <w:color w:val="auto"/>
        </w:rPr>
        <w:t>®</w:t>
      </w:r>
      <w:r>
        <w:rPr>
          <w:rFonts w:ascii="Arial" w:cs="Arial" w:eastAsia="Arial" w:hAnsi="Arial"/>
          <w:sz w:val="16"/>
          <w:szCs w:val="16"/>
          <w:color w:val="auto"/>
        </w:rPr>
        <w:t>. A similar range of products is marketed in Europe under a variety of brands such as EverGreen</w:t>
      </w:r>
      <w:r>
        <w:rPr>
          <w:rFonts w:ascii="Arial" w:cs="Arial" w:eastAsia="Arial" w:hAnsi="Arial"/>
          <w:sz w:val="10"/>
          <w:szCs w:val="10"/>
          <w:color w:val="auto"/>
        </w:rPr>
        <w:t>®</w:t>
      </w:r>
      <w:r>
        <w:rPr>
          <w:rFonts w:ascii="Arial" w:cs="Arial" w:eastAsia="Arial" w:hAnsi="Arial"/>
          <w:sz w:val="16"/>
          <w:szCs w:val="16"/>
          <w:color w:val="auto"/>
        </w:rPr>
        <w:t>, Fertiligène</w:t>
      </w:r>
      <w:r>
        <w:rPr>
          <w:rFonts w:ascii="Arial" w:cs="Arial" w:eastAsia="Arial" w:hAnsi="Arial"/>
          <w:sz w:val="10"/>
          <w:szCs w:val="10"/>
          <w:color w:val="auto"/>
        </w:rPr>
        <w:t>®</w:t>
      </w:r>
      <w:r>
        <w:rPr>
          <w:rFonts w:ascii="Arial" w:cs="Arial" w:eastAsia="Arial" w:hAnsi="Arial"/>
          <w:sz w:val="16"/>
          <w:szCs w:val="16"/>
          <w:color w:val="auto"/>
        </w:rPr>
        <w:t>, Substral</w:t>
      </w:r>
      <w:r>
        <w:rPr>
          <w:rFonts w:ascii="Arial" w:cs="Arial" w:eastAsia="Arial" w:hAnsi="Arial"/>
          <w:sz w:val="10"/>
          <w:szCs w:val="10"/>
          <w:color w:val="auto"/>
        </w:rPr>
        <w:t>®</w:t>
      </w:r>
      <w:r>
        <w:rPr>
          <w:rFonts w:ascii="Arial" w:cs="Arial" w:eastAsia="Arial" w:hAnsi="Arial"/>
          <w:sz w:val="16"/>
          <w:szCs w:val="16"/>
          <w:color w:val="auto"/>
        </w:rPr>
        <w:t>, Miracle-Gro Patch Magic</w:t>
      </w:r>
      <w:r>
        <w:rPr>
          <w:rFonts w:ascii="Arial" w:cs="Arial" w:eastAsia="Arial" w:hAnsi="Arial"/>
          <w:sz w:val="10"/>
          <w:szCs w:val="10"/>
          <w:color w:val="auto"/>
        </w:rPr>
        <w:t>®</w:t>
      </w:r>
      <w:r>
        <w:rPr>
          <w:rFonts w:ascii="Arial" w:cs="Arial" w:eastAsia="Arial" w:hAnsi="Arial"/>
          <w:sz w:val="16"/>
          <w:szCs w:val="16"/>
          <w:color w:val="auto"/>
        </w:rPr>
        <w:t>, Weedol</w:t>
      </w:r>
      <w:r>
        <w:rPr>
          <w:rFonts w:ascii="Arial" w:cs="Arial" w:eastAsia="Arial" w:hAnsi="Arial"/>
          <w:sz w:val="10"/>
          <w:szCs w:val="10"/>
          <w:color w:val="auto"/>
        </w:rPr>
        <w:t>®</w:t>
      </w:r>
      <w:r>
        <w:rPr>
          <w:rFonts w:ascii="Arial" w:cs="Arial" w:eastAsia="Arial" w:hAnsi="Arial"/>
          <w:sz w:val="16"/>
          <w:szCs w:val="16"/>
          <w:color w:val="auto"/>
        </w:rPr>
        <w:t>, Pathclear</w:t>
      </w:r>
      <w:r>
        <w:rPr>
          <w:rFonts w:ascii="Arial" w:cs="Arial" w:eastAsia="Arial" w:hAnsi="Arial"/>
          <w:sz w:val="10"/>
          <w:szCs w:val="10"/>
          <w:color w:val="auto"/>
        </w:rPr>
        <w:t>®</w:t>
      </w:r>
      <w:r>
        <w:rPr>
          <w:rFonts w:ascii="Arial" w:cs="Arial" w:eastAsia="Arial" w:hAnsi="Arial"/>
          <w:sz w:val="16"/>
          <w:szCs w:val="16"/>
          <w:color w:val="auto"/>
        </w:rPr>
        <w:t>, KB</w:t>
      </w:r>
      <w:r>
        <w:rPr>
          <w:rFonts w:ascii="Arial" w:cs="Arial" w:eastAsia="Arial" w:hAnsi="Arial"/>
          <w:sz w:val="10"/>
          <w:szCs w:val="10"/>
          <w:color w:val="auto"/>
        </w:rPr>
        <w:t>®</w:t>
      </w:r>
      <w:r>
        <w:rPr>
          <w:rFonts w:ascii="Arial" w:cs="Arial" w:eastAsia="Arial" w:hAnsi="Arial"/>
          <w:sz w:val="16"/>
          <w:szCs w:val="16"/>
          <w:color w:val="auto"/>
        </w:rPr>
        <w:t xml:space="preserve"> and Celaflor</w:t>
      </w:r>
      <w:r>
        <w:rPr>
          <w:rFonts w:ascii="Arial" w:cs="Arial" w:eastAsia="Arial" w:hAnsi="Arial"/>
          <w:sz w:val="10"/>
          <w:szCs w:val="10"/>
          <w:color w:val="auto"/>
        </w:rPr>
        <w:t>®</w:t>
      </w:r>
      <w:r>
        <w:rPr>
          <w:rFonts w:ascii="Arial" w:cs="Arial" w:eastAsia="Arial" w:hAnsi="Arial"/>
          <w:sz w:val="16"/>
          <w:szCs w:val="16"/>
          <w:color w:val="auto"/>
        </w:rPr>
        <w:t>. The lawn care category also includes spreaders and other durables under the Scotts</w:t>
      </w:r>
      <w:r>
        <w:rPr>
          <w:rFonts w:ascii="Arial" w:cs="Arial" w:eastAsia="Arial" w:hAnsi="Arial"/>
          <w:sz w:val="10"/>
          <w:szCs w:val="10"/>
          <w:color w:val="auto"/>
        </w:rPr>
        <w:t>®</w:t>
      </w:r>
      <w:r>
        <w:rPr>
          <w:rFonts w:ascii="Arial" w:cs="Arial" w:eastAsia="Arial" w:hAnsi="Arial"/>
          <w:sz w:val="16"/>
          <w:szCs w:val="16"/>
          <w:color w:val="auto"/>
        </w:rPr>
        <w:t xml:space="preserve"> brand name, including Turf Builder</w:t>
      </w:r>
      <w:r>
        <w:rPr>
          <w:rFonts w:ascii="Arial" w:cs="Arial" w:eastAsia="Arial" w:hAnsi="Arial"/>
          <w:sz w:val="10"/>
          <w:szCs w:val="10"/>
          <w:color w:val="auto"/>
        </w:rPr>
        <w:t>®</w:t>
      </w:r>
      <w:r>
        <w:rPr>
          <w:rFonts w:ascii="Arial" w:cs="Arial" w:eastAsia="Arial" w:hAnsi="Arial"/>
          <w:sz w:val="16"/>
          <w:szCs w:val="16"/>
          <w:color w:val="auto"/>
        </w:rPr>
        <w:t xml:space="preserve"> EdgeGuard</w:t>
      </w:r>
      <w:r>
        <w:rPr>
          <w:rFonts w:ascii="Arial" w:cs="Arial" w:eastAsia="Arial" w:hAnsi="Arial"/>
          <w:sz w:val="10"/>
          <w:szCs w:val="10"/>
          <w:color w:val="auto"/>
        </w:rPr>
        <w:t>®</w:t>
      </w:r>
      <w:r>
        <w:rPr>
          <w:rFonts w:ascii="Arial" w:cs="Arial" w:eastAsia="Arial" w:hAnsi="Arial"/>
          <w:sz w:val="16"/>
          <w:szCs w:val="16"/>
          <w:color w:val="auto"/>
        </w:rPr>
        <w:t xml:space="preserve"> spreaders, Snap</w:t>
      </w:r>
      <w:r>
        <w:rPr>
          <w:rFonts w:ascii="Arial" w:cs="Arial" w:eastAsia="Arial" w:hAnsi="Arial"/>
          <w:sz w:val="10"/>
          <w:szCs w:val="10"/>
          <w:color w:val="auto"/>
        </w:rPr>
        <w:t>®</w:t>
      </w:r>
      <w:r>
        <w:rPr>
          <w:rFonts w:ascii="Arial" w:cs="Arial" w:eastAsia="Arial" w:hAnsi="Arial"/>
          <w:sz w:val="16"/>
          <w:szCs w:val="16"/>
          <w:color w:val="auto"/>
        </w:rPr>
        <w:t xml:space="preserve"> spreaders, AccuGreen</w:t>
      </w:r>
      <w:r>
        <w:rPr>
          <w:rFonts w:ascii="Arial" w:cs="Arial" w:eastAsia="Arial" w:hAnsi="Arial"/>
          <w:sz w:val="10"/>
          <w:szCs w:val="10"/>
          <w:color w:val="auto"/>
        </w:rPr>
        <w:t>®</w:t>
      </w:r>
      <w:r>
        <w:rPr>
          <w:rFonts w:ascii="Arial" w:cs="Arial" w:eastAsia="Arial" w:hAnsi="Arial"/>
          <w:sz w:val="16"/>
          <w:szCs w:val="16"/>
          <w:color w:val="auto"/>
        </w:rPr>
        <w:t xml:space="preserve"> drop spreaders and Handy Green</w:t>
      </w:r>
      <w:r>
        <w:rPr>
          <w:rFonts w:ascii="Arial" w:cs="Arial" w:eastAsia="Arial" w:hAnsi="Arial"/>
          <w:sz w:val="10"/>
          <w:szCs w:val="10"/>
          <w:color w:val="auto"/>
        </w:rPr>
        <w:t>®</w:t>
      </w:r>
      <w:r>
        <w:rPr>
          <w:rFonts w:ascii="Arial" w:cs="Arial" w:eastAsia="Arial" w:hAnsi="Arial"/>
          <w:sz w:val="16"/>
          <w:szCs w:val="16"/>
          <w:color w:val="auto"/>
        </w:rPr>
        <w:t>II handheld spreaders.</w:t>
      </w:r>
    </w:p>
    <w:p>
      <w:pPr>
        <w:spacing w:after="0" w:line="37"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i w:val="1"/>
          <w:iCs w:val="1"/>
          <w:color w:val="auto"/>
        </w:rPr>
        <w:t xml:space="preserve">Gardening and Landscape: </w:t>
      </w:r>
      <w:r>
        <w:rPr>
          <w:rFonts w:ascii="Arial" w:cs="Arial" w:eastAsia="Arial" w:hAnsi="Arial"/>
          <w:sz w:val="16"/>
          <w:szCs w:val="16"/>
          <w:color w:val="auto"/>
        </w:rPr>
        <w:t>The gardening and landscape category is designed to help consumers grow and enjoy flower and vegetable gardens and</w:t>
      </w:r>
      <w:r>
        <w:rPr>
          <w:rFonts w:ascii="Arial" w:cs="Arial" w:eastAsia="Arial" w:hAnsi="Arial"/>
          <w:sz w:val="16"/>
          <w:szCs w:val="16"/>
          <w:i w:val="1"/>
          <w:iCs w:val="1"/>
          <w:color w:val="auto"/>
        </w:rPr>
        <w:t xml:space="preserve"> </w:t>
      </w:r>
      <w:r>
        <w:rPr>
          <w:rFonts w:ascii="Arial" w:cs="Arial" w:eastAsia="Arial" w:hAnsi="Arial"/>
          <w:sz w:val="16"/>
          <w:szCs w:val="16"/>
          <w:color w:val="auto"/>
        </w:rPr>
        <w:t>beautify landscaped areas. In the United States, products within this category include a complete line of water soluble plant foods under the Miracle-Gro</w:t>
      </w:r>
      <w:r>
        <w:rPr>
          <w:rFonts w:ascii="Arial" w:cs="Arial" w:eastAsia="Arial" w:hAnsi="Arial"/>
          <w:sz w:val="10"/>
          <w:szCs w:val="10"/>
          <w:color w:val="auto"/>
        </w:rPr>
        <w:t>®</w:t>
      </w:r>
      <w:r>
        <w:rPr>
          <w:rFonts w:ascii="Arial" w:cs="Arial" w:eastAsia="Arial" w:hAnsi="Arial"/>
          <w:sz w:val="16"/>
          <w:szCs w:val="16"/>
          <w:color w:val="auto"/>
        </w:rPr>
        <w:t xml:space="preserve"> brand and sub-brands such as LiquaFeed</w:t>
      </w:r>
      <w:r>
        <w:rPr>
          <w:rFonts w:ascii="Arial" w:cs="Arial" w:eastAsia="Arial" w:hAnsi="Arial"/>
          <w:sz w:val="10"/>
          <w:szCs w:val="10"/>
          <w:color w:val="auto"/>
        </w:rPr>
        <w:t>®</w:t>
      </w:r>
      <w:r>
        <w:rPr>
          <w:rFonts w:ascii="Arial" w:cs="Arial" w:eastAsia="Arial" w:hAnsi="Arial"/>
          <w:sz w:val="16"/>
          <w:szCs w:val="16"/>
          <w:color w:val="auto"/>
        </w:rPr>
        <w:t>, continuous-release plant foods under the Osmocote</w:t>
      </w:r>
      <w:r>
        <w:rPr>
          <w:rFonts w:ascii="Arial" w:cs="Arial" w:eastAsia="Arial" w:hAnsi="Arial"/>
          <w:sz w:val="10"/>
          <w:szCs w:val="10"/>
          <w:color w:val="auto"/>
        </w:rPr>
        <w:t>®</w:t>
      </w:r>
      <w:r>
        <w:rPr>
          <w:rFonts w:ascii="Arial" w:cs="Arial" w:eastAsia="Arial" w:hAnsi="Arial"/>
          <w:sz w:val="16"/>
          <w:szCs w:val="16"/>
          <w:color w:val="auto"/>
        </w:rPr>
        <w:t xml:space="preserve"> and Shake ‘N Feed</w:t>
      </w:r>
      <w:r>
        <w:rPr>
          <w:rFonts w:ascii="Arial" w:cs="Arial" w:eastAsia="Arial" w:hAnsi="Arial"/>
          <w:sz w:val="10"/>
          <w:szCs w:val="10"/>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brand names, potting mixes and garden soils under the Miracle-Gro</w:t>
      </w:r>
      <w:r>
        <w:rPr>
          <w:rFonts w:ascii="Arial" w:cs="Arial" w:eastAsia="Arial" w:hAnsi="Arial"/>
          <w:sz w:val="10"/>
          <w:szCs w:val="10"/>
          <w:color w:val="auto"/>
        </w:rPr>
        <w:t>®</w:t>
      </w:r>
      <w:r>
        <w:rPr>
          <w:rFonts w:ascii="Arial" w:cs="Arial" w:eastAsia="Arial" w:hAnsi="Arial"/>
          <w:sz w:val="16"/>
          <w:szCs w:val="16"/>
          <w:color w:val="auto"/>
        </w:rPr>
        <w:t>, Scotts</w:t>
      </w:r>
      <w:r>
        <w:rPr>
          <w:rFonts w:ascii="Arial" w:cs="Arial" w:eastAsia="Arial" w:hAnsi="Arial"/>
          <w:sz w:val="10"/>
          <w:szCs w:val="10"/>
          <w:color w:val="auto"/>
        </w:rPr>
        <w:t>®</w:t>
      </w:r>
      <w:r>
        <w:rPr>
          <w:rFonts w:ascii="Arial" w:cs="Arial" w:eastAsia="Arial" w:hAnsi="Arial"/>
          <w:sz w:val="16"/>
          <w:szCs w:val="16"/>
          <w:color w:val="auto"/>
        </w:rPr>
        <w:t>, Hyponex</w:t>
      </w:r>
      <w:r>
        <w:rPr>
          <w:rFonts w:ascii="Arial" w:cs="Arial" w:eastAsia="Arial" w:hAnsi="Arial"/>
          <w:sz w:val="10"/>
          <w:szCs w:val="10"/>
          <w:color w:val="auto"/>
        </w:rPr>
        <w:t>®</w:t>
      </w:r>
      <w:r>
        <w:rPr>
          <w:rFonts w:ascii="Arial" w:cs="Arial" w:eastAsia="Arial" w:hAnsi="Arial"/>
          <w:sz w:val="16"/>
          <w:szCs w:val="16"/>
          <w:color w:val="auto"/>
        </w:rPr>
        <w:t>, Earthgro</w:t>
      </w:r>
      <w:r>
        <w:rPr>
          <w:rFonts w:ascii="Arial" w:cs="Arial" w:eastAsia="Arial" w:hAnsi="Arial"/>
          <w:sz w:val="10"/>
          <w:szCs w:val="10"/>
          <w:color w:val="auto"/>
        </w:rPr>
        <w:t>®</w:t>
      </w:r>
      <w:r>
        <w:rPr>
          <w:rFonts w:ascii="Arial" w:cs="Arial" w:eastAsia="Arial" w:hAnsi="Arial"/>
          <w:sz w:val="16"/>
          <w:szCs w:val="16"/>
          <w:color w:val="auto"/>
        </w:rPr>
        <w:t xml:space="preserve"> and SuperSoil</w:t>
      </w:r>
      <w:r>
        <w:rPr>
          <w:rFonts w:ascii="Arial" w:cs="Arial" w:eastAsia="Arial" w:hAnsi="Arial"/>
          <w:sz w:val="10"/>
          <w:szCs w:val="10"/>
          <w:color w:val="auto"/>
        </w:rPr>
        <w:t>®</w:t>
      </w:r>
      <w:r>
        <w:rPr>
          <w:rFonts w:ascii="Arial" w:cs="Arial" w:eastAsia="Arial" w:hAnsi="Arial"/>
          <w:sz w:val="16"/>
          <w:szCs w:val="16"/>
          <w:color w:val="auto"/>
        </w:rPr>
        <w:t xml:space="preserve"> brand names, mulch and decorative groundcover products under the Scotts</w:t>
      </w:r>
      <w:r>
        <w:rPr>
          <w:rFonts w:ascii="Arial" w:cs="Arial" w:eastAsia="Arial" w:hAnsi="Arial"/>
          <w:sz w:val="10"/>
          <w:szCs w:val="10"/>
          <w:color w:val="auto"/>
        </w:rPr>
        <w:t>®</w:t>
      </w:r>
      <w:r>
        <w:rPr>
          <w:rFonts w:ascii="Arial" w:cs="Arial" w:eastAsia="Arial" w:hAnsi="Arial"/>
          <w:sz w:val="16"/>
          <w:szCs w:val="16"/>
          <w:color w:val="auto"/>
        </w:rPr>
        <w:t xml:space="preserve"> brand, including the Nature Scapes</w:t>
      </w:r>
      <w:r>
        <w:rPr>
          <w:rFonts w:ascii="Arial" w:cs="Arial" w:eastAsia="Arial" w:hAnsi="Arial"/>
          <w:sz w:val="10"/>
          <w:szCs w:val="10"/>
          <w:color w:val="auto"/>
        </w:rPr>
        <w:t>®</w:t>
      </w:r>
      <w:r>
        <w:rPr>
          <w:rFonts w:ascii="Arial" w:cs="Arial" w:eastAsia="Arial" w:hAnsi="Arial"/>
          <w:sz w:val="16"/>
          <w:szCs w:val="16"/>
          <w:color w:val="auto"/>
        </w:rPr>
        <w:t xml:space="preserve"> sub-brand, landscape weed prevention products under the Ortho</w:t>
      </w:r>
      <w:r>
        <w:rPr>
          <w:rFonts w:ascii="Arial" w:cs="Arial" w:eastAsia="Arial" w:hAnsi="Arial"/>
          <w:sz w:val="10"/>
          <w:szCs w:val="10"/>
          <w:color w:val="auto"/>
        </w:rPr>
        <w:t>®</w:t>
      </w:r>
      <w:r>
        <w:rPr>
          <w:rFonts w:ascii="Arial" w:cs="Arial" w:eastAsia="Arial" w:hAnsi="Arial"/>
          <w:sz w:val="16"/>
          <w:szCs w:val="16"/>
          <w:color w:val="auto"/>
        </w:rPr>
        <w:t xml:space="preserve"> brand, plant-related pest and disease control products under the Ortho</w:t>
      </w:r>
      <w:r>
        <w:rPr>
          <w:rFonts w:ascii="Arial" w:cs="Arial" w:eastAsia="Arial" w:hAnsi="Arial"/>
          <w:sz w:val="10"/>
          <w:szCs w:val="10"/>
          <w:color w:val="auto"/>
        </w:rPr>
        <w:t>®</w:t>
      </w:r>
      <w:r>
        <w:rPr>
          <w:rFonts w:ascii="Arial" w:cs="Arial" w:eastAsia="Arial" w:hAnsi="Arial"/>
          <w:sz w:val="16"/>
          <w:szCs w:val="16"/>
          <w:color w:val="auto"/>
        </w:rPr>
        <w:t xml:space="preserve"> brand, wild bird food and bird feeder products under the Scotts Songbird Selections</w:t>
      </w:r>
      <w:r>
        <w:rPr>
          <w:rFonts w:ascii="Arial" w:cs="Arial" w:eastAsia="Arial" w:hAnsi="Arial"/>
          <w:sz w:val="10"/>
          <w:szCs w:val="10"/>
          <w:color w:val="auto"/>
        </w:rPr>
        <w:t>®</w:t>
      </w:r>
      <w:r>
        <w:rPr>
          <w:rFonts w:ascii="Arial" w:cs="Arial" w:eastAsia="Arial" w:hAnsi="Arial"/>
          <w:sz w:val="16"/>
          <w:szCs w:val="16"/>
          <w:color w:val="auto"/>
        </w:rPr>
        <w:t>, Morning Song</w:t>
      </w:r>
      <w:r>
        <w:rPr>
          <w:rFonts w:ascii="Arial" w:cs="Arial" w:eastAsia="Arial" w:hAnsi="Arial"/>
          <w:sz w:val="10"/>
          <w:szCs w:val="10"/>
          <w:color w:val="auto"/>
        </w:rPr>
        <w:t>®</w:t>
      </w:r>
      <w:r>
        <w:rPr>
          <w:rFonts w:ascii="Arial" w:cs="Arial" w:eastAsia="Arial" w:hAnsi="Arial"/>
          <w:sz w:val="16"/>
          <w:szCs w:val="16"/>
          <w:color w:val="auto"/>
        </w:rPr>
        <w:t xml:space="preserve"> and Country Pride</w:t>
      </w:r>
      <w:r>
        <w:rPr>
          <w:rFonts w:ascii="Arial" w:cs="Arial" w:eastAsia="Arial" w:hAnsi="Arial"/>
          <w:sz w:val="10"/>
          <w:szCs w:val="10"/>
          <w:color w:val="auto"/>
        </w:rPr>
        <w:t>®</w:t>
      </w:r>
      <w:r>
        <w:rPr>
          <w:rFonts w:ascii="Arial" w:cs="Arial" w:eastAsia="Arial" w:hAnsi="Arial"/>
          <w:sz w:val="16"/>
          <w:szCs w:val="16"/>
          <w:color w:val="auto"/>
        </w:rPr>
        <w:t xml:space="preserve"> brand names, and organic garden products under the Miracle-Gro Organic Choice</w:t>
      </w:r>
      <w:r>
        <w:rPr>
          <w:rFonts w:ascii="Arial" w:cs="Arial" w:eastAsia="Arial" w:hAnsi="Arial"/>
          <w:sz w:val="10"/>
          <w:szCs w:val="10"/>
          <w:color w:val="auto"/>
        </w:rPr>
        <w:t>®</w:t>
      </w:r>
      <w:r>
        <w:rPr>
          <w:rFonts w:ascii="Arial" w:cs="Arial" w:eastAsia="Arial" w:hAnsi="Arial"/>
          <w:sz w:val="16"/>
          <w:szCs w:val="16"/>
          <w:color w:val="auto"/>
        </w:rPr>
        <w:t>, Scotts</w:t>
      </w:r>
      <w:r>
        <w:rPr>
          <w:rFonts w:ascii="Arial" w:cs="Arial" w:eastAsia="Arial" w:hAnsi="Arial"/>
          <w:sz w:val="10"/>
          <w:szCs w:val="10"/>
          <w:color w:val="auto"/>
        </w:rPr>
        <w:t>®</w:t>
      </w:r>
      <w:r>
        <w:rPr>
          <w:rFonts w:ascii="Arial" w:cs="Arial" w:eastAsia="Arial" w:hAnsi="Arial"/>
          <w:sz w:val="16"/>
          <w:szCs w:val="16"/>
          <w:color w:val="auto"/>
        </w:rPr>
        <w:t xml:space="preserve"> and Whitney Farms</w:t>
      </w:r>
      <w:r>
        <w:rPr>
          <w:rFonts w:ascii="Arial" w:cs="Arial" w:eastAsia="Arial" w:hAnsi="Arial"/>
          <w:sz w:val="10"/>
          <w:szCs w:val="10"/>
          <w:color w:val="auto"/>
        </w:rPr>
        <w:t>®</w:t>
      </w:r>
      <w:r>
        <w:rPr>
          <w:rFonts w:ascii="Arial" w:cs="Arial" w:eastAsia="Arial" w:hAnsi="Arial"/>
          <w:sz w:val="16"/>
          <w:szCs w:val="16"/>
          <w:color w:val="auto"/>
        </w:rPr>
        <w:t xml:space="preserve"> brand names. Internationally, similar products are marketed under the Miracle-Gro</w:t>
      </w:r>
      <w:r>
        <w:rPr>
          <w:rFonts w:ascii="Arial" w:cs="Arial" w:eastAsia="Arial" w:hAnsi="Arial"/>
          <w:sz w:val="10"/>
          <w:szCs w:val="10"/>
          <w:color w:val="auto"/>
        </w:rPr>
        <w:t>®</w:t>
      </w:r>
      <w:r>
        <w:rPr>
          <w:rFonts w:ascii="Arial" w:cs="Arial" w:eastAsia="Arial" w:hAnsi="Arial"/>
          <w:sz w:val="16"/>
          <w:szCs w:val="16"/>
          <w:color w:val="auto"/>
        </w:rPr>
        <w:t>, Fertiligène</w:t>
      </w:r>
      <w:r>
        <w:rPr>
          <w:rFonts w:ascii="Arial" w:cs="Arial" w:eastAsia="Arial" w:hAnsi="Arial"/>
          <w:sz w:val="10"/>
          <w:szCs w:val="10"/>
          <w:color w:val="auto"/>
        </w:rPr>
        <w:t>®</w:t>
      </w:r>
      <w:r>
        <w:rPr>
          <w:rFonts w:ascii="Arial" w:cs="Arial" w:eastAsia="Arial" w:hAnsi="Arial"/>
          <w:sz w:val="16"/>
          <w:szCs w:val="16"/>
          <w:color w:val="auto"/>
        </w:rPr>
        <w:t>, Substral</w:t>
      </w:r>
      <w:r>
        <w:rPr>
          <w:rFonts w:ascii="Arial" w:cs="Arial" w:eastAsia="Arial" w:hAnsi="Arial"/>
          <w:sz w:val="10"/>
          <w:szCs w:val="10"/>
          <w:color w:val="auto"/>
        </w:rPr>
        <w:t>®</w:t>
      </w:r>
      <w:r>
        <w:rPr>
          <w:rFonts w:ascii="Arial" w:cs="Arial" w:eastAsia="Arial" w:hAnsi="Arial"/>
          <w:sz w:val="16"/>
          <w:szCs w:val="16"/>
          <w:color w:val="auto"/>
        </w:rPr>
        <w:t>, KB</w:t>
      </w:r>
      <w:r>
        <w:rPr>
          <w:rFonts w:ascii="Arial" w:cs="Arial" w:eastAsia="Arial" w:hAnsi="Arial"/>
          <w:sz w:val="10"/>
          <w:szCs w:val="10"/>
          <w:color w:val="auto"/>
        </w:rPr>
        <w:t>®</w:t>
      </w:r>
      <w:r>
        <w:rPr>
          <w:rFonts w:ascii="Arial" w:cs="Arial" w:eastAsia="Arial" w:hAnsi="Arial"/>
          <w:sz w:val="16"/>
          <w:szCs w:val="16"/>
          <w:color w:val="auto"/>
        </w:rPr>
        <w:t>, Celaflor</w:t>
      </w:r>
      <w:r>
        <w:rPr>
          <w:rFonts w:ascii="Arial" w:cs="Arial" w:eastAsia="Arial" w:hAnsi="Arial"/>
          <w:sz w:val="10"/>
          <w:szCs w:val="10"/>
          <w:color w:val="auto"/>
        </w:rPr>
        <w:t>®</w:t>
      </w:r>
      <w:r>
        <w:rPr>
          <w:rFonts w:ascii="Arial" w:cs="Arial" w:eastAsia="Arial" w:hAnsi="Arial"/>
          <w:sz w:val="16"/>
          <w:szCs w:val="16"/>
          <w:color w:val="auto"/>
        </w:rPr>
        <w:t>, ASEF</w:t>
      </w:r>
      <w:r>
        <w:rPr>
          <w:rFonts w:ascii="Arial" w:cs="Arial" w:eastAsia="Arial" w:hAnsi="Arial"/>
          <w:sz w:val="10"/>
          <w:szCs w:val="10"/>
          <w:color w:val="auto"/>
        </w:rPr>
        <w:t>®</w:t>
      </w:r>
      <w:r>
        <w:rPr>
          <w:rFonts w:ascii="Arial" w:cs="Arial" w:eastAsia="Arial" w:hAnsi="Arial"/>
          <w:sz w:val="16"/>
          <w:szCs w:val="16"/>
          <w:color w:val="auto"/>
        </w:rPr>
        <w:t>, Scotts</w:t>
      </w:r>
      <w:r>
        <w:rPr>
          <w:rFonts w:ascii="Arial" w:cs="Arial" w:eastAsia="Arial" w:hAnsi="Arial"/>
          <w:sz w:val="10"/>
          <w:szCs w:val="10"/>
          <w:color w:val="auto"/>
        </w:rPr>
        <w:t>®</w:t>
      </w:r>
      <w:r>
        <w:rPr>
          <w:rFonts w:ascii="Arial" w:cs="Arial" w:eastAsia="Arial" w:hAnsi="Arial"/>
          <w:sz w:val="16"/>
          <w:szCs w:val="16"/>
          <w:color w:val="auto"/>
        </w:rPr>
        <w:t>, Morning Melodies</w:t>
      </w:r>
      <w:r>
        <w:rPr>
          <w:rFonts w:ascii="Arial" w:cs="Arial" w:eastAsia="Arial" w:hAnsi="Arial"/>
          <w:sz w:val="10"/>
          <w:szCs w:val="10"/>
          <w:color w:val="auto"/>
        </w:rPr>
        <w:t>®</w:t>
      </w:r>
      <w:r>
        <w:rPr>
          <w:rFonts w:ascii="Arial" w:cs="Arial" w:eastAsia="Arial" w:hAnsi="Arial"/>
          <w:sz w:val="16"/>
          <w:szCs w:val="16"/>
          <w:color w:val="auto"/>
        </w:rPr>
        <w:t>, Scotts EcoSense</w:t>
      </w:r>
      <w:r>
        <w:rPr>
          <w:rFonts w:ascii="Arial" w:cs="Arial" w:eastAsia="Arial" w:hAnsi="Arial"/>
          <w:sz w:val="10"/>
          <w:szCs w:val="10"/>
          <w:color w:val="auto"/>
        </w:rPr>
        <w:t>®</w:t>
      </w:r>
      <w:r>
        <w:rPr>
          <w:rFonts w:ascii="Arial" w:cs="Arial" w:eastAsia="Arial" w:hAnsi="Arial"/>
          <w:sz w:val="16"/>
          <w:szCs w:val="16"/>
          <w:color w:val="auto"/>
        </w:rPr>
        <w:t>, Fertiligène Naturen</w:t>
      </w:r>
      <w:r>
        <w:rPr>
          <w:rFonts w:ascii="Arial" w:cs="Arial" w:eastAsia="Arial" w:hAnsi="Arial"/>
          <w:sz w:val="10"/>
          <w:szCs w:val="10"/>
          <w:color w:val="auto"/>
        </w:rPr>
        <w:t>®</w:t>
      </w:r>
      <w:r>
        <w:rPr>
          <w:rFonts w:ascii="Arial" w:cs="Arial" w:eastAsia="Arial" w:hAnsi="Arial"/>
          <w:sz w:val="16"/>
          <w:szCs w:val="16"/>
          <w:color w:val="auto"/>
        </w:rPr>
        <w:t>, Substral Naturen</w:t>
      </w:r>
      <w:r>
        <w:rPr>
          <w:rFonts w:ascii="Arial" w:cs="Arial" w:eastAsia="Arial" w:hAnsi="Arial"/>
          <w:sz w:val="10"/>
          <w:szCs w:val="10"/>
          <w:color w:val="auto"/>
        </w:rPr>
        <w:t>®</w:t>
      </w:r>
      <w:r>
        <w:rPr>
          <w:rFonts w:ascii="Arial" w:cs="Arial" w:eastAsia="Arial" w:hAnsi="Arial"/>
          <w:sz w:val="16"/>
          <w:szCs w:val="16"/>
          <w:color w:val="auto"/>
        </w:rPr>
        <w:t>, KB Naturen</w:t>
      </w:r>
      <w:r>
        <w:rPr>
          <w:rFonts w:ascii="Arial" w:cs="Arial" w:eastAsia="Arial" w:hAnsi="Arial"/>
          <w:sz w:val="10"/>
          <w:szCs w:val="10"/>
          <w:color w:val="auto"/>
        </w:rPr>
        <w:t>®</w:t>
      </w:r>
      <w:r>
        <w:rPr>
          <w:rFonts w:ascii="Arial" w:cs="Arial" w:eastAsia="Arial" w:hAnsi="Arial"/>
          <w:sz w:val="16"/>
          <w:szCs w:val="16"/>
          <w:color w:val="auto"/>
        </w:rPr>
        <w:t>, Carre Vert</w:t>
      </w:r>
      <w:r>
        <w:rPr>
          <w:rFonts w:ascii="Arial" w:cs="Arial" w:eastAsia="Arial" w:hAnsi="Arial"/>
          <w:sz w:val="10"/>
          <w:szCs w:val="10"/>
          <w:color w:val="auto"/>
        </w:rPr>
        <w:t>®</w:t>
      </w:r>
      <w:r>
        <w:rPr>
          <w:rFonts w:ascii="Arial" w:cs="Arial" w:eastAsia="Arial" w:hAnsi="Arial"/>
          <w:sz w:val="16"/>
          <w:szCs w:val="16"/>
          <w:color w:val="auto"/>
        </w:rPr>
        <w:t xml:space="preserve"> and Miracle-Gro Organic Choice</w:t>
      </w:r>
      <w:r>
        <w:rPr>
          <w:rFonts w:ascii="Arial" w:cs="Arial" w:eastAsia="Arial" w:hAnsi="Arial"/>
          <w:sz w:val="10"/>
          <w:szCs w:val="10"/>
          <w:color w:val="auto"/>
        </w:rPr>
        <w:t>®</w:t>
      </w:r>
      <w:r>
        <w:rPr>
          <w:rFonts w:ascii="Arial" w:cs="Arial" w:eastAsia="Arial" w:hAnsi="Arial"/>
          <w:sz w:val="16"/>
          <w:szCs w:val="16"/>
          <w:color w:val="auto"/>
        </w:rPr>
        <w:t xml:space="preserve"> brand names.</w:t>
      </w:r>
    </w:p>
    <w:p>
      <w:pPr>
        <w:spacing w:after="0" w:line="39" w:lineRule="exact"/>
        <w:rPr>
          <w:sz w:val="20"/>
          <w:szCs w:val="20"/>
          <w:color w:val="auto"/>
        </w:rPr>
      </w:pPr>
    </w:p>
    <w:p>
      <w:pPr>
        <w:jc w:val="both"/>
        <w:ind w:left="460" w:firstLine="438"/>
        <w:spacing w:after="0" w:line="254" w:lineRule="auto"/>
        <w:rPr>
          <w:sz w:val="20"/>
          <w:szCs w:val="20"/>
          <w:color w:val="auto"/>
        </w:rPr>
      </w:pPr>
      <w:r>
        <w:rPr>
          <w:rFonts w:ascii="Arial" w:cs="Arial" w:eastAsia="Arial" w:hAnsi="Arial"/>
          <w:sz w:val="18"/>
          <w:szCs w:val="18"/>
          <w:i w:val="1"/>
          <w:iCs w:val="1"/>
          <w:color w:val="auto"/>
        </w:rPr>
        <w:t xml:space="preserve">Home Protection: </w:t>
      </w:r>
      <w:r>
        <w:rPr>
          <w:rFonts w:ascii="Arial" w:cs="Arial" w:eastAsia="Arial" w:hAnsi="Arial"/>
          <w:sz w:val="18"/>
          <w:szCs w:val="18"/>
          <w:color w:val="auto"/>
        </w:rPr>
        <w:t>The home protection category is designed to help consumers protect their homes from pests and maintain external home areas.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insect control and rodenticide products are marketed under the Ortho</w:t>
      </w:r>
      <w:r>
        <w:rPr>
          <w:rFonts w:ascii="Arial" w:cs="Arial" w:eastAsia="Arial" w:hAnsi="Arial"/>
          <w:sz w:val="11"/>
          <w:szCs w:val="11"/>
          <w:color w:val="auto"/>
        </w:rPr>
        <w:t>®</w:t>
      </w:r>
      <w:r>
        <w:rPr>
          <w:rFonts w:ascii="Arial" w:cs="Arial" w:eastAsia="Arial" w:hAnsi="Arial"/>
          <w:sz w:val="18"/>
          <w:szCs w:val="18"/>
          <w:color w:val="auto"/>
        </w:rPr>
        <w:t xml:space="preserve"> brand name, including insect control products under the Ortho Max</w:t>
      </w:r>
      <w:r>
        <w:rPr>
          <w:rFonts w:ascii="Arial" w:cs="Arial" w:eastAsia="Arial" w:hAnsi="Arial"/>
          <w:sz w:val="11"/>
          <w:szCs w:val="11"/>
          <w:color w:val="auto"/>
        </w:rPr>
        <w:t>®</w:t>
      </w:r>
      <w:r>
        <w:rPr>
          <w:rFonts w:ascii="Arial" w:cs="Arial" w:eastAsia="Arial" w:hAnsi="Arial"/>
          <w:sz w:val="18"/>
          <w:szCs w:val="18"/>
          <w:color w:val="auto"/>
        </w:rPr>
        <w:t xml:space="preserve"> and Bug B Gon Max</w:t>
      </w:r>
      <w:r>
        <w:rPr>
          <w:rFonts w:ascii="Arial" w:cs="Arial" w:eastAsia="Arial" w:hAnsi="Arial"/>
          <w:sz w:val="11"/>
          <w:szCs w:val="11"/>
          <w:color w:val="auto"/>
        </w:rPr>
        <w:t>®</w:t>
      </w:r>
      <w:r>
        <w:rPr>
          <w:rFonts w:ascii="Arial" w:cs="Arial" w:eastAsia="Arial" w:hAnsi="Arial"/>
          <w:sz w:val="18"/>
          <w:szCs w:val="18"/>
          <w:color w:val="auto"/>
        </w:rPr>
        <w:t xml:space="preserve"> sub-brands and rodenticide products under the Home Defense Max</w:t>
      </w:r>
      <w:r>
        <w:rPr>
          <w:rFonts w:ascii="Arial" w:cs="Arial" w:eastAsia="Arial" w:hAnsi="Arial"/>
          <w:sz w:val="11"/>
          <w:szCs w:val="11"/>
          <w:color w:val="auto"/>
        </w:rPr>
        <w:t>®</w:t>
      </w:r>
      <w:r>
        <w:rPr>
          <w:rFonts w:ascii="Arial" w:cs="Arial" w:eastAsia="Arial" w:hAnsi="Arial"/>
          <w:sz w:val="18"/>
          <w:szCs w:val="18"/>
          <w:color w:val="auto"/>
        </w:rPr>
        <w:t xml:space="preserve"> sub-brand, weed control products for hard surfaces (such as patios, sidewalks and driveways) are marketed under the Ortho</w:t>
      </w:r>
      <w:r>
        <w:rPr>
          <w:rFonts w:ascii="Arial" w:cs="Arial" w:eastAsia="Arial" w:hAnsi="Arial"/>
          <w:sz w:val="11"/>
          <w:szCs w:val="11"/>
          <w:color w:val="auto"/>
        </w:rPr>
        <w:t>®</w:t>
      </w:r>
      <w:r>
        <w:rPr>
          <w:rFonts w:ascii="Arial" w:cs="Arial" w:eastAsia="Arial" w:hAnsi="Arial"/>
          <w:sz w:val="18"/>
          <w:szCs w:val="18"/>
          <w:color w:val="auto"/>
        </w:rPr>
        <w:t xml:space="preserve"> brand name, while non-selective weed control products are marketed under the Roundup</w:t>
      </w:r>
      <w:r>
        <w:rPr>
          <w:rFonts w:ascii="Arial" w:cs="Arial" w:eastAsia="Arial" w:hAnsi="Arial"/>
          <w:sz w:val="11"/>
          <w:szCs w:val="11"/>
          <w:color w:val="auto"/>
        </w:rPr>
        <w:t>®</w:t>
      </w:r>
      <w:r>
        <w:rPr>
          <w:rFonts w:ascii="Arial" w:cs="Arial" w:eastAsia="Arial" w:hAnsi="Arial"/>
          <w:sz w:val="18"/>
          <w:szCs w:val="18"/>
          <w:color w:val="auto"/>
        </w:rPr>
        <w:t xml:space="preserve"> brand name. Internationally, products within this category are marketed under the Nexa Lotte</w:t>
      </w:r>
      <w:r>
        <w:rPr>
          <w:rFonts w:ascii="Arial" w:cs="Arial" w:eastAsia="Arial" w:hAnsi="Arial"/>
          <w:sz w:val="11"/>
          <w:szCs w:val="11"/>
          <w:color w:val="auto"/>
        </w:rPr>
        <w:t>®</w:t>
      </w:r>
      <w:r>
        <w:rPr>
          <w:rFonts w:ascii="Arial" w:cs="Arial" w:eastAsia="Arial" w:hAnsi="Arial"/>
          <w:sz w:val="18"/>
          <w:szCs w:val="18"/>
          <w:color w:val="auto"/>
        </w:rPr>
        <w:t>, Fertiligène</w:t>
      </w:r>
      <w:r>
        <w:rPr>
          <w:rFonts w:ascii="Arial" w:cs="Arial" w:eastAsia="Arial" w:hAnsi="Arial"/>
          <w:sz w:val="11"/>
          <w:szCs w:val="11"/>
          <w:color w:val="auto"/>
        </w:rPr>
        <w:t>®</w:t>
      </w:r>
      <w:r>
        <w:rPr>
          <w:rFonts w:ascii="Arial" w:cs="Arial" w:eastAsia="Arial" w:hAnsi="Arial"/>
          <w:sz w:val="18"/>
          <w:szCs w:val="18"/>
          <w:color w:val="auto"/>
        </w:rPr>
        <w:t>, KB</w:t>
      </w:r>
      <w:r>
        <w:rPr>
          <w:rFonts w:ascii="Arial" w:cs="Arial" w:eastAsia="Arial" w:hAnsi="Arial"/>
          <w:sz w:val="11"/>
          <w:szCs w:val="11"/>
          <w:color w:val="auto"/>
        </w:rPr>
        <w:t>®</w:t>
      </w:r>
      <w:r>
        <w:rPr>
          <w:rFonts w:ascii="Arial" w:cs="Arial" w:eastAsia="Arial" w:hAnsi="Arial"/>
          <w:sz w:val="18"/>
          <w:szCs w:val="18"/>
          <w:color w:val="auto"/>
        </w:rPr>
        <w:t>, Home Defence</w:t>
      </w:r>
      <w:r>
        <w:rPr>
          <w:rFonts w:ascii="Arial" w:cs="Arial" w:eastAsia="Arial" w:hAnsi="Arial"/>
          <w:sz w:val="11"/>
          <w:szCs w:val="11"/>
          <w:color w:val="auto"/>
        </w:rPr>
        <w:t>®</w:t>
      </w:r>
      <w:r>
        <w:rPr>
          <w:rFonts w:ascii="Arial" w:cs="Arial" w:eastAsia="Arial" w:hAnsi="Arial"/>
          <w:sz w:val="18"/>
          <w:szCs w:val="18"/>
          <w:color w:val="auto"/>
        </w:rPr>
        <w:t>, Weedol</w:t>
      </w:r>
      <w:r>
        <w:rPr>
          <w:rFonts w:ascii="Arial" w:cs="Arial" w:eastAsia="Arial" w:hAnsi="Arial"/>
          <w:sz w:val="11"/>
          <w:szCs w:val="11"/>
          <w:color w:val="auto"/>
        </w:rPr>
        <w:t>®</w:t>
      </w:r>
      <w:r>
        <w:rPr>
          <w:rFonts w:ascii="Arial" w:cs="Arial" w:eastAsia="Arial" w:hAnsi="Arial"/>
          <w:sz w:val="18"/>
          <w:szCs w:val="18"/>
          <w:color w:val="auto"/>
        </w:rPr>
        <w:t>, Pathclear</w:t>
      </w:r>
      <w:r>
        <w:rPr>
          <w:rFonts w:ascii="Arial" w:cs="Arial" w:eastAsia="Arial" w:hAnsi="Arial"/>
          <w:sz w:val="11"/>
          <w:szCs w:val="11"/>
          <w:color w:val="auto"/>
        </w:rPr>
        <w:t>®</w:t>
      </w:r>
      <w:r>
        <w:rPr>
          <w:rFonts w:ascii="Arial" w:cs="Arial" w:eastAsia="Arial" w:hAnsi="Arial"/>
          <w:sz w:val="18"/>
          <w:szCs w:val="18"/>
          <w:color w:val="auto"/>
        </w:rPr>
        <w:t xml:space="preserve"> and Roundup</w:t>
      </w:r>
      <w:r>
        <w:rPr>
          <w:rFonts w:ascii="Arial" w:cs="Arial" w:eastAsia="Arial" w:hAnsi="Arial"/>
          <w:sz w:val="11"/>
          <w:szCs w:val="11"/>
          <w:color w:val="auto"/>
        </w:rPr>
        <w:t>®</w:t>
      </w:r>
      <w:r>
        <w:rPr>
          <w:rFonts w:ascii="Arial" w:cs="Arial" w:eastAsia="Arial" w:hAnsi="Arial"/>
          <w:sz w:val="18"/>
          <w:szCs w:val="18"/>
          <w:color w:val="auto"/>
        </w:rPr>
        <w:t xml:space="preserve"> brands.</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Since 1999, we have served as Monsanto’s exclusive agent for the marketing and distribution of consumer Roundup</w:t>
      </w:r>
      <w:r>
        <w:rPr>
          <w:rFonts w:ascii="Arial" w:cs="Arial" w:eastAsia="Arial" w:hAnsi="Arial"/>
          <w:sz w:val="10"/>
          <w:szCs w:val="10"/>
          <w:color w:val="auto"/>
        </w:rPr>
        <w:t>®</w:t>
      </w:r>
      <w:r>
        <w:rPr>
          <w:rFonts w:ascii="Arial" w:cs="Arial" w:eastAsia="Arial" w:hAnsi="Arial"/>
          <w:sz w:val="16"/>
          <w:szCs w:val="16"/>
          <w:color w:val="auto"/>
        </w:rPr>
        <w:t xml:space="preserve"> products in the consumer lawn and garden market within the United States and other specified countries, including Australia, Austria, Belgium, Canada, France, Germany, the Netherlands and the United Kingdom. Under the terms of the Amended and Restated Exclusive Agency and Marketing Agreement (the “Marketing Agreement”) between the Company and Monsanto, we are jointly responsible with Monsanto for developing global consumer and trade marketing programs for consumer Roundup</w:t>
      </w:r>
      <w:r>
        <w:rPr>
          <w:rFonts w:ascii="Arial" w:cs="Arial" w:eastAsia="Arial" w:hAnsi="Arial"/>
          <w:sz w:val="10"/>
          <w:szCs w:val="10"/>
          <w:color w:val="auto"/>
        </w:rPr>
        <w:t>®</w:t>
      </w:r>
      <w:r>
        <w:rPr>
          <w:rFonts w:ascii="Arial" w:cs="Arial" w:eastAsia="Arial" w:hAnsi="Arial"/>
          <w:sz w:val="16"/>
          <w:szCs w:val="16"/>
          <w:color w:val="auto"/>
        </w:rPr>
        <w:t>. We have responsibility for manufacturing conversion, distribution and logistics, and selling and marketing support for consumer Roundup</w:t>
      </w:r>
      <w:r>
        <w:rPr>
          <w:rFonts w:ascii="Arial" w:cs="Arial" w:eastAsia="Arial" w:hAnsi="Arial"/>
          <w:sz w:val="10"/>
          <w:szCs w:val="10"/>
          <w:color w:val="auto"/>
        </w:rPr>
        <w:t>®</w:t>
      </w:r>
      <w:r>
        <w:rPr>
          <w:rFonts w:ascii="Arial" w:cs="Arial" w:eastAsia="Arial" w:hAnsi="Arial"/>
          <w:sz w:val="16"/>
          <w:szCs w:val="16"/>
          <w:color w:val="auto"/>
        </w:rPr>
        <w:t>. Monsanto continues to own the consumer Roundup</w:t>
      </w:r>
      <w:r>
        <w:rPr>
          <w:rFonts w:ascii="Arial" w:cs="Arial" w:eastAsia="Arial" w:hAnsi="Arial"/>
          <w:sz w:val="10"/>
          <w:szCs w:val="10"/>
          <w:color w:val="auto"/>
        </w:rPr>
        <w:t>®</w:t>
      </w:r>
      <w:r>
        <w:rPr>
          <w:rFonts w:ascii="Arial" w:cs="Arial" w:eastAsia="Arial" w:hAnsi="Arial"/>
          <w:sz w:val="16"/>
          <w:szCs w:val="16"/>
          <w:color w:val="auto"/>
        </w:rPr>
        <w:t xml:space="preserve"> business and provides significant oversight of the brand. In addition, Monsanto continues to own and operate the agricultural Roundup</w:t>
      </w:r>
      <w:r>
        <w:rPr>
          <w:rFonts w:ascii="Arial" w:cs="Arial" w:eastAsia="Arial" w:hAnsi="Arial"/>
          <w:sz w:val="10"/>
          <w:szCs w:val="10"/>
          <w:color w:val="auto"/>
        </w:rPr>
        <w:t>®</w:t>
      </w:r>
      <w:r>
        <w:rPr>
          <w:rFonts w:ascii="Arial" w:cs="Arial" w:eastAsia="Arial" w:hAnsi="Arial"/>
          <w:sz w:val="16"/>
          <w:szCs w:val="16"/>
          <w:color w:val="auto"/>
        </w:rPr>
        <w:t xml:space="preserve"> business. For additional details regarding the Marketing Agreement, see “NOTE 7. MARKETING AGREEMENT” of the Notes to Consolidated Financial Statements included in this Annual Report on Form 10-K.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11"/>
          <w:szCs w:val="11"/>
          <w:b w:val="1"/>
          <w:bCs w:val="1"/>
          <w:i w:val="1"/>
          <w:iCs w:val="1"/>
          <w:color w:val="auto"/>
        </w:rPr>
        <w:t>®</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Scotts LawnService</w:t>
      </w:r>
      <w:r>
        <w:rPr>
          <w:rFonts w:ascii="Arial" w:cs="Arial" w:eastAsia="Arial" w:hAnsi="Arial"/>
          <w:sz w:val="11"/>
          <w:szCs w:val="11"/>
          <w:color w:val="auto"/>
        </w:rPr>
        <w:t>®</w:t>
      </w:r>
      <w:r>
        <w:rPr>
          <w:rFonts w:ascii="Arial" w:cs="Arial" w:eastAsia="Arial" w:hAnsi="Arial"/>
          <w:sz w:val="18"/>
          <w:szCs w:val="18"/>
          <w:color w:val="auto"/>
        </w:rPr>
        <w:t xml:space="preserve"> segment provides residential and commercial lawn care, tree and shrub care and limited pest control services in the United States through periodic applications of fertilizer and control products. As of September 30, 2011, Scotts LawnService</w:t>
      </w:r>
      <w:r>
        <w:rPr>
          <w:rFonts w:ascii="Arial" w:cs="Arial" w:eastAsia="Arial" w:hAnsi="Arial"/>
          <w:sz w:val="11"/>
          <w:szCs w:val="11"/>
          <w:color w:val="auto"/>
        </w:rPr>
        <w:t>®</w:t>
      </w:r>
      <w:r>
        <w:rPr>
          <w:rFonts w:ascii="Arial" w:cs="Arial" w:eastAsia="Arial" w:hAnsi="Arial"/>
          <w:sz w:val="18"/>
          <w:szCs w:val="18"/>
          <w:color w:val="auto"/>
        </w:rPr>
        <w:t xml:space="preserve"> had 83 Company-operated locations as well as 88 locations operated by independent franchisees.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During our second quarter of fiscal 2011 we completed the sale of a significant majority of the assets of our Global Professional business (excluding the non-European professional seed business, “Global Pro”) to Israel Chemicals Ltd. (“ICL”). As a result of the then-pending sale, effective in our first quarter of fiscal 2011 we classified Global Pro as discontinued operations. See “NOTE 2. DISCONTINUED OPERATIONS” of the Notes to Consolidated Financial Statements included in this Annual Report on Form 10-K for additional information regarding the sale of Global Pro.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Markets and Methods of Distribution</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sell our consumer products primarily to home centers, mass merchandisers, warehouse clubs, large hardware chains, independent hardware stores, nurseries, garden centers and food and drug stores through both a direct sales force and our network of brokers and distributors. In addition, during fiscal 2011, we employed approximately 2,800 full-time and seasonal in-store associates within the U.S. to help our retail partners merchandise their lawn and garden departments directly to consumers of our products.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majority of shipments to customers are made via common carriers or through distributors in the United States and through a network of public warehouses and distributors in Europe. We utilize third parties to manage the primary distribution centers for our Global Consumer business in North America, which are strategically placed across the United States and Canada. The primary distribution centers for our Global Consumer business internationally are located in the United Kingdom, France, Germany and Australia and are also managed by third-party logistics providers. Growing media products are generally shipped direct-to-store without passing through a distribution center. As discussed in “ITEM 1. BUSINESS — Company Description and Development of the Business” of this Annual Report on Form 10-K, fiscal 2011 marked year three of our multi-year plan to co-distribute lawn fertilizer and growing media products directly to our retail customers, which to date has helped eliminate the need for approximately 25% of our third-party warehouse space.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purchase raw materials for our products from various sources. We are subject to market risk as a result of the fluctuating prices of raw materials such as urea and other fertilizer inputs, resins, diesel, gasoline, sphagnum peat, grass seed and wild bird food grains. Our objectives surrounding the procurement of these materials are to ensure continuous supply, to minimize costs and to improve predictability. We seek to achieve these objectives through negotiation of contracts with favorable terms directly with vendors. When appropriate, we commit to purchase a certain percentage of our needs in advance of the season to secure pre-determined prices. We also hedge certain commodities, particularly diesel, gasoline and urea, to improve predictability and control costs. Sufficient raw materials were available during fiscal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Patents and Licenses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consider our trademarks, patents and licenses to be key competitive advantages. We pursue a vigorous trademark protection strategy consisting of registration and maintenance of key trademarks and proactive monitoring and enforcement activities to protect against infringement. The Scotts</w:t>
      </w:r>
      <w:r>
        <w:rPr>
          <w:rFonts w:ascii="Arial" w:cs="Arial" w:eastAsia="Arial" w:hAnsi="Arial"/>
          <w:sz w:val="10"/>
          <w:szCs w:val="10"/>
          <w:color w:val="auto"/>
        </w:rPr>
        <w:t>®</w:t>
      </w:r>
      <w:r>
        <w:rPr>
          <w:rFonts w:ascii="Arial" w:cs="Arial" w:eastAsia="Arial" w:hAnsi="Arial"/>
          <w:sz w:val="16"/>
          <w:szCs w:val="16"/>
          <w:color w:val="auto"/>
        </w:rPr>
        <w:t>, Miracle-Gro</w:t>
      </w:r>
      <w:r>
        <w:rPr>
          <w:rFonts w:ascii="Arial" w:cs="Arial" w:eastAsia="Arial" w:hAnsi="Arial"/>
          <w:sz w:val="10"/>
          <w:szCs w:val="10"/>
          <w:color w:val="auto"/>
        </w:rPr>
        <w:t>®</w:t>
      </w:r>
      <w:r>
        <w:rPr>
          <w:rFonts w:ascii="Arial" w:cs="Arial" w:eastAsia="Arial" w:hAnsi="Arial"/>
          <w:sz w:val="16"/>
          <w:szCs w:val="16"/>
          <w:color w:val="auto"/>
        </w:rPr>
        <w:t>, Ortho</w:t>
      </w:r>
      <w:r>
        <w:rPr>
          <w:rFonts w:ascii="Arial" w:cs="Arial" w:eastAsia="Arial" w:hAnsi="Arial"/>
          <w:sz w:val="10"/>
          <w:szCs w:val="10"/>
          <w:color w:val="auto"/>
        </w:rPr>
        <w:t>®</w:t>
      </w:r>
      <w:r>
        <w:rPr>
          <w:rFonts w:ascii="Arial" w:cs="Arial" w:eastAsia="Arial" w:hAnsi="Arial"/>
          <w:sz w:val="16"/>
          <w:szCs w:val="16"/>
          <w:color w:val="auto"/>
        </w:rPr>
        <w:t>, Scotts LawnService</w:t>
      </w:r>
      <w:r>
        <w:rPr>
          <w:rFonts w:ascii="Arial" w:cs="Arial" w:eastAsia="Arial" w:hAnsi="Arial"/>
          <w:sz w:val="10"/>
          <w:szCs w:val="10"/>
          <w:color w:val="auto"/>
        </w:rPr>
        <w:t>®</w:t>
      </w:r>
      <w:r>
        <w:rPr>
          <w:rFonts w:ascii="Arial" w:cs="Arial" w:eastAsia="Arial" w:hAnsi="Arial"/>
          <w:sz w:val="16"/>
          <w:szCs w:val="16"/>
          <w:color w:val="auto"/>
        </w:rPr>
        <w:t>, Hyponex</w:t>
      </w:r>
      <w:r>
        <w:rPr>
          <w:rFonts w:ascii="Arial" w:cs="Arial" w:eastAsia="Arial" w:hAnsi="Arial"/>
          <w:sz w:val="10"/>
          <w:szCs w:val="10"/>
          <w:color w:val="auto"/>
        </w:rPr>
        <w:t>®</w:t>
      </w:r>
      <w:r>
        <w:rPr>
          <w:rFonts w:ascii="Arial" w:cs="Arial" w:eastAsia="Arial" w:hAnsi="Arial"/>
          <w:sz w:val="16"/>
          <w:szCs w:val="16"/>
          <w:color w:val="auto"/>
        </w:rPr>
        <w:t xml:space="preserve"> and Earthgro</w:t>
      </w:r>
      <w:r>
        <w:rPr>
          <w:rFonts w:ascii="Arial" w:cs="Arial" w:eastAsia="Arial" w:hAnsi="Arial"/>
          <w:sz w:val="10"/>
          <w:szCs w:val="10"/>
          <w:color w:val="auto"/>
        </w:rPr>
        <w:t>®</w:t>
      </w:r>
      <w:r>
        <w:rPr>
          <w:rFonts w:ascii="Arial" w:cs="Arial" w:eastAsia="Arial" w:hAnsi="Arial"/>
          <w:sz w:val="16"/>
          <w:szCs w:val="16"/>
          <w:color w:val="auto"/>
        </w:rPr>
        <w:t xml:space="preserve"> brand names and logos, as well as a number of product trademarks, including Turf Builder</w:t>
      </w:r>
      <w:r>
        <w:rPr>
          <w:rFonts w:ascii="Arial" w:cs="Arial" w:eastAsia="Arial" w:hAnsi="Arial"/>
          <w:sz w:val="10"/>
          <w:szCs w:val="10"/>
          <w:color w:val="auto"/>
        </w:rPr>
        <w:t>®</w:t>
      </w:r>
      <w:r>
        <w:rPr>
          <w:rFonts w:ascii="Arial" w:cs="Arial" w:eastAsia="Arial" w:hAnsi="Arial"/>
          <w:sz w:val="16"/>
          <w:szCs w:val="16"/>
          <w:color w:val="auto"/>
        </w:rPr>
        <w:t>, Organic Choice</w:t>
      </w:r>
      <w:r>
        <w:rPr>
          <w:rFonts w:ascii="Arial" w:cs="Arial" w:eastAsia="Arial" w:hAnsi="Arial"/>
          <w:sz w:val="10"/>
          <w:szCs w:val="10"/>
          <w:color w:val="auto"/>
        </w:rPr>
        <w:t>®</w:t>
      </w:r>
      <w:r>
        <w:rPr>
          <w:rFonts w:ascii="Arial" w:cs="Arial" w:eastAsia="Arial" w:hAnsi="Arial"/>
          <w:sz w:val="16"/>
          <w:szCs w:val="16"/>
          <w:color w:val="auto"/>
        </w:rPr>
        <w:t>, Home Defense Max</w:t>
      </w:r>
      <w:r>
        <w:rPr>
          <w:rFonts w:ascii="Arial" w:cs="Arial" w:eastAsia="Arial" w:hAnsi="Arial"/>
          <w:sz w:val="10"/>
          <w:szCs w:val="10"/>
          <w:color w:val="auto"/>
        </w:rPr>
        <w:t>®</w:t>
      </w:r>
      <w:r>
        <w:rPr>
          <w:rFonts w:ascii="Arial" w:cs="Arial" w:eastAsia="Arial" w:hAnsi="Arial"/>
          <w:sz w:val="16"/>
          <w:szCs w:val="16"/>
          <w:color w:val="auto"/>
        </w:rPr>
        <w:t xml:space="preserve"> and Weed-B-Gon Max</w:t>
      </w:r>
      <w:r>
        <w:rPr>
          <w:rFonts w:ascii="Arial" w:cs="Arial" w:eastAsia="Arial" w:hAnsi="Arial"/>
          <w:sz w:val="10"/>
          <w:szCs w:val="10"/>
          <w:color w:val="auto"/>
        </w:rPr>
        <w:t>®</w:t>
      </w:r>
      <w:r>
        <w:rPr>
          <w:rFonts w:ascii="Arial" w:cs="Arial" w:eastAsia="Arial" w:hAnsi="Arial"/>
          <w:sz w:val="16"/>
          <w:szCs w:val="16"/>
          <w:color w:val="auto"/>
        </w:rPr>
        <w:t>, are registered in the United States and/or internationally and are considered material to our business.</w:t>
      </w:r>
    </w:p>
    <w:p>
      <w:pPr>
        <w:spacing w:after="0" w:line="113"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we actively develop and maintain a vast portfolio of utility and design patents covering subject matter such as fertilizer, chemical and growing media compositions and processes; grass seed varieties; and mechanical dispensing devices such as applicators, spreaders and sprayers. Our utility patents provide protection generally extending to 20 years from the date of filing, and many of our patents will continue well into the next decade. We also hold exclusive and non-exclusive patent licenses and supply arrangements, permitting the use and sale of additional patented fertilizers, pesticides and mechanical devices. Although our portfolio of patents and patent licenses is important to our success, no single patent or group of related patents is considered significant to any of our business segments or the business as a whole.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Backlog</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business is highly seasonal, with approximately 75% of our annual net sales occurring in our second and third fiscal quarters combined. Our annual sales are further concentrated in our second and third fiscal quarters by retailers who rely on our ability to deliver products closer to when consumers buy our products, thereby reducing retailers’ pre-season inventories.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significant orders for the upcoming spring season will start to be received late in the winter and continue through the spring season.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Historically, substantially all orders are received and shipped within the same fiscal year with minimal carryover of open orders at the end of the fiscal year.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Approximately 89% of our worldwide net sales in fiscal 2011 were made by our Global Consumer segment. Our three largest customers are reported within the Global Consumer segment and are the only customers that individually represent more than 10% of reported consolidated net sales. Approximately 30% of our net sales in fiscal 2011 were made to Home Depot, 18% to Lowe’s and 13% to Walmart. We face strong competition for the business of these significant customers. The loss of any of these customers or a substantial decrease in the volume or profitability of our business with any of these customers could have a material effect on our financial condition, results of operations or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Marketplace</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markets in which we sell our products are highly competitive. In the United States Global Consumer lawn and garden and pest control markets, our products compete against private-label as well as branded products. Primary competitors include Spectrum Brands, Bayer AG, Central Garden &amp; Pet Company, Enforcer Products, Inc., Kellogg Garden Products, Old Castle Retail, Inc. and Lebanon Seaboard Corporation. In addition, we face competition from regional competitors who compete primarily on the basis of price for commodity growing media products.</w:t>
      </w:r>
    </w:p>
    <w:p>
      <w:pPr>
        <w:spacing w:after="0" w:line="11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Internationally, we face strong competition in the Global Consumer lawn and garden market, particularly in Europe. Our competitors in the European Union include Bayer AG, Compo GmbH, Westland Horticulture and a variety of local companies.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the second largest market share position in the fragmented U.S. lawn care service market. We compete against TruGreen</w:t>
      </w:r>
      <w:r>
        <w:rPr>
          <w:rFonts w:ascii="Arial" w:cs="Arial" w:eastAsia="Arial" w:hAnsi="Arial"/>
          <w:sz w:val="11"/>
          <w:szCs w:val="11"/>
          <w:color w:val="auto"/>
        </w:rPr>
        <w:t>®</w:t>
      </w:r>
      <w:r>
        <w:rPr>
          <w:rFonts w:ascii="Arial" w:cs="Arial" w:eastAsia="Arial" w:hAnsi="Arial"/>
          <w:sz w:val="18"/>
          <w:szCs w:val="18"/>
          <w:color w:val="auto"/>
        </w:rPr>
        <w:t>, a division of ServiceMaster</w:t>
      </w:r>
      <w:r>
        <w:rPr>
          <w:rFonts w:ascii="Arial" w:cs="Arial" w:eastAsia="Arial" w:hAnsi="Arial"/>
          <w:sz w:val="11"/>
          <w:szCs w:val="11"/>
          <w:color w:val="auto"/>
        </w:rPr>
        <w:t>®</w:t>
      </w:r>
      <w:r>
        <w:rPr>
          <w:rFonts w:ascii="Arial" w:cs="Arial" w:eastAsia="Arial" w:hAnsi="Arial"/>
          <w:sz w:val="18"/>
          <w:szCs w:val="18"/>
          <w:color w:val="auto"/>
        </w:rPr>
        <w:t>, which has a substantially larger share of this market than Scotts LawnService</w:t>
      </w:r>
      <w:r>
        <w:rPr>
          <w:rFonts w:ascii="Arial" w:cs="Arial" w:eastAsia="Arial" w:hAnsi="Arial"/>
          <w:sz w:val="11"/>
          <w:szCs w:val="11"/>
          <w:color w:val="auto"/>
        </w:rPr>
        <w:t>®</w:t>
      </w:r>
      <w:r>
        <w:rPr>
          <w:rFonts w:ascii="Arial" w:cs="Arial" w:eastAsia="Arial" w:hAnsi="Arial"/>
          <w:sz w:val="18"/>
          <w:szCs w:val="18"/>
          <w:color w:val="auto"/>
        </w:rPr>
        <w:t>, as well as numerous regional and local lawn care service operations and national and regional franchisors.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continually invest in research and development, both in the laboratory and at the consumer level, to improve our products, manufacturing processes, packaging and delivery systems. Spending on research and development was $50.9 million, $47.3 million and $49.8 million in fiscal 2011, fiscal 2010 and fiscal 2009, respectively, including product registration costs of $14.6 million, $12.1 million and $15 million, respectively. In addition to the benefits of our own research and development, we actively seek ways to leverage the research and development activities of our suppliers.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Considerations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Local, state, federal and foreign laws and regulations affect the manufacture, sale and application of our products in several ways. For example, in the United States, all products containing pesticides must comply with the Federal Insecticide, Fungicide, and Rodenticide Act of 1947, as amended (“FIFRA”), and be registered with the U.S. Environmental Protection Agency (the “U.S. EPA”) and similar state agencies before they can be sold or distributed. Fertilizer and growing media products are subject to state and foreign labeling regulations. Our manufacturing operations are subject to waste, water and air quality permitting and other regulatory requirements of federal, state and foreign agencies. Our wild bird food business is subject to regulation by the U.S. Food and Drug Administration and various state regulations. Our grass seed products are regulated by the Federal Seed Act and various state regulations. Most states require our Scotts LawnService</w:t>
      </w:r>
      <w:r>
        <w:rPr>
          <w:rFonts w:ascii="Arial" w:cs="Arial" w:eastAsia="Arial" w:hAnsi="Arial"/>
          <w:sz w:val="10"/>
          <w:szCs w:val="10"/>
          <w:color w:val="auto"/>
        </w:rPr>
        <w:t>®</w:t>
      </w:r>
      <w:r>
        <w:rPr>
          <w:rFonts w:ascii="Arial" w:cs="Arial" w:eastAsia="Arial" w:hAnsi="Arial"/>
          <w:sz w:val="16"/>
          <w:szCs w:val="16"/>
          <w:color w:val="auto"/>
        </w:rPr>
        <w:t xml:space="preserve"> business locations and/or technicians to comply with strict licensing requirements prior to applying many of our products. The failure to comply with any of these laws or regulations could have an adverse effect on our business.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the use of certain pesticide and fertilizer products is regulated by various local, state, federal and foreign environmental and public health agencies. These regulations may include requirements that only certified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State, federal and foreign authorities generally require growing media facilities to obtain permits (sometimes on an annual basis)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more information regarding how compliance with federal, state, local and foreign laws and regulations may affect us, see “ITEM 1A. RISK FACTORS —Compliance with environmental and other public health regulations could increase our costs of doing business or limit our ability to market all of our products” of this Annual Report on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FIFRA Compliance, the Corresponding Governmental Investigations and Similar Matters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April 2008, we became aware that a former associate apparently deliberately circumvented our policies and U.S. EPA regulations under FIFRA by failing to obtain valid registrations for certain products and/or causing certain invalid product registration forms to be submitted to regulators. Since that time, we have been cooperating with both the U.S. EPA and the U.S. Department of Justice (the “U.S. DOJ”) in related civil and criminal investigations into our pesticide product registration issues as well as a state civil investigation into related allegations arising under state pesticide registration laws and regulations.</w:t>
      </w:r>
    </w:p>
    <w:p>
      <w:pPr>
        <w:spacing w:after="0" w:line="11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late April 2008, in connection with the U.S. EPA’s investigation, we conducted a consumer-level recall of certain consumer lawn and garden products and a Scotts LawnService</w:t>
      </w:r>
      <w:r>
        <w:rPr>
          <w:rFonts w:ascii="Arial" w:cs="Arial" w:eastAsia="Arial" w:hAnsi="Arial"/>
          <w:sz w:val="10"/>
          <w:szCs w:val="10"/>
          <w:color w:val="auto"/>
        </w:rPr>
        <w:t>®</w:t>
      </w:r>
      <w:r>
        <w:rPr>
          <w:rFonts w:ascii="Arial" w:cs="Arial" w:eastAsia="Arial" w:hAnsi="Arial"/>
          <w:sz w:val="16"/>
          <w:szCs w:val="16"/>
          <w:color w:val="auto"/>
        </w:rPr>
        <w:t xml:space="preserve"> product. Subsequently, the Company and the U.S. EPA agreed upon a Compliance Review Plan for conducting a comprehensive, independent review of our product registration records. Pursuant to the Compliance Review Plan, an independent third-party firm, Quality Associates Incorporated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our fiscal 2009, fiscal 2010 or fiscal 2011 sales and are not expected to materially affect our fiscal 2012 sales.</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2009, fiscal 2010 or fiscal 2011 financial condition, results of operations or cash flows.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Settlement discussions relating to potential fines and/or penalties are a frequent outgrowth of governmental investigations. In that regard, on or about June 30, 2011, we received a Notice of Intent to File Administrative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Complaint (“Notice”) from the U.S. EPA Region 5 with respect to the alleged FIFRA violations. The Notice, which does not set forth a proposed penalty amount, offers us an opportunity to present any information we believe the U.S. EPA should consider prior to filing the complaint and indicates that the U.S. EPA is prepared to meet with us to discuss the alleged violations. We made a timely response to the Notice, and communications between us and the U.S. EPA are underway. We are also engaged in settlement discussions with the U.S. DOJ regarding its criminal investigation.</w:t>
      </w:r>
    </w:p>
    <w:p>
      <w:pPr>
        <w:spacing w:after="0" w:line="11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June 2008, the California Department of Pesticide Regulation (“CDPR”) issued a request for information to the Company relating to products that had been the subject of the April 2008 recall. We cooperated with that inquiry and reached agreement with CDPR that it would place its investigation on hold pending the completion of our internal audit. In July 2010, CDPR notified us that it planned to proceed with its investigation independent of the U.S. EPA and U.S. DOJ, and in March 2011 we received a letter from CDPR offering to settle the matter without the need for an enforcement proceeding for $245,631. On July 25, 2011, we paid the requested civil penalty and entered into a Settlement Agreement pursuant to which CDPR agreed not to take further civil or criminal action with regard to the affected products.</w:t>
      </w:r>
    </w:p>
    <w:p>
      <w:pPr>
        <w:spacing w:after="0" w:line="14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For more information with respect to additional risks and uncertainties that we may face in connection with the ongoing investigations and for a discussion of the costs and expenses related to the matters discussed above, see “ITEM 1A. RISK FACTORS—The ongoing governmental investigations regarding our compliance with FIFRA could adversely affect our financial condition, results of operations or cash flows” of this Annual Report on Form 10-K and “NOTE 3. PRODUCT REGISTRATION AND RECALL MATTERS” of the Notes to Consolidated Financial Statements included in this Annual Report on Form 10-K.</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2004, we completed negotiations with the Philadelphia District of the U.S. Army Corps of Engineers (the “Corps”) regarding the terms of site remediation and the resolution of the Corps’ civil penalty demand in connection with our prior peat harvesting operations at our Lafayette, New Jersey facility. The final consent decree required us to perform five years of wetland monitoring and to complete additional actions if after five years the monitoring indicated the wetlands had not developed satisfactorily. As site monitoring activities were not initiated until the beginning of 2006, the five-year monitoring period extended until December 2010. Having received notice from the Environmental Defense Section of the U.S. DOJ that the terms of the consent decree had been satisfied, on January 24, 2011, the United States District Court for the District of New Jersey ordered the matter closed.</w:t>
      </w:r>
    </w:p>
    <w:p>
      <w:pPr>
        <w:spacing w:after="0" w:line="12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or about October 28, 2011, the Pennsylvania Department of Environmental Protection (the “Department”) sent a letter to EG Systems, Inc., d/b/a Scotts LawnService (“SLS”), a wholly-owned, indirect subsidiary of Scotts Miracle-Gro, alleging that on June 30 and July 1, 2010, an SLS employee discharged industrial waste into the waters of the Commonwealth in violation of the Clean Streams Law and the Solid Waste Management Act. The letter indicated that the Department is willing to accept a civil penalty of $200,000 to resolve the matter in lieu of a civil penalty action. We are in the process of formulating our response to the Department.</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At September 30, 2011, $3.9 million was accrued for non-FIFRA compliance-related environmental actions, the majority of which is for site remediation. During fiscal 2011, fiscal 2010 and fiscal 2009, we expensed $2.4 million, $0.5 million and $0.8 million, respectively, for non-FIFRA compliance-related environmental matters. We had no material capital expenditures during the last three fiscal years related to environmental or regulatory matters.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2011, we employed approximately 6,300 employees. During peak sales and production periods, we employ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9,000 employees, including seasonal and temporary labor.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certain information concerning our international revenues and long-lived assets, see “NOTE 22. SEGMENT INFORMATION” of the Notes to Consolidated Financial Statements included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maintain a website at http://investor.scotts.com (this uniform resource locator, or URL, is an inactive textual reference only and is not intended to incorporate our website into this Annual Report on Form 10-K). We file reports with the Securities and Exchange Commission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1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6"/>
          <w:szCs w:val="16"/>
          <w:b w:val="1"/>
          <w:bCs w:val="1"/>
          <w:i w:val="1"/>
          <w:iCs w:val="1"/>
          <w:u w:val="single" w:color="auto"/>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This Annual Report on Form 10-K, including the exhibits hereto and the information incorporated by reference herein, as well as our 2011 Annual Report to Shareholders (our “2011 Annual Report”),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2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Forward-looking statements contained in this Annual Report on Form 10-K and our 2011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forward-looking statements that we make in this Annual Report on Form 10-K and our 2011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The ongoing governmental investigations regarding our compliance with FIFRA could adversely affect our financial condition, results of operations or cash flows.</w:t>
      </w:r>
    </w:p>
    <w:p>
      <w:pPr>
        <w:spacing w:after="0" w:line="5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products that contain pesticides must comply with FIFRA and be registered with the U.S. EPA and similar state agencies before they can be sold or distributed. In April 2008, we became aware that a former associate apparently deliberately circumvented our policies and U.S. EPA regulations under FIFRA by failing to obtain valid registrations for certain products and/or causing certain invalid product registration forms to be submitted to regulators. Since that time, internal and third-party reviews have identified additional potential pesticide product registration issues (some of which appear unrelated to the actions of the former associate) and we have been cooperating with both the U.S. EPA and the U.S. DOJ in related civil and criminal investigations into our pesticide product registration issues as well as a state civil investigation into related allegations arising under state pesticide registration laws and regulations.</w:t>
      </w:r>
    </w:p>
    <w:p>
      <w:pPr>
        <w:spacing w:after="0" w:line="12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 connection with the registration investigations and FIFRA compliance review process, we have recorded, and in the future expect to record, charges and costs for estimated retailer inventory returns, consumer returns and replacement costs, costs to rework existing products, inventory write-downs and legal and professional fees and costs associated with administration of the registration investigations and FIFRA compliance review process. Because expected future charges are based on estimates, they may increase as a result of numerous factors, many of which are beyond our control, including the number and type of legal or regulatory proceedings relating to the registration investigations and FIFRA compliance review process and regulatory or judicial orders or decrees that may require us to take certain actions in connection with the registration investigations and FIFRA compliance review process or to pay civil or criminal fines and/or penalties at the state and/or federal level.</w:t>
      </w:r>
    </w:p>
    <w:p>
      <w:pPr>
        <w:spacing w:after="0" w:line="11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U.S. EPA, U.S. DOJ and related state investigations continue and may result in future state, federal or private rights of action as well as judgments, settlements, fines and/or penalties with respect to known or potential additional product registration issues. At this stage of the investigations, we cannot reasonably estimate the total scope or magnitude of all possible liabilities that could result from known or potential product registration issues. Based on the facts and circumstances known to us at this time (including settlement discussions that have taken place to date), we have established what we believe to be an appropriate reserve. However, it is possible that any fines and/or penalties with respect to the investigations, as well as any judgments, litigation costs or other liabilities relating to such known or potential product registration issues, could exceed the amount of the reserve, possibly materially, and could have an adverse effect on our financial condition, results of operations or cash flows.</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There can be no assurance that the ultimate outcome of the investigations will not result in further action against us, whether administrative, civil or criminal, by the U.S. EPA, the U.S. DOJ, state regulatory agencies or private litigants, and any such action, in addition to the costs we have incurred and would continue to incur in connection therewith, could materially and adversely affect our financial condition, results of operations or cash flows.</w:t>
      </w:r>
    </w:p>
    <w:p>
      <w:pPr>
        <w:spacing w:after="0" w:line="188"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Compliance with environmental and other public health regulations could increase our costs of doing business or limit our ability to market all of our products.</w:t>
      </w:r>
    </w:p>
    <w:p>
      <w:pPr>
        <w:spacing w:after="0" w:line="5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Local, state, federal and foreign laws and regulations relating to environmental matters affect us in several ways. In the United States, all products containing pesticides must comply with FIFRA and be registered with the U.S. EPA and similar state agencies before they can be sold or distributed. The inability to obtain or maintain such compliance,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or reduce these risks. In the European Union (the “EU”), the European Parliament has adopted various forms of regulation which may substantially restrict or eliminate our ability to market and sell certain of 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consumer pesticide products in their current form in the EU. In addition, in Canada, regulations have been adopted by several provinces that substantially restrict our ability to market and sell certain of our consumer pesticide products.</w:t>
      </w:r>
    </w:p>
    <w:p>
      <w:pPr>
        <w:spacing w:after="0" w:line="13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continuing evaluations.</w:t>
      </w:r>
    </w:p>
    <w:p>
      <w:pPr>
        <w:spacing w:after="0" w:line="144"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may require users to post notices on properties to which products have been or will be applied, may require notification to individuals in the vicinity that products will be applied in the future or may ban the use of certain ingredients. Most states require our Scotts LawnService</w:t>
      </w:r>
      <w:r>
        <w:rPr>
          <w:rFonts w:ascii="Arial" w:cs="Arial" w:eastAsia="Arial" w:hAnsi="Arial"/>
          <w:sz w:val="10"/>
          <w:szCs w:val="10"/>
          <w:color w:val="auto"/>
        </w:rPr>
        <w:t>®</w:t>
      </w:r>
      <w:r>
        <w:rPr>
          <w:rFonts w:ascii="Arial" w:cs="Arial" w:eastAsia="Arial" w:hAnsi="Arial"/>
          <w:sz w:val="16"/>
          <w:szCs w:val="16"/>
          <w:color w:val="auto"/>
        </w:rPr>
        <w:t xml:space="preserve"> business locations and/or technicians to comply with strict licensing requirements prior to applying many of our products. Even if we are able to comply with all such regulations and obtain all necessary registrations and licenses, we cannot provide assurance that our products, particularly pesticide products, will not cause injury to the environment or to people under all circumstances. The costs of compliance, remediation or products liability have adversely affected operating results in the past and could materially adversely affect future quarterly or annual operating results.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regulation.</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addition to the regulations already described, local, state, federal and foreign agencies regulate the disposal, transport, handling and storage of waste, remediation of contaminated sites, air and water discharges from our facilities, and workplace health and safety.</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Under certain environmental laws, we may be liable for the costs of investigation regarding and remediation of the presence of certain regulated materials, as well as related costs of investigation and remediation of damage to natural resources, at various properties, including our current and former properties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expose us to third-party actions such as tort suits based on alleged conduct or environmental conditions.</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adequacy of our current non-FIFRA compliance-related environmental reserves and future provisions depends upon our operating in substantial compliance with applicable environmental and public health laws and regulations, as well as the assumptions that we have both identified all of the significant sites that must be remediated and that there are no significant conditions of potential contamination that are unknown to us. A significant change in the facts and circumstances surrounding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or cash flows.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Damage to our reputation could have an adverse effect on our business.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Maintaining our strong reputation with both consumers and our retail customers is a key component in our success. Product recalls, our inability to ship, sell or transport affected products and the on-going governmental investigations may harm our reputation and acceptance of our products by our retail customers and consumers, which may materially and adversely affect our business operations, decrease sales and increase costs.</w:t>
      </w:r>
    </w:p>
    <w:p>
      <w:pPr>
        <w:spacing w:after="0" w:line="10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perceptions that the products we produce and market are not safe could adversely affect us and contribute to the risk we will be subjected to legal action. We manufacture and market a variety of products, such as fertilizers, certain growing media, herbicides and pesticides. On occasion, allegations are made that some of our products have failed to perform up to expectations or have caused damage or injury to individuals or property. Based on reports of contamination at a third-party supplier’s vermiculite mine, the public may perceive that some of our products manufactured in the past using vermiculite are or may be contaminated. Public perception that our products are not safe, whether justified or not, could impair our reputation, involve us in litigation, damage our brand names and have a material adverse effect on our business.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marketing activities may not be successful.</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invest substantial resources in advertising, consumer promotions and other marketing activities in order to maintain, extend and expand our brand image. We intend to increase the amount we spend on advertising activities in fiscal 2012 by as much as $40 million. There can be no assurances that our marketing strategies will be effective or that increasing the amount we invest in advertising activities will result in a corresponding increase in sales of our products. If our marketing initiatives are not successful, we will have incurred significant expenses without the benefit of higher revenues.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Disruptions in availability or increases in the prices of raw materials could adversely affect our results of operations.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source many of our commodities and other raw materials on a global basis. The general availability and price of those raw materials, particularly urea, can be affected by numerous forces beyond our control, including political instability, trade restrictions and other government regulations, duties and tariffs, price controls, changes in currency exchange rates and weather.</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 significant disruption in the availability of any of our key raw materials could negatively impact our business. In addition, increases in the prices of key commodities and other raw materials could adversely affect our ability to manage our cost structure. Market conditions may limit our ability to raise selling prices to offset increases in our raw material costs. The uniqueness of our technologies can limit our ability to locate or utilize alternative inputs for certain products. For certain inputs, new sources of supply may have to be qualified under regulatory standards, which can require additional investment and delay bringing a product to market.</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utilize hedge agreements periodically to fix the prices of a portion of our urea and fuel needs. The hedge agreements are designed to mitigate the earnings and cash flow fluctuations associated with the costs of urea and fuel. However, in periods of declining urea and fuel prices the hedge agreements can have the effect of increasing our expenditures for these raw materials.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hedging arrangements expose us to certain counterparty risks.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addition to commodity hedge agreements, we utilize interest rate swap agreements as a means to hedge our variable interest rate exposure on debt instruments as well as foreign currency swap contracts to manage the exchange rate risk associated with certain intercompany loans with foreign subsidiaries. Utilizing these hedge agreements exposes us to certain counterparty risks. The failure of one or more of these counterparties to fulfill their obligations under the hedge agreements, whether as a result of weakening financial stability or otherwise, could adversely affect our financial condition, results of operations or cash flows.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conditions could adversely affect our business.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Uncertain global economic conditions could adversely affect our business. Negative global economic trends, such as decreased consumer and business spending, high unemployment levels, reduced rates of home ownership and housing starts, high foreclosure rates and declining consumer and business confidence, pose challenges to our business and could result in declining revenues, profitability and cash flow. Although we continue to devote significant resources to support our brands, unfavorable economic conditions may negatively affect consumer demand for our products. Consumers may reduce discretionary spending during periods of economic uncertainty, which could reduce sales volumes of our products or result in a shift in our product mix from higher margin to lower margin products.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highly competitive nature of our markets could adversely affect our ability to maintain or grow revenues.</w:t>
      </w:r>
    </w:p>
    <w:p>
      <w:pPr>
        <w:spacing w:after="0" w:line="9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Each of our operating segments participates in markets that are highly competitive. Our products compete against national and regional products and private label products produced by various suppliers. Many of our competitors sell their products at prices lower than ours. Our most price sensitive customers may trade down to lower priced products during challenging economic times or if current economic conditions worsen. We compete primarily on the basis of product innovation, product quality, product performance, value, brand strength, supply chain competency, field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or cash flows. Our inability to continue to develop and grow brands with leading market positions, maintain our relationships with key retailers and deliver products on a reliable basis at competitive prices could have a material adverse effect on us.</w:t>
      </w:r>
    </w:p>
    <w:p>
      <w:pPr>
        <w:spacing w:after="0" w:line="1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may not successfully develop new products or improve existing products or maintain our effectiveness in reaching consumers through rapidly evolving communication vehicles.</w:t>
      </w:r>
    </w:p>
    <w:p>
      <w:pPr>
        <w:spacing w:after="0" w:line="5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Our future success depends, in part, upon our ability to improve our existing products and to develop, manufacture and market new, innovative products to meet evolving consumer needs, as well as our ability to leverage new mediums such as digital media and social networks to reach existing and potential consumers. We cannot be certain that we will be successful in the development, manufacturing and marketing of new products or product innovations which satisfy consumer needs or achieve market acceptance, or that we will develop and market new products or product innovations in a timely manner. If we fail to successfully develop, manufacture and market new or enhanced products or develop product innovations, or if we fail to reach existing and potential consumers, our ability to maintain or grow our market share may be adversely affected, which in turn could materially adversely affect our business, financial condition and results of operations. In addition, the development and introduction of new products and product innovations require substantial research, development and marketing expenditures, which we may be unable to recoup if such new products or innovations do not achieve market acceptance.</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innovations, further exacerbating the risks to our business.</w:t>
      </w:r>
    </w:p>
    <w:p>
      <w:pPr>
        <w:spacing w:after="0" w:line="221"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Because of the concentration of our sales to a small number of retail customers, the loss of one or more of, or significant reduction in orders from, our top customers could adversely affect our financial results.</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Global Consumer net sales represented approximately 89% of our worldwide net sales in fiscal 2011. Our top three retail customers together accounted for 61% of our fiscal 2011 net sales and 47% of our outstanding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accounts receivable as of September 30, 2011. Home Depot, Lowe’s and Walmart represented approximately 30%, 18% and 13%, respectively, of our fiscal 2011 net sales. The loss of, or reduction in orders from, Home Depot, Lowe’s, Walmart or any other significant customer could have a material adverse effect on our business, financial condition, results of operations or cash flows, as could customer disputes regarding shipments, fees, merchandise condition or related matters.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or cash flows.</w:t>
      </w:r>
    </w:p>
    <w:p>
      <w:pPr>
        <w:spacing w:after="0" w:line="1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key retailers whose bargaining strength is strong. To the extent such concentration continues to occur, our net sales and income from operations may be increasingly sensitive to deterioration in the financial condition of, or other adverse developments involving our relationship with, one or more of our customers. In addition, our business may be negatively affected by changes in the policies of our retailers, such as inventory destocking, limitations on access to shelf space, price demands and other conditions.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reliance on third-party manufacturers could harm our business.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rely on third-party service providers to manufacture certain of our products. This reliance generates a number of risks, including decreased control over the production process, which could lead to production delays or interruptions, and inferior product quality control. In addition, performance problems at these third-party providers could result in cost overruns, shortages or other problems, which could result in significant customer dissatisfaction and thereby materially affect our business, financial condition and results of operations.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If one or more of our third-party manufacturers becomes insolvent or unwilling to continue to manufacture products of acceptable quality, at acceptable costs, in a timely manner, our ability to deliver products to our customers could be significantly impaired. Substitute manufacturers might not be available or, if available, might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reliance on a limited base of suppliers may result in disruptions to our business and adversely affect our financial results.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rely on a limited number of suppliers for certain of our raw materials, product components and other necessary supplies, including certain of the active ingredients used in our products. If we are unable to maintain supplier arrangements and relationships, if we are unable to contract with suppliers at the quantity and quality levels needed for our business, or if any of our key suppliers becomes insolvent or experiences other financial distress, we could experience disruptions in production, which could have a material adverse effect on our financial results.</w:t>
      </w:r>
    </w:p>
    <w:p>
      <w:pPr>
        <w:spacing w:after="0" w:line="194"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5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Operations at our and our suppliers’ facilities are subject to disruption for a variety of reasons, including fire, flooding or other natural disasters, disease outbreaks or pandemics, acts of war, terrorism and work stoppages. A significant interruption in the operation of our or our suppliers’ facilities could significantly impact our capacity to produce products and service our retail customers in a timely manner, which could have a material adverse effect on our revenues, earnings and financial position. This is especially true for those products that we manufacture at a limited number of facilities, such as our fertilizer and liquid products in both the United States and Europe.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Adverse weather conditions could adversely impact financial results.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Weather conditions in North America and Europe can have a significant impact on the timing of sales in the spring selling season and overall annual sales. An abnormally wet and/or cold spring throughout North America or Europe, abnormally dry periods or droughts, and other severe weather conditions or events could adversely affect fertilizer, pesticide and insecticide sales and, therefore, our financial results.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indebtedness could limit our flexibility and adversely affect our financial condition.</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September 30, 2011, we had $795 million of debt. Our inability to meet restrictive financial and non-financial covenants associated with that debt could adversely affect our financial condition.</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ability to make payments on our indebtedness, fund planned capital expenditures and acquisitions, pay dividends and make share repurchases depends on our ability to generate cash in the future. This, to some extent, is subject to general economic, financial, competitive, legislative, regulatory and other factors that are beyond our control. We cannot assure you that our business will generate sufficient cash flow from operating activities or that future borrowings will be available to us under our credit facility in amounts sufficient to enable us to pay our indebtedness or to fund our other liquidity needs.</w:t>
      </w:r>
    </w:p>
    <w:p>
      <w:pPr>
        <w:spacing w:after="0" w:line="113"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Our credit facility, the indenture governing our 7.25% Senior Notes due 2018 (the “7.25% Senior Notes”) and the indenture governing our 6.625% Senior Notes due 2020 (the “6.625% Senior Notes” and, collectively with the 7.25% Senior Notes, the “Senior Notes”) contain restrictive covenants and cross-default provisions. In addition, our credit facility requires us to maintain specified financial ratios. Our ability to comply with those covenants and satisfy those financial ratios can be affected by events beyond our control. A breach of any of those financial ratio covenants or other covenants could result in a default. Upon the occurrence of such an event of default, the lenders could elect to declare all of the outstanding indebtedness immediately due and payable and terminate all commitments to extend further credit. We cannot assure you that our lenders would waive a default or that we could pay the indebtedness in full if it were accelerated.</w:t>
      </w:r>
    </w:p>
    <w:p>
      <w:pPr>
        <w:spacing w:after="0" w:line="14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Subject to compliance with certain covenants under our credit facility and the indentures governing our Senior Notes, we may incur additional debt in the future. If we incur additional debt, the risks described above could intensify.</w:t>
      </w:r>
    </w:p>
    <w:p>
      <w:pPr>
        <w:spacing w:after="0" w:line="21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51"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sponsor a number of defined benefit pension plans associated with our U.S. and international businesses, as well as a postretirement medical plan in the U.S. for certain retired associates and their dependents. The performance of the financial markets and changes in interest rates impact the funded status of these plans and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the expected long-term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international operations make us susceptible to the costs and risks associated with operating internationally.</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currently operate manufacturing, sales and service facilities outside of the United States, particularly in Canada, France, the United Kingdom and Germany. In fiscal 2011, international net sales, including Canada, accounted for approximately 18% of our total net sales. Accordingly, we are subject to risks associated with operating in foreign countries, including:</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the remittance of dividends and other payments by foreign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additional costs of compliance with local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historically, in certain countries, higher rates of inflation than in the United States;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economic conditions or consumer preferences or demand for our products in these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restrictive actions by multi-national governing bodies, foreign governments or subdivisions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labor laws and regulations affecting our ability to hire and retain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U.S. and foreign laws regarding trade and investment;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robust protection of our intellectual property under foreign laws;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in obtaining distribution and support for our products.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International business could adversely affect our results of operations, financial condition or cash flows in the future.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of our key information technology systems could adversely impact our ability to conduct business.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rely on information technology systems in order to conduct business, including communicating with employees and our key retail customers, ordering and managing materials from suppliers, shipping products to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retail customers could be significantly impaired, which may adversely impact our business.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and other proprietary rights that are material to our business.</w:t>
      </w:r>
    </w:p>
    <w:p>
      <w:pPr>
        <w:spacing w:after="0" w:line="9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ability to compete effectively depends in part on our rights to service marks, trademarks, trade names and other intellectual property rights we own or license, particularly our registered brand names and issued patents. We have not sought to register every one of our marks either in the United States or in every country in which they are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or results of operations.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under our recognized brand names, which could have a material adverse effect on our business, financial condition or results of operations.</w:t>
      </w:r>
    </w:p>
    <w:p>
      <w:pPr>
        <w:spacing w:after="0" w:line="197"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If Monsanto were to terminate the Marketing Agreement for consumer Roundup</w:t>
      </w:r>
      <w:r>
        <w:rPr>
          <w:rFonts w:ascii="Arial" w:cs="Arial" w:eastAsia="Arial" w:hAnsi="Arial"/>
          <w:sz w:val="11"/>
          <w:szCs w:val="11"/>
          <w:b w:val="1"/>
          <w:bCs w:val="1"/>
          <w:i w:val="1"/>
          <w:iCs w:val="1"/>
          <w:color w:val="auto"/>
        </w:rPr>
        <w:t>®</w:t>
      </w:r>
      <w:r>
        <w:rPr>
          <w:rFonts w:ascii="Arial" w:cs="Arial" w:eastAsia="Arial" w:hAnsi="Arial"/>
          <w:sz w:val="18"/>
          <w:szCs w:val="18"/>
          <w:b w:val="1"/>
          <w:bCs w:val="1"/>
          <w:i w:val="1"/>
          <w:iCs w:val="1"/>
          <w:color w:val="auto"/>
        </w:rPr>
        <w:t xml:space="preserve"> products, we would lose a substantial source of future earnings and overhead expense absorption.</w:t>
      </w:r>
    </w:p>
    <w:p>
      <w:pPr>
        <w:spacing w:after="0" w:line="51"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If we were to commit a serious default under the Marketing Agreement with Monsanto for consumer Roundup</w:t>
      </w:r>
      <w:r>
        <w:rPr>
          <w:rFonts w:ascii="Arial" w:cs="Arial" w:eastAsia="Arial" w:hAnsi="Arial"/>
          <w:sz w:val="11"/>
          <w:szCs w:val="11"/>
          <w:color w:val="auto"/>
        </w:rPr>
        <w:t>®</w:t>
      </w:r>
      <w:r>
        <w:rPr>
          <w:rFonts w:ascii="Arial" w:cs="Arial" w:eastAsia="Arial" w:hAnsi="Arial"/>
          <w:sz w:val="18"/>
          <w:szCs w:val="18"/>
          <w:color w:val="auto"/>
        </w:rPr>
        <w:t xml:space="preserve"> products, Monsanto may have the right to terminate the Marketing Agreement. If Monsanto were to terminate the Marketing Agreement for cause, we would not be entitled to any termination fee. Monsanto may also be able to terminate the Marketing Agreement within a given region, including North America, without paying us a termination fee if unit volume sales to consumers in that region decline: (i) over a cumulative three-fiscal-year period; or (ii) by more than 5% for each of two consecutive years. If the Marketing Agreement was terminated for any reason, we would also lose all, or a substantial portion, of the significant source of earnings and overhead expense absorption the Marketing Agreement provides.</w:t>
      </w:r>
    </w:p>
    <w:p>
      <w:pPr>
        <w:spacing w:after="0" w:line="225"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Hagedorn Partnership, L.P. beneficially owns approximately 30% of our common shares and can significantly influence decisions that require the approval of shareholders.</w:t>
      </w:r>
    </w:p>
    <w:p>
      <w:pPr>
        <w:spacing w:after="0" w:line="51"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Hagedorn Partnership, L.P. beneficially owned approximately 30% of our outstanding common shares on a fully diluted basis as of November 18, 2011. As a result, it has sufficient voting power to significantly influence the election of directors and the approval of other actions requiring the approval of our shareholders, including the entering into of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shares and voting control presently lies with Hagedorn Partnership, L.P. As such, it would be difficult for shareholders to propose and have approved proposals not supported by Hagedorn Partnership, L.P. Hagedorn Partnership, L.P. may have an interest in our pursuing transactions that it believes may enhance the value of its equity investment in us, even though such transactions may involve certain risks.</w:t>
      </w:r>
    </w:p>
    <w:p>
      <w:pPr>
        <w:spacing w:after="0" w:line="1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We may pursue acquisitions, dispositions, investments, dividends, share repurchases and/or other corporate transactions that we believe will maximize equity returns of our shareholders but may involve risks.</w:t>
      </w:r>
    </w:p>
    <w:p>
      <w:pPr>
        <w:spacing w:after="0" w:line="5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From time to time, we consider opportunities for acquisitions of businesses, product lines or other assets, potential dispositions and other strategic transactions. For example, in fiscal 2011 we sold our Global Professional business and acquired the assets of a growing media operator in Florida. These types of transactions may involve risks, such as risks of integration of acquired businesses and loss of cash flows and market positions of disposed businesses, the possibility that anticipated synergies from strategic acquisitions may not materialize, and the risk that sales of acquired products may not meet expectations.</w:t>
      </w:r>
    </w:p>
    <w:p>
      <w:pPr>
        <w:spacing w:after="0" w:line="11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addition, if our business performs according to our financial plan, subject to the discretion of our Board of Directors and to market and other conditions we may, over time, significantly increase the rate of dividends on, and the amount of repurchases of, our common shares. For example, in the fourth quarter of fiscal 2010 we doubled the amount of our quarterly cash dividend, and our Board of Directors authorized the repurchase of up to $500 million of Scotts Miracle-Gro common shares. In fiscal 2011 we increased the amount of our dividend by an additional 20% and our Board of Directors authorized the repurchase of up to an additional $200 million of our common shares. We may further increase the rate of dividends on, and the amount of repurchases of, our common shares in the future.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can be no assurance that we will effect any of these transactions or activities, but, if we do, certain risks may be increased, possibly materially.</w:t>
      </w:r>
    </w:p>
    <w:p>
      <w:pPr>
        <w:spacing w:after="0" w:line="31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6"/>
          <w:szCs w:val="16"/>
          <w:b w:val="1"/>
          <w:bCs w:val="1"/>
          <w:i w:val="1"/>
          <w:iCs w:val="1"/>
          <w:u w:val="single" w:color="auto"/>
          <w:color w:val="auto"/>
        </w:rPr>
        <w:t>UNRESOLVEDSTAFF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6"/>
          <w:szCs w:val="16"/>
          <w:b w:val="1"/>
          <w:bCs w:val="1"/>
          <w:i w:val="1"/>
          <w:iCs w:val="1"/>
          <w:u w:val="single" w:color="auto"/>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own or lease numerous facilities throughout the world to support our business operations:</w:t>
      </w:r>
    </w:p>
    <w:p>
      <w:pPr>
        <w:spacing w:after="0" w:line="90" w:lineRule="exact"/>
        <w:rPr>
          <w:sz w:val="20"/>
          <w:szCs w:val="20"/>
          <w:color w:val="auto"/>
        </w:rPr>
      </w:pPr>
    </w:p>
    <w:p>
      <w:pPr>
        <w:jc w:val="both"/>
        <w:ind w:left="900" w:hanging="325"/>
        <w:spacing w:after="0" w:line="290"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i w:val="1"/>
          <w:iCs w:val="1"/>
          <w:u w:val="single" w:color="auto"/>
          <w:color w:val="auto"/>
        </w:rPr>
        <w:t>Global Consumer</w:t>
      </w:r>
      <w:r>
        <w:rPr>
          <w:rFonts w:ascii="Arial" w:cs="Arial" w:eastAsia="Arial" w:hAnsi="Arial"/>
          <w:sz w:val="16"/>
          <w:szCs w:val="16"/>
          <w:i w:val="1"/>
          <w:iCs w:val="1"/>
          <w:color w:val="auto"/>
        </w:rPr>
        <w:t xml:space="preserve"> — </w:t>
      </w:r>
      <w:r>
        <w:rPr>
          <w:rFonts w:ascii="Arial" w:cs="Arial" w:eastAsia="Arial" w:hAnsi="Arial"/>
          <w:sz w:val="16"/>
          <w:szCs w:val="16"/>
          <w:color w:val="auto"/>
        </w:rPr>
        <w:t>We own manufacturing, distribution, research and development and office facilities in Marysville, Ohio; research facilities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Apopka, Florida and Gervais, Oregon; and production facilities in Pearl, Mississippi and Fort Madison, Iowa. We lease a spreader and other durable components manufacturing facility in Temecula, California. In addition, we operate 29 stand-alone growing media facilities in North America—24 of which are owned by the Company and five of which are leased. Most of these facilities include production lines, warehouses, offices and field processing areas. We also lease a fertilizer and growing media manufacturing facility and distribution center in Orrville, Ohio. We own four production facilities for our wild bird food operations in Indiana, South Dakota, South Carolina and Texas. We own a grass seed blending and bagging facility in Albany, Oregon.</w:t>
      </w:r>
    </w:p>
    <w:p>
      <w:pPr>
        <w:spacing w:after="0" w:line="37" w:lineRule="exact"/>
        <w:rPr>
          <w:sz w:val="20"/>
          <w:szCs w:val="20"/>
          <w:color w:val="auto"/>
        </w:rPr>
      </w:pPr>
    </w:p>
    <w:p>
      <w:pPr>
        <w:jc w:val="both"/>
        <w:ind w:left="920"/>
        <w:spacing w:after="0" w:line="291" w:lineRule="auto"/>
        <w:rPr>
          <w:sz w:val="20"/>
          <w:szCs w:val="20"/>
          <w:color w:val="auto"/>
        </w:rPr>
      </w:pPr>
      <w:r>
        <w:rPr>
          <w:rFonts w:ascii="Arial" w:cs="Arial" w:eastAsia="Arial" w:hAnsi="Arial"/>
          <w:sz w:val="16"/>
          <w:szCs w:val="16"/>
          <w:color w:val="auto"/>
        </w:rPr>
        <w:t>We lease facilities for the headquarters of our international business (which also serves as our local French operations office) in Ecully (Lyon), France. We own a blending and bagging facility for growing media in Hautmont, France and a plant in Bourth, France that we use for formulating, blending and packaging plant protection products. We own manufacturing facilities in Howden (East Yorkshire), Hatfield (South Yorkshire), Gretna Green (Gretna) and Sutton Bridge (Spalding), all in the United Kingdom. We own three peat extraction facilities in Scotland and we lease land for peat extraction at two additional locations across the United Kingdom. We lease research and development facilities in Morance (Rhone), France and Cobbitty (NSW), Australia, and we own a research and development facility in Levington (Ipswich), United Kingdom.</w:t>
      </w:r>
    </w:p>
    <w:p>
      <w:pPr>
        <w:spacing w:after="0" w:line="39" w:lineRule="exact"/>
        <w:rPr>
          <w:sz w:val="20"/>
          <w:szCs w:val="20"/>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u w:val="single" w:color="auto"/>
          <w:color w:val="auto"/>
        </w:rPr>
        <w:t>Scotts LawnService</w:t>
      </w:r>
      <w:r>
        <w:rPr>
          <w:rFonts w:ascii="Arial" w:cs="Arial" w:eastAsia="Arial" w:hAnsi="Arial"/>
          <w:sz w:val="11"/>
          <w:szCs w:val="11"/>
          <w:i w:val="1"/>
          <w:iCs w:val="1"/>
          <w:color w:val="auto"/>
        </w:rPr>
        <w:t>®</w:t>
      </w:r>
      <w:r>
        <w:rPr>
          <w:rFonts w:ascii="Arial" w:cs="Arial" w:eastAsia="Arial" w:hAnsi="Arial"/>
          <w:sz w:val="18"/>
          <w:szCs w:val="18"/>
          <w:i w:val="1"/>
          <w:iCs w:val="1"/>
          <w:color w:val="auto"/>
        </w:rPr>
        <w:t xml:space="preserve"> — </w:t>
      </w:r>
      <w:r>
        <w:rPr>
          <w:rFonts w:ascii="Arial" w:cs="Arial" w:eastAsia="Arial" w:hAnsi="Arial"/>
          <w:sz w:val="18"/>
          <w:szCs w:val="18"/>
          <w:color w:val="auto"/>
        </w:rPr>
        <w:t>We lease facilities for each of our 83 Company-operated Scotts LawnService</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locations. The facilities are primarily located</w:t>
      </w:r>
      <w:r>
        <w:rPr>
          <w:rFonts w:ascii="Arial" w:cs="Arial" w:eastAsia="Arial" w:hAnsi="Arial"/>
          <w:sz w:val="18"/>
          <w:szCs w:val="18"/>
          <w:i w:val="1"/>
          <w:iCs w:val="1"/>
          <w:color w:val="auto"/>
        </w:rPr>
        <w:t xml:space="preserve"> </w:t>
      </w:r>
      <w:r>
        <w:rPr>
          <w:rFonts w:ascii="Arial" w:cs="Arial" w:eastAsia="Arial" w:hAnsi="Arial"/>
          <w:sz w:val="18"/>
          <w:szCs w:val="18"/>
          <w:color w:val="auto"/>
        </w:rPr>
        <w:t>in industrial parks.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corporate headquarters are located in Marysville, Ohio, where we own or lease approximately 750 acres. We also lease office space for sales, marketing and general operating activities as well as warehouse space throughout North America and continental Europe as needed. We believe that our facilities are adequate to serve their intended purposes and that our property leasing arrangements are satisfactory.</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i w:val="1"/>
          <w:iCs w:val="1"/>
          <w:u w:val="single" w:color="auto"/>
          <w:color w:val="auto"/>
        </w:rPr>
        <w:t>LEGAL PROCEEDINGS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As noted in the discussion in “ITEM 1. BUSINESS—Regulatory Considerations—FIFRA Compliance, the Corresponding Governmental Investigations and Similar Matters” and “ITEM 1. BUSINESS—Regulatory Considerations—Other Regulatory Matters” of this Annual Report on Form 10-K, we are involved in several pending environmental and regulatory matters. We believe that our assessment of contingencies is reasonable and that related reserves, in the aggregate, are adequate; however, there can be no assurance that the final resolution of these matters will not have a material effect on our financial condition, results of operations or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FIFRA Compliance, the Corresponding Governmental Investigations and Similar Matters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Information with respect to the ongoing investigations and a discussion of the costs and expenses related to such matters is hereby incorporated by reference to “NOTE 3. PRODUCT REGISTRATION AND RECALL MATTERS” of the Notes to Consolidated Financial Statements included in this Annual Report on Form 10-K.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Regulatory Matters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or about October 28, 2011, the Pennsylvania Department of Environmental Protection sent a letter to SLS alleging that on June 30 and July 1, 2010, an SLS employee discharged industrial waste into the waters of the Commonwealth in violation of the Clean Streams Law and the Solid Waste Management Act. The letter indicated that the Department is willing to accept a civil penalty of $200,000 to resolve the matter in lieu of a civil penalty action. We are in the process of formulating our response to the Department.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Pending Significant Legal Proceedings</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have been named as a defendant in a number of cases alleging injuries that the lawsuits claim resulted from exposure to asbestos-containing products, apparently based on our historic use of vermiculite in certain of our products. In many of these cases, the complaints are not specific about the plaintiffs’ contacts with us or our products. None of the claims seek damages from us alone. We believe that the claims against us are without merit and are vigorously defending against them. It is not currently possible to reasonably estimate a probable loss, if any, associated with the cases and, accordingly, no accrual or reserves have been recorded in our consolidated financial statements. We are reviewing agreements and policies that may provide insurance coverage or indemnity as to these claims and are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our financial condition, results of operations or cash flows.</w:t>
      </w:r>
    </w:p>
    <w:p>
      <w:pPr>
        <w:spacing w:after="0" w:line="1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April 27, 2007, we received a proposed Order On Consent from the New York State Department of Environmental Conservation (the “Proposed Order”) alleging that, during calendar year 2003, we and James Hagedorn, individually and as Chairman of the Board and Chief Executive Officer of the Company, unlawfully donated to a Port Washington, New York youth sports organization 40 bags of Scotts</w:t>
      </w:r>
      <w:r>
        <w:rPr>
          <w:rFonts w:ascii="Arial" w:cs="Arial" w:eastAsia="Arial" w:hAnsi="Arial"/>
          <w:sz w:val="10"/>
          <w:szCs w:val="10"/>
          <w:color w:val="auto"/>
        </w:rPr>
        <w:t>®</w:t>
      </w:r>
      <w:r>
        <w:rPr>
          <w:rFonts w:ascii="Arial" w:cs="Arial" w:eastAsia="Arial" w:hAnsi="Arial"/>
          <w:sz w:val="16"/>
          <w:szCs w:val="16"/>
          <w:color w:val="auto"/>
        </w:rPr>
        <w:t xml:space="preserve"> LawnPro</w:t>
      </w:r>
      <w:r>
        <w:rPr>
          <w:rFonts w:ascii="Arial" w:cs="Arial" w:eastAsia="Arial" w:hAnsi="Arial"/>
          <w:sz w:val="10"/>
          <w:szCs w:val="10"/>
          <w:color w:val="auto"/>
        </w:rPr>
        <w:t>®</w:t>
      </w:r>
      <w:r>
        <w:rPr>
          <w:rFonts w:ascii="Arial" w:cs="Arial" w:eastAsia="Arial" w:hAnsi="Arial"/>
          <w:sz w:val="16"/>
          <w:szCs w:val="16"/>
          <w:color w:val="auto"/>
        </w:rPr>
        <w:t xml:space="preserve"> Annual Program Step 3 Insect Control Plus Fertilizer which, while federally registered, was allegedly not registered in the state of New York. The Proposed Order requests penalties totaling $695,000. We have responded in writing to the New York State Department of Environmental Conservation and are awaiting a response.</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are involved in other lawsuits and claims which arise in the normal course of our business. In our opinion, these claims individually and in the aggregate are not expected to result in a material effect on our financial condition, results of operations or cash flows.</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i w:val="1"/>
          <w:iCs w:val="1"/>
          <w:u w:val="single" w:color="auto"/>
          <w:color w:val="auto"/>
        </w:rPr>
        <w:t>(REMOVED AND RESERVED)</w:t>
      </w:r>
    </w:p>
    <w:p>
      <w:pPr>
        <w:spacing w:after="0" w:line="90"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b w:val="1"/>
          <w:bCs w:val="1"/>
          <w:u w:val="single" w:color="auto"/>
          <w:color w:val="auto"/>
        </w:rPr>
        <w:t>SUPPLEMENTAL ITEM.</w:t>
      </w:r>
      <w:r>
        <w:rPr>
          <w:sz w:val="20"/>
          <w:szCs w:val="20"/>
          <w:color w:val="auto"/>
        </w:rPr>
        <w:tab/>
      </w:r>
      <w:r>
        <w:rPr>
          <w:rFonts w:ascii="Arial" w:cs="Arial" w:eastAsia="Arial" w:hAnsi="Arial"/>
          <w:sz w:val="16"/>
          <w:szCs w:val="16"/>
          <w:b w:val="1"/>
          <w:bCs w:val="1"/>
          <w:i w:val="1"/>
          <w:iCs w:val="1"/>
          <w:u w:val="single" w:color="auto"/>
          <w:color w:val="auto"/>
        </w:rPr>
        <w:t>EXECUTIVE OFFICERS OF THE REGISTRANT</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executive officers of Scotts Miracle-Gro, their positions and, as of November 18, 2011, their ages and years with Scotts Miracle-Gro (and its predecessors) are set forth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6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Position(s) Held</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 with</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76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w w:val="83"/>
              </w:rPr>
              <w:t>Age</w:t>
            </w:r>
          </w:p>
        </w:tc>
        <w:tc>
          <w:tcPr>
            <w:tcW w:w="6060" w:type="dxa"/>
            <w:vAlign w:val="bottom"/>
            <w:gridSpan w:val="2"/>
            <w:vMerge w:val="continue"/>
          </w:tcPr>
          <w:p>
            <w:pPr>
              <w:spacing w:after="0"/>
              <w:rPr>
                <w:sz w:val="14"/>
                <w:szCs w:val="14"/>
                <w:color w:val="auto"/>
              </w:rPr>
            </w:pPr>
          </w:p>
        </w:tc>
        <w:tc>
          <w:tcPr>
            <w:tcW w:w="7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203"/>
        </w:trPr>
        <w:tc>
          <w:tcPr>
            <w:tcW w:w="38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Hagedorn</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520" w:type="dxa"/>
            <w:vAlign w:val="bottom"/>
            <w:tcBorders>
              <w:top w:val="single" w:sz="8" w:color="CCEEFF"/>
            </w:tcBorders>
            <w:shd w:val="clear" w:color="auto" w:fill="CCEEFF"/>
          </w:tcPr>
          <w:p>
            <w:pPr>
              <w:spacing w:after="0"/>
              <w:rPr>
                <w:sz w:val="17"/>
                <w:szCs w:val="17"/>
                <w:color w:val="auto"/>
              </w:rPr>
            </w:pPr>
          </w:p>
        </w:tc>
        <w:tc>
          <w:tcPr>
            <w:tcW w:w="5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and Chairman of the Board</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Barry W. Sanders</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5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C. Evans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Chief Financial Officer and Executive Vice President, Strategy and Business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Development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Denise S. Stump</w:t>
            </w:r>
          </w:p>
        </w:tc>
        <w:tc>
          <w:tcPr>
            <w:tcW w:w="240" w:type="dxa"/>
            <w:vAlign w:val="bottom"/>
          </w:tcPr>
          <w:p>
            <w:pPr>
              <w:jc w:val="right"/>
              <w:spacing w:after="0"/>
              <w:rPr>
                <w:sz w:val="20"/>
                <w:szCs w:val="20"/>
                <w:color w:val="auto"/>
              </w:rPr>
            </w:pPr>
            <w:r>
              <w:rPr>
                <w:rFonts w:ascii="Arial" w:cs="Arial" w:eastAsia="Arial" w:hAnsi="Arial"/>
                <w:sz w:val="18"/>
                <w:szCs w:val="18"/>
                <w:color w:val="auto"/>
              </w:rPr>
              <w:t>57</w:t>
            </w:r>
          </w:p>
        </w:tc>
        <w:tc>
          <w:tcPr>
            <w:tcW w:w="5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Executive Vice President, Global Human Resources</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Vincent C. Brockman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General Counsel,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Secretary and Chief Ethics &amp; Compliance Officer</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880" w:type="dxa"/>
            <w:vAlign w:val="bottom"/>
            <w:gridSpan w:val="2"/>
          </w:tcPr>
          <w:p>
            <w:pPr>
              <w:spacing w:after="0"/>
              <w:rPr>
                <w:sz w:val="20"/>
                <w:szCs w:val="20"/>
                <w:color w:val="auto"/>
              </w:rPr>
            </w:pPr>
            <w:r>
              <w:rPr>
                <w:rFonts w:ascii="Arial" w:cs="Arial" w:eastAsia="Arial" w:hAnsi="Arial"/>
                <w:sz w:val="18"/>
                <w:szCs w:val="18"/>
                <w:color w:val="auto"/>
              </w:rPr>
              <w:t>James R. Lyski</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Executive Vice President, Chief Marketing Officer</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40" w:type="dxa"/>
            <w:vAlign w:val="bottom"/>
          </w:tcPr>
          <w:p>
            <w:pPr>
              <w:ind w:left="980"/>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Executive officers serve at the discretion of the Board of Directors of Scotts Miracle-Gro and pursuant to employment agreements or other arrangements.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business experience of each of the individuals listed above during at least the past five years is as follows:</w:t>
      </w:r>
    </w:p>
    <w:p>
      <w:pPr>
        <w:spacing w:after="0" w:line="90" w:lineRule="exact"/>
        <w:rPr>
          <w:sz w:val="20"/>
          <w:szCs w:val="20"/>
          <w:color w:val="auto"/>
        </w:rPr>
      </w:pPr>
    </w:p>
    <w:p>
      <w:pPr>
        <w:jc w:val="both"/>
        <w:ind w:left="460" w:firstLine="438"/>
        <w:spacing w:after="0" w:line="298" w:lineRule="auto"/>
        <w:rPr>
          <w:sz w:val="20"/>
          <w:szCs w:val="20"/>
          <w:color w:val="auto"/>
        </w:rPr>
      </w:pPr>
      <w:r>
        <w:rPr>
          <w:rFonts w:ascii="Arial" w:cs="Arial" w:eastAsia="Arial" w:hAnsi="Arial"/>
          <w:sz w:val="16"/>
          <w:szCs w:val="16"/>
          <w:i w:val="1"/>
          <w:iCs w:val="1"/>
          <w:color w:val="auto"/>
        </w:rPr>
        <w:t xml:space="preserve">Mr. Hagedorn </w:t>
      </w:r>
      <w:r>
        <w:rPr>
          <w:rFonts w:ascii="Arial" w:cs="Arial" w:eastAsia="Arial" w:hAnsi="Arial"/>
          <w:sz w:val="16"/>
          <w:szCs w:val="16"/>
          <w:color w:val="auto"/>
        </w:rPr>
        <w:t>was named Chairman of the Board of Scotts Miracle-Gro’s predecessor in January 2003 and named Chief Executive Officer of Scotts</w:t>
      </w:r>
      <w:r>
        <w:rPr>
          <w:rFonts w:ascii="Arial" w:cs="Arial" w:eastAsia="Arial" w:hAnsi="Arial"/>
          <w:sz w:val="16"/>
          <w:szCs w:val="16"/>
          <w:i w:val="1"/>
          <w:iCs w:val="1"/>
          <w:color w:val="auto"/>
        </w:rPr>
        <w:t xml:space="preserve"> </w:t>
      </w:r>
      <w:r>
        <w:rPr>
          <w:rFonts w:ascii="Arial" w:cs="Arial" w:eastAsia="Arial" w:hAnsi="Arial"/>
          <w:sz w:val="16"/>
          <w:szCs w:val="16"/>
          <w:color w:val="auto"/>
        </w:rPr>
        <w:t>Miracle-Gro’s predecessor in May 2001. He also served as President of Scotts Miracle-Gro (or its predecessor) from November 2006 until October 2008 and from May 2001 until December 2005. Mr. Hagedorn serves on Scotts Miracle-Gro’s Board of Directors, a position he has held with Scotts Miracle-Gro (or its predecessor) since 1995. Mr. Hagedorn is the brother of Katherine Hagedorn Littlefield, a director of Scotts Miracle-Gro.</w:t>
      </w:r>
    </w:p>
    <w:p>
      <w:pPr>
        <w:spacing w:after="0" w:line="32" w:lineRule="exact"/>
        <w:rPr>
          <w:sz w:val="20"/>
          <w:szCs w:val="20"/>
          <w:color w:val="auto"/>
        </w:rPr>
      </w:pPr>
    </w:p>
    <w:p>
      <w:pPr>
        <w:jc w:val="both"/>
        <w:ind w:left="460" w:firstLine="438"/>
        <w:spacing w:after="0" w:line="291" w:lineRule="auto"/>
        <w:rPr>
          <w:sz w:val="20"/>
          <w:szCs w:val="20"/>
          <w:color w:val="auto"/>
        </w:rPr>
      </w:pPr>
      <w:r>
        <w:rPr>
          <w:rFonts w:ascii="Arial" w:cs="Arial" w:eastAsia="Arial" w:hAnsi="Arial"/>
          <w:sz w:val="16"/>
          <w:szCs w:val="16"/>
          <w:i w:val="1"/>
          <w:iCs w:val="1"/>
          <w:color w:val="auto"/>
        </w:rPr>
        <w:t xml:space="preserve">Mr. Sanders </w:t>
      </w:r>
      <w:r>
        <w:rPr>
          <w:rFonts w:ascii="Arial" w:cs="Arial" w:eastAsia="Arial" w:hAnsi="Arial"/>
          <w:sz w:val="16"/>
          <w:szCs w:val="16"/>
          <w:color w:val="auto"/>
        </w:rPr>
        <w:t>was named President of Scotts Miracle-Gro in October 2010. In this position, Mr. Sanders oversees all business unit and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functions at the Company. Prior to his election as President, Mr. Sanders had served as the Company’s Executive Vice President, Global Consumer since June 2010. Previously, he served as Executive Vice President, North America of Scotts Miracle-Gro from September 2007 until May 2010. He served as Executive Vice President of Global Technology and Operations of Scotts Miracle-Gro from January to September 2007, where he was responsible for the Company’s supply chain and information systems, as well as research and development efforts. Before January 2007, he led the North American and global supply chain organizations as well as the North American sales force.</w:t>
      </w:r>
    </w:p>
    <w:p>
      <w:pPr>
        <w:spacing w:after="0" w:line="39"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i w:val="1"/>
          <w:iCs w:val="1"/>
          <w:color w:val="auto"/>
        </w:rPr>
        <w:t xml:space="preserve">Mr. Evans </w:t>
      </w:r>
      <w:r>
        <w:rPr>
          <w:rFonts w:ascii="Arial" w:cs="Arial" w:eastAsia="Arial" w:hAnsi="Arial"/>
          <w:sz w:val="16"/>
          <w:szCs w:val="16"/>
          <w:color w:val="auto"/>
        </w:rPr>
        <w:t>was named Chief Financial Officer and Executive Vice President, Strategy and Business Development of Scotts Miracle-Gro on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2011. Prior to that, he had served as Executive Vice President and Chief Financial Officer of Scotts Miracle-Gro since September 2006. From October 2005 to September 2006, he served as Senior Vice President, Finance and Global Shared Services of The Scotts Company LLC (“Scotts LLC”).</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 xml:space="preserve">Ms. Stump </w:t>
      </w:r>
      <w:r>
        <w:rPr>
          <w:rFonts w:ascii="Arial" w:cs="Arial" w:eastAsia="Arial" w:hAnsi="Arial"/>
          <w:sz w:val="16"/>
          <w:szCs w:val="16"/>
          <w:color w:val="auto"/>
        </w:rPr>
        <w:t>has served as Executive Vice President, Global Human Resources of Scotts Miracle-Gro (or its predecessor) since February 2003.</w:t>
      </w:r>
    </w:p>
    <w:p>
      <w:pPr>
        <w:spacing w:after="0" w:line="113" w:lineRule="exact"/>
        <w:rPr>
          <w:sz w:val="20"/>
          <w:szCs w:val="20"/>
          <w:color w:val="auto"/>
        </w:rPr>
      </w:pPr>
    </w:p>
    <w:p>
      <w:pPr>
        <w:jc w:val="both"/>
        <w:ind w:left="460" w:firstLine="438"/>
        <w:spacing w:after="0" w:line="256" w:lineRule="auto"/>
        <w:rPr>
          <w:sz w:val="20"/>
          <w:szCs w:val="20"/>
          <w:color w:val="auto"/>
        </w:rPr>
      </w:pPr>
      <w:r>
        <w:rPr>
          <w:rFonts w:ascii="Arial" w:cs="Arial" w:eastAsia="Arial" w:hAnsi="Arial"/>
          <w:sz w:val="18"/>
          <w:szCs w:val="18"/>
          <w:i w:val="1"/>
          <w:iCs w:val="1"/>
          <w:color w:val="auto"/>
        </w:rPr>
        <w:t xml:space="preserve">Mr. Brockman </w:t>
      </w:r>
      <w:r>
        <w:rPr>
          <w:rFonts w:ascii="Arial" w:cs="Arial" w:eastAsia="Arial" w:hAnsi="Arial"/>
          <w:sz w:val="18"/>
          <w:szCs w:val="18"/>
          <w:color w:val="auto"/>
        </w:rPr>
        <w:t>was named Executive Vice President, General Counsel and Corporate Secretary of Scotts Miracle-Gro in January 2008 and was also</w:t>
      </w:r>
      <w:r>
        <w:rPr>
          <w:rFonts w:ascii="Arial" w:cs="Arial" w:eastAsia="Arial" w:hAnsi="Arial"/>
          <w:sz w:val="18"/>
          <w:szCs w:val="18"/>
          <w:i w:val="1"/>
          <w:iCs w:val="1"/>
          <w:color w:val="auto"/>
        </w:rPr>
        <w:t xml:space="preserve"> </w:t>
      </w:r>
      <w:r>
        <w:rPr>
          <w:rFonts w:ascii="Arial" w:cs="Arial" w:eastAsia="Arial" w:hAnsi="Arial"/>
          <w:sz w:val="18"/>
          <w:szCs w:val="18"/>
          <w:color w:val="auto"/>
        </w:rPr>
        <w:t>named Chief Ethics &amp; Compliance Officer in May 2009. From April 2006 until January 2008, he served as Chief Ethics &amp; Compliance Officer and Chief Administrative Officer of Scotts LLC. Prior to April 2006, he had served as Chief Ethics &amp; Compliance Officer of Scotts LLC (or its predecessor) since 2004.</w:t>
      </w:r>
    </w:p>
    <w:p>
      <w:pPr>
        <w:spacing w:after="0" w:line="62" w:lineRule="exact"/>
        <w:rPr>
          <w:sz w:val="20"/>
          <w:szCs w:val="20"/>
          <w:color w:val="auto"/>
        </w:rPr>
      </w:pPr>
    </w:p>
    <w:p>
      <w:pPr>
        <w:jc w:val="both"/>
        <w:ind w:left="460" w:firstLine="438"/>
        <w:spacing w:after="0" w:line="298" w:lineRule="auto"/>
        <w:rPr>
          <w:sz w:val="20"/>
          <w:szCs w:val="20"/>
          <w:color w:val="auto"/>
        </w:rPr>
      </w:pPr>
      <w:r>
        <w:rPr>
          <w:rFonts w:ascii="Arial" w:cs="Arial" w:eastAsia="Arial" w:hAnsi="Arial"/>
          <w:sz w:val="16"/>
          <w:szCs w:val="16"/>
          <w:i w:val="1"/>
          <w:iCs w:val="1"/>
          <w:color w:val="auto"/>
        </w:rPr>
        <w:t xml:space="preserve">Mr. Lyski </w:t>
      </w:r>
      <w:r>
        <w:rPr>
          <w:rFonts w:ascii="Arial" w:cs="Arial" w:eastAsia="Arial" w:hAnsi="Arial"/>
          <w:sz w:val="16"/>
          <w:szCs w:val="16"/>
          <w:color w:val="auto"/>
        </w:rPr>
        <w:t>was named Executive Vice President, Chief Marketing Officer of Scotts Miracle-Gro on April 1, 2011. He had previously served as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Chief Marketing Officer since February 2011. Prior to joining Scotts Miracle-Gro, Mr. Lyski served as Executive Vice President, Chief Marketing Officer for Nationwide Mutual Insurance Company from October 2006 until January 2011, where he was responsible for corporate strategy, corporate marketing, brand management, advertising and communications. Mr. Lyski serves as President of the Board of Trustees for the Wexner Center Foundation.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u w:val="single" w:color="auto"/>
          <w:color w:val="auto"/>
        </w:rPr>
        <w:t xml:space="preserve">ITEM 5. </w:t>
      </w:r>
      <w:r>
        <w:rPr>
          <w:rFonts w:ascii="Arial" w:cs="Arial" w:eastAsia="Arial" w:hAnsi="Arial"/>
          <w:sz w:val="18"/>
          <w:szCs w:val="18"/>
          <w:b w:val="1"/>
          <w:bCs w:val="1"/>
          <w:i w:val="1"/>
          <w:iCs w:val="1"/>
          <w:u w:val="single" w:color="auto"/>
          <w:color w:val="auto"/>
        </w:rPr>
        <w:t>MARKET FOR REGISTRANT’S COMMON EQUITY, RELATED STOCKHOLDER MATTERS AND ISSUER PURCHASES OF EQUITY</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i w:val="1"/>
          <w:iCs w:val="1"/>
          <w:u w:val="single" w:color="auto"/>
          <w:color w:val="auto"/>
        </w:rPr>
        <w:t>SECURITIES</w:t>
      </w:r>
    </w:p>
    <w:p>
      <w:pPr>
        <w:spacing w:after="0" w:line="4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common shares of Scotts Miracle-Gro (the “Common Shares”) trade on the New York Stock Exchange under the symbol “SMG.” The quarterly high and low sale prices for the fiscal years ended September 30, 2011 and 2010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700" w:type="dxa"/>
            <w:vAlign w:val="bottom"/>
            <w:gridSpan w:val="4"/>
          </w:tcPr>
          <w:p>
            <w:pPr>
              <w:ind w:left="480"/>
              <w:spacing w:after="0"/>
              <w:rPr>
                <w:sz w:val="20"/>
                <w:szCs w:val="20"/>
                <w:color w:val="auto"/>
              </w:rPr>
            </w:pPr>
            <w:r>
              <w:rPr>
                <w:rFonts w:ascii="Arial" w:cs="Arial" w:eastAsia="Arial" w:hAnsi="Arial"/>
                <w:sz w:val="14"/>
                <w:szCs w:val="14"/>
                <w:b w:val="1"/>
                <w:bCs w:val="1"/>
                <w:color w:val="auto"/>
              </w:rPr>
              <w:t>Sale Prices</w:t>
            </w:r>
          </w:p>
        </w:tc>
      </w:tr>
      <w:tr>
        <w:trPr>
          <w:trHeight w:val="142"/>
        </w:trPr>
        <w:tc>
          <w:tcPr>
            <w:tcW w:w="402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High</w:t>
            </w:r>
          </w:p>
        </w:tc>
        <w:tc>
          <w:tcPr>
            <w:tcW w:w="60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Low</w:t>
            </w:r>
          </w:p>
        </w:tc>
        <w:tc>
          <w:tcPr>
            <w:tcW w:w="100" w:type="dxa"/>
            <w:vAlign w:val="bottom"/>
            <w:tcBorders>
              <w:bottom w:val="single" w:sz="8" w:color="CCEEFF"/>
            </w:tcBorders>
          </w:tcPr>
          <w:p>
            <w:pPr>
              <w:spacing w:after="0"/>
              <w:rPr>
                <w:sz w:val="12"/>
                <w:szCs w:val="12"/>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FISCAL 2011</w:t>
            </w:r>
          </w:p>
        </w:tc>
        <w:tc>
          <w:tcPr>
            <w:tcW w:w="2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First quarter</w:t>
            </w:r>
          </w:p>
        </w:tc>
        <w:tc>
          <w:tcPr>
            <w:tcW w:w="3460" w:type="dxa"/>
            <w:vAlign w:val="bottom"/>
            <w:gridSpan w:val="2"/>
          </w:tcPr>
          <w:p>
            <w:pPr>
              <w:jc w:val="center"/>
              <w:ind w:left="2832"/>
              <w:spacing w:after="0"/>
              <w:rPr>
                <w:sz w:val="20"/>
                <w:szCs w:val="20"/>
                <w:color w:val="auto"/>
              </w:rPr>
            </w:pPr>
            <w:r>
              <w:rPr>
                <w:rFonts w:ascii="Arial" w:cs="Arial" w:eastAsia="Arial" w:hAnsi="Arial"/>
                <w:sz w:val="18"/>
                <w:szCs w:val="18"/>
                <w:color w:val="auto"/>
                <w:w w:val="90"/>
              </w:rPr>
              <w:t>$54.99</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$49.25</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460" w:type="dxa"/>
            <w:vAlign w:val="bottom"/>
            <w:gridSpan w:val="2"/>
            <w:shd w:val="clear" w:color="auto" w:fill="CCEEFF"/>
          </w:tcPr>
          <w:p>
            <w:pPr>
              <w:jc w:val="center"/>
              <w:ind w:left="2832"/>
              <w:spacing w:after="0"/>
              <w:rPr>
                <w:sz w:val="20"/>
                <w:szCs w:val="20"/>
                <w:color w:val="auto"/>
              </w:rPr>
            </w:pPr>
            <w:r>
              <w:rPr>
                <w:rFonts w:ascii="Arial" w:cs="Arial" w:eastAsia="Arial" w:hAnsi="Arial"/>
                <w:sz w:val="18"/>
                <w:szCs w:val="18"/>
                <w:color w:val="auto"/>
                <w:w w:val="90"/>
              </w:rPr>
              <w:t>$58.74</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$48.99</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Third quarter</w:t>
            </w:r>
          </w:p>
        </w:tc>
        <w:tc>
          <w:tcPr>
            <w:tcW w:w="3460" w:type="dxa"/>
            <w:vAlign w:val="bottom"/>
            <w:gridSpan w:val="2"/>
          </w:tcPr>
          <w:p>
            <w:pPr>
              <w:jc w:val="center"/>
              <w:ind w:left="2832"/>
              <w:spacing w:after="0"/>
              <w:rPr>
                <w:sz w:val="20"/>
                <w:szCs w:val="20"/>
                <w:color w:val="auto"/>
              </w:rPr>
            </w:pPr>
            <w:r>
              <w:rPr>
                <w:rFonts w:ascii="Arial" w:cs="Arial" w:eastAsia="Arial" w:hAnsi="Arial"/>
                <w:sz w:val="18"/>
                <w:szCs w:val="18"/>
                <w:color w:val="auto"/>
                <w:w w:val="90"/>
              </w:rPr>
              <w:t>$60.62</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$48.52</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460" w:type="dxa"/>
            <w:vAlign w:val="bottom"/>
            <w:gridSpan w:val="2"/>
            <w:shd w:val="clear" w:color="auto" w:fill="CCEEFF"/>
          </w:tcPr>
          <w:p>
            <w:pPr>
              <w:jc w:val="center"/>
              <w:ind w:left="2832"/>
              <w:spacing w:after="0"/>
              <w:rPr>
                <w:sz w:val="20"/>
                <w:szCs w:val="20"/>
                <w:color w:val="auto"/>
              </w:rPr>
            </w:pPr>
            <w:r>
              <w:rPr>
                <w:rFonts w:ascii="Arial" w:cs="Arial" w:eastAsia="Arial" w:hAnsi="Arial"/>
                <w:sz w:val="18"/>
                <w:szCs w:val="18"/>
                <w:color w:val="auto"/>
                <w:w w:val="90"/>
              </w:rPr>
              <w:t>$52.17</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$39.99</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FISCAL 2010</w:t>
            </w:r>
          </w:p>
        </w:tc>
        <w:tc>
          <w:tcPr>
            <w:tcW w:w="2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460" w:type="dxa"/>
            <w:vAlign w:val="bottom"/>
            <w:gridSpan w:val="2"/>
            <w:shd w:val="clear" w:color="auto" w:fill="CCEEFF"/>
          </w:tcPr>
          <w:p>
            <w:pPr>
              <w:jc w:val="center"/>
              <w:ind w:left="2832"/>
              <w:spacing w:after="0"/>
              <w:rPr>
                <w:sz w:val="20"/>
                <w:szCs w:val="20"/>
                <w:color w:val="auto"/>
              </w:rPr>
            </w:pPr>
            <w:r>
              <w:rPr>
                <w:rFonts w:ascii="Arial" w:cs="Arial" w:eastAsia="Arial" w:hAnsi="Arial"/>
                <w:sz w:val="18"/>
                <w:szCs w:val="18"/>
                <w:color w:val="auto"/>
                <w:w w:val="90"/>
              </w:rPr>
              <w:t>$44.14</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$38.52</w:t>
            </w: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Second quarter</w:t>
            </w:r>
          </w:p>
        </w:tc>
        <w:tc>
          <w:tcPr>
            <w:tcW w:w="3460" w:type="dxa"/>
            <w:vAlign w:val="bottom"/>
            <w:gridSpan w:val="2"/>
          </w:tcPr>
          <w:p>
            <w:pPr>
              <w:jc w:val="center"/>
              <w:ind w:left="2832"/>
              <w:spacing w:after="0"/>
              <w:rPr>
                <w:sz w:val="20"/>
                <w:szCs w:val="20"/>
                <w:color w:val="auto"/>
              </w:rPr>
            </w:pPr>
            <w:r>
              <w:rPr>
                <w:rFonts w:ascii="Arial" w:cs="Arial" w:eastAsia="Arial" w:hAnsi="Arial"/>
                <w:sz w:val="18"/>
                <w:szCs w:val="18"/>
                <w:color w:val="auto"/>
                <w:w w:val="90"/>
              </w:rPr>
              <w:t>$46.94</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$37.50</w:t>
            </w: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460" w:type="dxa"/>
            <w:vAlign w:val="bottom"/>
            <w:gridSpan w:val="2"/>
            <w:shd w:val="clear" w:color="auto" w:fill="CCEEFF"/>
          </w:tcPr>
          <w:p>
            <w:pPr>
              <w:jc w:val="center"/>
              <w:ind w:left="2832"/>
              <w:spacing w:after="0"/>
              <w:rPr>
                <w:sz w:val="20"/>
                <w:szCs w:val="20"/>
                <w:color w:val="auto"/>
              </w:rPr>
            </w:pPr>
            <w:r>
              <w:rPr>
                <w:rFonts w:ascii="Arial" w:cs="Arial" w:eastAsia="Arial" w:hAnsi="Arial"/>
                <w:sz w:val="18"/>
                <w:szCs w:val="18"/>
                <w:color w:val="auto"/>
                <w:w w:val="90"/>
              </w:rPr>
              <w:t>$49.58</w:t>
            </w:r>
          </w:p>
        </w:tc>
        <w:tc>
          <w:tcPr>
            <w:tcW w:w="110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90"/>
              </w:rPr>
              <w:t>$42.03</w:t>
            </w:r>
          </w:p>
        </w:tc>
        <w:tc>
          <w:tcPr>
            <w:tcW w:w="100" w:type="dxa"/>
            <w:vAlign w:val="bottom"/>
            <w:shd w:val="clear" w:color="auto" w:fill="CCEEFF"/>
          </w:tcPr>
          <w:p>
            <w:pPr>
              <w:spacing w:after="0"/>
              <w:rPr>
                <w:sz w:val="18"/>
                <w:szCs w:val="18"/>
                <w:color w:val="auto"/>
              </w:rPr>
            </w:pPr>
          </w:p>
        </w:tc>
      </w:tr>
      <w:tr>
        <w:trPr>
          <w:trHeight w:val="222"/>
        </w:trPr>
        <w:tc>
          <w:tcPr>
            <w:tcW w:w="4020" w:type="dxa"/>
            <w:vAlign w:val="bottom"/>
          </w:tcPr>
          <w:p>
            <w:pPr>
              <w:spacing w:after="0"/>
              <w:rPr>
                <w:sz w:val="20"/>
                <w:szCs w:val="20"/>
                <w:color w:val="auto"/>
              </w:rPr>
            </w:pPr>
            <w:r>
              <w:rPr>
                <w:rFonts w:ascii="Arial" w:cs="Arial" w:eastAsia="Arial" w:hAnsi="Arial"/>
                <w:sz w:val="18"/>
                <w:szCs w:val="18"/>
                <w:color w:val="auto"/>
              </w:rPr>
              <w:t>Fourth quarter</w:t>
            </w:r>
          </w:p>
        </w:tc>
        <w:tc>
          <w:tcPr>
            <w:tcW w:w="3460" w:type="dxa"/>
            <w:vAlign w:val="bottom"/>
            <w:gridSpan w:val="2"/>
          </w:tcPr>
          <w:p>
            <w:pPr>
              <w:jc w:val="center"/>
              <w:ind w:left="2832"/>
              <w:spacing w:after="0"/>
              <w:rPr>
                <w:sz w:val="20"/>
                <w:szCs w:val="20"/>
                <w:color w:val="auto"/>
              </w:rPr>
            </w:pPr>
            <w:r>
              <w:rPr>
                <w:rFonts w:ascii="Arial" w:cs="Arial" w:eastAsia="Arial" w:hAnsi="Arial"/>
                <w:sz w:val="18"/>
                <w:szCs w:val="18"/>
                <w:color w:val="auto"/>
                <w:w w:val="90"/>
              </w:rPr>
              <w:t>$52.56</w:t>
            </w:r>
          </w:p>
        </w:tc>
        <w:tc>
          <w:tcPr>
            <w:tcW w:w="1100" w:type="dxa"/>
            <w:vAlign w:val="bottom"/>
            <w:gridSpan w:val="2"/>
          </w:tcPr>
          <w:p>
            <w:pPr>
              <w:jc w:val="center"/>
              <w:ind w:left="512"/>
              <w:spacing w:after="0"/>
              <w:rPr>
                <w:sz w:val="20"/>
                <w:szCs w:val="20"/>
                <w:color w:val="auto"/>
              </w:rPr>
            </w:pPr>
            <w:r>
              <w:rPr>
                <w:rFonts w:ascii="Arial" w:cs="Arial" w:eastAsia="Arial" w:hAnsi="Arial"/>
                <w:sz w:val="18"/>
                <w:szCs w:val="18"/>
                <w:color w:val="auto"/>
                <w:w w:val="90"/>
              </w:rPr>
              <w:t>$43.88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 quarterly dividend of $0.125 per Common Share was paid in December, February and June of fiscal 2010. On August 10, 2010, Scotts Miracle-Gro announced that its Board of Directors had increased the quarterly cash dividend to $0.25 per Common Share, which was paid in September of fiscal 2010 and December, March and June of fiscal 2011. On August 8, 2011, Scotts Miracle-Gro announced that its Board of Directors had further increased the quarterly cash dividend to $0.30 per Common Share, which was first paid in September of fiscal 2011.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credit facility restricts future dividend payments to an aggregate of $125 million annually through fiscal 2013 and $150 million annually beginning in fiscal 2014 if our leverage ratio, after giving effect to any such annual dividend payment, exceeds 2.50. Our leverage ratio was 1.98 at September 30, 2011. See “NOTE 11. DEBT” of the Notes to Consolidated Financial Statements included in this Annual Report on Form 10-K for further discussion regarding the restrictions on dividend payments.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November 18, 2011, there were approximately 33,400 shareholders, including holders of record and our estimate of beneficial holders.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2011: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Common</w:t>
            </w:r>
          </w:p>
        </w:tc>
        <w:tc>
          <w:tcPr>
            <w:tcW w:w="6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Approximate</w:t>
            </w: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6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Dollar Value of</w:t>
            </w: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w:t>
            </w:r>
          </w:p>
        </w:tc>
        <w:tc>
          <w:tcPr>
            <w:tcW w:w="6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Common Shares</w:t>
            </w: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66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Publicly</w:t>
            </w:r>
          </w:p>
        </w:tc>
        <w:tc>
          <w:tcPr>
            <w:tcW w:w="6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That May Yet</w:t>
            </w: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of Common</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Paid per</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680" w:type="dxa"/>
            <w:vAlign w:val="bottom"/>
          </w:tcPr>
          <w:p>
            <w:pPr>
              <w:spacing w:after="0"/>
              <w:rPr>
                <w:sz w:val="12"/>
                <w:szCs w:val="12"/>
                <w:color w:val="auto"/>
              </w:rPr>
            </w:pP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be Purchased</w:t>
            </w:r>
          </w:p>
        </w:tc>
      </w:tr>
      <w:tr>
        <w:trPr>
          <w:trHeight w:val="134"/>
        </w:trPr>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82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780"/>
              <w:spacing w:after="0" w:line="135" w:lineRule="exact"/>
              <w:rPr>
                <w:sz w:val="20"/>
                <w:szCs w:val="20"/>
                <w:color w:val="auto"/>
              </w:rPr>
            </w:pPr>
            <w:r>
              <w:rPr>
                <w:rFonts w:ascii="Arial" w:cs="Arial" w:eastAsia="Arial" w:hAnsi="Arial"/>
                <w:sz w:val="14"/>
                <w:szCs w:val="14"/>
                <w:b w:val="1"/>
                <w:bCs w:val="1"/>
                <w:color w:val="auto"/>
                <w:w w:val="88"/>
              </w:rPr>
              <w:t>Common</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or</w:t>
            </w:r>
          </w:p>
        </w:tc>
        <w:tc>
          <w:tcPr>
            <w:tcW w:w="680" w:type="dxa"/>
            <w:vAlign w:val="bottom"/>
          </w:tcPr>
          <w:p>
            <w:pPr>
              <w:spacing w:after="0"/>
              <w:rPr>
                <w:sz w:val="11"/>
                <w:szCs w:val="11"/>
                <w:color w:val="auto"/>
              </w:rPr>
            </w:pPr>
          </w:p>
        </w:tc>
        <w:tc>
          <w:tcPr>
            <w:tcW w:w="10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Under the Plans</w:t>
            </w:r>
          </w:p>
        </w:tc>
      </w:tr>
      <w:tr>
        <w:trPr>
          <w:trHeight w:val="182"/>
        </w:trPr>
        <w:tc>
          <w:tcPr>
            <w:tcW w:w="460" w:type="dxa"/>
            <w:vAlign w:val="bottom"/>
          </w:tcPr>
          <w:p>
            <w:pPr>
              <w:spacing w:after="0"/>
              <w:rPr>
                <w:sz w:val="15"/>
                <w:szCs w:val="15"/>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4340" w:type="dxa"/>
            <w:vAlign w:val="bottom"/>
            <w:gridSpan w:val="2"/>
          </w:tcPr>
          <w:p>
            <w:pPr>
              <w:spacing w:after="0"/>
              <w:rPr>
                <w:sz w:val="15"/>
                <w:szCs w:val="15"/>
                <w:color w:val="auto"/>
              </w:rPr>
            </w:pPr>
          </w:p>
        </w:tc>
        <w:tc>
          <w:tcPr>
            <w:tcW w:w="820" w:type="dxa"/>
            <w:vAlign w:val="bottom"/>
            <w:gridSpan w:val="2"/>
          </w:tcPr>
          <w:p>
            <w:pPr>
              <w:jc w:val="center"/>
              <w:ind w:right="20"/>
              <w:spacing w:after="0" w:line="162" w:lineRule="exact"/>
              <w:rPr>
                <w:sz w:val="20"/>
                <w:szCs w:val="20"/>
                <w:color w:val="auto"/>
              </w:rPr>
            </w:pPr>
            <w:r>
              <w:rPr>
                <w:rFonts w:ascii="Arial" w:cs="Arial" w:eastAsia="Arial" w:hAnsi="Arial"/>
                <w:sz w:val="12"/>
                <w:szCs w:val="12"/>
                <w:b w:val="1"/>
                <w:bCs w:val="1"/>
                <w:color w:val="auto"/>
                <w:w w:val="94"/>
              </w:rPr>
              <w:t>Purchased</w:t>
            </w:r>
            <w:r>
              <w:rPr>
                <w:rFonts w:ascii="Arial" w:cs="Arial" w:eastAsia="Arial" w:hAnsi="Arial"/>
                <w:sz w:val="18"/>
                <w:szCs w:val="18"/>
                <w:b w:val="1"/>
                <w:bCs w:val="1"/>
                <w:color w:val="auto"/>
                <w:w w:val="94"/>
                <w:vertAlign w:val="superscript"/>
              </w:rPr>
              <w:t>(1)</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780"/>
              <w:spacing w:after="0" w:line="162" w:lineRule="exact"/>
              <w:rPr>
                <w:sz w:val="20"/>
                <w:szCs w:val="20"/>
                <w:color w:val="auto"/>
              </w:rPr>
            </w:pPr>
            <w:r>
              <w:rPr>
                <w:rFonts w:ascii="Arial" w:cs="Arial" w:eastAsia="Arial" w:hAnsi="Arial"/>
                <w:sz w:val="12"/>
                <w:szCs w:val="12"/>
                <w:b w:val="1"/>
                <w:bCs w:val="1"/>
                <w:color w:val="auto"/>
                <w:w w:val="95"/>
              </w:rPr>
              <w:t>Share</w:t>
            </w:r>
            <w:r>
              <w:rPr>
                <w:rFonts w:ascii="Arial" w:cs="Arial" w:eastAsia="Arial" w:hAnsi="Arial"/>
                <w:sz w:val="18"/>
                <w:szCs w:val="18"/>
                <w:b w:val="1"/>
                <w:bCs w:val="1"/>
                <w:color w:val="auto"/>
                <w:w w:val="95"/>
                <w:vertAlign w:val="superscript"/>
              </w:rPr>
              <w:t>(2)</w:t>
            </w:r>
          </w:p>
        </w:tc>
        <w:tc>
          <w:tcPr>
            <w:tcW w:w="10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8"/>
              </w:rPr>
              <w:t>Programs</w:t>
            </w:r>
            <w:r>
              <w:rPr>
                <w:rFonts w:ascii="Arial" w:cs="Arial" w:eastAsia="Arial" w:hAnsi="Arial"/>
                <w:sz w:val="18"/>
                <w:szCs w:val="18"/>
                <w:b w:val="1"/>
                <w:bCs w:val="1"/>
                <w:color w:val="auto"/>
                <w:w w:val="98"/>
                <w:vertAlign w:val="superscript"/>
              </w:rPr>
              <w:t>(3)</w:t>
            </w:r>
          </w:p>
        </w:tc>
        <w:tc>
          <w:tcPr>
            <w:tcW w:w="680" w:type="dxa"/>
            <w:vAlign w:val="bottom"/>
          </w:tcPr>
          <w:p>
            <w:pPr>
              <w:spacing w:after="0"/>
              <w:rPr>
                <w:sz w:val="15"/>
                <w:szCs w:val="15"/>
                <w:color w:val="auto"/>
              </w:rPr>
            </w:pPr>
          </w:p>
        </w:tc>
        <w:tc>
          <w:tcPr>
            <w:tcW w:w="106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w w:val="99"/>
              </w:rPr>
              <w:t>or Programs</w:t>
            </w:r>
            <w:r>
              <w:rPr>
                <w:rFonts w:ascii="Arial" w:cs="Arial" w:eastAsia="Arial" w:hAnsi="Arial"/>
                <w:sz w:val="18"/>
                <w:szCs w:val="18"/>
                <w:b w:val="1"/>
                <w:bCs w:val="1"/>
                <w:color w:val="auto"/>
                <w:w w:val="99"/>
                <w:vertAlign w:val="superscript"/>
              </w:rPr>
              <w:t>(3)</w:t>
            </w:r>
          </w:p>
        </w:tc>
      </w:tr>
      <w:tr>
        <w:trPr>
          <w:trHeight w:val="203"/>
        </w:trPr>
        <w:tc>
          <w:tcPr>
            <w:tcW w:w="460" w:type="dxa"/>
            <w:vAlign w:val="bottom"/>
          </w:tcPr>
          <w:p>
            <w:pPr>
              <w:spacing w:after="0"/>
              <w:rPr>
                <w:sz w:val="17"/>
                <w:szCs w:val="17"/>
                <w:color w:val="auto"/>
              </w:rPr>
            </w:pPr>
          </w:p>
        </w:tc>
        <w:tc>
          <w:tcPr>
            <w:tcW w:w="47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July 3 through July 30, 2011</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840,625</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79"/>
              </w:rPr>
              <w:t>50.84</w:t>
            </w:r>
          </w:p>
        </w:tc>
        <w:tc>
          <w:tcPr>
            <w:tcW w:w="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840,510</w:t>
            </w:r>
          </w:p>
        </w:tc>
        <w:tc>
          <w:tcPr>
            <w:tcW w:w="6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$413,552,023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July 31 through August 27, 2011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1,152,274</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45.13</w:t>
            </w:r>
          </w:p>
        </w:tc>
        <w:tc>
          <w:tcPr>
            <w:tcW w:w="1060" w:type="dxa"/>
            <w:vAlign w:val="bottom"/>
          </w:tcPr>
          <w:p>
            <w:pPr>
              <w:jc w:val="right"/>
              <w:spacing w:after="0"/>
              <w:rPr>
                <w:sz w:val="20"/>
                <w:szCs w:val="20"/>
                <w:color w:val="auto"/>
              </w:rPr>
            </w:pPr>
            <w:r>
              <w:rPr>
                <w:rFonts w:ascii="Arial" w:cs="Arial" w:eastAsia="Arial" w:hAnsi="Arial"/>
                <w:sz w:val="18"/>
                <w:szCs w:val="18"/>
                <w:color w:val="auto"/>
              </w:rPr>
              <w:t>1,152,149</w:t>
            </w:r>
          </w:p>
        </w:tc>
        <w:tc>
          <w:tcPr>
            <w:tcW w:w="1640" w:type="dxa"/>
            <w:vAlign w:val="bottom"/>
            <w:gridSpan w:val="2"/>
          </w:tcPr>
          <w:p>
            <w:pPr>
              <w:jc w:val="center"/>
              <w:ind w:left="592"/>
              <w:spacing w:after="0"/>
              <w:rPr>
                <w:sz w:val="20"/>
                <w:szCs w:val="20"/>
                <w:color w:val="auto"/>
              </w:rPr>
            </w:pPr>
            <w:r>
              <w:rPr>
                <w:rFonts w:ascii="Arial" w:cs="Arial" w:eastAsia="Arial" w:hAnsi="Arial"/>
                <w:sz w:val="18"/>
                <w:szCs w:val="18"/>
                <w:color w:val="auto"/>
                <w:w w:val="87"/>
              </w:rPr>
              <w:t>$361,552,618</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28 through September 30, 2011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971,749</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46.66</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970,261</w:t>
            </w:r>
          </w:p>
        </w:tc>
        <w:tc>
          <w:tcPr>
            <w:tcW w:w="1640" w:type="dxa"/>
            <w:vAlign w:val="bottom"/>
            <w:gridSpan w:val="2"/>
            <w:shd w:val="clear" w:color="auto" w:fill="CCEEFF"/>
          </w:tcPr>
          <w:p>
            <w:pPr>
              <w:jc w:val="center"/>
              <w:ind w:left="592"/>
              <w:spacing w:after="0"/>
              <w:rPr>
                <w:sz w:val="20"/>
                <w:szCs w:val="20"/>
                <w:color w:val="auto"/>
              </w:rPr>
            </w:pPr>
            <w:r>
              <w:rPr>
                <w:rFonts w:ascii="Arial" w:cs="Arial" w:eastAsia="Arial" w:hAnsi="Arial"/>
                <w:sz w:val="18"/>
                <w:szCs w:val="18"/>
                <w:color w:val="auto"/>
                <w:w w:val="87"/>
              </w:rPr>
              <w:t>$316,283,996</w:t>
            </w:r>
          </w:p>
        </w:tc>
        <w:tc>
          <w:tcPr>
            <w:tcW w:w="100" w:type="dxa"/>
            <w:vAlign w:val="bottom"/>
            <w:shd w:val="clear" w:color="auto" w:fill="CCEEFF"/>
          </w:tcPr>
          <w:p>
            <w:pPr>
              <w:spacing w:after="0"/>
              <w:rPr>
                <w:sz w:val="18"/>
                <w:szCs w:val="18"/>
                <w:color w:val="auto"/>
              </w:rPr>
            </w:pPr>
          </w:p>
        </w:tc>
      </w:tr>
      <w:tr>
        <w:trPr>
          <w:trHeight w:val="222"/>
        </w:trPr>
        <w:tc>
          <w:tcPr>
            <w:tcW w:w="5200" w:type="dxa"/>
            <w:vAlign w:val="bottom"/>
            <w:gridSpan w:val="4"/>
          </w:tcPr>
          <w:p>
            <w:pPr>
              <w:ind w:left="46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2,964,648</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300"/>
              <w:spacing w:after="0"/>
              <w:rPr>
                <w:sz w:val="20"/>
                <w:szCs w:val="20"/>
                <w:color w:val="auto"/>
              </w:rPr>
            </w:pPr>
            <w:r>
              <w:rPr>
                <w:rFonts w:ascii="Arial" w:cs="Arial" w:eastAsia="Arial" w:hAnsi="Arial"/>
                <w:sz w:val="18"/>
                <w:szCs w:val="18"/>
                <w:color w:val="auto"/>
              </w:rPr>
              <w:t>47.25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2,962,920</w:t>
            </w: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jc w:val="both"/>
        <w:ind w:left="460" w:hanging="452"/>
        <w:spacing w:after="0" w:line="305"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All of the Common Shares purchased during the quarter were purchased in open market transactions. The total number of Common Shares purchased during the quarter includes 1,728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155" w:lineRule="exact"/>
        <w:rPr>
          <w:rFonts w:ascii="Arial" w:cs="Arial" w:eastAsia="Arial" w:hAnsi="Arial"/>
          <w:sz w:val="15"/>
          <w:szCs w:val="15"/>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11"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6"/>
          <w:szCs w:val="16"/>
          <w:b w:val="1"/>
          <w:bCs w:val="1"/>
          <w:i w:val="1"/>
          <w:iCs w:val="1"/>
          <w:u w:val="single" w:color="auto"/>
          <w:color w:val="auto"/>
        </w:rPr>
        <w:t>SELECTED FINANCIAL DATA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Summary</w:t>
      </w:r>
      <w:r>
        <w:rPr>
          <w:rFonts w:ascii="Arial" w:cs="Arial" w:eastAsia="Arial" w:hAnsi="Arial"/>
          <w:sz w:val="11"/>
          <w:szCs w:val="11"/>
          <w:b w:val="1"/>
          <w:bCs w:val="1"/>
          <w:color w:val="auto"/>
        </w:rPr>
        <w:t>(1)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60" w:type="dxa"/>
            <w:vAlign w:val="bottom"/>
            <w:gridSpan w:val="5"/>
          </w:tcPr>
          <w:p>
            <w:pPr>
              <w:jc w:val="right"/>
              <w:ind w:right="513"/>
              <w:spacing w:after="0" w:line="142" w:lineRule="exact"/>
              <w:rPr>
                <w:sz w:val="20"/>
                <w:szCs w:val="20"/>
                <w:color w:val="auto"/>
              </w:rPr>
            </w:pPr>
            <w:r>
              <w:rPr>
                <w:rFonts w:ascii="Arial" w:cs="Arial" w:eastAsia="Arial" w:hAnsi="Arial"/>
                <w:sz w:val="14"/>
                <w:szCs w:val="14"/>
                <w:b w:val="1"/>
                <w:bCs w:val="1"/>
                <w:color w:val="auto"/>
                <w:w w:val="93"/>
              </w:rPr>
              <w:t>(In millions, except per share amounts)</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Net sales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w w:val="83"/>
              </w:rPr>
              <w:t>2,835.7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3"/>
              <w:spacing w:after="0"/>
              <w:rPr>
                <w:sz w:val="20"/>
                <w:szCs w:val="20"/>
                <w:color w:val="auto"/>
              </w:rPr>
            </w:pPr>
            <w:r>
              <w:rPr>
                <w:rFonts w:ascii="Arial" w:cs="Arial" w:eastAsia="Arial" w:hAnsi="Arial"/>
                <w:sz w:val="18"/>
                <w:szCs w:val="18"/>
                <w:color w:val="auto"/>
                <w:w w:val="86"/>
              </w:rPr>
              <w:t>2,898.0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w w:val="83"/>
              </w:rPr>
              <w:t>2,746.4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3"/>
              <w:spacing w:after="0"/>
              <w:rPr>
                <w:sz w:val="20"/>
                <w:szCs w:val="20"/>
                <w:color w:val="auto"/>
              </w:rPr>
            </w:pPr>
            <w:r>
              <w:rPr>
                <w:rFonts w:ascii="Arial" w:cs="Arial" w:eastAsia="Arial" w:hAnsi="Arial"/>
                <w:sz w:val="18"/>
                <w:szCs w:val="18"/>
                <w:color w:val="auto"/>
                <w:w w:val="86"/>
              </w:rPr>
              <w:t>2,552.0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2,472.9</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3"/>
              </w:rPr>
              <w:t>1,003.0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6"/>
              </w:rPr>
              <w:t>1,075.9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977.7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831.1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878.0</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247.0</w:t>
            </w:r>
          </w:p>
        </w:tc>
        <w:tc>
          <w:tcPr>
            <w:tcW w:w="26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363.1</w:t>
            </w:r>
          </w:p>
        </w:tc>
        <w:tc>
          <w:tcPr>
            <w:tcW w:w="2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260.5</w:t>
            </w:r>
          </w:p>
        </w:tc>
        <w:tc>
          <w:tcPr>
            <w:tcW w:w="2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125.2</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284.2</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121.9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200.5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132.6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Income (loss) from discontinued operations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(42.9)</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167.9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204.1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153.3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ADJUSTED OPERATING RESULTS</w:t>
            </w:r>
            <w:r>
              <w:rPr>
                <w:rFonts w:ascii="Arial" w:cs="Arial" w:eastAsia="Arial" w:hAnsi="Arial"/>
                <w:sz w:val="11"/>
                <w:szCs w:val="11"/>
                <w:color w:val="auto"/>
              </w:rPr>
              <w:t>(2)</w:t>
            </w: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operating income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337.7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390.3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289.1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267.5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293.0</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Adjusted income from continuing operations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182.6</w:t>
            </w:r>
          </w:p>
        </w:tc>
        <w:tc>
          <w:tcPr>
            <w:tcW w:w="26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218.8</w:t>
            </w:r>
          </w:p>
        </w:tc>
        <w:tc>
          <w:tcPr>
            <w:tcW w:w="2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150.7</w:t>
            </w:r>
          </w:p>
        </w:tc>
        <w:tc>
          <w:tcPr>
            <w:tcW w:w="2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123.7</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146.8</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FINANCIAL POSITION:</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Working capital</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523.9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381.3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382.7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414.5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484.5</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ratio</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394.7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381.3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356.6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330.5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350.8</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3"/>
              </w:rPr>
              <w:t>2,052.2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6"/>
              </w:rPr>
              <w:t>2,164.0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3"/>
              </w:rPr>
              <w:t>2,220.1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6"/>
              </w:rPr>
              <w:t>2,156.2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2,277.2</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Total debt to total book capitalization</w:t>
            </w:r>
            <w:r>
              <w:rPr>
                <w:rFonts w:ascii="Arial" w:cs="Arial" w:eastAsia="Arial" w:hAnsi="Arial"/>
                <w:sz w:val="11"/>
                <w:szCs w:val="11"/>
                <w:color w:val="auto"/>
              </w:rPr>
              <w:t>(3)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8"/>
                <w:szCs w:val="18"/>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45.2%</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58.1%</w:t>
            </w:r>
          </w:p>
        </w:tc>
        <w:tc>
          <w:tcPr>
            <w:tcW w:w="260" w:type="dxa"/>
            <w:vAlign w:val="bottom"/>
          </w:tcPr>
          <w:p>
            <w:pPr>
              <w:spacing w:after="0"/>
              <w:rPr>
                <w:sz w:val="18"/>
                <w:szCs w:val="18"/>
                <w:color w:val="auto"/>
              </w:rPr>
            </w:pP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795.0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631.7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810.1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999.5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1,117.8</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Total shareholders’ equity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559.8</w:t>
            </w:r>
          </w:p>
        </w:tc>
        <w:tc>
          <w:tcPr>
            <w:tcW w:w="26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764.5</w:t>
            </w:r>
          </w:p>
        </w:tc>
        <w:tc>
          <w:tcPr>
            <w:tcW w:w="2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584.5</w:t>
            </w:r>
          </w:p>
        </w:tc>
        <w:tc>
          <w:tcPr>
            <w:tcW w:w="2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436.7</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479.3</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122.1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295.9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264.6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200.9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246.6</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property, plant and equipment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72.7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83.4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72.0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56.1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Investments in intellectual property</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 in acquisitions, including seller note payments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Total cash dividends paid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67.9</w:t>
            </w:r>
          </w:p>
        </w:tc>
        <w:tc>
          <w:tcPr>
            <w:tcW w:w="26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42.6</w:t>
            </w:r>
          </w:p>
        </w:tc>
        <w:tc>
          <w:tcPr>
            <w:tcW w:w="2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543.6</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purchases of common shares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358.7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246.8</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PER SHARE DATA:</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per common share from continuing operations: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ind w:left="880"/>
              <w:spacing w:after="0"/>
              <w:rPr>
                <w:sz w:val="20"/>
                <w:szCs w:val="20"/>
                <w:color w:val="auto"/>
              </w:rPr>
            </w:pPr>
            <w:r>
              <w:rPr>
                <w:rFonts w:ascii="Arial" w:cs="Arial" w:eastAsia="Arial" w:hAnsi="Arial"/>
                <w:sz w:val="18"/>
                <w:szCs w:val="18"/>
                <w:color w:val="auto"/>
              </w:rPr>
              <w:t>Basic</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1.88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3.03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0.50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2.97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0.49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r>
      <w:tr>
        <w:trPr>
          <w:trHeight w:val="216"/>
        </w:trPr>
        <w:tc>
          <w:tcPr>
            <w:tcW w:w="5380" w:type="dxa"/>
            <w:vAlign w:val="bottom"/>
          </w:tcPr>
          <w:p>
            <w:pPr>
              <w:ind w:left="880"/>
              <w:spacing w:after="0"/>
              <w:rPr>
                <w:sz w:val="20"/>
                <w:szCs w:val="20"/>
                <w:color w:val="auto"/>
              </w:rPr>
            </w:pPr>
            <w:r>
              <w:rPr>
                <w:rFonts w:ascii="Arial" w:cs="Arial" w:eastAsia="Arial" w:hAnsi="Arial"/>
                <w:sz w:val="18"/>
                <w:szCs w:val="18"/>
                <w:color w:val="auto"/>
              </w:rPr>
              <w:t>Adjusted diluted</w:t>
            </w:r>
            <w:r>
              <w:rPr>
                <w:rFonts w:ascii="Arial" w:cs="Arial" w:eastAsia="Arial" w:hAnsi="Arial"/>
                <w:sz w:val="11"/>
                <w:szCs w:val="11"/>
                <w:color w:val="auto"/>
              </w:rPr>
              <w:t>(2)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per common share</w:t>
            </w:r>
            <w:r>
              <w:rPr>
                <w:rFonts w:ascii="Arial" w:cs="Arial" w:eastAsia="Arial" w:hAnsi="Arial"/>
                <w:sz w:val="11"/>
                <w:szCs w:val="11"/>
                <w:color w:val="auto"/>
              </w:rPr>
              <w:t>(4)(5)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0.625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Stock price at year-end</w:t>
            </w:r>
            <w:r>
              <w:rPr>
                <w:rFonts w:ascii="Arial" w:cs="Arial" w:eastAsia="Arial" w:hAnsi="Arial"/>
                <w:sz w:val="11"/>
                <w:szCs w:val="11"/>
                <w:color w:val="auto"/>
              </w:rPr>
              <w:t>(5)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44.60</w:t>
            </w:r>
          </w:p>
        </w:tc>
        <w:tc>
          <w:tcPr>
            <w:tcW w:w="26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51.73</w:t>
            </w:r>
          </w:p>
        </w:tc>
        <w:tc>
          <w:tcPr>
            <w:tcW w:w="2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42.95</w:t>
            </w:r>
          </w:p>
        </w:tc>
        <w:tc>
          <w:tcPr>
            <w:tcW w:w="2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23.64</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42.75</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price range—High</w:t>
            </w:r>
            <w:r>
              <w:rPr>
                <w:rFonts w:ascii="Arial" w:cs="Arial" w:eastAsia="Arial" w:hAnsi="Arial"/>
                <w:sz w:val="11"/>
                <w:szCs w:val="11"/>
                <w:color w:val="auto"/>
              </w:rPr>
              <w:t>(5)</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60.62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52.56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44.25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46.90</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57.45</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Stock price range—Low</w:t>
            </w:r>
            <w:r>
              <w:rPr>
                <w:rFonts w:ascii="Arial" w:cs="Arial" w:eastAsia="Arial" w:hAnsi="Arial"/>
                <w:sz w:val="11"/>
                <w:szCs w:val="11"/>
                <w:color w:val="auto"/>
              </w:rPr>
              <w:t>(5)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39.99</w:t>
            </w:r>
          </w:p>
        </w:tc>
        <w:tc>
          <w:tcPr>
            <w:tcW w:w="26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37.50</w:t>
            </w:r>
          </w:p>
        </w:tc>
        <w:tc>
          <w:tcPr>
            <w:tcW w:w="2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18.27</w:t>
            </w:r>
          </w:p>
        </w:tc>
        <w:tc>
          <w:tcPr>
            <w:tcW w:w="2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16.12</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40.57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Adjusted EBITDA</w:t>
            </w:r>
            <w:r>
              <w:rPr>
                <w:rFonts w:ascii="Arial" w:cs="Arial" w:eastAsia="Arial" w:hAnsi="Arial"/>
                <w:sz w:val="11"/>
                <w:szCs w:val="11"/>
                <w:color w:val="auto"/>
              </w:rPr>
              <w:t>(6)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393.0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440.1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350.5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318.4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382.6</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Leverage ratio</w:t>
            </w:r>
            <w:r>
              <w:rPr>
                <w:rFonts w:ascii="Arial" w:cs="Arial" w:eastAsia="Arial" w:hAnsi="Arial"/>
                <w:sz w:val="11"/>
                <w:szCs w:val="11"/>
                <w:color w:val="auto"/>
              </w:rPr>
              <w:t>(6)</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3.97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w:t>
            </w: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Interest coverage ratio</w:t>
            </w:r>
            <w:r>
              <w:rPr>
                <w:rFonts w:ascii="Arial" w:cs="Arial" w:eastAsia="Arial" w:hAnsi="Arial"/>
                <w:sz w:val="11"/>
                <w:szCs w:val="11"/>
                <w:color w:val="auto"/>
              </w:rPr>
              <w:t>(6)</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7.47</w:t>
            </w:r>
          </w:p>
        </w:tc>
        <w:tc>
          <w:tcPr>
            <w:tcW w:w="260" w:type="dxa"/>
            <w:vAlign w:val="bottom"/>
          </w:tcPr>
          <w:p>
            <w:pPr>
              <w:spacing w:after="0"/>
              <w:rPr>
                <w:sz w:val="18"/>
                <w:szCs w:val="18"/>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9.40</w:t>
            </w:r>
          </w:p>
        </w:tc>
        <w:tc>
          <w:tcPr>
            <w:tcW w:w="2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6.21</w:t>
            </w:r>
          </w:p>
        </w:tc>
        <w:tc>
          <w:tcPr>
            <w:tcW w:w="260" w:type="dxa"/>
            <w:vAlign w:val="bottom"/>
          </w:tcPr>
          <w:p>
            <w:pPr>
              <w:spacing w:after="0"/>
              <w:rPr>
                <w:sz w:val="18"/>
                <w:szCs w:val="18"/>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5.37</w:t>
            </w: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 average common shares outstanding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64.7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66.3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65.0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64.5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w:t>
            </w:r>
          </w:p>
        </w:tc>
      </w:tr>
      <w:tr>
        <w:trPr>
          <w:trHeight w:val="208"/>
        </w:trPr>
        <w:tc>
          <w:tcPr>
            <w:tcW w:w="5380" w:type="dxa"/>
            <w:vAlign w:val="bottom"/>
          </w:tcPr>
          <w:p>
            <w:pPr>
              <w:ind w:left="440"/>
              <w:spacing w:after="0"/>
              <w:rPr>
                <w:sz w:val="20"/>
                <w:szCs w:val="20"/>
                <w:color w:val="auto"/>
              </w:rPr>
            </w:pPr>
            <w:r>
              <w:rPr>
                <w:rFonts w:ascii="Arial" w:cs="Arial" w:eastAsia="Arial" w:hAnsi="Arial"/>
                <w:sz w:val="18"/>
                <w:szCs w:val="18"/>
                <w:color w:val="auto"/>
              </w:rPr>
              <w:t>Common shares and dilutive potential common</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5380" w:type="dxa"/>
            <w:vAlign w:val="bottom"/>
          </w:tcPr>
          <w:p>
            <w:pPr>
              <w:ind w:left="660"/>
              <w:spacing w:after="0"/>
              <w:rPr>
                <w:sz w:val="20"/>
                <w:szCs w:val="20"/>
                <w:color w:val="auto"/>
              </w:rPr>
            </w:pPr>
            <w:r>
              <w:rPr>
                <w:rFonts w:ascii="Arial" w:cs="Arial" w:eastAsia="Arial" w:hAnsi="Arial"/>
                <w:sz w:val="18"/>
                <w:szCs w:val="18"/>
                <w:color w:val="auto"/>
              </w:rPr>
              <w:t>shares used in diluted EPS calculation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66.2</w:t>
            </w:r>
          </w:p>
        </w:tc>
        <w:tc>
          <w:tcPr>
            <w:tcW w:w="260" w:type="dxa"/>
            <w:vAlign w:val="bottom"/>
          </w:tcPr>
          <w:p>
            <w:pPr>
              <w:spacing w:after="0"/>
              <w:rPr>
                <w:sz w:val="19"/>
                <w:szCs w:val="19"/>
                <w:color w:val="auto"/>
              </w:rPr>
            </w:pPr>
          </w:p>
        </w:tc>
        <w:tc>
          <w:tcPr>
            <w:tcW w:w="860" w:type="dxa"/>
            <w:vAlign w:val="bottom"/>
          </w:tcPr>
          <w:p>
            <w:pPr>
              <w:jc w:val="right"/>
              <w:ind w:right="233"/>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9"/>
                <w:szCs w:val="19"/>
                <w:color w:val="auto"/>
              </w:rPr>
            </w:pPr>
          </w:p>
        </w:tc>
        <w:tc>
          <w:tcPr>
            <w:tcW w:w="840" w:type="dxa"/>
            <w:vAlign w:val="bottom"/>
          </w:tcPr>
          <w:p>
            <w:pPr>
              <w:jc w:val="right"/>
              <w:ind w:right="233"/>
              <w:spacing w:after="0"/>
              <w:rPr>
                <w:sz w:val="20"/>
                <w:szCs w:val="20"/>
                <w:color w:val="auto"/>
              </w:rPr>
            </w:pPr>
            <w:r>
              <w:rPr>
                <w:rFonts w:ascii="Arial" w:cs="Arial" w:eastAsia="Arial" w:hAnsi="Arial"/>
                <w:sz w:val="18"/>
                <w:szCs w:val="18"/>
                <w:color w:val="auto"/>
              </w:rPr>
              <w:t>66.1</w:t>
            </w:r>
          </w:p>
        </w:tc>
        <w:tc>
          <w:tcPr>
            <w:tcW w:w="260" w:type="dxa"/>
            <w:vAlign w:val="bottom"/>
          </w:tcPr>
          <w:p>
            <w:pPr>
              <w:spacing w:after="0"/>
              <w:rPr>
                <w:sz w:val="19"/>
                <w:szCs w:val="19"/>
                <w:color w:val="auto"/>
              </w:rPr>
            </w:pPr>
          </w:p>
        </w:tc>
        <w:tc>
          <w:tcPr>
            <w:tcW w:w="840" w:type="dxa"/>
            <w:vAlign w:val="bottom"/>
          </w:tcPr>
          <w:p>
            <w:pPr>
              <w:jc w:val="right"/>
              <w:ind w:right="213"/>
              <w:spacing w:after="0"/>
              <w:rPr>
                <w:sz w:val="20"/>
                <w:szCs w:val="20"/>
                <w:color w:val="auto"/>
              </w:rPr>
            </w:pPr>
            <w:r>
              <w:rPr>
                <w:rFonts w:ascii="Arial" w:cs="Arial" w:eastAsia="Arial" w:hAnsi="Arial"/>
                <w:sz w:val="18"/>
                <w:szCs w:val="18"/>
                <w:color w:val="auto"/>
              </w:rPr>
              <w:t>65.4</w:t>
            </w:r>
          </w:p>
        </w:tc>
        <w:tc>
          <w:tcPr>
            <w:tcW w:w="2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67.0</w:t>
            </w:r>
          </w:p>
        </w:tc>
      </w:tr>
    </w:tbl>
    <w:p>
      <w:pPr>
        <w:spacing w:after="0" w:line="196" w:lineRule="exact"/>
        <w:rPr>
          <w:sz w:val="20"/>
          <w:szCs w:val="20"/>
          <w:color w:val="auto"/>
        </w:rPr>
      </w:pPr>
    </w:p>
    <w:p>
      <w:pPr>
        <w:ind w:left="4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July 8, 2009, Scotts Miracle-Gro announced that its wholly-owned subsidiary, Smith &amp; Hawken, Ltd., had adopted a plan to close the Smith &amp; Hawken business. During our first quarter of fiscal 2010, 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Smith &amp; Hawken stores were closed and substantially all operational activities of Smith &amp; Hawken were discontinued. As a result, effective in our first quarter of fiscal 2010, we classified Smith &amp; Hawken as discontinued operations in accordance with accounting principles generally accepted in the United States of America (“GAAP”).</w:t>
      </w:r>
    </w:p>
    <w:p>
      <w:pPr>
        <w:spacing w:after="0" w:line="59"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On February 28, 2011, we completed the sale of Global Pro to ICL. In conjunction with the transaction, Scotts LLC and ICL entered into several product supply agreements which are generally up to five years in duration, as well as various trademark and technology licensing agreements with varying durations. Our continuing cash inflows and outflows related to these agreements are not considered to be significant in relation to the overall cash flows of Global Pro. Furthermore, none of these agreements permit us to influence the operating or financial policies of Global Pro under the ownership of ICL. Therefore, Global Pro met the criteria for presentation as discontinued operations. As such, effective in the first quarter of fiscal 2011, we classified Global Pro as discontinued operations in accordance with GAAP.</w:t>
      </w:r>
    </w:p>
    <w:p>
      <w:pPr>
        <w:spacing w:after="0" w:line="39"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color w:val="auto"/>
        </w:rPr>
        <w:t>The Selected Financial Data has been retrospectively updated to recast Smith &amp; Hawken and Global Pro as discontinued operations for each period presented.</w:t>
      </w:r>
    </w:p>
    <w:p>
      <w:pPr>
        <w:spacing w:after="0" w:line="172" w:lineRule="exact"/>
        <w:rPr>
          <w:sz w:val="20"/>
          <w:szCs w:val="20"/>
          <w:color w:val="auto"/>
        </w:rPr>
      </w:pPr>
    </w:p>
    <w:p>
      <w:pPr>
        <w:jc w:val="both"/>
        <w:ind w:left="460" w:hanging="452"/>
        <w:spacing w:after="0" w:line="288"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Five-Year Summary includes non-GAAP financial measures, as defined in Item 10(e) of SEC Regulation S-K, of adjusted operating income, adjusted income from continuing operations and adjusted diluted earnings per share from continuing operations, which exclude costs or gains related to discrete projects or transactions. Items excluded during the five-year period ended September 30, 2011 consisted of charges or credits relating to refinancings, impairments, restructurings, product registration and recall matters, discontinued operations, and other unusual items such as costs or gains related to discrete projects or transactions that are apart from and not indicative of the results of the operations of the business. The comparable GAAP measures are reported operating income, reported income from continuing operations and reported diluted earnings per share from continuing operations. Our management believes that these non-GAAP measures are the most indicative of our earnings capabilities and that disclosure of these non-GAAP financial measures therefore provides useful information to investors or other users of the financial statements, such as lenders. A reconciliation of the non-GAAP to the most directly comparable GAAP measures is presented in the following tables: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2009</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8"/>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(In millions, except per share data)</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247.0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363.1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260.5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Impairment, restructuring and other charges</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Product registration and recall matters</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Adjusted operating income</w:t>
            </w:r>
          </w:p>
        </w:tc>
        <w:tc>
          <w:tcPr>
            <w:tcW w:w="2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gridSpan w:val="2"/>
            <w:vMerge w:val="continue"/>
          </w:tcPr>
          <w:p>
            <w:pPr>
              <w:spacing w:after="0"/>
              <w:rPr>
                <w:sz w:val="19"/>
                <w:szCs w:val="19"/>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337.7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390.3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289.1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267.5</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121.9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132.6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Impairment, restructuring and other charges, net of tax</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Product registration and recall matters, net of tax</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Debt refinancing charges, net of tax</w:t>
            </w:r>
          </w:p>
        </w:tc>
        <w:tc>
          <w:tcPr>
            <w:tcW w:w="2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from continuing operations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182.6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218.8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150.7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40" w:type="dxa"/>
            <w:vAlign w:val="bottom"/>
            <w:gridSpan w:val="2"/>
            <w:vMerge w:val="continue"/>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Impairment, restructuring and other charges, net of tax</w:t>
            </w:r>
          </w:p>
        </w:tc>
        <w:tc>
          <w:tcPr>
            <w:tcW w:w="2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Product registration and recall matters, net of tax</w:t>
            </w:r>
          </w:p>
        </w:tc>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0.08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Debt refinancing charges, net of tax</w:t>
            </w:r>
          </w:p>
        </w:tc>
        <w:tc>
          <w:tcPr>
            <w:tcW w:w="2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40" w:type="dxa"/>
            <w:vAlign w:val="bottom"/>
            <w:gridSpan w:val="2"/>
          </w:tcPr>
          <w:p>
            <w:pPr>
              <w:spacing w:after="0"/>
              <w:rPr>
                <w:sz w:val="20"/>
                <w:szCs w:val="20"/>
                <w:color w:val="auto"/>
              </w:rPr>
            </w:pPr>
            <w:r>
              <w:rPr>
                <w:rFonts w:ascii="Arial" w:cs="Arial" w:eastAsia="Arial" w:hAnsi="Arial"/>
                <w:sz w:val="18"/>
                <w:szCs w:val="18"/>
                <w:color w:val="auto"/>
              </w:rPr>
              <w:t>Adjusted diluted earnings per share from continuing operations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120" w:type="dxa"/>
            <w:vAlign w:val="bottom"/>
            <w:vMerge w:val="restart"/>
          </w:tcPr>
          <w:p>
            <w:pPr>
              <w:jc w:val="right"/>
              <w:ind w:right="1272"/>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total debt to total book capitalization percentage is calculated by dividing total debt by total debt plus shareholders’ equity.</w:t>
      </w:r>
    </w:p>
    <w:p>
      <w:pPr>
        <w:spacing w:after="0" w:line="211" w:lineRule="exact"/>
        <w:rPr>
          <w:rFonts w:ascii="Arial" w:cs="Arial" w:eastAsia="Arial" w:hAnsi="Arial"/>
          <w:sz w:val="18"/>
          <w:szCs w:val="18"/>
          <w:color w:val="auto"/>
        </w:rPr>
      </w:pPr>
    </w:p>
    <w:p>
      <w:pPr>
        <w:jc w:val="both"/>
        <w:ind w:left="46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Scotts Miracle-Gro began paying a quarterly dividend of $0.125 per Common Share in the fourth quarter of fiscal 2005. On August 10, 2010, Scotts Miracle-Gro announced that its Board of Directors had increased the quarterly cash dividend to $0.25 per Common Share, which was first paid in the fourth quarter of fiscal 2010. On August 8, 2011, Scotts Miracle-Gro announced that its Board of Directors had further increased the quarterly cash dividend to $0.30 per Common Share, which was first paid in the fourth quarter of fiscal 2011.</w:t>
      </w:r>
    </w:p>
    <w:p>
      <w:pPr>
        <w:spacing w:after="0" w:line="18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Scotts Miracle-Gro paid a special one-time cash dividend of $8.00 per Common Share on March 5, 2007. Stock prices have not been adjusted for this special one-time cash dividend.</w:t>
      </w:r>
    </w:p>
    <w:p>
      <w:pPr>
        <w:spacing w:after="0" w:line="172" w:lineRule="exact"/>
        <w:rPr>
          <w:rFonts w:ascii="Arial" w:cs="Arial" w:eastAsia="Arial" w:hAnsi="Arial"/>
          <w:sz w:val="18"/>
          <w:szCs w:val="18"/>
          <w:color w:val="auto"/>
        </w:rPr>
      </w:pPr>
    </w:p>
    <w:p>
      <w:pPr>
        <w:jc w:val="both"/>
        <w:ind w:left="460" w:hanging="452"/>
        <w:spacing w:after="0" w:line="289"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view our credit facility as material to our ability to fund operations, particularly in light of our seasonality. Please refer to “ITEM 1A. RISK FACTORS —Our indebtedness could limit our flexibility and adversely affect our financial condition” of this Annual Report on Form 10-K for a more complete discussion of the risks associated with our debt and our credit facility and the restrictive covenants therein. Our ability to generate cash flows sufficient to cover our debt service costs is essential to our ability to maintain our borrowing capacity. We believe that Adjusted EBITDA provides additional information for determining our ability to meet debt service requirements. The presentation of Adjusted EBITDA herein is intended to be consistent with the calculation of that measure as required by our borrowing arrangements, and used to calculate a leverage ratio (maximum of 3.50 at September 30, 2011) and an interest coverage ratio (minimum of 3.50 for the year ended September 30, 2011). Our leverage ratio was 1.98 at September 30, 2011 and our interest coverage ratio was 7.47 for the year ended September 30, 2011.</w:t>
      </w:r>
    </w:p>
    <w:p>
      <w:pPr>
        <w:spacing w:after="0" w:line="37" w:lineRule="exact"/>
        <w:rPr>
          <w:rFonts w:ascii="Arial" w:cs="Arial" w:eastAsia="Arial" w:hAnsi="Arial"/>
          <w:sz w:val="16"/>
          <w:szCs w:val="16"/>
          <w:color w:val="auto"/>
        </w:rPr>
      </w:pPr>
    </w:p>
    <w:p>
      <w:pPr>
        <w:jc w:val="both"/>
        <w:ind w:left="460"/>
        <w:spacing w:after="0" w:line="289" w:lineRule="auto"/>
        <w:rPr>
          <w:rFonts w:ascii="Arial" w:cs="Arial" w:eastAsia="Arial" w:hAnsi="Arial"/>
          <w:sz w:val="16"/>
          <w:szCs w:val="16"/>
          <w:color w:val="auto"/>
        </w:rPr>
      </w:pPr>
      <w:r>
        <w:rPr>
          <w:rFonts w:ascii="Arial" w:cs="Arial" w:eastAsia="Arial" w:hAnsi="Arial"/>
          <w:sz w:val="16"/>
          <w:szCs w:val="16"/>
          <w:color w:val="auto"/>
        </w:rPr>
        <w:t>In accordance with the terms of our credit facility, Adjusted EBITDA is calculated as net income or loss before interest, taxes, depreciation and amortization as well as certain other items such as the impact of the cumulative effect of changes in accounting, costs associated with debt refinancing and other non-recurring, non-cash items affecting net income. In addition, non-recurring cash items affecting net income that are incurred between April 3, 2011 and June 30, 2012 in an aggregate amount not to exceed $40 million are also excluded from the determination of Adjusted EBITDA. Our calculation of Adjusted EBITDA does not represent and should not be considered as an alternative to net income or cash flows from operating activities as determined by GAAP. We make no representation or assertion that Adjusted EBITDA is indicative of our cash flows from operating activities or results of operations. We have provided a reconciliation of Adjusted EBITDA to income from continuing operations solely for the purpose of complying with SEC regulations and not as an indication that Adjusted EBITDA is a substitute measure for income from continuing operations.</w:t>
      </w:r>
    </w:p>
    <w:p>
      <w:pPr>
        <w:spacing w:after="0" w:line="37" w:lineRule="exact"/>
        <w:rPr>
          <w:rFonts w:ascii="Arial" w:cs="Arial" w:eastAsia="Arial" w:hAnsi="Arial"/>
          <w:sz w:val="16"/>
          <w:szCs w:val="16"/>
          <w:color w:val="auto"/>
        </w:rPr>
      </w:pPr>
    </w:p>
    <w:p>
      <w:pPr>
        <w:ind w:left="460"/>
        <w:spacing w:after="0" w:line="268" w:lineRule="auto"/>
        <w:rPr>
          <w:rFonts w:ascii="Arial" w:cs="Arial" w:eastAsia="Arial" w:hAnsi="Arial"/>
          <w:sz w:val="16"/>
          <w:szCs w:val="16"/>
          <w:color w:val="auto"/>
        </w:rPr>
      </w:pPr>
      <w:r>
        <w:rPr>
          <w:rFonts w:ascii="Arial" w:cs="Arial" w:eastAsia="Arial" w:hAnsi="Arial"/>
          <w:sz w:val="18"/>
          <w:szCs w:val="18"/>
          <w:color w:val="auto"/>
        </w:rPr>
        <w:t>Interest coverage ratio is calculated as Adjusted EBITDA divided by interest expense, as described in our credit facility, and excludes costs related to refinancings.</w:t>
      </w:r>
    </w:p>
    <w:p>
      <w:pPr>
        <w:spacing w:after="0" w:line="5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Leverage ratio is calculated as average total indebtedness, as described in our credit facility, relative to Adjusted EBITDA.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numeric reconciliation of Adjusted EBITDA to income from continuing operations is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2008</w:t>
            </w:r>
          </w:p>
        </w:tc>
        <w:tc>
          <w:tcPr>
            <w:tcW w:w="240" w:type="dxa"/>
            <w:vAlign w:val="bottom"/>
          </w:tcPr>
          <w:p>
            <w:pPr>
              <w:spacing w:after="0"/>
              <w:rPr>
                <w:sz w:val="14"/>
                <w:szCs w:val="14"/>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$121.9</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$200.5</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Income tax expense from continuing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119.4</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15.6</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 (excluding Global Pro sale)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(42.9)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Income tax expense (benefits) from discontinued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4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11.1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Interest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43.2</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77.6</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from discontinued operations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Depreciation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48.5</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53.9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Loss on impairment and other charges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136.8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Product registration and recall matters, non-cash portion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Mark-to-market adjustments on derivatives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Smith &amp; Hawken closure process, non-cash portion</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393.0</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440.1</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350.5</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318.4</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382.6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Please refer to “ITEM 7. MANAGEMENT’S DISCUSSION AND ANALYSIS OF FINANCIAL CONDITION AND RESULTS OF OPERATIONS—Liquidity and Capital Resources” of this Annual Report on Form 10-K for a discussion of our credit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u w:val="single" w:color="auto"/>
          <w:color w:val="auto"/>
        </w:rPr>
        <w:t>ITEM 7.</w:t>
      </w:r>
      <w:r>
        <w:rPr>
          <w:sz w:val="20"/>
          <w:szCs w:val="20"/>
          <w:color w:val="auto"/>
        </w:rPr>
        <w:tab/>
      </w:r>
      <w:r>
        <w:rPr>
          <w:rFonts w:ascii="Arial" w:cs="Arial" w:eastAsia="Arial" w:hAnsi="Arial"/>
          <w:sz w:val="16"/>
          <w:szCs w:val="16"/>
          <w:b w:val="1"/>
          <w:bCs w:val="1"/>
          <w:i w:val="1"/>
          <w:iCs w:val="1"/>
          <w:u w:val="single" w:color="auto"/>
          <w:color w:val="auto"/>
        </w:rPr>
        <w:t>MANAGEMENT’SDISCUSSION AND ANALYSIS OF FINANCIAL CONDITION AND RESULTS OF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purpose of this discussion is to provide an understanding of our financial condition and results of operations by focusing on changes in certain key measures from year-to-year. Management’s Discussion and Analysis (“MD&amp;A”) is divided into the following sections:</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Management’s outlook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are dedicated to delivering strong, long-term financial results and outstanding shareholder returns by providing products of superior quality and value to enhance consumers’ outdoor lawn and garden environments. 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10"/>
          <w:szCs w:val="10"/>
          <w:color w:val="auto"/>
        </w:rPr>
        <w:t>®</w:t>
      </w:r>
      <w:r>
        <w:rPr>
          <w:rFonts w:ascii="Arial" w:cs="Arial" w:eastAsia="Arial" w:hAnsi="Arial"/>
          <w:sz w:val="16"/>
          <w:szCs w:val="16"/>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10"/>
          <w:szCs w:val="10"/>
          <w:color w:val="auto"/>
        </w:rPr>
        <w:t>®</w:t>
      </w:r>
      <w:r>
        <w:rPr>
          <w:rFonts w:ascii="Arial" w:cs="Arial" w:eastAsia="Arial" w:hAnsi="Arial"/>
          <w:sz w:val="16"/>
          <w:szCs w:val="16"/>
          <w:color w:val="auto"/>
        </w:rPr>
        <w:t>, the second largest U.S. lawn care service business. Our operations are divided into the following reportable segments: Global Consumer and Scotts LawnService</w:t>
      </w:r>
      <w:r>
        <w:rPr>
          <w:rFonts w:ascii="Arial" w:cs="Arial" w:eastAsia="Arial" w:hAnsi="Arial"/>
          <w:sz w:val="10"/>
          <w:szCs w:val="10"/>
          <w:color w:val="auto"/>
        </w:rPr>
        <w:t>®</w:t>
      </w:r>
      <w:r>
        <w:rPr>
          <w:rFonts w:ascii="Arial" w:cs="Arial" w:eastAsia="Arial" w:hAnsi="Arial"/>
          <w:sz w:val="16"/>
          <w:szCs w:val="16"/>
          <w:color w:val="auto"/>
        </w:rPr>
        <w:t>.</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February 28, 2011, we completed the sale of a significant majority of the assets of our Global Professional business (excluding our non-European professional seed business, “Global Pro”) to Israel Chemicals Ltd. (“ICL”) for $270 million in an all-cash transaction, subject to certain adjustments, resulting in $270.9 million net proceeds. For additional information regarding the use of proceeds from the sale of Global Pro, see “NOTE 2. DISCONTINUED OPERATIONS” of the Notes to Consolidated Financial Statements included in this Annual Report on Form 10-K.</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Effective in our first quarter of fiscal 2011, we classified Global Pro as discontinued operations. Prior to being reported as discontinued operations, Global Pro was included as part of our former Global Professional business segment. Results for our non-European professional seed business have been classified to Corporate &amp; Other.</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During our first quarter of fiscal 2010, all Smith &amp; Hawken stores were closed and substantially all operational activities of Smith &amp; Hawken were discontinued. As a result, effective in our first quarter of fiscal 2010, we classified Smith &amp; Hawken as discontinued operations.</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We have successfully applied this model for a number of years by focusing on research and development and investing approximately 4 – 5%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sales in any one year are susceptible to weather conditions in the markets in which our products are sold. For instance, periods of abnormally wet or dry weather can adversely impact sale of certain products, while increasing demand for other products. We believe that our diversified product line and our broad geographic diversification reduce this risk, although to a lessor extent in a year where unfavorable weather is geographically wide-spread and extends across a significant portion of the lawn and garden season. We also believe that weather conditions in any one year, positive or negative, do not materially alter longer-term category growth trends.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Due to the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Percent of Net Sales from</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Continuing Operations by</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7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0"/>
              </w:rPr>
              <w:t>Quarter</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6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Second Quarter</w:t>
            </w: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97"/>
              </w:rPr>
              <w:t>39.9%</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36.2%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32.0%</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7"/>
              </w:rPr>
              <w:t>37.3%</w:t>
            </w:r>
          </w:p>
        </w:tc>
        <w:tc>
          <w:tcPr>
            <w:tcW w:w="12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40.5%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42.5%</w:t>
            </w:r>
          </w:p>
        </w:tc>
      </w:tr>
      <w:tr>
        <w:trPr>
          <w:trHeight w:val="222"/>
        </w:trPr>
        <w:tc>
          <w:tcPr>
            <w:tcW w:w="7040" w:type="dxa"/>
            <w:vAlign w:val="bottom"/>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97"/>
              </w:rPr>
              <w:t>14.7%</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14.6%</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17.0%</w:t>
            </w:r>
          </w:p>
        </w:tc>
      </w:tr>
    </w:tbl>
    <w:p>
      <w:pPr>
        <w:spacing w:after="0" w:line="14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pricing, product mix and foreign exchange movements), organic net sales growth (net sales growth excluding the impact of foreign exchange movements, product recalls and acquisitions), gross profit margins, advertising to net sales ratios, income from operations, income from continuing operations, net income and earnings per share. To the extent applicable, these measures are evaluated with and without impairment, restructuring and other charges as well as product registration and recall matters, which management believes are not indicative of the earnings capabilities of our businesses. We also focus on measures to optimize cash flow and return on invested capital, including the management of working capital and capital expenditures.</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Scotts Miracle-Gro Board of Directors has authorized the repurchase of up to $700 million of our common shares through September 30, 2014. Further, on August 8, 2011, we announced that the Scotts Miracle-Gro Board of Directors increased our quarterly dividend from $0.25 to $0.30 per common share. The decisions to increase the amount of cash we intend to return to our shareholders reflect our continued confidence in the long-term performance of our business, which should allow us to return cash to shareholders while also investing to sustain and grow our key competitive advantages. During fiscal 2011, we repurchased approximately 6.9 million of our common shares in open market transactions for $358.7 million. From the inception of this program in the fourth quarter of fiscal 2010 through fiscal 2011 year-end, we have repurchased approximately 7.4 million of our common shares for $383.7 million.</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Registration and Recall Matters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April 2008, we became aware that a former associate apparently deliberately circumvented our policies and U.S. Environmental Protection Agency (“U.S. EPA”) regulations under the Federal Insecticide, Fungicide, and Rodenticide Act of 1947, as amended (“FIFRA”), by failing to obtain valid registrations for certain products and/or causing certain invalid product registration forms to be submitted to regulators. Since that time, we have been cooperating with both the U.S. EPA and the U.S. Department of Justice (the “U.S. DOJ”) in related civil and criminal investigations into the pesticide product registration issues as well as a state civil investigation into related allegations arising under state pesticide registration laws and regulations.</w:t>
      </w:r>
    </w:p>
    <w:p>
      <w:pPr>
        <w:spacing w:after="0" w:line="11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In late April 2008, in connection with the U.S. EPA’s investigation, we conducted a consumer-level recall of certain consumer lawn and garden products and a Scotts LawnService</w:t>
      </w:r>
      <w:r>
        <w:rPr>
          <w:rFonts w:ascii="Arial" w:cs="Arial" w:eastAsia="Arial" w:hAnsi="Arial"/>
          <w:sz w:val="11"/>
          <w:szCs w:val="11"/>
          <w:color w:val="auto"/>
        </w:rPr>
        <w:t>®</w:t>
      </w:r>
      <w:r>
        <w:rPr>
          <w:rFonts w:ascii="Arial" w:cs="Arial" w:eastAsia="Arial" w:hAnsi="Arial"/>
          <w:sz w:val="18"/>
          <w:szCs w:val="18"/>
          <w:color w:val="auto"/>
        </w:rPr>
        <w:t xml:space="preserve"> product. Subsequently,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and the U.S. EPA agreed upon a Compliance Review Plan for conducting a comprehensive, independent review of our product registration records. Pursuant to the Compliance Review Plan, an independent third-party firm, Quality Associates Incorporated (“QAI”), reviewed substantially all of our U.S. pesticide product registrations and associated advertisements, some of which were historical in nature and no longer related to sales of our products. The U.S. EPA investigation and the QAI review process resulted in the temporary suspension of sales and shipments of certain products. In addition, as the QAI review process or our internal review identified potential FIFRA registration issues (some of which appear unrelated to the actions of the former associate), we endeavored to stop selling or distributing the affected products until the issues could be resolved. QAI’s review of our U.S. pesticide product registrations and associated advertisements is now substantially complete. The results of the QAI review process did not materially affect our fiscal 2009, fiscal 2010 or fiscal 2011 sales and are not expected to materially affect our fiscal 2012 sales.</w:t>
      </w:r>
    </w:p>
    <w:p>
      <w:pPr>
        <w:spacing w:after="0" w:line="1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fiscal 2008, we conducted a voluntary recall of certain of our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 recall did not materially affect our fiscal 2009, fiscal 2010 or fiscal 2011 financial condition, results of operations or cash flows.</w:t>
      </w:r>
    </w:p>
    <w:p>
      <w:pPr>
        <w:spacing w:after="0" w:line="1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Settlement discussions relating to potential fines and/or penalties are a frequent outgrowth of governmental investigations. In that regard, on or about June 30, 2011, we received a Notice of Intent to File Administrative Complaint (“Notice”) from the U.S. EPA Region 5 with respect to the alleged FIFRA violations. The Notice, which does not set forth a proposed penalty amount, offers us an opportunity to present any information that we believe the U.S. EPA should consider prior to filing the complaint and indicates that the U.S. EPA is prepared to meet with us to discuss the alleged violations. We made a timely response to the Notice and communications between us and the U.S. EPA are underway. We are also engaged in settlement discussions with the U.S. DOJ regarding its criminal investigation.</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Based on the facts and circumstances known to us at this time (including settlement discussions that have taken place to date), we have established what we believe to be an appropriate reserve. The U.S. EPA, U.S. DOJ and related state investigations continue, however, and may result in future state, federal or private rights of action as well as judgments, settlements, fines and/or penalties with respect to known or potential additional product registration issues. At this stage of the investigations, we cannot reasonably estimate the total scope or magnitude of all possible liabilities that could result from known or potential product registration issues. It is possible that any fines and/or penalties with respect to the investigations, as well as any judgments, litigation costs or other liabilities relating to such known or potential product registration issues, could exceed the amount of the reserve, possibly materially, and could have an adverse effect on our financial condition, results of operations or cash flows.</w:t>
      </w:r>
    </w:p>
    <w:p>
      <w:pPr>
        <w:spacing w:after="0" w:line="11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In June 2008, the California Department of Pesticide Regulation (“CDPR”) issued a request for information to the Company relating to products that had been the subject of the April 2008 recall. We cooperated with that inquiry and reached agreement with CDPR that it would place its investigation on hold pending the completion of our internal audit. In July 2010, CDPR notified us that it planned to proceed with its investigation independent of the U.S. EPA and U.S. DOJ, and in March 2011 we received a letter from CDPR offering to settle the matter without the need for an enforcement proceeding for $245,631. On July 25, 2011, we paid the requested civil penalty and entered into a Settlement Agreement pursuant to which CDPR agreed not to take further civil or criminal action with regard to the affected products.</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a result of these registration and recall matters, we have recorded charges for affected inventory and other registration and recall-related costs. The effects of these adjustments, including the reserve noted above,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were pre-tax charges of $14.6 million, $8.7 million and $28.6 million for the fiscal years ended September 30, 2011, 2010 and 2009, respectively. We expect that future charges will include costs associated with the rework of certain finished goods inventories, the potential disposal of certain products and ongoing third-party professional services related to the U.S. EPA, U.S. DOJ and state investigations. It may also be appropriate to establish additional reserves as settlement discussions continue or in connection with other actions or potential liabilities arising in connection with the product registration issues.</w:t>
      </w:r>
    </w:p>
    <w:p>
      <w:pPr>
        <w:spacing w:after="0" w:line="11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are committed to providing our customers and consumers with products of superior quality and value to enhance their lawns, gardens and overall outdoor living environments. We believe consumers have come to trust our brands based on the superior quality and value they deliver, and that trust is highly valued. We also are committed to conducting business with the highest degree of ethical standards and in adherence to the law. While we are disappointed in these events, we believe we have made significant progress in addressing the issues and restoring customer and consumer confidence in our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classified Global Pro and Smith &amp; Hawken as discontinued operations, for all periods presented, beginning in our first quarter of fiscal 2011 and our first quarter of fiscal 2010, respectively. As a result, and unless specifically stated, all discussions regarding results for the fiscal years ended September 30, 2011, 2010 and 2009 reflect results from our continuing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components of income and expense as a percentage of net sales for the fiscal years ended September 30:</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2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100.0%</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5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62.8</w:t>
            </w:r>
          </w:p>
        </w:tc>
        <w:tc>
          <w:tcPr>
            <w:tcW w:w="460" w:type="dxa"/>
            <w:vAlign w:val="bottom"/>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3"/>
              </w:rPr>
              <w:t>Cost of sales—impairment, restructuring and other charges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 of sales—product registration and recall matters</w:t>
            </w:r>
          </w:p>
        </w:tc>
        <w:tc>
          <w:tcPr>
            <w:tcW w:w="24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0.1</w:t>
            </w: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Operating expenses:</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Impairment, restructuring and other charges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0.6</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Product registration and recall matters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income, net</w:t>
            </w:r>
          </w:p>
        </w:tc>
        <w:tc>
          <w:tcPr>
            <w:tcW w:w="248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Costs related to refinancing</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54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w w:val="99"/>
              </w:rPr>
              <w:t>Income from continuing operations before income taxes</w:t>
            </w:r>
          </w:p>
        </w:tc>
        <w:tc>
          <w:tcPr>
            <w:tcW w:w="2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540" w:type="dxa"/>
            <w:vAlign w:val="bottom"/>
          </w:tcPr>
          <w:p>
            <w:pPr>
              <w:spacing w:after="0"/>
              <w:rPr>
                <w:sz w:val="19"/>
                <w:szCs w:val="19"/>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11.0</w:t>
            </w: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from continuing operations</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9"/>
                <w:szCs w:val="19"/>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6.9</w:t>
            </w: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2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vMerge w:val="continue"/>
          </w:tcPr>
          <w:p>
            <w:pPr>
              <w:spacing w:after="0"/>
              <w:rPr>
                <w:sz w:val="19"/>
                <w:szCs w:val="19"/>
                <w:color w:val="auto"/>
              </w:rPr>
            </w:pPr>
          </w:p>
        </w:tc>
        <w:tc>
          <w:tcPr>
            <w:tcW w:w="248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7.0%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80" w:type="dxa"/>
            <w:vAlign w:val="bottom"/>
            <w:vMerge w:val="restart"/>
          </w:tcPr>
          <w:p>
            <w:pPr>
              <w:jc w:val="right"/>
              <w:ind w:right="1932"/>
              <w:spacing w:after="0"/>
              <w:rPr>
                <w:sz w:val="20"/>
                <w:szCs w:val="20"/>
                <w:color w:val="auto"/>
              </w:rPr>
            </w:pPr>
            <w:r>
              <w:rPr>
                <w:rFonts w:ascii="Arial" w:cs="Arial" w:eastAsia="Arial" w:hAnsi="Arial"/>
                <w:sz w:val="18"/>
                <w:szCs w:val="18"/>
                <w:color w:val="auto"/>
              </w:rPr>
              <w:t>31</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Consolidated net sales for fiscal 2011 decreased 2.1% to $2.84 billion from $2.90 billion in fiscal 2010. Net sales for fiscal 2010 increased 5.5% from $2.75 billion in fiscal 2009. Organic net sales, which excludes the impact of changes in foreign exchange rates and acquisitions, declined 3.1% in fiscal 2011 after growing 4.8% in fiscal 2010, as outlined in the following table:</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2011</w:t>
            </w:r>
          </w:p>
        </w:tc>
        <w:tc>
          <w:tcPr>
            <w:tcW w:w="7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net sales</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Acquisitions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(0.1)</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rates</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(0.7)</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8"/>
                <w:szCs w:val="18"/>
                <w:color w:val="auto"/>
              </w:rPr>
              <w:t>Change in organic net sales</w:t>
            </w:r>
          </w:p>
        </w:tc>
        <w:tc>
          <w:tcPr>
            <w:tcW w:w="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vMerge w:val="continue"/>
          </w:tcPr>
          <w:p>
            <w:pPr>
              <w:spacing w:after="0"/>
              <w:rPr>
                <w:sz w:val="19"/>
                <w:szCs w:val="19"/>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(3.1)%</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Organic net sales in the Global Consumer segment decreased 5.4% in fiscal 2011, driven by a 6.8% decrease in organic net sales in U.S. Consumer as a result of poor weather in the peak weeks of the spring and fall lawn and garden seasons as well as lower sales in the mass merchant retail channel. International Consumer organic net sales increased 1.1% in fiscal 2011, driven primarily by product innovation. Organic net sales in the Scotts LawnService</w:t>
      </w:r>
      <w:r>
        <w:rPr>
          <w:rFonts w:ascii="Arial" w:cs="Arial" w:eastAsia="Arial" w:hAnsi="Arial"/>
          <w:sz w:val="10"/>
          <w:szCs w:val="10"/>
          <w:color w:val="auto"/>
        </w:rPr>
        <w:t>®</w:t>
      </w:r>
      <w:r>
        <w:rPr>
          <w:rFonts w:ascii="Arial" w:cs="Arial" w:eastAsia="Arial" w:hAnsi="Arial"/>
          <w:sz w:val="16"/>
          <w:szCs w:val="16"/>
          <w:color w:val="auto"/>
        </w:rPr>
        <w:t xml:space="preserve"> segment increased 5.1% primarily due to improvements in selling effectiveness, higher customer satisfaction rates and improved customer retention. Corporate &amp; Other had an overall sales increase of $42.7 million in fiscal 2011, approximately 75% of which was attributable to our new supply agreements with ICL.</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Organic net sales in the Global Consumer segment increased 5.8% in fiscal 2010, driven by a 6.0% increase in organic net sales in U.S. Consumer solely as a result of unit growth. We believe the U.S. Consumer growth was partially attributable to increased marketing efforts, continued support of the category by our retail partners and product innovation. International Consumer organic net sales increased 4.8%, also driven entirely by unit growth. Organic net sales in the Scotts LawnService</w:t>
      </w:r>
      <w:r>
        <w:rPr>
          <w:rFonts w:ascii="Arial" w:cs="Arial" w:eastAsia="Arial" w:hAnsi="Arial"/>
          <w:sz w:val="10"/>
          <w:szCs w:val="10"/>
          <w:color w:val="auto"/>
        </w:rPr>
        <w:t>®</w:t>
      </w:r>
      <w:r>
        <w:rPr>
          <w:rFonts w:ascii="Arial" w:cs="Arial" w:eastAsia="Arial" w:hAnsi="Arial"/>
          <w:sz w:val="16"/>
          <w:szCs w:val="16"/>
          <w:color w:val="auto"/>
        </w:rPr>
        <w:t xml:space="preserve"> segment declined by 3.0% primarily due to a year-over-year decline in average customer count.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a percentage of net sales, our gross margin rate was 35.4% for fiscal 2011 compared to 37.1% for fiscal 2010. Excluding impairment, restructuring and other charges of $3.2 million and product registration and recall matters of $18.3 million, the gross margin rate decreased by 110 basis points in fiscal 2011. The decrease in the gross margin rate was driven by sales growth attributed to the ICL supply agreements at zero margin, unfavorable sales mix within U.S. Consumer, higher cost consumer promotional programs, increased commodity costs and reduced leverage of fixed manufacturing and warehousing costs.</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As a percentage of net sales, our gross margin rate was 37.1% for fiscal 2010 compared to 35.6% for fiscal 2009. The increase in the gross margin rate was driven by supply chain cost productivity initiatives, lower average commodity costs, favorable product mix and increased commissions on sales of Roundup</w:t>
      </w:r>
      <w:r>
        <w:rPr>
          <w:rFonts w:ascii="Arial" w:cs="Arial" w:eastAsia="Arial" w:hAnsi="Arial"/>
          <w:sz w:val="11"/>
          <w:szCs w:val="11"/>
          <w:color w:val="auto"/>
        </w:rPr>
        <w:t>®</w:t>
      </w:r>
      <w:r>
        <w:rPr>
          <w:rFonts w:ascii="Arial" w:cs="Arial" w:eastAsia="Arial" w:hAnsi="Arial"/>
          <w:sz w:val="18"/>
          <w:szCs w:val="18"/>
          <w:color w:val="auto"/>
        </w:rPr>
        <w:t xml:space="preserve"> branded products. Product registration and recall matters unfavorably impacted gross margin rates by 10 and 40 basis points for fiscal 2010 and fiscal 2009,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major components of Selling, General and Administrative expenses (“SG&amp;A”) for each of the three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(In millions, except percentage figures)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140.8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Advertising as a percentage of net sales</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SG&amp;A</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528.6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2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020"/>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49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20"/>
              <w:spacing w:after="0"/>
              <w:rPr>
                <w:sz w:val="20"/>
                <w:szCs w:val="20"/>
                <w:color w:val="auto"/>
              </w:rPr>
            </w:pPr>
            <w:r>
              <w:rPr>
                <w:rFonts w:ascii="Arial" w:cs="Arial" w:eastAsia="Arial" w:hAnsi="Arial"/>
                <w:sz w:val="18"/>
                <w:szCs w:val="18"/>
                <w:color w:val="auto"/>
              </w:rPr>
              <w:t>695.3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699.2</w:t>
            </w:r>
          </w:p>
        </w:tc>
        <w:tc>
          <w:tcPr>
            <w:tcW w:w="2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Advertising expense for our Global Consumer segment was $130.3 million in fiscal 2011 compared to $129.8 million in fiscal 2010. This change was driven by a decrease of $2.9 million in U.S. Consumer where increased funds were directed to consumer promotions, offset by an after foreign exchange impact increase of $2.5 million in International Consumer. Advertising expense for our Scotts LawnService</w:t>
      </w:r>
      <w:r>
        <w:rPr>
          <w:rFonts w:ascii="Arial" w:cs="Arial" w:eastAsia="Arial" w:hAnsi="Arial"/>
          <w:sz w:val="11"/>
          <w:szCs w:val="11"/>
          <w:color w:val="auto"/>
        </w:rPr>
        <w:t>®</w:t>
      </w:r>
      <w:r>
        <w:rPr>
          <w:rFonts w:ascii="Arial" w:cs="Arial" w:eastAsia="Arial" w:hAnsi="Arial"/>
          <w:sz w:val="18"/>
          <w:szCs w:val="18"/>
          <w:color w:val="auto"/>
        </w:rPr>
        <w:t xml:space="preserve"> segment was $10.7 million in fiscal 2011 compared to $11.0 million in fiscal 2010.</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Advertising expense for our Global Consumer segment was $129.8 million in fiscal 2010 compared to $111.2 million in fiscal 2009, an increase of $18.6 million, or 16.8%, driven by increased spending in U.S. Consumer partially offset by lower spending in International Consumer. Advertising expense for our Scotts LawnService</w:t>
      </w:r>
      <w:r>
        <w:rPr>
          <w:rFonts w:ascii="Arial" w:cs="Arial" w:eastAsia="Arial" w:hAnsi="Arial"/>
          <w:sz w:val="11"/>
          <w:szCs w:val="11"/>
          <w:color w:val="auto"/>
        </w:rPr>
        <w:t>®</w:t>
      </w:r>
      <w:r>
        <w:rPr>
          <w:rFonts w:ascii="Arial" w:cs="Arial" w:eastAsia="Arial" w:hAnsi="Arial"/>
          <w:sz w:val="18"/>
          <w:szCs w:val="18"/>
          <w:color w:val="auto"/>
        </w:rPr>
        <w:t xml:space="preserve"> segment was $11 million in fiscal 2010 compared to $14.4 million in fiscal 2009, a decrease of $3.4 million, reflecting a shift in spending from advertising to direct selling, which is categorized as Other SG&amp;A.</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fiscal 2011, Other SG&amp;A spending decreased $6.5 million, or 1.2%, from fiscal 2010. The primary driver of the decrease was lower variable compensation expense, partially offset by the full year impact associated with operating two additional regional offices which opened in the second half of fiscal 2010, increased bad debt expense, and various other expenses including incremental marketing and research and development costs. In fiscal 2010, Other SG&amp;A spending decreased $19.2 million, or 3.5%, from fiscal 2009, primarily driven by decreased variable compensation expense and lower research and development spending, which were partially offset by increased spending in selling and marketing.</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majority of our share-based awards vest over three years, with the associated expense recognized ratably over the vesting period. In certain cases, such as individuals who are eligible for early retirement based on their age and years of service, the vesting period is shorter than three years. Fiscal 2011 share-based compensation expense was roughly flat to fiscal 2010. The increase in share-based compensation expense in fiscal 2010 was primarily due to the acceleration of expense for certain employees whose equity awards vested in fiscal 2010 upon meeting age and service requirements.</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Amortization expense was $9.5 million in fiscal 2011, compared to $9.8 million and $11.7 million in fiscal 2010 and fiscal 2009, respectively. The decline in fiscal 2011 was driven by assets that became fully amortized in fiscal 2011 or fiscal 2010. The decline in fiscal 2010 was driven by assets that became fully amortized in fiscal 2010 or fiscal 2009.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Restructuring and Other Charges (included in SG&amp;A)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breakdown of Impairment, Restructuring and Other Charges (included in SG&amp;A) for each of the three years ended September 30, 2011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Product registration and recall matters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$16.8</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Restructuring and other charges</w:t>
            </w:r>
          </w:p>
        </w:tc>
        <w:tc>
          <w:tcPr>
            <w:tcW w:w="400" w:type="dxa"/>
            <w:vAlign w:val="bottom"/>
          </w:tcPr>
          <w:p>
            <w:pPr>
              <w:jc w:val="right"/>
              <w:spacing w:after="0"/>
              <w:rPr>
                <w:sz w:val="20"/>
                <w:szCs w:val="20"/>
                <w:color w:val="auto"/>
              </w:rPr>
            </w:pPr>
            <w:r>
              <w:rPr>
                <w:rFonts w:ascii="Arial" w:cs="Arial" w:eastAsia="Arial" w:hAnsi="Arial"/>
                <w:sz w:val="18"/>
                <w:szCs w:val="18"/>
                <w:color w:val="auto"/>
              </w:rPr>
              <w:t>38.4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Goodwill and intangible assets impairment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18.5</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0"/>
        </w:trPr>
        <w:tc>
          <w:tcPr>
            <w:tcW w:w="7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1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69.2</w:t>
            </w:r>
          </w:p>
        </w:tc>
        <w:tc>
          <w:tcPr>
            <w:tcW w:w="5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w w:val="79"/>
              </w:rPr>
              <w:t>24.2</w:t>
            </w:r>
          </w:p>
        </w:tc>
        <w:tc>
          <w:tcPr>
            <w:tcW w:w="400" w:type="dxa"/>
            <w:vAlign w:val="bottom"/>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16.8</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Product registration and recall costs were $11.4 million in fiscal 2011, compared to $5.7 million and $16.8 million in fiscal 2010 and fiscal 2009, respectively. Fiscal 2011 costs include reserves established in connection with the U.S. EPA and U.S. DOJ investigations, as well as third-party compliance review, legal and consulting fees. Fiscal 2010 and fiscal 2009 costs primarily related to third-party compliance review, legal and consulting fees.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fiscal 2011 we recorded restructuring and other charges of $38.4 million, primarily related to termination benefits provided to employees who were involuntarily terminated, an early settlement of the contingent consideration associated with our fiscal 2006 acquisition of Turf-Seed, Inc. and other charges associated with our investment in Turf-Seed (Europe) Limited.</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annual impairment testing, which includes goodwill and indefinite-lived intangibles, is performed as of the first day of our fiscal fourth quarter. Our fourth quarter fiscal 2011 impairment analysis resulted in a non-cash charge of $19.4 million, primarily attributed to the intangible assets and goodwill associated with our wild bird food business, including the Morning Song</w:t>
      </w:r>
      <w:r>
        <w:rPr>
          <w:rFonts w:ascii="Arial" w:cs="Arial" w:eastAsia="Arial" w:hAnsi="Arial"/>
          <w:sz w:val="11"/>
          <w:szCs w:val="11"/>
          <w:color w:val="auto"/>
        </w:rPr>
        <w:t>®</w:t>
      </w:r>
      <w:r>
        <w:rPr>
          <w:rFonts w:ascii="Arial" w:cs="Arial" w:eastAsia="Arial" w:hAnsi="Arial"/>
          <w:sz w:val="18"/>
          <w:szCs w:val="18"/>
          <w:color w:val="auto"/>
        </w:rPr>
        <w:t xml:space="preserve"> tradename. Losses generated by this business over the past two years combined with a revised long-term outlook have negatively impacted the value of this business.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fourth quarter fiscal 2010 impairment analysis resulted in a non-cash charge of $18.5 million related to discontinuing or de-emphasizing certain brands and sub-brands, which is consistent with our business strategy to increasingly concentrate our advertising and promotional spending on fewer, more significant brands to more efficiently drive growth.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impairment analysis for the fourth quarter of fiscal 2009 indicated that no charge for impairment was required.</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Other (income) expense, net, was $1.7 million and $6.7 million of income in fiscal 2011 and fiscal 2010, respectively, compared to expense of $1.2 million for fiscal 2009. The decrease in fiscal 2011 was primarily due to the non-recurrence of gains recognized in fiscal 2010 on the sale of property and other miscellaneous asset disposals. The increase in fiscal 2010 was primarily driven by a gain recorded for the sale of property compared to a loss recorded on the sale of assets in fiscal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Income from operations in fiscal 2011 was $247 million compared to $363.1 million in fiscal 2010, a decrease of $116.1 million, or 32.0%. Excluding impairment, restructuring and other charges and product registration and recall costs, income from operations decreased by $52.6 million, or 13.5%, in fiscal 2011, primarily driven by decreased net sales and lower gross margin rates, partially offset by a decrease in SG&amp;A spending.</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Income from operations in fiscal 2010 was $363.1 million compared to $260.5 million in fiscal 2009, an increase of $102.6 million. Excluding impairment, restructuring and other charges and product registration and recall costs, income from operations increased by $101.2 million, or 35.0%, in fiscal 2010, primarily driven by increased net sales, higher gross margin rates and lower variable compensation expense, partially offset by higher advertising, selling and marketing spending.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and Refinancing Activities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Interest expense in fiscal 2011 was $51 million compared to $43.2 million and $52.4 million in fiscal 2010 and fiscal 2009, respectively. The increase in fiscal 2011 was primarily due to an increase in weighted average interest rates as a result of our fiscal 2011 refinancing activities, partially offset by a decrease in average borrowings. Weighted average interest rates increased by approximately 118 basis points in fiscal 2011 compared to fiscal 2010. Excluding the impact of foreign exchange rates, average borrowings decreased by approximately $87.3 million during fiscal 2011. In fiscal 2011, we also wrote-off $1.2 million of deferred financing fees as a result of refinancing our credit facility.</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decrease in fiscal 2010 was primarily due to a reduction in average debt outstanding of approximately $215 million, excluding the impact of foreign exchange rates. Weighted-average interest rates in fiscal 2010 were essentially flat compared to fiscal 2009.</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for each of the three years ended September 30 is summarized below:</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2"/>
              </w:rPr>
              <w:t>Year Ended September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5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income tax rate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2060" w:type="dxa"/>
            <w:vAlign w:val="bottom"/>
            <w:gridSpan w:val="3"/>
          </w:tcPr>
          <w:p>
            <w:pPr>
              <w:jc w:val="right"/>
              <w:ind w:right="840"/>
              <w:spacing w:after="0"/>
              <w:rPr>
                <w:sz w:val="20"/>
                <w:szCs w:val="20"/>
                <w:color w:val="auto"/>
              </w:rPr>
            </w:pPr>
            <w:r>
              <w:rPr>
                <w:rFonts w:ascii="Arial" w:cs="Arial" w:eastAsia="Arial" w:hAnsi="Arial"/>
                <w:sz w:val="18"/>
                <w:szCs w:val="18"/>
                <w:color w:val="auto"/>
              </w:rPr>
              <w:t>(0.2)</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state NOL and credit carryforwards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tax credit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Effect of goodwill impairment and other permanent differences</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840"/>
              <w:spacing w:after="0"/>
              <w:rPr>
                <w:sz w:val="20"/>
                <w:szCs w:val="20"/>
                <w:color w:val="auto"/>
              </w:rPr>
            </w:pPr>
            <w:r>
              <w:rPr>
                <w:rFonts w:ascii="Arial" w:cs="Arial" w:eastAsia="Arial" w:hAnsi="Arial"/>
                <w:sz w:val="18"/>
                <w:szCs w:val="18"/>
                <w:color w:val="auto"/>
              </w:rPr>
              <w:t>(0.6)</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Resolution of prior tax contingencies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18"/>
                <w:szCs w:val="18"/>
                <w:color w:val="auto"/>
              </w:rPr>
            </w:pPr>
          </w:p>
        </w:tc>
        <w:tc>
          <w:tcPr>
            <w:tcW w:w="144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r>
      <w:tr>
        <w:trPr>
          <w:trHeight w:val="27"/>
        </w:trPr>
        <w:tc>
          <w:tcPr>
            <w:tcW w:w="5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206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37.3%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r>
      <w:tr>
        <w:trPr>
          <w:trHeight w:val="20"/>
        </w:trPr>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effective tax rate for continuing operations was 37.4% for fiscal 2011, compared to 37.3% for fiscal 2010 and 36.3% for fiscal 2009. Excluding reserves established for potential fines and penalties associated with the FIFRA investigations, the effective tax rate for continuing operations was 36.0% for fiscal 2011. Excluding the income tax expense related to the disallowance of the Medicare Part D tax deduction, the effective tax rate for continuing operations was 36.7% for fiscal 2010. Additional factors impacting the fiscal 2010 effective tax rate were an increase in state tax rates as well as the expiration of the research and development tax credit.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and Earnings per Share from Continuing Operations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reported income from continuing operations of $121.9 million, or $1.84 per diluted share, in fiscal 2011 compared to income from continuing operations of $200.5 million, or $2.97 per diluted share, in fiscal 2010. 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fiscal 2011, we incurred costs of $76.1 million relating to impairment, restructuring and other charges, as well as $14.6 million in costs associated with product registration and recall matters. In fiscal 2010, we incurred $18.5 million of impairment charges, as well as $8.7 million in costs associated with product registration and recall matters. Excluding these items, adjusted income from continuing operations was $182.6 million in fiscal 2011 compared to $218.8 million in fiscal 2010, a decrease of $36.2 million, primarily driven by decreased net sales, lower gross margin rates and higher interest expense, and partially offset by a decrease in SG&amp;A spending. Diluted weighted-average common shares outstanding decreased from 67.6 million in fiscal 2010 to 66.2 million in fiscal 2011. The decrease was primarily driven by repurchases of our common shares, partially offset by the exercise of stock options and by an increase in the number of dilutive equivalent shares. Dilutive equivalent shares for fiscal 2011 and fiscal 2010 were 1.5 million and 1.3 million, respectively. The increase in equivalent shares was due to additional equity based grants and an increase in our average share price.</w:t>
      </w:r>
    </w:p>
    <w:p>
      <w:pPr>
        <w:spacing w:after="0" w:line="11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reported income from continuing operations of $200.5 million, or $2.97 per diluted share, in fiscal 2010 compared to income from continuing operations of $132.6 million, or $2.04 per diluted share, in fiscal 2009. Fiscal 2010 was unfavorably impacted by $18.5 million of impairment charges, as well as $8.7 million in costs associated with product registration and recall matters. Fiscal 2009 was unfavorably impacted by $28.6 million of costs related to product registration and recall matters. Excluding these items, adjusted income from continuing operations was $218.8 million in fiscal 2010 compared to $150.7 million in fiscal 2009, an increase of $68.1 million, primarily driven by increased net sales, higher gross margin rates and lower variable compensation expense, partially offset by increased spending in media, selling and marketing. Diluted weighted-average common shares outstanding increased from 66.1 million in fiscal 2009 to 67.6 million in fiscal 2010. Diluted average common shares included 1.3 million and 1.1 million equivalent shares for fiscal 2010 and fiscal 2009, respectively. The increase in diluted average common shares was driven by an increase in our average share price and stock option exercises.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from Discontinued Operations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our second quarter of fiscal 2011 we completed the sale of Global Pro to ICL. As a result of the then-pending sale, effective in the first quarter of fiscal 2011, we began presenting Global Pro as discontinued operations. Further, in our first quarter of fiscal 2010, we began presenting Smith &amp; Hawken as discontinued operations. Prior periods have been reclassified to conform to these presentations.</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Income from discontinued operations, net of tax, was $46 million, $3.6 million and $20.7 million in fiscal 2011, fiscal 2010 and fiscal 2009, respectively. Fiscal 2011 includes a net after-tax gain of $39.5 million on the sale of Global Pro to ICL. Fiscal 2010 is comprised of $11.9 million of income relating to Global Pro’s operations and $18 million from the sale of the Smith &amp; Hawken intellectual property, offset by costs associated with the final closure activities of Smith &amp; Hawken. In fiscal 2009, the results of Global Pro’s operations generated $22 million of income, partially offset by losses associated with Smith &amp; Hawken of $1.3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continuing operations are divided into the following reportable segments: Global Consumer and Scotts LawnService</w:t>
      </w:r>
      <w:r>
        <w:rPr>
          <w:rFonts w:ascii="Arial" w:cs="Arial" w:eastAsia="Arial" w:hAnsi="Arial"/>
          <w:sz w:val="10"/>
          <w:szCs w:val="10"/>
          <w:color w:val="auto"/>
        </w:rPr>
        <w:t>®</w:t>
      </w:r>
      <w:r>
        <w:rPr>
          <w:rFonts w:ascii="Arial" w:cs="Arial" w:eastAsia="Arial" w:hAnsi="Arial"/>
          <w:sz w:val="16"/>
          <w:szCs w:val="16"/>
          <w:color w:val="auto"/>
        </w:rPr>
        <w:t>. This division of reportable segments is consistent with how the segments report to and are managed by the chief operating decision maker of the Company. We have made reclassifications to prior period segment amounts as a result of the change in our internal organization structure associated with the sale of a significant majority of our previously reported Global Professional segment, which is now reported in discontinued operations. Our non-European professional seed business was not part of the sale and is now included in Corporate &amp; Other, along with revenues and expenses associated with the Company’s supply agreements with ICL, as well as corporate general and administrative expenses and certain other income/expense items not allocated to the business segments.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evaluate segment performance based on several factors, including income from continuing operations before amortization, product registration and recall costs, and impairment, restructuring and other charges. Management uses this measure of operating profit to gauge segment performance because we believe this measure is the most indicative of performance trends and the overall earnings potential of each segment.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segment information for each of the three years ended September 30: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 by Segment</w:t>
      </w:r>
    </w:p>
    <w:p>
      <w:pPr>
        <w:spacing w:after="0" w:line="20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$2,533.2</w:t>
            </w:r>
          </w:p>
        </w:tc>
        <w:tc>
          <w:tcPr>
            <w:tcW w:w="320" w:type="dxa"/>
            <w:vAlign w:val="bottom"/>
            <w:tcBorders>
              <w:left w:val="single" w:sz="8" w:color="CCEEFF"/>
            </w:tcBorders>
            <w:shd w:val="clear" w:color="auto" w:fill="CCEEFF"/>
          </w:tcPr>
          <w:p>
            <w:pPr>
              <w:spacing w:after="0"/>
              <w:rPr>
                <w:sz w:val="18"/>
                <w:szCs w:val="18"/>
                <w:color w:val="auto"/>
              </w:rPr>
            </w:pPr>
          </w:p>
        </w:tc>
        <w:tc>
          <w:tcPr>
            <w:tcW w:w="15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$2,649.7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7"/>
              </w:rPr>
              <w:t>$2,485.3</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1"/>
                <w:szCs w:val="11"/>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235.6</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6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Segment total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2,768.8</w:t>
            </w:r>
          </w:p>
        </w:tc>
        <w:tc>
          <w:tcPr>
            <w:tcW w:w="320" w:type="dxa"/>
            <w:vAlign w:val="bottom"/>
            <w:tcBorders>
              <w:left w:val="single" w:sz="8" w:color="CCEEFF"/>
            </w:tcBorders>
            <w:shd w:val="clear" w:color="auto" w:fill="CCEEFF"/>
          </w:tcPr>
          <w:p>
            <w:pPr>
              <w:spacing w:after="0"/>
              <w:rPr>
                <w:sz w:val="18"/>
                <w:szCs w:val="18"/>
                <w:color w:val="auto"/>
              </w:rPr>
            </w:pPr>
          </w:p>
        </w:tc>
        <w:tc>
          <w:tcPr>
            <w:tcW w:w="15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2,873.8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2,716.4</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Corporate &amp; Other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67.7</w:t>
            </w:r>
          </w:p>
        </w:tc>
        <w:tc>
          <w:tcPr>
            <w:tcW w:w="320" w:type="dxa"/>
            <w:vAlign w:val="bottom"/>
          </w:tcPr>
          <w:p>
            <w:pPr>
              <w:spacing w:after="0"/>
              <w:rPr>
                <w:sz w:val="18"/>
                <w:szCs w:val="18"/>
                <w:color w:val="auto"/>
              </w:rPr>
            </w:pP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25.0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1"/>
                <w:szCs w:val="11"/>
                <w:color w:val="auto"/>
              </w:rPr>
              <w:t>®</w:t>
            </w:r>
            <w:r>
              <w:rPr>
                <w:rFonts w:ascii="Arial" w:cs="Arial" w:eastAsia="Arial" w:hAnsi="Arial"/>
                <w:sz w:val="18"/>
                <w:szCs w:val="18"/>
                <w:color w:val="auto"/>
              </w:rPr>
              <w:t xml:space="preserve"> amortization</w:t>
            </w: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15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Product registration and recall matters-returns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2,835.7</w:t>
            </w:r>
          </w:p>
        </w:tc>
        <w:tc>
          <w:tcPr>
            <w:tcW w:w="320" w:type="dxa"/>
            <w:vAlign w:val="bottom"/>
            <w:tcBorders>
              <w:left w:val="single" w:sz="8" w:color="CCEEFF"/>
            </w:tcBorders>
            <w:shd w:val="clear" w:color="auto" w:fill="CCEEFF"/>
          </w:tcPr>
          <w:p>
            <w:pPr>
              <w:spacing w:after="0"/>
              <w:rPr>
                <w:sz w:val="18"/>
                <w:szCs w:val="18"/>
                <w:color w:val="auto"/>
              </w:rPr>
            </w:pPr>
          </w:p>
        </w:tc>
        <w:tc>
          <w:tcPr>
            <w:tcW w:w="15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2,898.0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77"/>
              </w:rPr>
              <w:t>$</w:t>
            </w:r>
            <w:r>
              <w:rPr>
                <w:rFonts w:ascii="Arial" w:cs="Arial" w:eastAsia="Arial" w:hAnsi="Arial"/>
                <w:sz w:val="18"/>
                <w:szCs w:val="18"/>
                <w:color w:val="auto"/>
                <w:w w:val="77"/>
              </w:rPr>
              <w:t>2,746.4</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Income from Continuing Operations before Income Taxes by Segment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6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24"/>
                <w:szCs w:val="24"/>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24"/>
                <w:szCs w:val="2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(In millions)</w:t>
            </w: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Global Consumer</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$ 425.6</w:t>
            </w:r>
          </w:p>
        </w:tc>
        <w:tc>
          <w:tcPr>
            <w:tcW w:w="15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$ 490.7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$ 411.8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1"/>
                <w:szCs w:val="11"/>
                <w:color w:val="auto"/>
              </w:rPr>
              <w:t>®</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25.9</w:t>
            </w:r>
          </w:p>
        </w:tc>
        <w:tc>
          <w:tcPr>
            <w:tcW w:w="1540" w:type="dxa"/>
            <w:vAlign w:val="bottom"/>
            <w:gridSpan w:val="3"/>
          </w:tcPr>
          <w:p>
            <w:pPr>
              <w:jc w:val="right"/>
              <w:ind w:right="640"/>
              <w:spacing w:after="0"/>
              <w:rPr>
                <w:sz w:val="20"/>
                <w:szCs w:val="20"/>
                <w:color w:val="auto"/>
              </w:rPr>
            </w:pPr>
            <w:r>
              <w:rPr>
                <w:rFonts w:ascii="Arial" w:cs="Arial" w:eastAsia="Arial" w:hAnsi="Arial"/>
                <w:sz w:val="18"/>
                <w:szCs w:val="18"/>
                <w:color w:val="auto"/>
              </w:rPr>
              <w:t>21.0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Segment total</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451.5</w:t>
            </w:r>
          </w:p>
        </w:tc>
        <w:tc>
          <w:tcPr>
            <w:tcW w:w="15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511.7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Corporate &amp; Other</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(102.4)</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(110.7)</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Roundup</w:t>
            </w:r>
            <w:r>
              <w:rPr>
                <w:rFonts w:ascii="Arial" w:cs="Arial" w:eastAsia="Arial" w:hAnsi="Arial"/>
                <w:sz w:val="11"/>
                <w:szCs w:val="11"/>
                <w:color w:val="auto"/>
              </w:rPr>
              <w:t>®</w:t>
            </w:r>
            <w:r>
              <w:rPr>
                <w:rFonts w:ascii="Arial" w:cs="Arial" w:eastAsia="Arial" w:hAnsi="Arial"/>
                <w:sz w:val="18"/>
                <w:szCs w:val="18"/>
                <w:color w:val="auto"/>
              </w:rPr>
              <w:t xml:space="preserve"> amortization</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15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amortization</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(10.6)</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(9.9)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Product registration and recall matters</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(14.6)</w:t>
            </w:r>
          </w:p>
        </w:tc>
        <w:tc>
          <w:tcPr>
            <w:tcW w:w="1540" w:type="dxa"/>
            <w:vAlign w:val="bottom"/>
            <w:tcBorders>
              <w:right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Impairment, restructuring and other charges</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(76.1)</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(18.5)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refinancing</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340" w:type="dxa"/>
            <w:vAlign w:val="bottom"/>
            <w:tcBorders>
              <w:right w:val="single" w:sz="8" w:color="CCEEFF"/>
            </w:tcBorders>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(51.0)</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(43.2)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$ 194.8</w:t>
            </w:r>
          </w:p>
        </w:tc>
        <w:tc>
          <w:tcPr>
            <w:tcW w:w="1540" w:type="dxa"/>
            <w:vAlign w:val="bottom"/>
            <w:tcBorders>
              <w:right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$ 319.9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$ 208.1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Consumer</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Global Consumer segment net sales declined 4.4% from $2.65 billion in fiscal 2010 to $2.53 billion in fiscal 2011. Organic net sales in the Global Consumer segment decreased 5.4% in fiscal 2011, which includes a favorable impact from price increases of 1.1%. Organic net sales in the U.S. decreased by 6.8% as a result of poor weather in the peak weeks of the spring and fall lawn and garden seasons as well as lower sales in the mass merchant retail channel. Purchases of our products at our largest U.S. retailers (retail point-of-sale, or “POS”) decreased by 3.6%. The difference between the decline in net sales and retailer POS is primarily attributable to increased promotional programs through our trade partners and reduced inventories at retail. International Consumer organic net sales increased 1.1% in fiscal 2011, primarily attributable to unit volume growth as a result of product innovation and slight increases in net pricing. The increase in International Consumer net sales was primarily driven by strong growth in Canada and Central Europe.</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Global Consumer segment income for fiscal 2011 was $425.6 million, a decrease of $65.1 million, or 13.3%, compared to fiscal 2010. Excluding the impact of foreign exchange movements, segment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decreased by $73.8 million, or 15.1%, from fiscal 2010. The decrease in segment income for fiscal 2011 was primarily driven by the decrease in net sales, a gross margin rate decline of 60 basis points and an increase in SG&amp;A expenses. The decreased gross margin rate was primarily the result of unfavorable sales mix, higher consumer promotional programs, increased commodity costs and reduced leverage of fixed manufacturing and warehousing costs. The increase in SG&amp;A spending primarily related to costs associated with the full year impact of operating two additional regional offices which opened in the second half of fiscal 2010, increased expenses for marketing and research and development activities, partially offset by a decrease in variable compensation expense.</w:t>
      </w:r>
    </w:p>
    <w:p>
      <w:pPr>
        <w:spacing w:after="0" w:line="116"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Global Consumer segment net sales increased 6.4% from $2.49 billion in fiscal 2009 to $2.65 billion in fiscal 2010. Organic net sales growth for fiscal 2010 was 5.8%, driven by 6.7% unit growth partially offset by price decreases on certain commodity and private label products, along with aggressive customer-focused promotional spending. Foreign exchange movements favorably impacted net sales by 0.8% for fiscal 2010. Within Global Consumer, organic net sales in the United States increased 6.0% for fiscal 2010, which included 7.1% unit growth. POS at our largest U.S. retailers increased 4.7% for fiscal 2010, driven by higher sales in growing media, Roundup</w:t>
      </w:r>
      <w:r>
        <w:rPr>
          <w:rFonts w:ascii="Arial" w:cs="Arial" w:eastAsia="Arial" w:hAnsi="Arial"/>
          <w:sz w:val="11"/>
          <w:szCs w:val="11"/>
          <w:color w:val="auto"/>
        </w:rPr>
        <w:t>®</w:t>
      </w:r>
      <w:r>
        <w:rPr>
          <w:rFonts w:ascii="Arial" w:cs="Arial" w:eastAsia="Arial" w:hAnsi="Arial"/>
          <w:sz w:val="18"/>
          <w:szCs w:val="18"/>
          <w:color w:val="auto"/>
        </w:rPr>
        <w:t xml:space="preserve"> branded products, plant foods and grass seed. Our grass seed business benefited from the national launch of our Scotts EZ Seed</w:t>
      </w:r>
      <w:r>
        <w:rPr>
          <w:rFonts w:ascii="Arial" w:cs="Arial" w:eastAsia="Arial" w:hAnsi="Arial"/>
          <w:sz w:val="11"/>
          <w:szCs w:val="11"/>
          <w:color w:val="auto"/>
        </w:rPr>
        <w:t>®</w:t>
      </w:r>
      <w:r>
        <w:rPr>
          <w:rFonts w:ascii="Arial" w:cs="Arial" w:eastAsia="Arial" w:hAnsi="Arial"/>
          <w:sz w:val="18"/>
          <w:szCs w:val="18"/>
          <w:color w:val="auto"/>
        </w:rPr>
        <w:t xml:space="preserve"> product. Organic net sales in International Consumer increased 4.8% for fiscal 2010, almost entirely as a result of unit growth. The increase in International Consumer net sales was primarily driven by double-digit sales growth in Canada and the United Kingdom, which both benefited from new product launches.</w:t>
      </w:r>
    </w:p>
    <w:p>
      <w:pPr>
        <w:spacing w:after="0" w:line="145"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Global Consumer segment income for fiscal 2010 was $490.7 million, an increase of $78.9 million, or 19.2%, compared to fiscal 2009. Excluding the impact of foreign exchange movements, segment income increased by $75 million, or 18.2%, for fiscal 2010. The increase in segment income was primarily driven by the increase in net sales accompanied by a gross margin rate improvement of 110 basis points for fiscal 2010. The increased gross margin rate was primarily the result of declines in material costs, favorable product mix and increased commissions on sales of Roundup</w:t>
      </w:r>
      <w:r>
        <w:rPr>
          <w:rFonts w:ascii="Arial" w:cs="Arial" w:eastAsia="Arial" w:hAnsi="Arial"/>
          <w:sz w:val="11"/>
          <w:szCs w:val="11"/>
          <w:color w:val="auto"/>
        </w:rPr>
        <w:t>®</w:t>
      </w:r>
      <w:r>
        <w:rPr>
          <w:rFonts w:ascii="Arial" w:cs="Arial" w:eastAsia="Arial" w:hAnsi="Arial"/>
          <w:sz w:val="18"/>
          <w:szCs w:val="18"/>
          <w:color w:val="auto"/>
        </w:rPr>
        <w:t xml:space="preserve"> branded products. The improvements in net sales and gross margin rates were partially offset by increases in SG&amp;A spending, primarily related to strategic investments in advertising, selling and marketing.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11"/>
          <w:szCs w:val="11"/>
          <w:b w:val="1"/>
          <w:bCs w:val="1"/>
          <w:i w:val="1"/>
          <w:iCs w:val="1"/>
          <w:color w:val="auto"/>
        </w:rPr>
        <w: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Scotts LawnService</w:t>
      </w:r>
      <w:r>
        <w:rPr>
          <w:rFonts w:ascii="Arial" w:cs="Arial" w:eastAsia="Arial" w:hAnsi="Arial"/>
          <w:sz w:val="11"/>
          <w:szCs w:val="11"/>
          <w:color w:val="auto"/>
        </w:rPr>
        <w:t>®</w:t>
      </w:r>
      <w:r>
        <w:rPr>
          <w:rFonts w:ascii="Arial" w:cs="Arial" w:eastAsia="Arial" w:hAnsi="Arial"/>
          <w:sz w:val="18"/>
          <w:szCs w:val="18"/>
          <w:color w:val="auto"/>
        </w:rPr>
        <w:t xml:space="preserve"> net sales increased by $11.5 million, or 5.1%, to $235.6 million in fiscal 2011, primarily due to improved sales efforts, higher customer satisfaction rates and improved customer retention. Scotts LawnService</w:t>
      </w:r>
      <w:r>
        <w:rPr>
          <w:rFonts w:ascii="Arial" w:cs="Arial" w:eastAsia="Arial" w:hAnsi="Arial"/>
          <w:sz w:val="11"/>
          <w:szCs w:val="11"/>
          <w:color w:val="auto"/>
        </w:rPr>
        <w:t>®</w:t>
      </w:r>
      <w:r>
        <w:rPr>
          <w:rFonts w:ascii="Arial" w:cs="Arial" w:eastAsia="Arial" w:hAnsi="Arial"/>
          <w:sz w:val="18"/>
          <w:szCs w:val="18"/>
          <w:color w:val="auto"/>
        </w:rPr>
        <w:t xml:space="preserve"> segment income increased $4.9 million to $25.9 million in fiscal 2011. The improved operating results were driven by higher sales and lower SG&amp;A spending, partially offset by a decline in the gross margin rate as a result of higher fuel and urea costs, investments in mobile technology for service trucks and higher benefits costs.</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Scotts LawnService</w:t>
      </w:r>
      <w:r>
        <w:rPr>
          <w:rFonts w:ascii="Arial" w:cs="Arial" w:eastAsia="Arial" w:hAnsi="Arial"/>
          <w:sz w:val="10"/>
          <w:szCs w:val="10"/>
          <w:color w:val="auto"/>
        </w:rPr>
        <w:t>®</w:t>
      </w:r>
      <w:r>
        <w:rPr>
          <w:rFonts w:ascii="Arial" w:cs="Arial" w:eastAsia="Arial" w:hAnsi="Arial"/>
          <w:sz w:val="16"/>
          <w:szCs w:val="16"/>
          <w:color w:val="auto"/>
        </w:rPr>
        <w:t xml:space="preserve"> net sales decreased by $7.0 million, or 3.0%, to $224.1 million in fiscal 2010, primarily as a result of the year-over-year decline in average customer count. Despite the decline in net sales, Scotts LawnService</w:t>
      </w:r>
      <w:r>
        <w:rPr>
          <w:rFonts w:ascii="Arial" w:cs="Arial" w:eastAsia="Arial" w:hAnsi="Arial"/>
          <w:sz w:val="10"/>
          <w:szCs w:val="10"/>
          <w:color w:val="auto"/>
        </w:rPr>
        <w:t>®</w:t>
      </w:r>
      <w:r>
        <w:rPr>
          <w:rFonts w:ascii="Arial" w:cs="Arial" w:eastAsia="Arial" w:hAnsi="Arial"/>
          <w:sz w:val="16"/>
          <w:szCs w:val="16"/>
          <w:color w:val="auto"/>
        </w:rPr>
        <w:t xml:space="preserve"> segment income increased $7.0 million to $21 million in fiscal 2010. The improved operating results were driven by efficiencies resulting from higher customer counts during its peak third and fourth quarter selling season, gross margin rate improvement due to lower product and fuel costs and increased labor productivity, as well as lower SG&amp;A spending.</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Net sales for Corporate &amp; Other increased $42.7 million to $67.7 million in fiscal 2011, primarily due to our ICL supply agreements, which commenced shortly after the sale of Global Pro in our second quarter of fiscal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2011. Net expense for Corporate &amp; Other decreased by $8.3 million in fiscal 2011, driven by a decline in variable compensation, offset by severance costs, consulting fees and the non-recurrence of a gain recorded on the sale of property in fiscal 2010. Net expense for Corporate &amp; Other decreased by $13.5 million in fiscal 2010, driven by a decline in variable compensation and third-party legal fees, as well as a gain recorded for the sale of property.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Outlook</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believe the long-term fundamentals of our business are strong, and our broad strategies for value accretion remain substantially unchanged. However, in light of the challenges and overall disappointing results of fiscal 2011, we re-examined our strategies and tactics and determined certain adjustments were required to give us greater confidence in our ability to increase consumer participation, category growth and our market share. As we are focused on long-term value creation, we do not expect all of our actions in fiscal 2012 to have short-term benefits.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general themes that help shape our financial expectations for 2012:</w:t>
      </w:r>
    </w:p>
    <w:p>
      <w:pPr>
        <w:spacing w:after="0" w:line="90" w:lineRule="exact"/>
        <w:rPr>
          <w:sz w:val="20"/>
          <w:szCs w:val="20"/>
          <w:color w:val="auto"/>
        </w:rPr>
      </w:pPr>
    </w:p>
    <w:p>
      <w:pPr>
        <w:jc w:val="both"/>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expect at least 6 percent organic top line growth in our Global Consumer and Scotts LawnService</w:t>
      </w:r>
      <w:r>
        <w:rPr>
          <w:rFonts w:ascii="Arial" w:cs="Arial" w:eastAsia="Arial" w:hAnsi="Arial"/>
          <w:sz w:val="11"/>
          <w:szCs w:val="11"/>
          <w:color w:val="auto"/>
        </w:rPr>
        <w:t>®</w:t>
      </w:r>
      <w:r>
        <w:rPr>
          <w:rFonts w:ascii="Arial" w:cs="Arial" w:eastAsia="Arial" w:hAnsi="Arial"/>
          <w:sz w:val="18"/>
          <w:szCs w:val="18"/>
          <w:color w:val="auto"/>
        </w:rPr>
        <w:t xml:space="preserve"> reportable segments on the basis of modest category growth supported by more normal weather relative to fiscal 2011, increased commitment to marketing and media, innovation and modest net pricing.</w:t>
      </w:r>
    </w:p>
    <w:p>
      <w:pPr>
        <w:spacing w:after="0" w:line="59"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expect commodity inflation of approximately $80 million, with only about half recovered through pricing and adjustments to trade programs. We expect a modest benefit from improved product mix as the unfavorable weather in fiscal 2011 disproportionately impacted our higher margin product categories.</w:t>
      </w:r>
    </w:p>
    <w:p>
      <w:pPr>
        <w:spacing w:after="0" w:line="59" w:lineRule="exact"/>
        <w:rPr>
          <w:rFonts w:ascii="Arial" w:cs="Arial" w:eastAsia="Arial" w:hAnsi="Arial"/>
          <w:sz w:val="18"/>
          <w:szCs w:val="18"/>
          <w:color w:val="auto"/>
        </w:rPr>
      </w:pPr>
    </w:p>
    <w:p>
      <w:pPr>
        <w:jc w:val="both"/>
        <w:ind w:left="900" w:hanging="325"/>
        <w:spacing w:after="0" w:line="29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planning to significantly step up our media and marketing initiatives, with increases in advertising of up to $40 million. We plan on reinstating some form of variable compensation for over 1,800 associates who participate in incentive programs globally, the majority of whom received no payout in fiscal 2011. We typically budget $30 to $35 million for this expenditure. Partially offsetting these increases will be benefits accruing from the fiscal 2011 restructuring programs of about $17 million, as well as savings from other long-term indirect purchasing initiatives.</w:t>
      </w:r>
    </w:p>
    <w:p>
      <w:pPr>
        <w:spacing w:after="0" w:line="31"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expect interest expense to increase about $10 million based on the combined full year effect of our new credit facility and the bonds issued last December, as well as a projected increase in average debt as we work to navigate within our 2.0 to 2.5 times debt leverage objective.</w:t>
      </w:r>
    </w:p>
    <w:p>
      <w:pPr>
        <w:spacing w:after="0" w:line="4" w:lineRule="exact"/>
        <w:rPr>
          <w:rFonts w:ascii="Arial" w:cs="Arial" w:eastAsia="Arial" w:hAnsi="Arial"/>
          <w:sz w:val="16"/>
          <w:szCs w:val="16"/>
          <w:color w:val="auto"/>
        </w:rPr>
      </w:pPr>
    </w:p>
    <w:p>
      <w:pPr>
        <w:jc w:val="both"/>
        <w:ind w:left="900" w:hanging="325"/>
        <w:spacing w:after="0" w:line="291"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expect a benefit from shares repurchased during fiscal 2011. While shares repurchased in fiscal 2011 were influenced by proceeds from the divestiture of Global Pro, we expect to significantly moderate our share repurchase activity in fiscal 2012 in the context of our broader capital deployment strategy. Over the longer-term, we plan to target one-third of our operating cash flow for return to shareholders, including our dividend, with the remaining two-thirds targeted to fund capital expenditures for organic as well as acquisitive growth. Absent appropriate acquisition opportunities, we intend to return excess cash to shareholders, though we will balance this with our objective of maintaining debt leverage of 2.0 to 2.5 times. We expect our fiscal 2012 fully diluted share count to be approximately 62.5 million.</w:t>
      </w:r>
    </w:p>
    <w:p>
      <w:pPr>
        <w:spacing w:after="0" w:line="39" w:lineRule="exact"/>
        <w:rPr>
          <w:rFonts w:ascii="Arial" w:cs="Arial" w:eastAsia="Arial" w:hAnsi="Arial"/>
          <w:sz w:val="16"/>
          <w:szCs w:val="16"/>
          <w:color w:val="auto"/>
        </w:rPr>
      </w:pPr>
    </w:p>
    <w:p>
      <w:pPr>
        <w:jc w:val="both"/>
        <w:ind w:left="900" w:hanging="325"/>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expect our first quarter fiscal 2012 loss to materially increase versus fiscal 2011. Sales will be lower as retailers strive to end their fiscal years leaner on inventory, and gross margin rate will be lower for the reasons described above and as a result of less fully-leveraged fixed manufacturing and warehousing costs. SG&amp;A in the first quarter will likely be lower than prior year, though not nearly enough to offset the impacts of lower volume and gross margin rate. In addition, the first quarter will see a disproportionate amount of the full year increase in interest expense, primarily as a function of the timing of our fiscal 2011 bond issuance and execution of our new credit facility.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certain information concerning our risk factors, see “ITEM 1A. RISK FACTORS” of this Annual Report on 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Cash provided by operating activities decreased by $173.8 million to $122.1 million in fiscal 2011 from $295.9 million in fiscal 2010. Excluding the impact of discontinued operations, cash provided by operating activities decreased by $128.1 million to $181.3 million in fiscal 2011 compared to $309.4 million in fiscal 2010. Excluding discontinued operations and non-cash operating expenses, income from continuing operations decreased by approximately $75 million primarily due to lower net sales and lower gross margin rates. In addition, operating cash flows were used to support higher working capital for continuing operations, which increased by approximately $50 million in fiscal 2011. This increase was driven by higher inventories as a result of lower than anticipated sales and a decline in other current liabilities primarily due to lower variable compensation accruals.</w:t>
      </w:r>
    </w:p>
    <w:p>
      <w:pPr>
        <w:spacing w:after="0" w:line="12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Cash provided by operating activities increased by $31.3 million from $264.6 million in fiscal 2009 to $295.9 million in fiscal 2010. Net income plus non-cash impairment and other charges, share-based compensation expense, depreciation and amortization increased by $65.1 million, from $233.3 million in fiscal 2009 to $298.4 million in fiscal 2010, driven primarily by higher operating income in our Global Consumer segment. Fiscal 2010 operating cash flows were favorably impacted by a decrease in inventory reflecting lower input costs and the elimination of Smith &amp; Hawken inventories. The impact of the decrease in inventory was partially offset by a corresponding decrease in accounts payable and a decline in other current liabilities primarily due to lower variable compensation accruals.</w:t>
      </w:r>
    </w:p>
    <w:p>
      <w:pPr>
        <w:spacing w:after="0" w:line="14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seasonal nature of our operations generally requires cash to fund significant increases in inventories during the first half of the fiscal year. Receivables and payables also build substantially in the second quarter of the fiscal year in line with the timing of sales to support our retailers’ spring selling season. These balances liquidate during the June through September period as the lawn and garden season unwinds. Unlike our core Global Consumer segment, Scotts LawnService</w:t>
      </w:r>
      <w:r>
        <w:rPr>
          <w:rFonts w:ascii="Arial" w:cs="Arial" w:eastAsia="Arial" w:hAnsi="Arial"/>
          <w:sz w:val="11"/>
          <w:szCs w:val="11"/>
          <w:color w:val="auto"/>
        </w:rPr>
        <w:t>®</w:t>
      </w:r>
      <w:r>
        <w:rPr>
          <w:rFonts w:ascii="Arial" w:cs="Arial" w:eastAsia="Arial" w:hAnsi="Arial"/>
          <w:sz w:val="18"/>
          <w:szCs w:val="18"/>
          <w:color w:val="auto"/>
        </w:rPr>
        <w:t xml:space="preserve"> typically has its highest receivables balance in the fourth quarter because of the seasonal timing of customer applications and à la carte service revenues.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Cash provided by investing activities totaled $153.5 million in fiscal 2011, as compared to cash used in investing activities of $58.9 million for fiscal 2010. Fiscal 2011 investing activities included net cash of $253.6 million provided by the sale of Global Pro. In fiscal 2010, we received cash of $24.5 million for the sale of long-lived assets, primarily for the intellectual property of Smith &amp; Hawken. Capital spending decreased from $83.4 million in fiscal 2010 to $72.7 million in fiscal 2011. Significant capital projects during fiscal 2011 included a new growing media plant in Missouri, additional capital for our liquid production facility in Mississippi, improvements at various other growing media production facilities and investments in information technology. Further, during fiscal 2011 we completed several acquisitions with total cash paid of $7.6 million.</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Cash used in investing activities totaled $58.9 million in fiscal 2010 compared to $83.3 million for fiscal 2009. Capital spending, including investments in intellectual property, increased by $8.0 million from $75.4 million in fiscal 2009 to $83.4 million in fiscal 2010. The fiscal 2010 increase in capital spending was largely driven by investments in increased manufacturing capacity for our growing media business, the acquisition of a second manufacturing facility for liquid production in the Southeast United States and the completion of new production technology to support the national launch of Scotts EZ Seed</w:t>
      </w:r>
      <w:r>
        <w:rPr>
          <w:rFonts w:ascii="Arial" w:cs="Arial" w:eastAsia="Arial" w:hAnsi="Arial"/>
          <w:sz w:val="10"/>
          <w:szCs w:val="10"/>
          <w:color w:val="auto"/>
        </w:rPr>
        <w:t>®</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Further, during the first quarter of fiscal 2010, we received $24.5 million related to the sale of long-lived assets, including the sale of the intellectual property of Smith &amp; Hawken, in addition to the sale of certain property, plant and equipment.</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the three years ended September 30, 2011, our capital spending was allocated as follows: 41.9% for expansion and maintenance of Global Consumer productive assets; 31.6% for new productive assets supporting our Global Consumer segment; 13.3% to expand our information technology and transformation and integration capabilities; 2.1% for expansion and upgrades of Scotts LawnService</w:t>
      </w:r>
      <w:r>
        <w:rPr>
          <w:rFonts w:ascii="Arial" w:cs="Arial" w:eastAsia="Arial" w:hAnsi="Arial"/>
          <w:sz w:val="10"/>
          <w:szCs w:val="10"/>
          <w:color w:val="auto"/>
        </w:rPr>
        <w:t>®</w:t>
      </w:r>
      <w:r>
        <w:rPr>
          <w:rFonts w:ascii="Arial" w:cs="Arial" w:eastAsia="Arial" w:hAnsi="Arial"/>
          <w:sz w:val="16"/>
          <w:szCs w:val="16"/>
          <w:color w:val="auto"/>
        </w:rPr>
        <w:t xml:space="preserve"> facilities; and 11.1% for Corporate &amp; Other assets.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Financing activities used cash of $230.7 million and $216.3 million in fiscal 2011 and fiscal 2010, respectively. Cash returned to shareholders through Common Share repurchases of $358.7 million and dividends of $67.9 million were significant elements of cash used in financing activities in fiscal 2011. Net repayments under our credit facilities were $22 million in fiscal 2011, compared to $370 million in fiscal 2010. Financing activities in fiscal 2011 also included debt financing and issuance fees of $18.9 million attributable to the refinancing of our then existing credit facilities in June 2011 and our $200 million bond offering in December 2010, the proceeds of which were used to reduce outstanding borrowings under our then existing credit facilities and for general corporate purposes. In addition, cash received from the exercise of stock options increased by $9.0 million in fiscal 2011 compared to fiscal 2010.</w:t>
      </w:r>
    </w:p>
    <w:p>
      <w:pPr>
        <w:spacing w:after="0" w:line="12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Financing activities used cash of $216.3 million and $194 million in fiscal 2010 and fiscal 2009, respectively. Net repayments primarily under our then existing credit facilities were $370 million in fiscal 2010, compared to $178 million in fiscal 2009. Financing activities in fiscal 2010 included the issuance of the 7.25% Senior Notes on January 14, 2010, yielding net proceeds of $198.5 million, which were used to reduce outstanding borrowings under our then existing credit facilities. The issuance of the 7.25% Senior Notes resulted in financing and issuance fees of $5.5 million in fiscal 2010. In addition, we began the execution of our share repurchase program, acquiring nearly $25 million of our Common Shares in the fourth quarter of fiscal 2010. Furthermore, dividends paid in fiscal 2010 increased by $9.2 million. These increased cash outflows were partially offset by a $7.7 million increase in cash received from the exercise of stock options compared to fiscal 2009.</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Arrangements</w:t>
      </w:r>
    </w:p>
    <w:p>
      <w:pPr>
        <w:spacing w:after="0" w:line="9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Our primary sources of liquidity are cash generated by operations and borrowings under our credit agreement which is guaranteed by substantially all of Scotts Miracle-Gro’s domestic subsidiaries. On June 30, 2011, Scotts Miracle-Gro and certain of its subsidiaries entered into a second amended and restated senior secured credit facility, providing for revolving loans in the aggregate principal amount of up to $1.7 billion over a five-year term. Borrowings may be made in various currencies including U.S. dollars, Euros, British pounds, Australian dollars and Canadian dollars. Under this credit facility, we may request up to an additional $450 million in revolving and/or term commitments, subject to certain specified conditions, including approval from our lenders. The credit facility replaced our previous senior secured credit facilities, which were comprised of: (a) a senior secured revolving loan facility in the aggregate principal of up to $1.59 billion and (b) a senior secured term loan facility totaling $560 million. The previous credit facilities were scheduled to expire in February 2012.</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Under our credit facility, we have the ability to issue letter of credit commitments up to $75 million. At September 30, 2011, we had letters of credit in the aggregate face amount of $30.4 million outstanding and $1.3 billion of availability under our credit facility. “NOTE 11. DEBT” of the Notes to Consolidated Financial Statements included in this Annual Report on Form 10-K provides additional information regarding our borrowing arrangements.</w:t>
      </w:r>
    </w:p>
    <w:p>
      <w:pPr>
        <w:spacing w:after="0" w:line="10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January 14, 2010, Scotts Miracle-Gro issued $200 million aggregate principal amount of the 7.25% Senior Notes, the net proceeds of which were used to reduce outstanding borrowings under our then existing credit facilities. The 7.25% Senior Notes represent general unsecured senior obligations of Scotts Miracle-Gro, and were sold to the public at 99.254% of the principal amount thereof, to yield 7.375% to maturity. The 7.25%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Senior Notes have interest payment dates of January 15 and July 15, which began on July 15, 2010, and may be redeemed prior to maturity at applicable redemption premiums. The 7.25%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for or redemptions of Scotts Miracle-Gro stock and prepayments of subordinated debt, limitations on asset sales and restrictions on transactions with affiliates. The 7.25% Senior Notes mature on January 15, 2018.</w:t>
      </w:r>
    </w:p>
    <w:p>
      <w:pPr>
        <w:spacing w:after="0" w:line="12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On December 16, 2010, Scotts Miracle-Gro issued $200 million aggregate principal amount of the 6.625% Senior Notes, the net proceeds of which were used to reduce outstanding borrowings under our then existing credit facilities and for general corporate purposes. The Company sold the 6.625% Senior Notes in a private placement exempt from the registration requirements under the Securities Act of 1933, as amended. The 6.625% Senior Notes represent general unsecured senior obligations of Scotts Miracle-Gro and rank equal in right of payment with our existing and future unsecured senior debt, including, without limitation, the 7.25% Senior Notes. The 6.625% Senior Notes have interest payment dates of June 15 and December 15 of each year, which began on June 15, 2011, and may be redeemed prior to maturity at applicable redemption premiums. The 6.625% Senior Notes contain usual and customary incurrence-base covenants, as well as other usual and customary covenants, substantially similar to those contained in the 7.25% Senior Notes. The 6.625% Senior Notes mature on December 15, 2020.</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Substantially all of Scotts Miracle-Gro’s domestic subsidiaries serve as guarantors of both the 7.25% and the 6.625% Senior Notes. Refer to “NOTE 24. FINANCIAL INFORMATION FOR SUBSIDIARY GUARANTORS AND NON-GUARANTORS” of the Notes to Consolidated Financial Statements included in this Annual Report on Form 10-K for more information regarding the guarantor entities.</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September 30, 2011, we had outstanding interest rate swap agreements with major financial institutions that effectively converted a portion of our variable-rate debt denominated in U.S. dollars to a fixed rate. Interest payments made between the effective date and expiration date are hedged by the swap agreements, except as noted below. The key terms of these swap agreements are shown in the table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jc w:val="right"/>
              <w:ind w:right="2860"/>
              <w:spacing w:after="0"/>
              <w:rPr>
                <w:sz w:val="20"/>
                <w:szCs w:val="20"/>
                <w:color w:val="auto"/>
              </w:rPr>
            </w:pPr>
            <w:r>
              <w:rPr>
                <w:rFonts w:ascii="Arial" w:cs="Arial" w:eastAsia="Arial" w:hAnsi="Arial"/>
                <w:sz w:val="14"/>
                <w:szCs w:val="14"/>
                <w:b w:val="1"/>
                <w:bCs w:val="1"/>
                <w:color w:val="auto"/>
                <w:w w:val="90"/>
              </w:rPr>
              <w:t>Notional Amount</w:t>
            </w:r>
          </w:p>
        </w:tc>
        <w:tc>
          <w:tcPr>
            <w:tcW w:w="3500" w:type="dxa"/>
            <w:vAlign w:val="bottom"/>
            <w:gridSpan w:val="2"/>
          </w:tcPr>
          <w:p>
            <w:pPr>
              <w:jc w:val="right"/>
              <w:ind w:right="2820"/>
              <w:spacing w:after="0"/>
              <w:rPr>
                <w:sz w:val="20"/>
                <w:szCs w:val="20"/>
                <w:color w:val="auto"/>
              </w:rPr>
            </w:pPr>
            <w:r>
              <w:rPr>
                <w:rFonts w:ascii="Arial" w:cs="Arial" w:eastAsia="Arial" w:hAnsi="Arial"/>
                <w:sz w:val="14"/>
                <w:szCs w:val="14"/>
                <w:b w:val="1"/>
                <w:bCs w:val="1"/>
                <w:color w:val="auto"/>
              </w:rPr>
              <w:t>Effective</w:t>
            </w:r>
          </w:p>
        </w:tc>
        <w:tc>
          <w:tcPr>
            <w:tcW w:w="3460" w:type="dxa"/>
            <w:vAlign w:val="bottom"/>
            <w:gridSpan w:val="2"/>
          </w:tcPr>
          <w:p>
            <w:pPr>
              <w:jc w:val="center"/>
              <w:ind w:right="2680"/>
              <w:spacing w:after="0"/>
              <w:rPr>
                <w:sz w:val="20"/>
                <w:szCs w:val="20"/>
                <w:color w:val="auto"/>
              </w:rPr>
            </w:pPr>
            <w:r>
              <w:rPr>
                <w:rFonts w:ascii="Arial" w:cs="Arial" w:eastAsia="Arial" w:hAnsi="Arial"/>
                <w:sz w:val="14"/>
                <w:szCs w:val="14"/>
                <w:b w:val="1"/>
                <w:bCs w:val="1"/>
                <w:color w:val="auto"/>
                <w:w w:val="90"/>
              </w:rPr>
              <w:t>Expiration</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w:t>
            </w:r>
          </w:p>
        </w:tc>
      </w:tr>
      <w:tr>
        <w:trPr>
          <w:trHeight w:val="149"/>
        </w:trPr>
        <w:tc>
          <w:tcPr>
            <w:tcW w:w="140" w:type="dxa"/>
            <w:vAlign w:val="bottom"/>
          </w:tcPr>
          <w:p>
            <w:pPr>
              <w:spacing w:after="0"/>
              <w:rPr>
                <w:sz w:val="12"/>
                <w:szCs w:val="12"/>
                <w:color w:val="auto"/>
              </w:rPr>
            </w:pPr>
          </w:p>
        </w:tc>
        <w:tc>
          <w:tcPr>
            <w:tcW w:w="3760" w:type="dxa"/>
            <w:vAlign w:val="bottom"/>
            <w:gridSpan w:val="2"/>
          </w:tcPr>
          <w:p>
            <w:pPr>
              <w:jc w:val="right"/>
              <w:ind w:right="3000"/>
              <w:spacing w:after="0" w:line="129" w:lineRule="exact"/>
              <w:rPr>
                <w:sz w:val="20"/>
                <w:szCs w:val="20"/>
                <w:color w:val="auto"/>
              </w:rPr>
            </w:pPr>
            <w:r>
              <w:rPr>
                <w:rFonts w:ascii="Arial" w:cs="Arial" w:eastAsia="Arial" w:hAnsi="Arial"/>
                <w:sz w:val="14"/>
                <w:szCs w:val="14"/>
                <w:b w:val="1"/>
                <w:bCs w:val="1"/>
                <w:color w:val="auto"/>
                <w:w w:val="95"/>
              </w:rPr>
              <w:t>(In Millions)</w:t>
            </w:r>
          </w:p>
        </w:tc>
        <w:tc>
          <w:tcPr>
            <w:tcW w:w="3500" w:type="dxa"/>
            <w:vAlign w:val="bottom"/>
            <w:gridSpan w:val="2"/>
          </w:tcPr>
          <w:p>
            <w:pPr>
              <w:jc w:val="right"/>
              <w:ind w:right="2840"/>
              <w:spacing w:after="0" w:line="129" w:lineRule="exact"/>
              <w:rPr>
                <w:sz w:val="20"/>
                <w:szCs w:val="20"/>
                <w:color w:val="auto"/>
              </w:rPr>
            </w:pPr>
            <w:r>
              <w:rPr>
                <w:rFonts w:ascii="Arial" w:cs="Arial" w:eastAsia="Arial" w:hAnsi="Arial"/>
                <w:sz w:val="14"/>
                <w:szCs w:val="14"/>
                <w:b w:val="1"/>
                <w:bCs w:val="1"/>
                <w:color w:val="auto"/>
              </w:rPr>
              <w:t>Date (a)</w:t>
            </w:r>
          </w:p>
        </w:tc>
        <w:tc>
          <w:tcPr>
            <w:tcW w:w="3460" w:type="dxa"/>
            <w:vAlign w:val="bottom"/>
            <w:gridSpan w:val="2"/>
          </w:tcPr>
          <w:p>
            <w:pPr>
              <w:jc w:val="center"/>
              <w:ind w:right="2680"/>
              <w:spacing w:after="0" w:line="129" w:lineRule="exact"/>
              <w:rPr>
                <w:sz w:val="20"/>
                <w:szCs w:val="20"/>
                <w:color w:val="auto"/>
              </w:rPr>
            </w:pPr>
            <w:r>
              <w:rPr>
                <w:rFonts w:ascii="Arial" w:cs="Arial" w:eastAsia="Arial" w:hAnsi="Arial"/>
                <w:sz w:val="14"/>
                <w:szCs w:val="14"/>
                <w:b w:val="1"/>
                <w:bCs w:val="1"/>
                <w:color w:val="auto"/>
                <w:w w:val="85"/>
              </w:rPr>
              <w:t>Date</w:t>
            </w:r>
          </w:p>
        </w:tc>
        <w:tc>
          <w:tcPr>
            <w:tcW w:w="5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Rate</w:t>
            </w:r>
          </w:p>
        </w:tc>
      </w:tr>
      <w:tr>
        <w:trPr>
          <w:trHeight w:val="20"/>
        </w:trPr>
        <w:tc>
          <w:tcPr>
            <w:tcW w:w="14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760" w:type="dxa"/>
            <w:vAlign w:val="bottom"/>
            <w:gridSpan w:val="2"/>
            <w:shd w:val="clear" w:color="auto" w:fill="CCEEFF"/>
          </w:tcPr>
          <w:p>
            <w:pPr>
              <w:jc w:val="right"/>
              <w:ind w:right="2820"/>
              <w:spacing w:after="0" w:line="196" w:lineRule="exact"/>
              <w:rPr>
                <w:sz w:val="20"/>
                <w:szCs w:val="20"/>
                <w:color w:val="auto"/>
              </w:rPr>
            </w:pPr>
            <w:r>
              <w:rPr>
                <w:rFonts w:ascii="Arial" w:cs="Arial" w:eastAsia="Arial" w:hAnsi="Arial"/>
                <w:sz w:val="18"/>
                <w:szCs w:val="18"/>
                <w:color w:val="auto"/>
              </w:rPr>
              <w:t>200</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2/14/2007</w:t>
            </w:r>
          </w:p>
        </w:tc>
        <w:tc>
          <w:tcPr>
            <w:tcW w:w="26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2/14/2012</w:t>
            </w:r>
          </w:p>
        </w:tc>
        <w:tc>
          <w:tcPr>
            <w:tcW w:w="26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w w:val="93"/>
              </w:rPr>
              <w:t>5.20%</w:t>
            </w:r>
          </w:p>
        </w:tc>
      </w:tr>
      <w:tr>
        <w:trPr>
          <w:trHeight w:val="216"/>
        </w:trPr>
        <w:tc>
          <w:tcPr>
            <w:tcW w:w="140" w:type="dxa"/>
            <w:vAlign w:val="bottom"/>
          </w:tcPr>
          <w:p>
            <w:pPr>
              <w:spacing w:after="0"/>
              <w:rPr>
                <w:sz w:val="18"/>
                <w:szCs w:val="18"/>
                <w:color w:val="auto"/>
              </w:rPr>
            </w:pPr>
          </w:p>
        </w:tc>
        <w:tc>
          <w:tcPr>
            <w:tcW w:w="3760" w:type="dxa"/>
            <w:vAlign w:val="bottom"/>
            <w:gridSpan w:val="2"/>
          </w:tcPr>
          <w:p>
            <w:pPr>
              <w:jc w:val="right"/>
              <w:ind w:right="2820"/>
              <w:spacing w:after="0"/>
              <w:rPr>
                <w:sz w:val="20"/>
                <w:szCs w:val="20"/>
                <w:color w:val="auto"/>
              </w:rPr>
            </w:pPr>
            <w:r>
              <w:rPr>
                <w:rFonts w:ascii="Arial" w:cs="Arial" w:eastAsia="Arial" w:hAnsi="Arial"/>
                <w:sz w:val="18"/>
                <w:szCs w:val="18"/>
                <w:color w:val="auto"/>
              </w:rPr>
              <w:t>50</w:t>
            </w:r>
          </w:p>
        </w:tc>
        <w:tc>
          <w:tcPr>
            <w:tcW w:w="3500" w:type="dxa"/>
            <w:vAlign w:val="bottom"/>
            <w:gridSpan w:val="2"/>
          </w:tcPr>
          <w:p>
            <w:pPr>
              <w:jc w:val="right"/>
              <w:ind w:right="2660"/>
              <w:spacing w:after="0"/>
              <w:rPr>
                <w:sz w:val="20"/>
                <w:szCs w:val="20"/>
                <w:color w:val="auto"/>
              </w:rPr>
            </w:pPr>
            <w:r>
              <w:rPr>
                <w:rFonts w:ascii="Arial" w:cs="Arial" w:eastAsia="Arial" w:hAnsi="Arial"/>
                <w:sz w:val="18"/>
                <w:szCs w:val="18"/>
                <w:color w:val="auto"/>
              </w:rPr>
              <w:t>2/14/2012</w:t>
            </w:r>
          </w:p>
        </w:tc>
        <w:tc>
          <w:tcPr>
            <w:tcW w:w="3460" w:type="dxa"/>
            <w:vAlign w:val="bottom"/>
            <w:gridSpan w:val="2"/>
          </w:tcPr>
          <w:p>
            <w:pPr>
              <w:jc w:val="right"/>
              <w:ind w:right="2680"/>
              <w:spacing w:after="0"/>
              <w:rPr>
                <w:sz w:val="20"/>
                <w:szCs w:val="20"/>
                <w:color w:val="auto"/>
              </w:rPr>
            </w:pPr>
            <w:r>
              <w:rPr>
                <w:rFonts w:ascii="Arial" w:cs="Arial" w:eastAsia="Arial" w:hAnsi="Arial"/>
                <w:sz w:val="18"/>
                <w:szCs w:val="18"/>
                <w:color w:val="auto"/>
                <w:w w:val="94"/>
              </w:rPr>
              <w:t>2/14/2016</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3"/>
              </w:rPr>
              <w:t>3.78%</w:t>
            </w:r>
          </w:p>
        </w:tc>
      </w:tr>
      <w:tr>
        <w:trPr>
          <w:trHeight w:val="216"/>
        </w:trPr>
        <w:tc>
          <w:tcPr>
            <w:tcW w:w="14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right"/>
              <w:ind w:right="2620"/>
              <w:spacing w:after="0"/>
              <w:rPr>
                <w:sz w:val="20"/>
                <w:szCs w:val="20"/>
                <w:color w:val="auto"/>
              </w:rPr>
            </w:pPr>
            <w:r>
              <w:rPr>
                <w:rFonts w:ascii="Arial" w:cs="Arial" w:eastAsia="Arial" w:hAnsi="Arial"/>
                <w:sz w:val="18"/>
                <w:szCs w:val="18"/>
                <w:color w:val="auto"/>
              </w:rPr>
              <w:t>150(b)</w:t>
            </w:r>
          </w:p>
        </w:tc>
        <w:tc>
          <w:tcPr>
            <w:tcW w:w="3500" w:type="dxa"/>
            <w:vAlign w:val="bottom"/>
            <w:gridSpan w:val="2"/>
            <w:shd w:val="clear" w:color="auto" w:fill="CCEEFF"/>
          </w:tcPr>
          <w:p>
            <w:pPr>
              <w:jc w:val="right"/>
              <w:ind w:right="2660"/>
              <w:spacing w:after="0"/>
              <w:rPr>
                <w:sz w:val="20"/>
                <w:szCs w:val="20"/>
                <w:color w:val="auto"/>
              </w:rPr>
            </w:pPr>
            <w:r>
              <w:rPr>
                <w:rFonts w:ascii="Arial" w:cs="Arial" w:eastAsia="Arial" w:hAnsi="Arial"/>
                <w:sz w:val="18"/>
                <w:szCs w:val="18"/>
                <w:color w:val="auto"/>
              </w:rPr>
              <w:t>2/7/2012</w:t>
            </w:r>
          </w:p>
        </w:tc>
        <w:tc>
          <w:tcPr>
            <w:tcW w:w="346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rPr>
              <w:t>5/7/2016</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2.42%</w:t>
            </w:r>
          </w:p>
        </w:tc>
      </w:tr>
      <w:tr>
        <w:trPr>
          <w:trHeight w:val="216"/>
        </w:trPr>
        <w:tc>
          <w:tcPr>
            <w:tcW w:w="140" w:type="dxa"/>
            <w:vAlign w:val="bottom"/>
          </w:tcPr>
          <w:p>
            <w:pPr>
              <w:spacing w:after="0"/>
              <w:rPr>
                <w:sz w:val="18"/>
                <w:szCs w:val="18"/>
                <w:color w:val="auto"/>
              </w:rPr>
            </w:pPr>
          </w:p>
        </w:tc>
        <w:tc>
          <w:tcPr>
            <w:tcW w:w="3760" w:type="dxa"/>
            <w:vAlign w:val="bottom"/>
            <w:gridSpan w:val="2"/>
          </w:tcPr>
          <w:p>
            <w:pPr>
              <w:jc w:val="right"/>
              <w:ind w:right="2640"/>
              <w:spacing w:after="0"/>
              <w:rPr>
                <w:sz w:val="20"/>
                <w:szCs w:val="20"/>
                <w:color w:val="auto"/>
              </w:rPr>
            </w:pPr>
            <w:r>
              <w:rPr>
                <w:rFonts w:ascii="Arial" w:cs="Arial" w:eastAsia="Arial" w:hAnsi="Arial"/>
                <w:sz w:val="18"/>
                <w:szCs w:val="18"/>
                <w:color w:val="auto"/>
              </w:rPr>
              <w:t>150(c)</w:t>
            </w:r>
          </w:p>
        </w:tc>
        <w:tc>
          <w:tcPr>
            <w:tcW w:w="3500" w:type="dxa"/>
            <w:vAlign w:val="bottom"/>
            <w:gridSpan w:val="2"/>
          </w:tcPr>
          <w:p>
            <w:pPr>
              <w:jc w:val="right"/>
              <w:ind w:right="2660"/>
              <w:spacing w:after="0"/>
              <w:rPr>
                <w:sz w:val="20"/>
                <w:szCs w:val="20"/>
                <w:color w:val="auto"/>
              </w:rPr>
            </w:pPr>
            <w:r>
              <w:rPr>
                <w:rFonts w:ascii="Arial" w:cs="Arial" w:eastAsia="Arial" w:hAnsi="Arial"/>
                <w:sz w:val="18"/>
                <w:szCs w:val="18"/>
                <w:color w:val="auto"/>
                <w:w w:val="90"/>
              </w:rPr>
              <w:t>11/16/2009</w:t>
            </w:r>
          </w:p>
        </w:tc>
        <w:tc>
          <w:tcPr>
            <w:tcW w:w="3460" w:type="dxa"/>
            <w:vAlign w:val="bottom"/>
            <w:gridSpan w:val="2"/>
          </w:tcPr>
          <w:p>
            <w:pPr>
              <w:jc w:val="right"/>
              <w:ind w:right="2680"/>
              <w:spacing w:after="0"/>
              <w:rPr>
                <w:sz w:val="20"/>
                <w:szCs w:val="20"/>
                <w:color w:val="auto"/>
              </w:rPr>
            </w:pPr>
            <w:r>
              <w:rPr>
                <w:rFonts w:ascii="Arial" w:cs="Arial" w:eastAsia="Arial" w:hAnsi="Arial"/>
                <w:sz w:val="18"/>
                <w:szCs w:val="18"/>
                <w:color w:val="auto"/>
                <w:w w:val="94"/>
              </w:rPr>
              <w:t>5/16/2016</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3"/>
              </w:rPr>
              <w:t>3.26%</w:t>
            </w:r>
          </w:p>
        </w:tc>
      </w:tr>
      <w:tr>
        <w:trPr>
          <w:trHeight w:val="216"/>
        </w:trPr>
        <w:tc>
          <w:tcPr>
            <w:tcW w:w="14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right"/>
              <w:ind w:right="2620"/>
              <w:spacing w:after="0"/>
              <w:rPr>
                <w:sz w:val="20"/>
                <w:szCs w:val="20"/>
                <w:color w:val="auto"/>
              </w:rPr>
            </w:pPr>
            <w:r>
              <w:rPr>
                <w:rFonts w:ascii="Arial" w:cs="Arial" w:eastAsia="Arial" w:hAnsi="Arial"/>
                <w:sz w:val="18"/>
                <w:szCs w:val="18"/>
                <w:color w:val="auto"/>
              </w:rPr>
              <w:t>50(b)</w:t>
            </w:r>
          </w:p>
        </w:tc>
        <w:tc>
          <w:tcPr>
            <w:tcW w:w="3500" w:type="dxa"/>
            <w:vAlign w:val="bottom"/>
            <w:gridSpan w:val="2"/>
            <w:shd w:val="clear" w:color="auto" w:fill="CCEEFF"/>
          </w:tcPr>
          <w:p>
            <w:pPr>
              <w:jc w:val="right"/>
              <w:ind w:right="2660"/>
              <w:spacing w:after="0"/>
              <w:rPr>
                <w:sz w:val="20"/>
                <w:szCs w:val="20"/>
                <w:color w:val="auto"/>
              </w:rPr>
            </w:pPr>
            <w:r>
              <w:rPr>
                <w:rFonts w:ascii="Arial" w:cs="Arial" w:eastAsia="Arial" w:hAnsi="Arial"/>
                <w:sz w:val="18"/>
                <w:szCs w:val="18"/>
                <w:color w:val="auto"/>
              </w:rPr>
              <w:t>2/16/2010</w:t>
            </w:r>
          </w:p>
        </w:tc>
        <w:tc>
          <w:tcPr>
            <w:tcW w:w="346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w w:val="94"/>
              </w:rPr>
              <w:t>5/16/2016</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3.05%</w:t>
            </w:r>
          </w:p>
        </w:tc>
      </w:tr>
      <w:tr>
        <w:trPr>
          <w:trHeight w:val="216"/>
        </w:trPr>
        <w:tc>
          <w:tcPr>
            <w:tcW w:w="140" w:type="dxa"/>
            <w:vAlign w:val="bottom"/>
          </w:tcPr>
          <w:p>
            <w:pPr>
              <w:spacing w:after="0"/>
              <w:rPr>
                <w:sz w:val="18"/>
                <w:szCs w:val="18"/>
                <w:color w:val="auto"/>
              </w:rPr>
            </w:pPr>
          </w:p>
        </w:tc>
        <w:tc>
          <w:tcPr>
            <w:tcW w:w="3760" w:type="dxa"/>
            <w:vAlign w:val="bottom"/>
            <w:gridSpan w:val="2"/>
          </w:tcPr>
          <w:p>
            <w:pPr>
              <w:jc w:val="right"/>
              <w:ind w:right="2620"/>
              <w:spacing w:after="0"/>
              <w:rPr>
                <w:sz w:val="20"/>
                <w:szCs w:val="20"/>
                <w:color w:val="auto"/>
              </w:rPr>
            </w:pPr>
            <w:r>
              <w:rPr>
                <w:rFonts w:ascii="Arial" w:cs="Arial" w:eastAsia="Arial" w:hAnsi="Arial"/>
                <w:sz w:val="18"/>
                <w:szCs w:val="18"/>
                <w:color w:val="auto"/>
              </w:rPr>
              <w:t>100(b)</w:t>
            </w:r>
          </w:p>
        </w:tc>
        <w:tc>
          <w:tcPr>
            <w:tcW w:w="3500" w:type="dxa"/>
            <w:vAlign w:val="bottom"/>
            <w:gridSpan w:val="2"/>
          </w:tcPr>
          <w:p>
            <w:pPr>
              <w:jc w:val="right"/>
              <w:ind w:right="2660"/>
              <w:spacing w:after="0"/>
              <w:rPr>
                <w:sz w:val="20"/>
                <w:szCs w:val="20"/>
                <w:color w:val="auto"/>
              </w:rPr>
            </w:pPr>
            <w:r>
              <w:rPr>
                <w:rFonts w:ascii="Arial" w:cs="Arial" w:eastAsia="Arial" w:hAnsi="Arial"/>
                <w:sz w:val="18"/>
                <w:szCs w:val="18"/>
                <w:color w:val="auto"/>
              </w:rPr>
              <w:t>2/21/2012</w:t>
            </w:r>
          </w:p>
        </w:tc>
        <w:tc>
          <w:tcPr>
            <w:tcW w:w="3460" w:type="dxa"/>
            <w:vAlign w:val="bottom"/>
            <w:gridSpan w:val="2"/>
          </w:tcPr>
          <w:p>
            <w:pPr>
              <w:jc w:val="right"/>
              <w:ind w:right="2680"/>
              <w:spacing w:after="0"/>
              <w:rPr>
                <w:sz w:val="20"/>
                <w:szCs w:val="20"/>
                <w:color w:val="auto"/>
              </w:rPr>
            </w:pPr>
            <w:r>
              <w:rPr>
                <w:rFonts w:ascii="Arial" w:cs="Arial" w:eastAsia="Arial" w:hAnsi="Arial"/>
                <w:sz w:val="18"/>
                <w:szCs w:val="18"/>
                <w:color w:val="auto"/>
                <w:w w:val="94"/>
              </w:rPr>
              <w:t>5/23/2016</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3"/>
              </w:rPr>
              <w:t>2.40%</w:t>
            </w:r>
          </w:p>
        </w:tc>
      </w:tr>
      <w:tr>
        <w:trPr>
          <w:trHeight w:val="216"/>
        </w:trPr>
        <w:tc>
          <w:tcPr>
            <w:tcW w:w="14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jc w:val="right"/>
              <w:ind w:right="2640"/>
              <w:spacing w:after="0"/>
              <w:rPr>
                <w:sz w:val="20"/>
                <w:szCs w:val="20"/>
                <w:color w:val="auto"/>
              </w:rPr>
            </w:pPr>
            <w:r>
              <w:rPr>
                <w:rFonts w:ascii="Arial" w:cs="Arial" w:eastAsia="Arial" w:hAnsi="Arial"/>
                <w:sz w:val="18"/>
                <w:szCs w:val="18"/>
                <w:color w:val="auto"/>
              </w:rPr>
              <w:t>150(c)</w:t>
            </w:r>
          </w:p>
        </w:tc>
        <w:tc>
          <w:tcPr>
            <w:tcW w:w="3500" w:type="dxa"/>
            <w:vAlign w:val="bottom"/>
            <w:gridSpan w:val="2"/>
            <w:shd w:val="clear" w:color="auto" w:fill="CCEEFF"/>
          </w:tcPr>
          <w:p>
            <w:pPr>
              <w:jc w:val="right"/>
              <w:ind w:right="2660"/>
              <w:spacing w:after="0"/>
              <w:rPr>
                <w:sz w:val="20"/>
                <w:szCs w:val="20"/>
                <w:color w:val="auto"/>
              </w:rPr>
            </w:pPr>
            <w:r>
              <w:rPr>
                <w:rFonts w:ascii="Arial" w:cs="Arial" w:eastAsia="Arial" w:hAnsi="Arial"/>
                <w:sz w:val="18"/>
                <w:szCs w:val="18"/>
                <w:color w:val="auto"/>
                <w:w w:val="90"/>
              </w:rPr>
              <w:t>12/20/2011</w:t>
            </w:r>
          </w:p>
        </w:tc>
        <w:tc>
          <w:tcPr>
            <w:tcW w:w="346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w w:val="94"/>
              </w:rPr>
              <w:t>6/20/2016</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2.61%</w:t>
            </w:r>
          </w:p>
        </w:tc>
      </w:tr>
      <w:tr>
        <w:trPr>
          <w:trHeight w:val="222"/>
        </w:trPr>
        <w:tc>
          <w:tcPr>
            <w:tcW w:w="140" w:type="dxa"/>
            <w:vAlign w:val="bottom"/>
          </w:tcPr>
          <w:p>
            <w:pPr>
              <w:spacing w:after="0"/>
              <w:rPr>
                <w:sz w:val="19"/>
                <w:szCs w:val="19"/>
                <w:color w:val="auto"/>
              </w:rPr>
            </w:pPr>
          </w:p>
        </w:tc>
        <w:tc>
          <w:tcPr>
            <w:tcW w:w="3760" w:type="dxa"/>
            <w:vAlign w:val="bottom"/>
            <w:gridSpan w:val="2"/>
          </w:tcPr>
          <w:p>
            <w:pPr>
              <w:jc w:val="right"/>
              <w:ind w:right="2620"/>
              <w:spacing w:after="0"/>
              <w:rPr>
                <w:sz w:val="20"/>
                <w:szCs w:val="20"/>
                <w:color w:val="auto"/>
              </w:rPr>
            </w:pPr>
            <w:r>
              <w:rPr>
                <w:rFonts w:ascii="Arial" w:cs="Arial" w:eastAsia="Arial" w:hAnsi="Arial"/>
                <w:sz w:val="18"/>
                <w:szCs w:val="18"/>
                <w:color w:val="auto"/>
              </w:rPr>
              <w:t>50(d)</w:t>
            </w:r>
          </w:p>
        </w:tc>
        <w:tc>
          <w:tcPr>
            <w:tcW w:w="3500" w:type="dxa"/>
            <w:vAlign w:val="bottom"/>
            <w:gridSpan w:val="2"/>
          </w:tcPr>
          <w:p>
            <w:pPr>
              <w:jc w:val="right"/>
              <w:ind w:right="2660"/>
              <w:spacing w:after="0"/>
              <w:rPr>
                <w:sz w:val="20"/>
                <w:szCs w:val="20"/>
                <w:color w:val="auto"/>
              </w:rPr>
            </w:pPr>
            <w:r>
              <w:rPr>
                <w:rFonts w:ascii="Arial" w:cs="Arial" w:eastAsia="Arial" w:hAnsi="Arial"/>
                <w:sz w:val="18"/>
                <w:szCs w:val="18"/>
                <w:color w:val="auto"/>
              </w:rPr>
              <w:t>12/6/2012</w:t>
            </w:r>
          </w:p>
        </w:tc>
        <w:tc>
          <w:tcPr>
            <w:tcW w:w="3460" w:type="dxa"/>
            <w:vAlign w:val="bottom"/>
            <w:gridSpan w:val="2"/>
          </w:tcPr>
          <w:p>
            <w:pPr>
              <w:jc w:val="right"/>
              <w:ind w:right="2680"/>
              <w:spacing w:after="0"/>
              <w:rPr>
                <w:sz w:val="20"/>
                <w:szCs w:val="20"/>
                <w:color w:val="auto"/>
              </w:rPr>
            </w:pPr>
            <w:r>
              <w:rPr>
                <w:rFonts w:ascii="Arial" w:cs="Arial" w:eastAsia="Arial" w:hAnsi="Arial"/>
                <w:sz w:val="18"/>
                <w:szCs w:val="18"/>
                <w:color w:val="auto"/>
              </w:rPr>
              <w:t>9/6/2017</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3"/>
              </w:rPr>
              <w:t>2.96%</w:t>
            </w:r>
          </w:p>
        </w:tc>
      </w:tr>
    </w:tbl>
    <w:p>
      <w:pPr>
        <w:spacing w:after="0" w:line="6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or will be, first hedged by the applicable swap agreement.</w:t>
      </w:r>
    </w:p>
    <w:p>
      <w:pPr>
        <w:spacing w:after="0" w:line="15"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460" w:hanging="452"/>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46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payments made during the nine-month period of each year that begins with the month and day of the effective date are hedged by the swap agreement.</w:t>
      </w:r>
    </w:p>
    <w:p>
      <w:pPr>
        <w:spacing w:after="0" w:line="13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September 21, 2011, we entered into a new Master Accounts Receivable Purchase Agreement (the “MARP Agreement”), with an initial stated termination date of September 21, 2012, or such later date as may be mutually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agreed by us and the banks party thereto. The MARP Agreement, which is uncommitted, provides for the discretionary sale by us, and the discretionary purchase by the banks, on a revolving basis, of accounts receivable generated by sales to two specified account debtors in an aggregate amount not to exceed $325 million, with debtor sublimits ranging from $120 million to $250 million. Under the terms of the MARP Agreement, the banks have the opportunity to purchase those accounts receivable offered by us at a discount (from the agreed base value thereof) effectively equal to the greater of 7-day or 3-month LIBOR plus 1.05%. The MARP Agreement replaced our previous Master Accounts Receivable Purchase Agreement, which provided for the discounted sale, on an uncommitted, revolving basis, of accounts receivable generated by a single specified account debtor, with aggregate limits not to exceed $80 million and an interest rate that approximated the 7-day LIBOR rate plus 1.25%. The previous Master Accounts Receivable Purchase Agreement was scheduled to expire on September 30, 2011.</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account for the sale of receivables under the MARP Agreement as short-term debt and continue to carry the receivables on our Consolidated Balance Sheet, primarily as a result of our right to repurchase receivables sold. There were no short-term borrowings under the MARP Agreement as of September 30, 2011 and 2010.</w:t>
      </w:r>
    </w:p>
    <w:p>
      <w:pPr>
        <w:spacing w:after="0" w:line="14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of September 30, 2011,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3.50 as of September 30, 2011. Our leverage ratio was 1.98 at September 30, 2011. Our credit facility also includes an affirmative covenant regarding our interest coverage. Under the terms of the credit facility, the minimum interest coverage ratio was 3.50 for the twelve months ended September 30, 2011. Our interest coverage ratio was 7.47 for the twelve months ended September 30, 2011. Please see “ITEM 6. SELECTED FINANCIAL DATA” of this Annual Report on Form 10-K for further details pertaining to the calculations of the foregoing ratios.</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2012.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be likely to result in a modified or replacement credit facility on reasonable terms, if at all.</w:t>
      </w:r>
    </w:p>
    <w:p>
      <w:pPr>
        <w:spacing w:after="0" w:line="12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our opinion, cash flows from operations and capital resources will be sufficient to meet debt service, capital expenditures and working capital needs during fiscal 2012, and thereafter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 as further discussed in “ITEM 1A. RISK FACTORS—Our indebtedness could limit our flexibility and adversely affect our financial condition” of this Annual Report on Form 10-K.</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Apart from the proceedings surrounding the FIFRA compliance matters, which are discussed separately, 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assurance that future quarterly or annual operating results will not be materially affected by final resolution of these matters.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future cash outflows for contractual obligations as of September 30, 2011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202"/>
              <w:spacing w:after="0"/>
              <w:rPr>
                <w:sz w:val="20"/>
                <w:szCs w:val="20"/>
                <w:color w:val="auto"/>
              </w:rPr>
            </w:pPr>
            <w:r>
              <w:rPr>
                <w:rFonts w:ascii="Arial" w:cs="Arial" w:eastAsia="Arial" w:hAnsi="Arial"/>
                <w:sz w:val="14"/>
                <w:szCs w:val="14"/>
                <w:b w:val="1"/>
                <w:bCs w:val="1"/>
                <w:color w:val="auto"/>
              </w:rPr>
              <w:t>Payments Due by Period</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2"/>
              </w:rPr>
              <w:t>Contractual Cash Obligations</w:t>
            </w:r>
          </w:p>
        </w:tc>
        <w:tc>
          <w:tcPr>
            <w:tcW w:w="386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84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4"/>
                <w:szCs w:val="14"/>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Less Than 1 Year</w:t>
            </w:r>
          </w:p>
        </w:tc>
        <w:tc>
          <w:tcPr>
            <w:tcW w:w="300" w:type="dxa"/>
            <w:vAlign w:val="bottom"/>
          </w:tcPr>
          <w:p>
            <w:pPr>
              <w:spacing w:after="0"/>
              <w:rPr>
                <w:sz w:val="14"/>
                <w:szCs w:val="14"/>
                <w:color w:val="auto"/>
              </w:rPr>
            </w:pPr>
          </w:p>
        </w:tc>
        <w:tc>
          <w:tcPr>
            <w:tcW w:w="5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0"/>
              </w:rPr>
              <w:t>1-3 Years</w:t>
            </w:r>
          </w:p>
        </w:tc>
        <w:tc>
          <w:tcPr>
            <w:tcW w:w="580" w:type="dxa"/>
            <w:vAlign w:val="bottom"/>
          </w:tcPr>
          <w:p>
            <w:pPr>
              <w:spacing w:after="0"/>
              <w:rPr>
                <w:sz w:val="14"/>
                <w:szCs w:val="14"/>
                <w:color w:val="auto"/>
              </w:rPr>
            </w:pPr>
          </w:p>
        </w:tc>
        <w:tc>
          <w:tcPr>
            <w:tcW w:w="5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4-5 Years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3"/>
        </w:trPr>
        <w:tc>
          <w:tcPr>
            <w:tcW w:w="5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Debt obligations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795.0</w:t>
            </w:r>
          </w:p>
        </w:tc>
        <w:tc>
          <w:tcPr>
            <w:tcW w:w="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$ 387.7</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Interest expense on debt obligations</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333.6</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161.8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194.8</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257.1</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127.8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primarily retirement plan obligations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Total contractual cash obligations</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1,656.2</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240.1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415.9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$ 514.6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long-term debt obligations and interest payments due primarily under the 7.25% and 6.625% Senior Notes and our credit facility. Amounts in the table represent scheduled future maturities of long-term debt principal for the periods indicated. The interest payment for our credit facility is based on outstanding borrowings as of September 30, 2011. Actual interest expense will likely be higher due to the seasonality of our business and associated higher average borrowings.</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seed and out-sourced information services which comprise the unconditional purchase obligations disclosed in “NOTE 18. COMMITMENTS” of the Notes to Consolidated Financial Statements included in this Annual Report on Form 10-K.</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Other includes actuarially determined retiree benefit payments and pension funding to comply with local funding requirements. Pension funding requirements beyond fiscal 2012 are based on preliminary estimates using actuarial assumptions determined as of September 30, 2011. The above table excludes liabilities for unrecognized tax benefits and insurance accruals as the Company is unable to estimate the timing of the payment for these items.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September 30, 2011, the Company had letters of credit in the aggregate face amount of $30.4 million outstanding. Further, the Company has residual value guarantees on Scotts LawnService</w:t>
      </w:r>
      <w:r>
        <w:rPr>
          <w:rFonts w:ascii="Arial" w:cs="Arial" w:eastAsia="Arial" w:hAnsi="Arial"/>
          <w:sz w:val="11"/>
          <w:szCs w:val="11"/>
          <w:color w:val="auto"/>
        </w:rPr>
        <w:t>®</w:t>
      </w:r>
      <w:r>
        <w:rPr>
          <w:rFonts w:ascii="Arial" w:cs="Arial" w:eastAsia="Arial" w:hAnsi="Arial"/>
          <w:sz w:val="18"/>
          <w:szCs w:val="18"/>
          <w:color w:val="auto"/>
        </w:rPr>
        <w:t xml:space="preserve"> vehicles and the corporate aircraft as disclosed in “NOTE 17. OPERATING LEASES” of the Notes to Consolidated Financial Statements included in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Apart from the proceedings surrounding the FIFRA compliance matters, which are discussed separately, we are involved in several legal actions with various governmental agencies related to environmental matters, including those described in “ITEM 3. LEGAL PROCEEDINGS” of this Annual Report on Form 10-K and “NOTE 19. CONTINGENCIES” of the Notes 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Consolidated Financial Statements included in this Annual Report on Form 10-K.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BUSINESS—Regulatory Considerations” and “ITEM 3. LEGAL PROCEEDINGS” of this Annual Report on Form 10-K.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Our discussion and analysis of financial condition and results of operations is based upon our consolidated financial statements, which have been prepared in accordance with GAAP. Certain accounting policies are particularly significant, including those related to revenue recognition, goodwill and intangibles, certain associate benefits and income taxes. We believe these accounting policies, and others set forth in “NOTE 1. SUMMARY OF SIGNIFICANT ACCOUNTING POLICIES” of the Notes to Consolidated Financial Statements included in this Annual Report on Form 10-K, should be reviewed as they are integral to understanding our results of operations and financial position. Our critical accounting policies are reviewed periodically with the Audit Committee of the Board of Directors of Scotts Miracle-Gro.</w:t>
      </w:r>
    </w:p>
    <w:p>
      <w:pPr>
        <w:spacing w:after="0" w:line="14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Although actual results historically have not deviated significantly from those determined using our estimates, our results of operations or financial condition could differ, perhaps materially, from these estimates under different assumptions or conditions.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9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Most of our revenue is derived from the sale of inventory, and we recognize revenue when title and risk of loss transfer, generally when products are received by the customer. Provisions for payment discounts, product returns and allowances are recorded as a reduction of sales at the time revenue is recognized based on historical trends and adjusted periodically as circumstances warrant. Similarly, reserves for uncollectible receivables due from customers are established based on management’s judgment as to the ultimate collectability of these balances. We offer sales incentives through various programs, consisting principally of volume rebates, cooperative advertising, consumer coupons and other trade programs. The cost of these programs is recorded as a reduction of sales. The recognition of revenues, receivables and trade programs requires the use of estimates. While we believe these estimates to be reasonable based on the then current facts and circumstances, there can be no assurance that actual amounts realized will not differ materially from estimated amounts recorded.</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valuation allowances. When we determine that deferred tax assets could be realized in greater or lesser amounts than recorded, the asset balance and consolidated statement of operations reflect the change in the period such determination is made. Due to changes in facts and circumstances and the estimates and judgments that are involved in determining the proper valuation allowances, differences between actual future events and prior estimates and judgments could result in adjustments to these valuation allowances. We use an estimate of our annual effective tax rate at each interim period based on the facts and circumstances available at that time, while the actual effective tax rate is calculated at year-end.</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Inventories are stated at the lower of cost or market, principally determined by the first-in, first-out method of accounting, using an average costing approach. Inventories include the cost of raw materials, labor, manufacturing overhead and freight and in-bound handling costs incurred to pre-position goods in our warehouse network. 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regulatory actions.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Long-lived Assets, including Property, Plant and Equipment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Property, plant and equipment are stated at cost. Depreciation of property, plant and equipment is provided on the straight-line method and is based on the estimated useful economic lives of the assets. Intangible assets with finite lives, and therefore subject to amortization, include technology (e.g., patents), customer relationships and certain tradenames. These intangible assets are being amortized on the straight-line method over periods typically ranging from 3 to 25 years. The Company reviews long-lived assets whenever circumstances change such that the indicated recorded value of an asset may not be recoverable and therefore impaired.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9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have significant investments in intangible assets and goodwill. Our annual goodwill and indefinite-lived intangible asset testing is performed as of the first day of our fiscal fourth quarter or more frequently if circumstances indicate potential impairment. The review for impairment of intangibles and goodwill is primarily based on our estimates of discounted future cash flows, which are based upon annual budgets and longer-range strategic plans. These budgets and plans are used for internal purposes and are also the basis for communication with outside parties about future business trends. While we believe the assumptions we use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An asset’s value is deemed impaired if the discounted cash flows or earnings projections generated do not substantiate the carrying value of the asset. The estimation of such amounts requires management to exercise judgment with respect to revenue and expense growth rates, changes in working capital, future capital expenditure requirements and selection of an appropriate discount rate, as applicable. The use of different assumptions would increase or decrease discounted future operating cash flows or earnings projections and could, therefore, change impairment determinations.</w:t>
      </w:r>
    </w:p>
    <w:p>
      <w:pPr>
        <w:spacing w:after="0" w:line="123" w:lineRule="exact"/>
        <w:rPr>
          <w:sz w:val="20"/>
          <w:szCs w:val="20"/>
          <w:color w:val="auto"/>
        </w:rPr>
      </w:pPr>
    </w:p>
    <w:p>
      <w:pPr>
        <w:jc w:val="both"/>
        <w:ind w:firstLine="456"/>
        <w:spacing w:after="0" w:line="284" w:lineRule="auto"/>
        <w:rPr>
          <w:sz w:val="20"/>
          <w:szCs w:val="20"/>
          <w:color w:val="auto"/>
        </w:rPr>
      </w:pPr>
      <w:r>
        <w:rPr>
          <w:rFonts w:ascii="Arial" w:cs="Arial" w:eastAsia="Arial" w:hAnsi="Arial"/>
          <w:sz w:val="16"/>
          <w:szCs w:val="16"/>
          <w:color w:val="auto"/>
        </w:rPr>
        <w:t>Fair value estimates employed in our annual impairment review of indefinite-lived tradenames and goodwill were determined using discounted cash flow models involving several assumptions. Changes in our assumptions could materially impact our fair value estimates. Assumptions critical to our fair value estimates were: (i) discount rates used in determining the fair value of the reporting units and tradenames; (ii) royalty rates used in our tradename valuations;</w:t>
      </w:r>
    </w:p>
    <w:p>
      <w:pPr>
        <w:spacing w:after="0" w:line="1" w:lineRule="exact"/>
        <w:rPr>
          <w:sz w:val="20"/>
          <w:szCs w:val="20"/>
          <w:color w:val="auto"/>
        </w:rPr>
      </w:pPr>
    </w:p>
    <w:p>
      <w:pPr>
        <w:jc w:val="both"/>
        <w:ind w:right="20" w:firstLine="8"/>
        <w:spacing w:after="0" w:line="255" w:lineRule="auto"/>
        <w:tabs>
          <w:tab w:leader="none" w:pos="318"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projected revenue and operating profit growth rates used in the reporting unit and tradename models; and (iv) projected long-term growth rates used in the derivation of terminal year values. These and other assumptions are impacted by economic conditions and expectations of management and may change in the future based on period specific facts and circumstances.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Associate Benefits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sponsor various post-employment benefit plans, including pension plans, both defined contribution plans and defined benefit plans, and other post-employment benefit (“OPEB”) plans, consisting primarily of health care for retirees. For accounting purposes, the defined benefit pension and OPEB plans are dependent on a variety of assumptions to estimate the projected and accumulated benefit obligations and annual expense determined by actuarial valuations. These assumptions include the following: discount rate; expected salary increases; certain employee-related factors, such as turnover, retirement age and mortality; expected return on plan assets; and health care cost trend rates.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Assumptions are reviewed annually for appropriateness and updated as necessary. We base the discount rate assumption on investment yields available at fiscal year-end on high-quality corporate bonds that could be purchased to effectively settle the pension liabilities. The salary growth assumption reflects our long-term actual experience, the near-term outlook and assumed inflation. The expected return on plan assets assumption reflects asset allocation, investment strategy and the views of investment managers regarding the market. Retirement and mortality rates are based primarily on actual and expected plan experience. The effects of actual results that differ from our assumptions are accumulated and amortized over future periods.</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Changes in the discount rate and investment returns can have a significant effect on the funded status of our pension plans and shareholders’ equity. We cannot predict these discount rates or investment returns with certainty and, therefore, cannot determine whether adjustments to our shareholders’ equity for pension-related activity in subsequent years will be significant. We also cannot predict future investment returns, and therefore cannot determine whether future pension plan funding requirements could materially affect our financial condition, results of operations or cash flows.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Insurance and Self-Insurance</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maintain insurance for certain risks, including workers’ compensation, general liability and vehicle liability, and are self-insured for employee-related health care benefits up to a specified level for individual claims. We establish reserves for losses based on our claims experience and industry actuarial estimates of the ultimate loss amount inherent in the claims, including losses for claims incurred but not reported. Our estimate of self-insured liabilities is subject to change as new events or circumstances develop which might materially impact the ultimate cost to settle these losses.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the normal course of business, we are exposed to fluctuations in interest rates, the value of foreign currencies and the cost of commodities. A variety of financial instruments, including forward and swap contracts, are used to manage these exposures. Our objective in managing these exposures is to better control these elements of cost and mitigate the earnings and cash flow volatility associated with changes in the applicable rates and prices. We have established policies and procedures that encompass risk-management philosophy and objectives, guidelines for derivative-instrument usage, counterparty credit approval, and the monitoring and reporting of derivative activity. We do not enter into derivative instruments for the purpose of speculation.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described more fully in “NOTE 19. CONTINGENCIES” of the Notes to Consolidated Financial Statements included in this Annual Report on Form 10-K, we are involved in significant environmental and legal matters which have a high degree of uncertainty associated with them. We continually assess the likely outcomes of these matters and the adequacy of reserves, if any, provided for their resolution. There can be no assurance that the ultimate outcomes of these matters will not differ materially from our current assessment of them, nor that all matters that may currently be brought against us are known by us at this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Other significant accounting policies, primarily those with lower levels of uncertainty than those discussed above, are also critical to understanding the consolidated financial statements. The Notes to Consolidated Financial Statements included in this Annual Report on Form 10-K contain additional information related to our accounting policies, including recent accounting pronouncements, and should be read in conjunction with this discussion.</w:t>
      </w:r>
    </w:p>
    <w:p>
      <w:pPr>
        <w:spacing w:after="0" w:line="22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u w:val="single" w:color="auto"/>
          <w:color w:val="auto"/>
        </w:rPr>
        <w:t>ITEM 7A.</w:t>
      </w:r>
      <w:r>
        <w:rPr>
          <w:sz w:val="20"/>
          <w:szCs w:val="20"/>
          <w:color w:val="auto"/>
        </w:rPr>
        <w:tab/>
      </w:r>
      <w:r>
        <w:rPr>
          <w:rFonts w:ascii="Arial" w:cs="Arial" w:eastAsia="Arial" w:hAnsi="Arial"/>
          <w:sz w:val="16"/>
          <w:szCs w:val="16"/>
          <w:b w:val="1"/>
          <w:bCs w:val="1"/>
          <w:i w:val="1"/>
          <w:iCs w:val="1"/>
          <w:u w:val="single" w:color="auto"/>
          <w:color w:val="auto"/>
        </w:rPr>
        <w:t>QUANTITATIVEAND QUALITATIVE DISCLOSURES ABOUT MARKET RISK</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As part of our ongoing business, we are exposed to certain market risks, including fluctuations in interest rates, foreign currency exchange rates and commodity prices. Financial derivative and other instruments are used to manage these risks. These instruments are not used for speculative purposes.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had variable rate debt instruments outstanding at September 30, 2011 and 2010 that are impacted by changes in interest rates. As a means of managing our interest rate risk on these debt instruments, we entered into interest rate swap agreements with major financial institutions to effectively convert certain variable-rate debt obligations to fixed rates.</w:t>
      </w:r>
    </w:p>
    <w:p>
      <w:pPr>
        <w:spacing w:after="0" w:line="14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At September 30, 2011 and 2010, we had outstanding interest rate swap agreements with a total U.S. dollar equivalent notional value of $900 million and $450 million, respectively. The weighted average fixed rate of swap agreements outstanding at September 30, 2011 was 3.3%.</w:t>
      </w:r>
    </w:p>
    <w:p>
      <w:pPr>
        <w:spacing w:after="0" w:line="85"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following table summarizes information about our derivative financial instruments and debt instruments that are sensitive to changes in interest rates as of September 30, 2011 and 2010.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Weighted-average variable rates are based on rates in the yield curve at September 30, 2011 and 2010. A change in our variable interest rate of 1% for a full twelve-month period would have a $2.5 million impact on interest expense assuming approximately $250 million of our average fiscal 2011 variable-rate debt had not been hedged via an interest rate swap agreement. The information is presented in U.S.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2011</w:t>
            </w:r>
          </w:p>
        </w:tc>
        <w:tc>
          <w:tcPr>
            <w:tcW w:w="5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0"/>
              </w:rPr>
              <w:t>Expected Maturity Date</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5020" w:type="dxa"/>
            <w:vAlign w:val="bottom"/>
          </w:tcPr>
          <w:p>
            <w:pPr>
              <w:spacing w:after="0"/>
              <w:rPr>
                <w:sz w:val="12"/>
                <w:szCs w:val="12"/>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Pr>
          <w:p>
            <w:pPr>
              <w:spacing w:after="0"/>
              <w:rPr>
                <w:sz w:val="12"/>
                <w:szCs w:val="12"/>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2013</w:t>
            </w: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3"/>
              </w:rPr>
              <w:t>2016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After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6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3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Fixed rate debt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w w:val="78"/>
              </w:rPr>
              <w:t>$ —</w:t>
            </w:r>
          </w:p>
        </w:tc>
        <w:tc>
          <w:tcPr>
            <w:tcW w:w="380" w:type="dxa"/>
            <w:vAlign w:val="bottom"/>
          </w:tcPr>
          <w:p>
            <w:pPr>
              <w:jc w:val="right"/>
              <w:ind w:right="15"/>
              <w:spacing w:after="0"/>
              <w:rPr>
                <w:sz w:val="20"/>
                <w:szCs w:val="20"/>
                <w:color w:val="auto"/>
              </w:rPr>
            </w:pPr>
            <w:r>
              <w:rPr>
                <w:rFonts w:ascii="Arial" w:cs="Arial" w:eastAsia="Arial" w:hAnsi="Arial"/>
                <w:sz w:val="18"/>
                <w:szCs w:val="18"/>
                <w:color w:val="auto"/>
                <w:w w:val="92"/>
              </w:rPr>
              <w:t>$—</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400.0</w:t>
            </w:r>
          </w:p>
        </w:tc>
        <w:tc>
          <w:tcPr>
            <w:tcW w:w="2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$400.0</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rate</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Variable rate debt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w w:val="78"/>
              </w:rPr>
              <w:t>$ —</w:t>
            </w:r>
          </w:p>
        </w:tc>
        <w:tc>
          <w:tcPr>
            <w:tcW w:w="380" w:type="dxa"/>
            <w:vAlign w:val="bottom"/>
          </w:tcPr>
          <w:p>
            <w:pPr>
              <w:jc w:val="right"/>
              <w:ind w:right="15"/>
              <w:spacing w:after="0"/>
              <w:rPr>
                <w:sz w:val="20"/>
                <w:szCs w:val="20"/>
                <w:color w:val="auto"/>
              </w:rPr>
            </w:pPr>
            <w:r>
              <w:rPr>
                <w:rFonts w:ascii="Arial" w:cs="Arial" w:eastAsia="Arial" w:hAnsi="Arial"/>
                <w:sz w:val="18"/>
                <w:szCs w:val="18"/>
                <w:color w:val="auto"/>
                <w:w w:val="92"/>
              </w:rPr>
              <w:t>$—</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387.2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$387.2</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rate</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Interest rate swaps based on U.S. Dollar, Euro and GBP LIBOR</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$(4.9)</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2"/>
              </w:rPr>
              <w:t>$—</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(31.3)</w:t>
            </w: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 (31.3)</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Average rate</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3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3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89"/>
              </w:rPr>
              <w:t>2010</w:t>
            </w:r>
          </w:p>
        </w:tc>
        <w:tc>
          <w:tcPr>
            <w:tcW w:w="4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Expected Maturity Date</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00" w:type="dxa"/>
            <w:vAlign w:val="bottom"/>
            <w:tcBorders>
              <w:bottom w:val="single" w:sz="8" w:color="auto"/>
            </w:tcBorders>
            <w:vMerge w:val="continue"/>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2012</w:t>
            </w:r>
          </w:p>
        </w:tc>
        <w:tc>
          <w:tcPr>
            <w:tcW w:w="260" w:type="dxa"/>
            <w:vAlign w:val="bottom"/>
          </w:tcPr>
          <w:p>
            <w:pPr>
              <w:spacing w:after="0"/>
              <w:rPr>
                <w:sz w:val="12"/>
                <w:szCs w:val="12"/>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2015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After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60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Fixed rate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200.0</w:t>
            </w:r>
          </w:p>
        </w:tc>
        <w:tc>
          <w:tcPr>
            <w:tcW w:w="2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$200.0</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w w:val="96"/>
              </w:rPr>
              <w:t>$ 211.0</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rate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Variable rate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193.2</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220.9</w:t>
            </w:r>
          </w:p>
        </w:tc>
        <w:tc>
          <w:tcPr>
            <w:tcW w:w="2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$414.1</w:t>
            </w:r>
          </w:p>
        </w:tc>
        <w:tc>
          <w:tcPr>
            <w:tcW w:w="740" w:type="dxa"/>
            <w:vAlign w:val="bottom"/>
            <w:gridSpan w:val="3"/>
          </w:tcPr>
          <w:p>
            <w:pPr>
              <w:ind w:left="140"/>
              <w:spacing w:after="0"/>
              <w:rPr>
                <w:sz w:val="20"/>
                <w:szCs w:val="20"/>
                <w:color w:val="auto"/>
              </w:rPr>
            </w:pPr>
            <w:r>
              <w:rPr>
                <w:rFonts w:ascii="Arial" w:cs="Arial" w:eastAsia="Arial" w:hAnsi="Arial"/>
                <w:sz w:val="18"/>
                <w:szCs w:val="18"/>
                <w:color w:val="auto"/>
              </w:rPr>
              <w:t>$414.1</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Average rate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Interest rate derivatives: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Interest rate swaps based on U.S. Dollar, Euro and GBP LIBOR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7"/>
              </w:rPr>
              <w:t>(14.1)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(10.5)</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(24.6)</w:t>
            </w:r>
          </w:p>
        </w:tc>
        <w:tc>
          <w:tcPr>
            <w:tcW w:w="7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 (24.6)</w:t>
            </w: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960" w:type="dxa"/>
            <w:vAlign w:val="bottom"/>
          </w:tcPr>
          <w:p>
            <w:pPr>
              <w:ind w:left="140"/>
              <w:spacing w:after="0"/>
              <w:rPr>
                <w:sz w:val="20"/>
                <w:szCs w:val="20"/>
                <w:color w:val="auto"/>
              </w:rPr>
            </w:pPr>
            <w:r>
              <w:rPr>
                <w:rFonts w:ascii="Arial" w:cs="Arial" w:eastAsia="Arial" w:hAnsi="Arial"/>
                <w:sz w:val="18"/>
                <w:szCs w:val="18"/>
                <w:color w:val="auto"/>
              </w:rPr>
              <w:t>Average rate</w:t>
            </w:r>
          </w:p>
        </w:tc>
        <w:tc>
          <w:tcPr>
            <w:tcW w:w="10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Excluded from the information provided above are $7.4 million and $17.6 million at September 30, 2011 and 2010, respectively, of miscellaneous debt instruments.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Market Risks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Through fiscal 2011, we had transactions that were denominated in currencies other than the currency of the country of origin. We use foreign currency swap contracts to manage the exchange rate risk associated with intercompany loans with foreign subsidiaries that are denominated in local currencies. At September 30, 2011, the notional amount of outstanding foreign currency contracts was $217.9 million with a fair value of $2.7 million. At September 30, 2010, the notional amount of outstanding foreign currency contracts was $209.9 million with a negative fair value of $6.6 million.</w:t>
      </w:r>
    </w:p>
    <w:p>
      <w:pPr>
        <w:spacing w:after="0" w:line="11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We are subject to market risk from fluctuating prices of certain raw materials, including urea, resins, diesel, gasoline, sphagnum peat, grass seed and wild bird food grains. Our objectives surrounding the procurement of these materials are to ensure continuous supply and to minimize costs. We seek to achieve these objectives through negotiation of contracts with favorable terms directly with vendors. In addition, we entered into arrangements to partially mitigate the effect of fluctuating direct and indirect fuel costs on our Global Consumer and Scotts LawnService</w:t>
      </w:r>
      <w:r>
        <w:rPr>
          <w:rFonts w:ascii="Arial" w:cs="Arial" w:eastAsia="Arial" w:hAnsi="Arial"/>
          <w:sz w:val="10"/>
          <w:szCs w:val="10"/>
          <w:color w:val="auto"/>
        </w:rPr>
        <w:t>®</w:t>
      </w:r>
      <w:r>
        <w:rPr>
          <w:rFonts w:ascii="Arial" w:cs="Arial" w:eastAsia="Arial" w:hAnsi="Arial"/>
          <w:sz w:val="16"/>
          <w:szCs w:val="16"/>
          <w:color w:val="auto"/>
        </w:rPr>
        <w:t xml:space="preserve"> businesses and hedged a portion of our fuel and urea needs for fiscal 2010 and fiscal 2011. We had outstanding contracts for approximately 3,955,000 gallons of fuel with a negative fair value of $0.9 million at September 30, 2011. We had outstanding contracts for approximately 420,000 gallons of fuel with a negative fair value of $0.1 million at September 30, 2010. We also had hedging arrangements for 4,500 and 62,000 aggregate tons of urea at September 30, 2011 and 2010, respectively. The fair value of the 4,500 aggregate tons at September 30, 2011 was $0.1 million, while the fair value of the 62,000 aggregate tons at September 30, 2010 was $1.9 million.</w:t>
      </w:r>
    </w:p>
    <w:p>
      <w:pPr>
        <w:spacing w:after="0" w:line="23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6"/>
          <w:szCs w:val="16"/>
          <w:b w:val="1"/>
          <w:bCs w:val="1"/>
          <w:i w:val="1"/>
          <w:iCs w:val="1"/>
          <w:u w:val="single" w:color="auto"/>
          <w:color w:val="auto"/>
        </w:rPr>
        <w:t>FINANCIALSTATEMENTS AND SUPPLEMENTARY DATA</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57 of this Annual Report on Form 10-K.</w:t>
      </w:r>
    </w:p>
    <w:p>
      <w:pPr>
        <w:spacing w:after="0" w:line="2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u w:val="single" w:color="auto"/>
          <w:color w:val="auto"/>
        </w:rPr>
        <w:t>ITEM 9.</w:t>
      </w:r>
      <w:r>
        <w:rPr>
          <w:sz w:val="20"/>
          <w:szCs w:val="20"/>
          <w:color w:val="auto"/>
        </w:rPr>
        <w:tab/>
      </w:r>
      <w:r>
        <w:rPr>
          <w:rFonts w:ascii="Arial" w:cs="Arial" w:eastAsia="Arial" w:hAnsi="Arial"/>
          <w:sz w:val="16"/>
          <w:szCs w:val="16"/>
          <w:b w:val="1"/>
          <w:bCs w:val="1"/>
          <w:i w:val="1"/>
          <w:iCs w:val="1"/>
          <w:u w:val="single" w:color="auto"/>
          <w:color w:val="auto"/>
        </w:rPr>
        <w:t>CHANGESIN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u w:val="single" w:color="auto"/>
          <w:color w:val="auto"/>
        </w:rPr>
        <w:t>ITEM 9A.</w:t>
      </w:r>
      <w:r>
        <w:rPr>
          <w:sz w:val="20"/>
          <w:szCs w:val="20"/>
          <w:color w:val="auto"/>
        </w:rPr>
        <w:tab/>
      </w:r>
      <w:r>
        <w:rPr>
          <w:rFonts w:ascii="Arial" w:cs="Arial" w:eastAsia="Arial" w:hAnsi="Arial"/>
          <w:sz w:val="16"/>
          <w:szCs w:val="16"/>
          <w:b w:val="1"/>
          <w:bCs w:val="1"/>
          <w:i w:val="1"/>
          <w:iCs w:val="1"/>
          <w:u w:val="single" w:color="auto"/>
          <w:color w:val="auto"/>
        </w:rPr>
        <w:t>CONTROLSAND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(the “Exchange Act”)), as of the end of the fiscal year covered by this Annual Report on Form 10-K. Based upon that evaluation, the Registrant’s principal executive officer and principal financial officer have concluded that the Registrant’s disclosure controls and procedures were effective as of the end of the fiscal year covered by this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“Annual Report of Management on Internal Control Over Financial Reporting” required by Item 308(a) of SEC Regulation S-K is included on page 58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Independent Registered Public Accounting Firm</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“Report of Independent Registered Public Accounting Firm” required by Item 308(b) of SEC Regulation S-K is included on page 59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 changes in the Registrant’s internal control over financial reporting (as defined in Rule 13a-15(f) under the Exchange Act) occurred during the Registrant’s fiscal quarter ended September 30, 2011, that have materially affected, or are reasonably likely to materially affect, the Registrant’s internal control over financial reporting.</w:t>
      </w:r>
    </w:p>
    <w:p>
      <w:pPr>
        <w:spacing w:after="0" w:line="25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6"/>
          <w:szCs w:val="16"/>
          <w:b w:val="1"/>
          <w:bCs w:val="1"/>
          <w:i w:val="1"/>
          <w:iCs w:val="1"/>
          <w:u w:val="single" w:color="auto"/>
          <w:color w:val="auto"/>
        </w:rPr>
        <w:t>OTHERINFORMATION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10.</w:t>
      </w:r>
      <w:r>
        <w:rPr>
          <w:sz w:val="20"/>
          <w:szCs w:val="20"/>
          <w:color w:val="auto"/>
        </w:rPr>
        <w:tab/>
      </w:r>
      <w:r>
        <w:rPr>
          <w:rFonts w:ascii="Arial" w:cs="Arial" w:eastAsia="Arial" w:hAnsi="Arial"/>
          <w:sz w:val="16"/>
          <w:szCs w:val="16"/>
          <w:b w:val="1"/>
          <w:bCs w:val="1"/>
          <w:i w:val="1"/>
          <w:iCs w:val="1"/>
          <w:u w:val="single" w:color="auto"/>
          <w:color w:val="auto"/>
        </w:rPr>
        <w:t>DIRECTORS,EXECUTIVE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and Persons Nominated or Chosen to Become Directors or Executive Officers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information required by Item 401 of SEC Regulation S-K concerning the directors of Scotts Miracle-Gro and the nominees for election or re-election as directors of Scotts Miracle-Gro at the Annual Meeting of Shareholders to be held on January 19, 2012 (the “2012 Annual Meeting”) is incorporated herein by reference from the disclosure which will be included under the caption “PROPOSAL NUMBER 1—ELECTION OF DIRECTORS” in Scotts Miracle-Gro’s definitive Proxy Statement relating to the 2012 Annual Meeting (“Scotts Miracle-Gro’s Definitive Proxy Statement”), which will be filed pursuant to SEC Regulation 14A not later than 120 days after the end of Scotts Miracle-Gro’s fiscal year ended September 30, 2011.</w:t>
      </w:r>
    </w:p>
    <w:p>
      <w:pPr>
        <w:spacing w:after="0" w:line="1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 of this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9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information required by Item 405 of SEC Regulation S-K is incorporated herein by reference from the disclosure which will be included under the caption “SECTION 16(a) BENEFICIAL OWNERSHIP REPORTING COMPLIANCE” in Scotts Miracle-Gro’s Definitive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Recommending Director Nominees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GOVERNANCE—Nominations of Directors” and “MEETINGS AND COMMITTEES OF THE BOARD—Committees of the Board—Governance and Nominating Committee” in Scotts Miracle-Gro’s Definitive Proxy Statement. These procedures have not materially changed from those described in Scotts Miracle-Gro’s definitive Proxy Statement for the 2011 Annual Meeting of Shareholders held on January 20,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required by Items 407(d)(4) and 407(d)(5) of SEC Regulation S-K is incorporated herein by reference from the disclosure which will be included under the caption “MEETINGS AND COMMITTEES OF THE BOARD—Committees of the Board—Audit Committee” in Scotts Miracle-Gro’s Definitive Proxy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Charters; Code of Business Conduct and Ethics; Corporate Governance Guidelines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Board of Directors of Scotts Miracle-Gro has adopted charters for each of the Audit Committee, the Governance and Nominating Committee, the Compensation and Organization Committee, the Finance Committee and the Innovation &amp; Technology Committee, as well as Corporate Governance Guidelines, as contemplated by the applicable sections of the New York Stock Exchange Listed Company Manual.</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accordance with the requirements of Section 303A.10 of the New York Stock Exchange Listed Company Manual and Item 406 of SEC Regulation S-K, the Board of Directors of Scotts Miracle-Gro has adopted a Code of Business Conduct and Ethics covering the members of Scotts Miracle-Gro’s Board of Directors and associates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(employees)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and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and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text of Scotts Miracle-Gro’s Code of Business Conduct and Ethics, Scotts Miracle-Gro’s Corporate Governance Guidelines, the Audit Committee charter, the Governance and Nominating Committee charter, the Compensation and Organization Committee charter, the Finance Committee charter and the Innovation &amp; Technology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 In addition, a copy of the Code of Business Conduct and Ethics, as amended on November 2, 2006, is incorporated by reference in Exhibit 14 to this Annual Report on Form 10-K.</w:t>
      </w: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11.</w:t>
      </w:r>
      <w:r>
        <w:rPr>
          <w:sz w:val="20"/>
          <w:szCs w:val="20"/>
          <w:color w:val="auto"/>
        </w:rPr>
        <w:tab/>
      </w:r>
      <w:r>
        <w:rPr>
          <w:rFonts w:ascii="Arial" w:cs="Arial" w:eastAsia="Arial" w:hAnsi="Arial"/>
          <w:sz w:val="16"/>
          <w:szCs w:val="16"/>
          <w:b w:val="1"/>
          <w:bCs w:val="1"/>
          <w:i w:val="1"/>
          <w:iCs w:val="1"/>
          <w:u w:val="single" w:color="auto"/>
          <w:color w:val="auto"/>
        </w:rPr>
        <w:t>EXECUTIVECOMPENSATION</w:t>
      </w:r>
    </w:p>
    <w:p>
      <w:pPr>
        <w:spacing w:after="0" w:line="9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information required by Item 402 of SEC Regulation S-K is incorporated herein by reference from the disclosures which will be included under the captions “EXECUTIVE COMPENSATION” and “NON-EMPLOYEE DIRECTOR COMPENSATION” in Scotts Miracle-Gro’s Definitive Proxy Statement.</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required by Item 407(e)(4) of SEC Regulation S-K is incorporated herein by reference from the disclosure which will be included under the caption “MEETINGS AND COMMITTEES OF THE BOARD—Compensation and Organization Committee Interlocks and Insider Participation” in Scotts Miracle-Gro’s Definitive Proxy Statement.</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information required by Item 407(e)(5) of SEC Regulation S-K is incorporated herein by reference from the disclosure which will be included under the caption “COMPENSATION COMMITTEE REPORT” in Scotts Miracle-Gro’s Definitive Proxy Statement.</w:t>
      </w:r>
    </w:p>
    <w:p>
      <w:pPr>
        <w:spacing w:after="0" w:line="248" w:lineRule="exact"/>
        <w:rPr>
          <w:sz w:val="20"/>
          <w:szCs w:val="20"/>
          <w:color w:val="auto"/>
        </w:rPr>
      </w:pPr>
    </w:p>
    <w:p>
      <w:pPr>
        <w:ind w:right="420"/>
        <w:spacing w:after="0" w:line="347" w:lineRule="auto"/>
        <w:rPr>
          <w:sz w:val="20"/>
          <w:szCs w:val="20"/>
          <w:color w:val="auto"/>
        </w:rPr>
      </w:pPr>
      <w:r>
        <w:rPr>
          <w:rFonts w:ascii="Arial" w:cs="Arial" w:eastAsia="Arial" w:hAnsi="Arial"/>
          <w:sz w:val="18"/>
          <w:szCs w:val="18"/>
          <w:b w:val="1"/>
          <w:bCs w:val="1"/>
          <w:u w:val="single" w:color="auto"/>
          <w:color w:val="auto"/>
        </w:rPr>
        <w:t xml:space="preserve">ITEM 12. </w:t>
      </w:r>
      <w:r>
        <w:rPr>
          <w:rFonts w:ascii="Arial" w:cs="Arial" w:eastAsia="Arial" w:hAnsi="Arial"/>
          <w:sz w:val="18"/>
          <w:szCs w:val="18"/>
          <w:b w:val="1"/>
          <w:bCs w:val="1"/>
          <w:i w:val="1"/>
          <w:iCs w:val="1"/>
          <w:u w:val="single" w:color="auto"/>
          <w:color w:val="auto"/>
        </w:rPr>
        <w:t>SECURITYOWNERSHIP OF CERTAIN BENEFICIAL OWNERS AND MANAGEMENT AND RELATED STOCKHOLDER MATTERS</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Ownership of Common Shares of Scotts Miracle-Gro</w:t>
      </w:r>
    </w:p>
    <w:p>
      <w:pPr>
        <w:spacing w:after="0" w:line="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information required by Item 403 of SEC Regulation S-K is incorporated herein by reference from the disclosure which will be included under the caption “BENEFICIAL OWNERSHIP OF SECURITIES OF THE COMPANY” in Scotts Miracle-Gro’s Definitive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information required by Item 201(d) of SEC Regulation S-K is incorporated herein by reference from the disclosure which will be included under the caption “EQUITY COMPENSATION PLAN INFORMATION” in Scotts Miracle-Gro’s Definitive Proxy Statement.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80"/>
        <w:spacing w:after="0" w:line="347" w:lineRule="auto"/>
        <w:rPr>
          <w:sz w:val="20"/>
          <w:szCs w:val="20"/>
          <w:color w:val="auto"/>
        </w:rPr>
      </w:pPr>
      <w:r>
        <w:rPr>
          <w:rFonts w:ascii="Arial" w:cs="Arial" w:eastAsia="Arial" w:hAnsi="Arial"/>
          <w:sz w:val="18"/>
          <w:szCs w:val="18"/>
          <w:b w:val="1"/>
          <w:bCs w:val="1"/>
          <w:u w:val="single" w:color="auto"/>
          <w:color w:val="auto"/>
        </w:rPr>
        <w:t xml:space="preserve">ITEM 13. </w:t>
      </w:r>
      <w:r>
        <w:rPr>
          <w:rFonts w:ascii="Arial" w:cs="Arial" w:eastAsia="Arial" w:hAnsi="Arial"/>
          <w:sz w:val="18"/>
          <w:szCs w:val="18"/>
          <w:b w:val="1"/>
          <w:bCs w:val="1"/>
          <w:i w:val="1"/>
          <w:iCs w:val="1"/>
          <w:u w:val="single" w:color="auto"/>
          <w:color w:val="auto"/>
        </w:rPr>
        <w:t>CERTAINRELATIONSHIPS AND RELATED TRANSACTIONS, AND DIRECTOR INDEPENDENCE</w:t>
      </w:r>
      <w:r>
        <w:rPr>
          <w:rFonts w:ascii="Arial" w:cs="Arial" w:eastAsia="Arial" w:hAnsi="Arial"/>
          <w:sz w:val="18"/>
          <w:szCs w:val="18"/>
          <w:b w:val="1"/>
          <w:bCs w:val="1"/>
          <w:u w:val="single" w:color="auto"/>
          <w:color w:val="auto"/>
        </w:rPr>
        <w:t xml:space="preserve"> </w:t>
      </w:r>
      <w:r>
        <w:rPr>
          <w:rFonts w:ascii="Arial" w:cs="Arial" w:eastAsia="Arial" w:hAnsi="Arial"/>
          <w:sz w:val="18"/>
          <w:szCs w:val="18"/>
          <w:b w:val="1"/>
          <w:bCs w:val="1"/>
          <w:color w:val="auto"/>
        </w:rPr>
        <w:t>Certain Relationships and Related Person Transactions</w:t>
      </w:r>
    </w:p>
    <w:p>
      <w:pPr>
        <w:spacing w:after="0" w:line="2"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information required by Item 404 of SEC Regulation S-K is incorporated herein by reference from the disclosures which will be included under the caption “CERTAIN RELATIONSHIPS AND RELATED TRANSACTIONS” in Scotts Miracle-Gro’s Definitive Proxy Statement.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Scotts Miracle-Gro’s Definitive Proxy Statement.</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14.</w:t>
      </w:r>
      <w:r>
        <w:rPr>
          <w:sz w:val="20"/>
          <w:szCs w:val="20"/>
          <w:color w:val="auto"/>
        </w:rPr>
        <w:tab/>
      </w:r>
      <w:r>
        <w:rPr>
          <w:rFonts w:ascii="Arial" w:cs="Arial" w:eastAsia="Arial" w:hAnsi="Arial"/>
          <w:sz w:val="16"/>
          <w:szCs w:val="16"/>
          <w:b w:val="1"/>
          <w:bCs w:val="1"/>
          <w:i w:val="1"/>
          <w:iCs w:val="1"/>
          <w:u w:val="single" w:color="auto"/>
          <w:color w:val="auto"/>
        </w:rPr>
        <w:t>PRINCIPALACCOUNTING FEES AND SERVICES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Scotts Miracle-Gro’s Definitive Proxy Statement.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u w:val="single" w:color="auto"/>
          <w:color w:val="auto"/>
        </w:rPr>
        <w:t>ITEM 15.</w:t>
      </w:r>
      <w:r>
        <w:rPr>
          <w:sz w:val="20"/>
          <w:szCs w:val="20"/>
          <w:color w:val="auto"/>
        </w:rPr>
        <w:tab/>
      </w:r>
      <w:r>
        <w:rPr>
          <w:rFonts w:ascii="Arial" w:cs="Arial" w:eastAsia="Arial" w:hAnsi="Arial"/>
          <w:sz w:val="16"/>
          <w:szCs w:val="16"/>
          <w:b w:val="1"/>
          <w:bCs w:val="1"/>
          <w:i w:val="1"/>
          <w:iCs w:val="1"/>
          <w:u w:val="single" w:color="auto"/>
          <w:color w:val="auto"/>
        </w:rPr>
        <w:t>EXHIBITS,FINANCIAL STATEMENT SCHEDULES</w:t>
      </w:r>
    </w:p>
    <w:p>
      <w:pPr>
        <w:spacing w:after="0" w:line="96" w:lineRule="exact"/>
        <w:rPr>
          <w:sz w:val="20"/>
          <w:szCs w:val="20"/>
          <w:color w:val="auto"/>
        </w:rPr>
      </w:pPr>
    </w:p>
    <w:p>
      <w:pPr>
        <w:ind w:left="700" w:hanging="23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LIST OF DOCUMENTS FILED AS PART OF THIS REPORT</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1 and 2. Financial Statements and Financial Statement Schedules:</w:t>
      </w:r>
    </w:p>
    <w:p>
      <w:pPr>
        <w:spacing w:after="0" w:line="90" w:lineRule="exact"/>
        <w:rPr>
          <w:sz w:val="20"/>
          <w:szCs w:val="20"/>
          <w:color w:val="auto"/>
        </w:rPr>
      </w:pPr>
    </w:p>
    <w:p>
      <w:pPr>
        <w:ind w:left="460" w:right="20" w:firstLine="438"/>
        <w:spacing w:after="0" w:line="268" w:lineRule="auto"/>
        <w:rPr>
          <w:sz w:val="20"/>
          <w:szCs w:val="20"/>
          <w:color w:val="auto"/>
        </w:rPr>
      </w:pPr>
      <w:r>
        <w:rPr>
          <w:rFonts w:ascii="Arial" w:cs="Arial" w:eastAsia="Arial" w:hAnsi="Arial"/>
          <w:sz w:val="18"/>
          <w:szCs w:val="18"/>
          <w:color w:val="auto"/>
        </w:rPr>
        <w:t>The response to this portion of Item 15 is submitted as a separate section of this Annual Report on Form 10-K. Reference is made to the “Index to Consolidated Financial Statements and Financial Statement Schedules” on page 57 of this Annual Report on Form 10-K.</w:t>
      </w:r>
    </w:p>
    <w:p>
      <w:pPr>
        <w:spacing w:after="0" w:line="132" w:lineRule="exact"/>
        <w:rPr>
          <w:sz w:val="20"/>
          <w:szCs w:val="20"/>
          <w:color w:val="auto"/>
        </w:rPr>
      </w:pPr>
    </w:p>
    <w:p>
      <w:pPr>
        <w:ind w:left="720" w:hanging="256"/>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exhibits listed on the “Index to Exhibits” beginning on page 125 of this Annual Report on Form 10-K are filed or furnished with this Annual Report on Form 10-K or incorporated herein by reference as noted in the “Index to Exhibits.”</w:t>
      </w:r>
    </w:p>
    <w:p>
      <w:pPr>
        <w:spacing w:after="0" w:line="132" w:lineRule="exact"/>
        <w:rPr>
          <w:sz w:val="20"/>
          <w:szCs w:val="20"/>
          <w:color w:val="auto"/>
        </w:rPr>
      </w:pPr>
    </w:p>
    <w:p>
      <w:pPr>
        <w:ind w:left="700" w:hanging="23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financial statement schedule filed with this Annual Report on Form 10-K is submitted in a separate section hereof. For a description of such financial statement schedules, see “Index to Consolidated Financial Statements and Financial Statement Schedules” on page 57 of this Annual Report on Form 10-K.</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6860"/>
        <w:spacing w:after="0"/>
        <w:tabs>
          <w:tab w:leader="none" w:pos="756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5"/>
          <w:szCs w:val="15"/>
          <w:color w:val="auto"/>
        </w:rPr>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James Hagedorn, Chief Executive Officer and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of the Board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23, 2011</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spacing w:after="0"/>
              <w:rPr>
                <w:sz w:val="14"/>
                <w:szCs w:val="14"/>
                <w:color w:val="auto"/>
              </w:rPr>
            </w:pPr>
          </w:p>
        </w:tc>
        <w:tc>
          <w:tcPr>
            <w:tcW w:w="8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25"/>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Alan H. Barry*</w:t>
            </w:r>
          </w:p>
        </w:tc>
        <w:tc>
          <w:tcPr>
            <w:tcW w:w="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4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2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Alan H. Barry</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7"/>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David C. Evans</w:t>
            </w:r>
          </w:p>
        </w:tc>
        <w:tc>
          <w:tcPr>
            <w:tcW w:w="2220" w:type="dxa"/>
            <w:vAlign w:val="bottom"/>
            <w:tcBorders>
              <w:bottom w:val="single" w:sz="8" w:color="auto"/>
            </w:tcBorders>
          </w:tcPr>
          <w:p>
            <w:pPr>
              <w:spacing w:after="0"/>
              <w:rPr>
                <w:sz w:val="24"/>
                <w:szCs w:val="24"/>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w w:val="97"/>
              </w:rPr>
              <w:t>Chief Financial Officer and Executive Vice President,</w:t>
            </w:r>
          </w:p>
        </w:tc>
        <w:tc>
          <w:tcPr>
            <w:tcW w:w="172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November 23, 2011</w:t>
            </w:r>
          </w:p>
        </w:tc>
      </w:tr>
      <w:tr>
        <w:trPr>
          <w:trHeight w:val="190"/>
        </w:trPr>
        <w:tc>
          <w:tcPr>
            <w:tcW w:w="2820" w:type="dxa"/>
            <w:vAlign w:val="bottom"/>
            <w:gridSpan w:val="3"/>
          </w:tcPr>
          <w:p>
            <w:pPr>
              <w:spacing w:after="0" w:line="190" w:lineRule="exact"/>
              <w:rPr>
                <w:sz w:val="20"/>
                <w:szCs w:val="20"/>
                <w:color w:val="auto"/>
              </w:rPr>
            </w:pPr>
            <w:r>
              <w:rPr>
                <w:rFonts w:ascii="Arial" w:cs="Arial" w:eastAsia="Arial" w:hAnsi="Arial"/>
                <w:sz w:val="18"/>
                <w:szCs w:val="18"/>
                <w:color w:val="auto"/>
              </w:rPr>
              <w:t>David C. Evans</w:t>
            </w:r>
          </w:p>
        </w:tc>
        <w:tc>
          <w:tcPr>
            <w:tcW w:w="2220" w:type="dxa"/>
            <w:vAlign w:val="bottom"/>
          </w:tcPr>
          <w:p>
            <w:pPr>
              <w:spacing w:after="0"/>
              <w:rPr>
                <w:sz w:val="16"/>
                <w:szCs w:val="16"/>
                <w:color w:val="auto"/>
              </w:rPr>
            </w:pPr>
          </w:p>
        </w:tc>
        <w:tc>
          <w:tcPr>
            <w:tcW w:w="434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Strategy and Business Development (Principal</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2"/>
        </w:trPr>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Financial Officer and Principal Accounting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3"/>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Joseph P. Flannery*</w:t>
            </w:r>
          </w:p>
        </w:tc>
        <w:tc>
          <w:tcPr>
            <w:tcW w:w="2220" w:type="dxa"/>
            <w:vAlign w:val="bottom"/>
            <w:tcBorders>
              <w:bottom w:val="single" w:sz="8" w:color="auto"/>
            </w:tcBorders>
          </w:tcPr>
          <w:p>
            <w:pPr>
              <w:spacing w:after="0"/>
              <w:rPr>
                <w:sz w:val="24"/>
                <w:szCs w:val="24"/>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Joseph P. Flannery</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7"/>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James Hagedorn</w:t>
            </w:r>
          </w:p>
        </w:tc>
        <w:tc>
          <w:tcPr>
            <w:tcW w:w="2220" w:type="dxa"/>
            <w:vAlign w:val="bottom"/>
            <w:tcBorders>
              <w:bottom w:val="single" w:sz="8" w:color="auto"/>
            </w:tcBorders>
          </w:tcPr>
          <w:p>
            <w:pPr>
              <w:spacing w:after="0"/>
              <w:rPr>
                <w:sz w:val="24"/>
                <w:szCs w:val="24"/>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Chairman of the Board and</w:t>
            </w:r>
          </w:p>
        </w:tc>
        <w:tc>
          <w:tcPr>
            <w:tcW w:w="172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November 23, 2011</w:t>
            </w:r>
          </w:p>
        </w:tc>
      </w:tr>
      <w:tr>
        <w:trPr>
          <w:trHeight w:val="190"/>
        </w:trPr>
        <w:tc>
          <w:tcPr>
            <w:tcW w:w="2820" w:type="dxa"/>
            <w:vAlign w:val="bottom"/>
            <w:gridSpan w:val="3"/>
          </w:tcPr>
          <w:p>
            <w:pPr>
              <w:spacing w:after="0" w:line="190" w:lineRule="exact"/>
              <w:rPr>
                <w:sz w:val="20"/>
                <w:szCs w:val="20"/>
                <w:color w:val="auto"/>
              </w:rPr>
            </w:pPr>
            <w:r>
              <w:rPr>
                <w:rFonts w:ascii="Arial" w:cs="Arial" w:eastAsia="Arial" w:hAnsi="Arial"/>
                <w:sz w:val="18"/>
                <w:szCs w:val="18"/>
                <w:color w:val="auto"/>
              </w:rPr>
              <w:t>James Hagedorn</w:t>
            </w:r>
          </w:p>
        </w:tc>
        <w:tc>
          <w:tcPr>
            <w:tcW w:w="2220" w:type="dxa"/>
            <w:vAlign w:val="bottom"/>
          </w:tcPr>
          <w:p>
            <w:pPr>
              <w:spacing w:after="0"/>
              <w:rPr>
                <w:sz w:val="16"/>
                <w:szCs w:val="16"/>
                <w:color w:val="auto"/>
              </w:rPr>
            </w:pPr>
          </w:p>
        </w:tc>
        <w:tc>
          <w:tcPr>
            <w:tcW w:w="434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Director</w:t>
            </w: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22"/>
        </w:trPr>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(Principal Executive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47"/>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Adam Hanft*</w:t>
            </w:r>
          </w:p>
        </w:tc>
        <w:tc>
          <w:tcPr>
            <w:tcW w:w="2220" w:type="dxa"/>
            <w:vAlign w:val="bottom"/>
            <w:tcBorders>
              <w:bottom w:val="single" w:sz="8" w:color="auto"/>
            </w:tcBorders>
          </w:tcPr>
          <w:p>
            <w:pPr>
              <w:spacing w:after="0"/>
              <w:rPr>
                <w:sz w:val="24"/>
                <w:szCs w:val="24"/>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Adam Hanft</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Stephen L. Johnson*</w:t>
            </w:r>
          </w:p>
        </w:tc>
        <w:tc>
          <w:tcPr>
            <w:tcW w:w="2220" w:type="dxa"/>
            <w:vAlign w:val="bottom"/>
            <w:tcBorders>
              <w:bottom w:val="single" w:sz="8" w:color="auto"/>
            </w:tcBorders>
          </w:tcPr>
          <w:p>
            <w:pPr>
              <w:spacing w:after="0"/>
              <w:rPr>
                <w:sz w:val="24"/>
                <w:szCs w:val="24"/>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Stephen L. Johnson</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William G. Jurgensen*</w:t>
            </w:r>
          </w:p>
        </w:tc>
        <w:tc>
          <w:tcPr>
            <w:tcW w:w="2220" w:type="dxa"/>
            <w:vAlign w:val="bottom"/>
            <w:tcBorders>
              <w:bottom w:val="single" w:sz="8" w:color="auto"/>
            </w:tcBorders>
          </w:tcPr>
          <w:p>
            <w:pPr>
              <w:spacing w:after="0"/>
              <w:rPr>
                <w:sz w:val="24"/>
                <w:szCs w:val="24"/>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William G. Jurgensen</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Thomas N. Kelly Jr.*</w:t>
            </w:r>
          </w:p>
        </w:tc>
        <w:tc>
          <w:tcPr>
            <w:tcW w:w="2220" w:type="dxa"/>
            <w:vAlign w:val="bottom"/>
            <w:tcBorders>
              <w:bottom w:val="single" w:sz="8" w:color="auto"/>
            </w:tcBorders>
          </w:tcPr>
          <w:p>
            <w:pPr>
              <w:spacing w:after="0"/>
              <w:rPr>
                <w:sz w:val="24"/>
                <w:szCs w:val="24"/>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Thomas N. Kelly Jr.</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Carl F. Kohrt, Ph.D.*</w:t>
            </w:r>
          </w:p>
        </w:tc>
        <w:tc>
          <w:tcPr>
            <w:tcW w:w="2220" w:type="dxa"/>
            <w:vAlign w:val="bottom"/>
            <w:tcBorders>
              <w:bottom w:val="single" w:sz="8" w:color="auto"/>
            </w:tcBorders>
          </w:tcPr>
          <w:p>
            <w:pPr>
              <w:spacing w:after="0"/>
              <w:rPr>
                <w:sz w:val="24"/>
                <w:szCs w:val="24"/>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Carl F. Kohrt, Ph.D.</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Katherine Hagedorn Littlefield*</w:t>
            </w:r>
          </w:p>
        </w:tc>
        <w:tc>
          <w:tcPr>
            <w:tcW w:w="2220" w:type="dxa"/>
            <w:vAlign w:val="bottom"/>
            <w:tcBorders>
              <w:bottom w:val="single" w:sz="8" w:color="auto"/>
            </w:tcBorders>
          </w:tcPr>
          <w:p>
            <w:pPr>
              <w:spacing w:after="0"/>
              <w:rPr>
                <w:sz w:val="24"/>
                <w:szCs w:val="24"/>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jc w:val="center"/>
              <w:ind w:left="23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Katherine Hagedorn Littlefield</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70"/>
        </w:trPr>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60" w:type="dxa"/>
            <w:vAlign w:val="bottom"/>
            <w:gridSpan w:val="2"/>
          </w:tcPr>
          <w:p>
            <w:pPr>
              <w:jc w:val="right"/>
              <w:ind w:right="1192"/>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Title</w:t>
            </w:r>
          </w:p>
        </w:tc>
        <w:tc>
          <w:tcPr>
            <w:tcW w:w="29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60" w:type="dxa"/>
            <w:vAlign w:val="bottom"/>
          </w:tcPr>
          <w:p>
            <w:pPr>
              <w:spacing w:after="0"/>
              <w:rPr>
                <w:sz w:val="14"/>
                <w:szCs w:val="14"/>
                <w:color w:val="auto"/>
              </w:rPr>
            </w:pPr>
          </w:p>
        </w:tc>
      </w:tr>
      <w:tr>
        <w:trPr>
          <w:trHeight w:val="425"/>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Nancy G. Mistretta*</w:t>
            </w:r>
          </w:p>
        </w:tc>
        <w:tc>
          <w:tcPr>
            <w:tcW w:w="2220" w:type="dxa"/>
            <w:vAlign w:val="bottom"/>
            <w:tcBorders>
              <w:bottom w:val="single" w:sz="8" w:color="auto"/>
            </w:tcBorders>
          </w:tcPr>
          <w:p>
            <w:pPr>
              <w:spacing w:after="0"/>
              <w:rPr>
                <w:sz w:val="24"/>
                <w:szCs w:val="24"/>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760" w:type="dxa"/>
            <w:vAlign w:val="bottom"/>
            <w:gridSpan w:val="3"/>
          </w:tcPr>
          <w:p>
            <w:pPr>
              <w:jc w:val="center"/>
              <w:ind w:left="227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Nancy G. Mistretta</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Stephanie M. Shern*</w:t>
            </w:r>
          </w:p>
        </w:tc>
        <w:tc>
          <w:tcPr>
            <w:tcW w:w="2220" w:type="dxa"/>
            <w:vAlign w:val="bottom"/>
            <w:tcBorders>
              <w:bottom w:val="single" w:sz="8" w:color="auto"/>
            </w:tcBorders>
          </w:tcPr>
          <w:p>
            <w:pPr>
              <w:spacing w:after="0"/>
              <w:rPr>
                <w:sz w:val="24"/>
                <w:szCs w:val="24"/>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760" w:type="dxa"/>
            <w:vAlign w:val="bottom"/>
            <w:gridSpan w:val="3"/>
          </w:tcPr>
          <w:p>
            <w:pPr>
              <w:jc w:val="center"/>
              <w:ind w:left="227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Stephanie M. Shern</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8"/>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2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John S. Shiely*</w:t>
            </w:r>
          </w:p>
        </w:tc>
        <w:tc>
          <w:tcPr>
            <w:tcW w:w="2220" w:type="dxa"/>
            <w:vAlign w:val="bottom"/>
            <w:tcBorders>
              <w:bottom w:val="single" w:sz="8" w:color="auto"/>
            </w:tcBorders>
          </w:tcPr>
          <w:p>
            <w:pPr>
              <w:spacing w:after="0"/>
              <w:rPr>
                <w:sz w:val="24"/>
                <w:szCs w:val="24"/>
                <w:color w:val="auto"/>
              </w:rPr>
            </w:pP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3760" w:type="dxa"/>
            <w:vAlign w:val="bottom"/>
            <w:gridSpan w:val="3"/>
          </w:tcPr>
          <w:p>
            <w:pPr>
              <w:jc w:val="center"/>
              <w:ind w:left="2272"/>
              <w:spacing w:after="0"/>
              <w:rPr>
                <w:sz w:val="20"/>
                <w:szCs w:val="20"/>
                <w:color w:val="auto"/>
              </w:rPr>
            </w:pPr>
            <w:r>
              <w:rPr>
                <w:rFonts w:ascii="Arial" w:cs="Arial" w:eastAsia="Arial" w:hAnsi="Arial"/>
                <w:sz w:val="18"/>
                <w:szCs w:val="18"/>
                <w:color w:val="auto"/>
                <w:w w:val="88"/>
              </w:rPr>
              <w:t>November 23, 2011</w:t>
            </w:r>
          </w:p>
        </w:tc>
      </w:tr>
      <w:tr>
        <w:trPr>
          <w:trHeight w:val="217"/>
        </w:trPr>
        <w:tc>
          <w:tcPr>
            <w:tcW w:w="2820" w:type="dxa"/>
            <w:vAlign w:val="bottom"/>
            <w:gridSpan w:val="3"/>
          </w:tcPr>
          <w:p>
            <w:pPr>
              <w:spacing w:after="0"/>
              <w:rPr>
                <w:sz w:val="20"/>
                <w:szCs w:val="20"/>
                <w:color w:val="auto"/>
              </w:rPr>
            </w:pPr>
            <w:r>
              <w:rPr>
                <w:rFonts w:ascii="Arial" w:cs="Arial" w:eastAsia="Arial" w:hAnsi="Arial"/>
                <w:sz w:val="18"/>
                <w:szCs w:val="18"/>
                <w:color w:val="auto"/>
              </w:rPr>
              <w:t>John S. Shiely</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201" w:lineRule="exact"/>
        <w:rPr>
          <w:sz w:val="20"/>
          <w:szCs w:val="20"/>
          <w:color w:val="auto"/>
        </w:rPr>
      </w:pPr>
    </w:p>
    <w:p>
      <w:pPr>
        <w:ind w:left="220" w:hanging="212"/>
        <w:spacing w:after="0" w:line="332"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3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David C. Evans, Attorney-in-Fact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FINANCIAL STATEMENT SCHEDULES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6"/>
            <w:vMerge w:val="restart"/>
          </w:tcPr>
          <w:p>
            <w:pPr>
              <w:spacing w:after="0"/>
              <w:rPr>
                <w:sz w:val="20"/>
                <w:szCs w:val="20"/>
                <w:color w:val="auto"/>
              </w:rPr>
            </w:pPr>
            <w:r>
              <w:rPr>
                <w:rFonts w:ascii="Arial" w:cs="Arial" w:eastAsia="Arial" w:hAnsi="Arial"/>
                <w:sz w:val="18"/>
                <w:szCs w:val="18"/>
                <w:color w:val="auto"/>
                <w:w w:val="91"/>
              </w:rPr>
              <w:t>Consolidated Financial Statements of The Scotts Miracle-Gro Company and Subsidiaries:</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8"/>
        </w:trPr>
        <w:tc>
          <w:tcPr>
            <w:tcW w:w="6540" w:type="dxa"/>
            <w:vAlign w:val="bottom"/>
            <w:gridSpan w:val="6"/>
            <w:vMerge w:val="continue"/>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5420" w:type="dxa"/>
            <w:vAlign w:val="bottom"/>
            <w:tcBorders>
              <w:bottom w:val="single" w:sz="8" w:color="0000EE"/>
            </w:tcBorders>
            <w:gridSpan w:val="4"/>
          </w:tcPr>
          <w:p>
            <w:pPr>
              <w:spacing w:after="0" w:line="184"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Annual Report of Management on Internal Control Over Financial Reporting</w:t>
              </w:r>
            </w:hyperlink>
          </w:p>
        </w:tc>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100" w:type="dxa"/>
            <w:vAlign w:val="bottom"/>
            <w:gridSpan w:val="5"/>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Reports of Independent Registered Public Accounting Firm</w:t>
              </w:r>
            </w:hyperlink>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1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61">
              <w:r>
                <w:rPr>
                  <w:rFonts w:ascii="Arial" w:cs="Arial" w:eastAsia="Arial" w:hAnsi="Arial"/>
                  <w:sz w:val="18"/>
                  <w:szCs w:val="18"/>
                  <w:color w:val="0000EE"/>
                  <w:w w:val="86"/>
                </w:rPr>
                <w:t>Consolidated Statements of Operations for the fiscal years ended September 30, 2011, 2010 and 2009</w:t>
              </w:r>
            </w:hyperlink>
          </w:p>
        </w:tc>
        <w:tc>
          <w:tcPr>
            <w:tcW w:w="34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560" w:type="dxa"/>
            <w:vAlign w:val="bottom"/>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 for the fiscal years ended September 30, 2011, 2010 and 2009</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1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Balance Sheets at September 30, 2011 and 2010</w:t>
              </w:r>
            </w:hyperlink>
          </w:p>
        </w:tc>
        <w:tc>
          <w:tcPr>
            <w:tcW w:w="10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100" w:type="dxa"/>
            <w:vAlign w:val="bottom"/>
            <w:gridSpan w:val="5"/>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Consolidated Statements of Shareholders’ Equity for the fiscal years ended September</w:t>
              </w:r>
            </w:hyperlink>
          </w:p>
        </w:tc>
        <w:tc>
          <w:tcPr>
            <w:tcW w:w="4460" w:type="dxa"/>
            <w:vAlign w:val="bottom"/>
            <w:gridSpan w:val="4"/>
          </w:tcPr>
          <w:p>
            <w:pPr>
              <w:ind w:left="6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30, 2011, 2010 and 2009</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Notes to Consolidated Financial Statements</w:t>
              </w:r>
            </w:hyperlink>
          </w:p>
        </w:tc>
        <w:tc>
          <w:tcPr>
            <w:tcW w:w="3020" w:type="dxa"/>
            <w:vAlign w:val="bottom"/>
            <w:tcBorders>
              <w:top w:val="single" w:sz="8" w:color="0000EE"/>
            </w:tcBorders>
            <w:gridSpan w:val="4"/>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6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8"/>
        </w:trPr>
        <w:tc>
          <w:tcPr>
            <w:tcW w:w="6540" w:type="dxa"/>
            <w:vAlign w:val="bottom"/>
            <w:gridSpan w:val="6"/>
          </w:tcPr>
          <w:p>
            <w:pPr>
              <w:spacing w:after="0"/>
              <w:rPr>
                <w:sz w:val="20"/>
                <w:szCs w:val="20"/>
                <w:color w:val="auto"/>
              </w:rPr>
            </w:pPr>
            <w:r>
              <w:rPr>
                <w:rFonts w:ascii="Arial" w:cs="Arial" w:eastAsia="Arial" w:hAnsi="Arial"/>
                <w:sz w:val="18"/>
                <w:szCs w:val="18"/>
                <w:color w:val="auto"/>
              </w:rPr>
              <w:t>Schedules Supporting the Consolidated Financial Statements:</w:t>
            </w: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6100" w:type="dxa"/>
            <w:vAlign w:val="bottom"/>
            <w:tcBorders>
              <w:bottom w:val="single" w:sz="8" w:color="0000EE"/>
            </w:tcBorders>
            <w:gridSpan w:val="5"/>
          </w:tcPr>
          <w:p>
            <w:pPr>
              <w:spacing w:after="0" w:line="184"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Schedule II—Valuation and Qualifying Accounts for the fiscal years ended September</w:t>
              </w:r>
            </w:hyperlink>
          </w:p>
        </w:tc>
        <w:tc>
          <w:tcPr>
            <w:tcW w:w="1800" w:type="dxa"/>
            <w:vAlign w:val="bottom"/>
            <w:tcBorders>
              <w:bottom w:val="single" w:sz="8" w:color="0000EE"/>
            </w:tcBorders>
            <w:gridSpan w:val="3"/>
          </w:tcPr>
          <w:p>
            <w:pPr>
              <w:ind w:left="60"/>
              <w:spacing w:after="0" w:line="184" w:lineRule="exact"/>
              <w:rPr>
                <w:rFonts w:ascii="Arial" w:cs="Arial" w:eastAsia="Arial" w:hAnsi="Arial"/>
                <w:sz w:val="18"/>
                <w:szCs w:val="18"/>
                <w:color w:val="0000EE"/>
                <w:w w:val="85"/>
              </w:rPr>
            </w:pPr>
            <w:hyperlink w:anchor="page124">
              <w:r>
                <w:rPr>
                  <w:rFonts w:ascii="Arial" w:cs="Arial" w:eastAsia="Arial" w:hAnsi="Arial"/>
                  <w:sz w:val="18"/>
                  <w:szCs w:val="18"/>
                  <w:color w:val="0000EE"/>
                  <w:w w:val="85"/>
                </w:rPr>
                <w:t>30, 2011, 2010 and 2009</w:t>
              </w:r>
            </w:hyperlink>
          </w:p>
        </w:tc>
        <w:tc>
          <w:tcPr>
            <w:tcW w:w="2660" w:type="dxa"/>
            <w:vAlign w:val="bottom"/>
          </w:tcPr>
          <w:p>
            <w:pPr>
              <w:spacing w:after="0"/>
              <w:rPr>
                <w:sz w:val="15"/>
                <w:szCs w:val="15"/>
                <w:color w:val="auto"/>
              </w:rPr>
            </w:pPr>
          </w:p>
        </w:tc>
        <w:tc>
          <w:tcPr>
            <w:tcW w:w="320" w:type="dxa"/>
            <w:vAlign w:val="bottom"/>
          </w:tcPr>
          <w:p>
            <w:pPr>
              <w:jc w:val="right"/>
              <w:spacing w:after="0" w:line="184"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OF MANAGEMENT ON INTERNAL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OVER FINANCIAL REPORTING</w:t>
      </w:r>
    </w:p>
    <w:p>
      <w:pPr>
        <w:spacing w:after="0" w:line="16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2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Management, with the participation of our principal executive officer and principal financial officer, assessed the effectiveness of our internal control over financial reporting as of September 30, 2011, the end of our fiscal year. Management based its assessment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Management’s assessment included evaluation of such elements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1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4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September 30, 2011,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Our independent registered public accounting firm, Deloitte &amp; Touche LLP, independently audited our internal control over financial reporting as of September 30, 2011 and has issued their attestation report which appears herein.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/s/  James Hagedorn</w:t>
            </w:r>
          </w:p>
        </w:tc>
        <w:tc>
          <w:tcPr>
            <w:tcW w:w="7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  David C. Evans</w:t>
            </w:r>
          </w:p>
        </w:tc>
      </w:tr>
      <w:tr>
        <w:trPr>
          <w:trHeight w:val="202"/>
        </w:trPr>
        <w:tc>
          <w:tcPr>
            <w:tcW w:w="20" w:type="dxa"/>
            <w:vAlign w:val="bottom"/>
          </w:tcPr>
          <w:p>
            <w:pPr>
              <w:spacing w:after="0"/>
              <w:rPr>
                <w:sz w:val="17"/>
                <w:szCs w:val="17"/>
                <w:color w:val="auto"/>
              </w:rPr>
            </w:pPr>
          </w:p>
        </w:tc>
        <w:tc>
          <w:tcPr>
            <w:tcW w:w="52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James Hagedorn</w:t>
            </w:r>
          </w:p>
        </w:tc>
        <w:tc>
          <w:tcPr>
            <w:tcW w:w="700" w:type="dxa"/>
            <w:vAlign w:val="bottom"/>
          </w:tcPr>
          <w:p>
            <w:pPr>
              <w:spacing w:after="0"/>
              <w:rPr>
                <w:sz w:val="17"/>
                <w:szCs w:val="17"/>
                <w:color w:val="auto"/>
              </w:rPr>
            </w:pPr>
          </w:p>
        </w:tc>
        <w:tc>
          <w:tcPr>
            <w:tcW w:w="54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David C. Evans</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Chief Executive Officer and</w:t>
            </w:r>
          </w:p>
        </w:tc>
        <w:tc>
          <w:tcPr>
            <w:tcW w:w="70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 and Executive Vice President,</w:t>
            </w:r>
          </w:p>
        </w:tc>
      </w:tr>
      <w:tr>
        <w:trPr>
          <w:trHeight w:val="222"/>
        </w:trPr>
        <w:tc>
          <w:tcPr>
            <w:tcW w:w="52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70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Strategy and Business Development</w:t>
            </w:r>
          </w:p>
        </w:tc>
      </w:tr>
      <w:tr>
        <w:trPr>
          <w:trHeight w:val="446"/>
        </w:trPr>
        <w:tc>
          <w:tcPr>
            <w:tcW w:w="5260" w:type="dxa"/>
            <w:vAlign w:val="bottom"/>
            <w:gridSpan w:val="2"/>
          </w:tcPr>
          <w:p>
            <w:pPr>
              <w:spacing w:after="0"/>
              <w:rPr>
                <w:sz w:val="20"/>
                <w:szCs w:val="20"/>
                <w:color w:val="auto"/>
              </w:rPr>
            </w:pPr>
            <w:r>
              <w:rPr>
                <w:rFonts w:ascii="Arial" w:cs="Arial" w:eastAsia="Arial" w:hAnsi="Arial"/>
                <w:sz w:val="18"/>
                <w:szCs w:val="18"/>
                <w:color w:val="auto"/>
              </w:rPr>
              <w:t>Dated: November 23, 2011</w:t>
            </w:r>
          </w:p>
        </w:tc>
        <w:tc>
          <w:tcPr>
            <w:tcW w:w="700" w:type="dxa"/>
            <w:vAlign w:val="bottom"/>
          </w:tcPr>
          <w:p>
            <w:pPr>
              <w:spacing w:after="0"/>
              <w:rPr>
                <w:sz w:val="24"/>
                <w:szCs w:val="24"/>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Dated: November 23, 2011</w:t>
            </w:r>
          </w:p>
        </w:tc>
      </w:tr>
      <w:tr>
        <w:trPr>
          <w:trHeight w:val="36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16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have audited the accompanying consolidated balance sheets of The Scotts Miracle-Gro Company and subsidiaries (the “Company”) as of September 30, 2011 and 2010, and the related consolidated statements of operations, shareholders’ equity, and cash flows for each of the three years in the period ended September 30, 2011. Our audits also included the financial statement schedules listed in the Index to Consolidated Financial Statements and Financial Statement Schedules. These financial statements and financial statement schedules are the responsibility of the Company’s management. Our responsibility is to express an opinion on these financial statements and financial statement schedules based on our audits.</w:t>
      </w:r>
    </w:p>
    <w:p>
      <w:pPr>
        <w:spacing w:after="0" w:line="11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the Company as of September 30, 2011 and 2010, and the results of its operations and its cash flows for each of the three years in the period ended September 30, 2011, in conformity with accounting principles generally accepted in the United States of America. Also, in our opinion, such financial statement schedules, when considered in relation to the basic consolidated financial statements taken as a whole, present fairly, in all material respects, the information set forth therein.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September 30, 2011,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November 23, 2011 expressed an unqualified opinion on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Scotts Miracle-Gro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Marysville, Ohio</w:t>
      </w:r>
    </w:p>
    <w:p>
      <w:pPr>
        <w:spacing w:after="0" w:line="16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The Scotts Miracle-Gro Company and subsidiaries (the “Company”) as of September 30, 2011, based on criteria established in </w:t>
      </w:r>
      <w:r>
        <w:rPr>
          <w:rFonts w:ascii="Arial" w:cs="Arial" w:eastAsia="Arial" w:hAnsi="Arial"/>
          <w:sz w:val="16"/>
          <w:szCs w:val="16"/>
          <w:i w:val="1"/>
          <w:iCs w:val="1"/>
          <w:color w:val="auto"/>
        </w:rPr>
        <w:t>Internal Control— 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which is included in the Annual Report of Management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September 30, 2011,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and financial statement schedules as of and for the year ended September 30, 2011 of the Company and our report dated November 23, 2011 expressed an unqualified opinion on those financial statements and financial statement schedules.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September 30,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r>
      <w:tr>
        <w:trPr>
          <w:trHeight w:val="210"/>
        </w:trPr>
        <w:tc>
          <w:tcPr>
            <w:tcW w:w="8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2,835.7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2,898.0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2,746.4</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1,811.2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1,819.1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1,757.0</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sales—impairment, restructuring and other charges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Cost of sales—product registration and recall matters</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1,003.0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1,075.9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695.3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Impairment, restructuring and other charges</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Product registration and recall matters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r>
      <w:tr>
        <w:trPr>
          <w:trHeight w:val="223"/>
        </w:trPr>
        <w:tc>
          <w:tcPr>
            <w:tcW w:w="8580" w:type="dxa"/>
            <w:vAlign w:val="bottom"/>
          </w:tcPr>
          <w:p>
            <w:pPr>
              <w:ind w:left="440"/>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9"/>
                <w:szCs w:val="19"/>
                <w:color w:val="auto"/>
              </w:rPr>
            </w:pP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8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from operations</w:t>
            </w: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Costs related to refinancing</w:t>
            </w: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8"/>
                <w:szCs w:val="18"/>
                <w:color w:val="auto"/>
              </w:rPr>
            </w:pPr>
          </w:p>
        </w:tc>
      </w:tr>
      <w:tr>
        <w:trPr>
          <w:trHeight w:val="221"/>
        </w:trPr>
        <w:tc>
          <w:tcPr>
            <w:tcW w:w="8580" w:type="dxa"/>
            <w:vAlign w:val="bottom"/>
          </w:tcPr>
          <w:p>
            <w:pPr>
              <w:ind w:left="440"/>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9"/>
                <w:szCs w:val="19"/>
                <w:color w:val="auto"/>
              </w:rPr>
            </w:pPr>
          </w:p>
        </w:tc>
      </w:tr>
      <w:tr>
        <w:trPr>
          <w:trHeight w:val="218"/>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from continuing operations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tcPr>
          <w:p>
            <w:pPr>
              <w:ind w:left="44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r>
      <w:tr>
        <w:trPr>
          <w:trHeight w:val="217"/>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discontinued operations, net of tax</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167.9</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common share: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tcPr>
          <w:p>
            <w:pPr>
              <w:ind w:left="440"/>
              <w:spacing w:after="0"/>
              <w:rPr>
                <w:sz w:val="20"/>
                <w:szCs w:val="20"/>
                <w:color w:val="auto"/>
              </w:rPr>
            </w:pPr>
            <w:r>
              <w:rPr>
                <w:rFonts w:ascii="Arial" w:cs="Arial" w:eastAsia="Arial" w:hAnsi="Arial"/>
                <w:sz w:val="18"/>
                <w:szCs w:val="18"/>
                <w:color w:val="auto"/>
              </w:rPr>
              <w:t>Basic net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ind w:left="44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8"/>
                <w:szCs w:val="18"/>
                <w:color w:val="auto"/>
              </w:rPr>
            </w:pPr>
          </w:p>
        </w:tc>
      </w:tr>
      <w:tr>
        <w:trPr>
          <w:trHeight w:val="222"/>
        </w:trPr>
        <w:tc>
          <w:tcPr>
            <w:tcW w:w="8580" w:type="dxa"/>
            <w:vAlign w:val="bottom"/>
          </w:tcPr>
          <w:p>
            <w:pPr>
              <w:ind w:left="440"/>
              <w:spacing w:after="0"/>
              <w:rPr>
                <w:sz w:val="20"/>
                <w:szCs w:val="20"/>
                <w:color w:val="auto"/>
              </w:rPr>
            </w:pPr>
            <w:r>
              <w:rPr>
                <w:rFonts w:ascii="Arial" w:cs="Arial" w:eastAsia="Arial" w:hAnsi="Arial"/>
                <w:sz w:val="18"/>
                <w:szCs w:val="18"/>
                <w:color w:val="auto"/>
              </w:rPr>
              <w:t>Diluted net income per 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September 30,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167.9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204.1</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Impairment, restructuring and other charges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Costs related to refinancing</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Share-based compensation expense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Amortization</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Loss (gain) on sale of long-lived assets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business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Changes in assets and liabilities, net of acquired businesses: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and other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current 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1280"/>
              <w:spacing w:after="0"/>
              <w:rPr>
                <w:sz w:val="20"/>
                <w:szCs w:val="20"/>
                <w:color w:val="auto"/>
              </w:rPr>
            </w:pPr>
            <w:r>
              <w:rPr>
                <w:rFonts w:ascii="Arial" w:cs="Arial" w:eastAsia="Arial" w:hAnsi="Arial"/>
                <w:sz w:val="18"/>
                <w:szCs w:val="18"/>
                <w:color w:val="auto"/>
              </w:rPr>
              <w:t>Restructuring reserves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non-current items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1280"/>
              <w:spacing w:after="0"/>
              <w:rPr>
                <w:sz w:val="20"/>
                <w:szCs w:val="20"/>
                <w:color w:val="auto"/>
              </w:rPr>
            </w:pPr>
            <w:r>
              <w:rPr>
                <w:rFonts w:ascii="Arial" w:cs="Arial" w:eastAsia="Arial" w:hAnsi="Arial"/>
                <w:sz w:val="18"/>
                <w:szCs w:val="18"/>
                <w:color w:val="auto"/>
              </w:rPr>
              <w:t>Other, net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Proceeds from sale of long-lived assets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Proceeds from sale of business, net of transaction costs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253.6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in property, plant and equipment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Contingent consideration and related payments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in intellectual property</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860"/>
              <w:spacing w:after="0"/>
              <w:rPr>
                <w:sz w:val="20"/>
                <w:szCs w:val="20"/>
                <w:color w:val="auto"/>
              </w:rPr>
            </w:pPr>
            <w:r>
              <w:rPr>
                <w:rFonts w:ascii="Arial" w:cs="Arial" w:eastAsia="Arial" w:hAnsi="Arial"/>
                <w:sz w:val="18"/>
                <w:szCs w:val="18"/>
                <w:color w:val="auto"/>
              </w:rPr>
              <w:t>Investments in acquired businesses, net of cash acquired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(used in) investing activities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1,610.1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(1,632.1)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(1,391.4)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Senior Notes, net of discount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Financing and issuance fees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Purchase of common shares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sellers notes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Excess tax benefits from share-based payment arrangements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exercise of stock options</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60" w:type="dxa"/>
            <w:vAlign w:val="bottom"/>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8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130.9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88.1</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20" w:type="dxa"/>
            <w:vAlign w:val="bottom"/>
            <w:shd w:val="clear" w:color="auto" w:fill="CCEEFF"/>
          </w:tcPr>
          <w:p>
            <w:pPr>
              <w:ind w:left="534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Accounts receivable, less allowances of $12.9 in 2011 and $7.7 in 2010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350.9</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352.9</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Assets held for sale</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2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1,118.1</w:t>
            </w: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330.2</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2,052.2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2,164.0</w:t>
            </w:r>
          </w:p>
        </w:tc>
        <w:tc>
          <w:tcPr>
            <w:tcW w:w="0" w:type="dxa"/>
            <w:vAlign w:val="bottom"/>
          </w:tcPr>
          <w:p>
            <w:pPr>
              <w:spacing w:after="0"/>
              <w:rPr>
                <w:sz w:val="1"/>
                <w:szCs w:val="1"/>
                <w:color w:val="auto"/>
              </w:rPr>
            </w:pPr>
          </w:p>
        </w:tc>
      </w:tr>
      <w:tr>
        <w:trPr>
          <w:trHeight w:val="20"/>
        </w:trPr>
        <w:tc>
          <w:tcPr>
            <w:tcW w:w="9620" w:type="dxa"/>
            <w:vAlign w:val="bottom"/>
            <w:vMerge w:val="restart"/>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Liabilities held for sale</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2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736.8</w:t>
            </w: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23"/>
        </w:trPr>
        <w:tc>
          <w:tcPr>
            <w:tcW w:w="962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1,492.4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1,399.5</w:t>
            </w:r>
          </w:p>
        </w:tc>
        <w:tc>
          <w:tcPr>
            <w:tcW w:w="0" w:type="dxa"/>
            <w:vAlign w:val="bottom"/>
          </w:tcPr>
          <w:p>
            <w:pPr>
              <w:spacing w:after="0"/>
              <w:rPr>
                <w:sz w:val="1"/>
                <w:szCs w:val="1"/>
                <w:color w:val="auto"/>
              </w:rPr>
            </w:pPr>
          </w:p>
        </w:tc>
      </w:tr>
      <w:tr>
        <w:trPr>
          <w:trHeight w:val="221"/>
        </w:trPr>
        <w:tc>
          <w:tcPr>
            <w:tcW w:w="9620" w:type="dxa"/>
            <w:vAlign w:val="bottom"/>
          </w:tcPr>
          <w:p>
            <w:pPr>
              <w:spacing w:after="0"/>
              <w:rPr>
                <w:sz w:val="20"/>
                <w:szCs w:val="20"/>
                <w:color w:val="auto"/>
              </w:rPr>
            </w:pPr>
            <w:r>
              <w:rPr>
                <w:rFonts w:ascii="Arial" w:cs="Arial" w:eastAsia="Arial" w:hAnsi="Arial"/>
                <w:sz w:val="18"/>
                <w:szCs w:val="18"/>
                <w:color w:val="auto"/>
              </w:rPr>
              <w:t>Commitments and contingencies (Notes 3, 17, 18 and 19)</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w w:val="94"/>
              </w:rPr>
              <w:t>Common shares and capital in excess of $.01 stated value per share; shares outstanding of 60.8 in 2011 and 66.8 in 2010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427.1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16"/>
        </w:trPr>
        <w:tc>
          <w:tcPr>
            <w:tcW w:w="9620" w:type="dxa"/>
            <w:vAlign w:val="bottom"/>
          </w:tcPr>
          <w:p>
            <w:pPr>
              <w:ind w:left="440"/>
              <w:spacing w:after="0"/>
              <w:rPr>
                <w:sz w:val="20"/>
                <w:szCs w:val="20"/>
                <w:color w:val="auto"/>
              </w:rPr>
            </w:pPr>
            <w:r>
              <w:rPr>
                <w:rFonts w:ascii="Arial" w:cs="Arial" w:eastAsia="Arial" w:hAnsi="Arial"/>
                <w:sz w:val="18"/>
                <w:szCs w:val="18"/>
                <w:color w:val="auto"/>
              </w:rPr>
              <w:t>Treasury shares, at cost; 7.5 million shares in 2011 and 1.8 million shares in 2010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(388.5)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9620" w:type="dxa"/>
            <w:vAlign w:val="bottom"/>
          </w:tcPr>
          <w:p>
            <w:pPr>
              <w:ind w:left="88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2,052.2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2,164.0</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September 30,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60" w:type="dxa"/>
            <w:vAlign w:val="bottom"/>
            <w:gridSpan w:val="4"/>
            <w:vMerge w:val="restart"/>
          </w:tcPr>
          <w:p>
            <w:pPr>
              <w:jc w:val="right"/>
              <w:ind w:right="12"/>
              <w:spacing w:after="0"/>
              <w:rPr>
                <w:sz w:val="20"/>
                <w:szCs w:val="20"/>
                <w:color w:val="auto"/>
              </w:rPr>
            </w:pPr>
            <w:r>
              <w:rPr>
                <w:rFonts w:ascii="Arial" w:cs="Arial" w:eastAsia="Arial" w:hAnsi="Arial"/>
                <w:sz w:val="14"/>
                <w:szCs w:val="14"/>
                <w:b w:val="1"/>
                <w:bCs w:val="1"/>
                <w:color w:val="auto"/>
                <w:w w:val="93"/>
              </w:rPr>
              <w:t>Common 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96"/>
              </w:rPr>
              <w:t>Treasury Shares</w:t>
            </w:r>
          </w:p>
        </w:tc>
        <w:tc>
          <w:tcPr>
            <w:tcW w:w="1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jc w:val="right"/>
              <w:ind w:right="260"/>
              <w:spacing w:after="0" w:line="148" w:lineRule="exact"/>
              <w:rPr>
                <w:sz w:val="20"/>
                <w:szCs w:val="20"/>
                <w:color w:val="auto"/>
              </w:rPr>
            </w:pPr>
            <w:r>
              <w:rPr>
                <w:rFonts w:ascii="Arial" w:cs="Arial" w:eastAsia="Arial" w:hAnsi="Arial"/>
                <w:sz w:val="14"/>
                <w:szCs w:val="14"/>
                <w:b w:val="1"/>
                <w:bCs w:val="1"/>
                <w:color w:val="auto"/>
              </w:rPr>
              <w:t>Capital in</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79"/>
              </w:rPr>
              <w:t>Excess of</w:t>
            </w:r>
          </w:p>
        </w:tc>
        <w:tc>
          <w:tcPr>
            <w:tcW w:w="120" w:type="dxa"/>
            <w:vAlign w:val="bottom"/>
          </w:tcPr>
          <w:p>
            <w:pPr>
              <w:spacing w:after="0"/>
              <w:rPr>
                <w:sz w:val="11"/>
                <w:szCs w:val="11"/>
                <w:color w:val="auto"/>
              </w:rPr>
            </w:pP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4"/>
              </w:rPr>
              <w:t>Retained</w:t>
            </w:r>
          </w:p>
        </w:tc>
        <w:tc>
          <w:tcPr>
            <w:tcW w:w="3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5"/>
              </w:rPr>
              <w:t>Stated Value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3"/>
              </w:rPr>
              <w:t>Earnings</w:t>
            </w:r>
          </w:p>
        </w:tc>
        <w:tc>
          <w:tcPr>
            <w:tcW w:w="3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Income/(loss)</w:t>
            </w:r>
          </w:p>
        </w:tc>
        <w:tc>
          <w:tcPr>
            <w:tcW w:w="1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September 30, 2008</w:t>
            </w:r>
          </w:p>
        </w:tc>
        <w:tc>
          <w:tcPr>
            <w:tcW w:w="4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$ 216.7</w:t>
            </w:r>
          </w:p>
        </w:tc>
        <w:tc>
          <w:tcPr>
            <w:tcW w:w="3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7"/>
              </w:rPr>
              <w:t>3.4</w:t>
            </w:r>
          </w:p>
        </w:tc>
        <w:tc>
          <w:tcPr>
            <w:tcW w:w="1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$(185.3)</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c>
          <w:tcPr>
            <w:tcW w:w="12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$ 436.7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153.3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Loss on derivatives, net of tax of $9.5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6"/>
              </w:rPr>
              <w:t>Pension and other postretirement liabilities, net of tax of $6.6</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Dividends declared ($0.50 per share)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(32.5)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issuances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(1.0)</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2009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7"/>
              </w:rPr>
              <w:t>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204.1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Gain on derivatives, net of tax of $2.9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6"/>
              </w:rPr>
              <w:t>Pension and other postretirement liabilities, net of tax of $1.0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Dividends declared ($0.625 per share)</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(42.0)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purchases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7"/>
              </w:rPr>
              <w:t>0.5</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Treasury stock issuances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6"/>
              </w:rPr>
              <w:t>(1.1)</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20" w:type="dxa"/>
            <w:vAlign w:val="bottom"/>
            <w:gridSpan w:val="2"/>
          </w:tcPr>
          <w:p>
            <w:pPr>
              <w:spacing w:after="0"/>
              <w:rPr>
                <w:sz w:val="20"/>
                <w:szCs w:val="20"/>
                <w:color w:val="auto"/>
              </w:rPr>
            </w:pPr>
            <w:r>
              <w:rPr>
                <w:rFonts w:ascii="Arial" w:cs="Arial" w:eastAsia="Arial" w:hAnsi="Arial"/>
                <w:sz w:val="18"/>
                <w:szCs w:val="18"/>
                <w:color w:val="auto"/>
              </w:rPr>
              <w:t>Balance, September 30, 2010</w:t>
            </w:r>
          </w:p>
        </w:tc>
        <w:tc>
          <w:tcPr>
            <w:tcW w:w="400" w:type="dxa"/>
            <w:vAlign w:val="bottom"/>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433.7</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499.6</w:t>
            </w:r>
          </w:p>
        </w:tc>
        <w:tc>
          <w:tcPr>
            <w:tcW w:w="380" w:type="dxa"/>
            <w:vAlign w:val="bottom"/>
          </w:tcPr>
          <w:p>
            <w:pPr>
              <w:jc w:val="center"/>
              <w:ind w:left="76"/>
              <w:spacing w:after="0"/>
              <w:rPr>
                <w:sz w:val="20"/>
                <w:szCs w:val="20"/>
                <w:color w:val="auto"/>
              </w:rPr>
            </w:pPr>
            <w:r>
              <w:rPr>
                <w:rFonts w:ascii="Arial" w:cs="Arial" w:eastAsia="Arial" w:hAnsi="Arial"/>
                <w:sz w:val="18"/>
                <w:szCs w:val="18"/>
                <w:color w:val="auto"/>
                <w:w w:val="87"/>
              </w:rPr>
              <w:t>1.8</w:t>
            </w:r>
          </w:p>
        </w:tc>
        <w:tc>
          <w:tcPr>
            <w:tcW w:w="18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764.5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167.9</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Loss on derivatives, net of tax of $0.7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Pension and other postretirement liabilities, net of tax of $6.9</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($1.05 per share)</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Treasury stock purchases</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center"/>
              <w:ind w:left="76"/>
              <w:spacing w:after="0"/>
              <w:rPr>
                <w:sz w:val="20"/>
                <w:szCs w:val="20"/>
                <w:color w:val="auto"/>
              </w:rPr>
            </w:pPr>
            <w:r>
              <w:rPr>
                <w:rFonts w:ascii="Arial" w:cs="Arial" w:eastAsia="Arial" w:hAnsi="Arial"/>
                <w:sz w:val="18"/>
                <w:szCs w:val="18"/>
                <w:color w:val="auto"/>
                <w:w w:val="87"/>
              </w:rPr>
              <w:t>6.9</w:t>
            </w:r>
          </w:p>
        </w:tc>
        <w:tc>
          <w:tcPr>
            <w:tcW w:w="1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(358.7)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issuances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6"/>
              </w:rPr>
              <w:t>(1.2)</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4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426.8</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$ 599.2</w:t>
            </w:r>
          </w:p>
        </w:tc>
        <w:tc>
          <w:tcPr>
            <w:tcW w:w="38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7"/>
              </w:rPr>
              <w:t>7.5</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(388.5)</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Scotts Miracle-Gro Company (“Scotts Miracle-Gro” and, together with its subsidiaries, the “Company”) are engaged in the manufacturing, marketing and sale of branded products for consumer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10"/>
          <w:szCs w:val="10"/>
          <w:color w:val="auto"/>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11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On July 8, 2009, Scotts Miracle-Gro announced its intention to close the Smith &amp; Hawken business by the end of calendar 2009. During the Company’s first quarter of fiscal 2010, all Smith &amp; Hawken stores were closed and substantially all operational activities of Smith &amp; Hawken were discontinued. On February 28, 2011, the Company completed the sale of a significant majority of the assets of its Global Professional business (excluding the non-European professional seed business, “Global Pro”) to Israel Chemicals Ltd. (“ICL”). As a result of the then-pending sale, effective in the Company’s first quarter of fiscal 2011, the Company classified Global Pro as discontinued operations. See “NOTE 2. DISCONTINUED OPERATIONS” for additional details regarding the wind-down of Smith &amp; Hawken and the sale of Global Pro.</w:t>
      </w:r>
    </w:p>
    <w:p>
      <w:pPr>
        <w:spacing w:after="0" w:line="14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Due to the nature of the consumer lawn and garden business, the majority of sales to customers occur in the Company’s second and third fiscal quarters. On a combined basis, net sales for the second and third quarters of the last three fiscal years represented approximately 75% of annual net sales.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Company’s consolidated financial statements are presented in accordance with accounting principles generally accepted in the United States of America (“GAAP”). The consolidated financial statements include the accounts of Scotts Miracle-Gro and all wholly-owned and majority-owned subsidiaries. All intercompany transactions and accounts are eliminated in consolidation. The Company’s consolidation criteria are based on majority ownership (as evidenced by a majority voting interest in the entity) and an objective evaluation and determination of effective management control.</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Although these estimates are based on management’s best knowledge of current events and actions the Company may undertake in the future, actual results ultimately may differ from the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Revenue is recognized when title and risk of loss transfer, which generally occurs when products or services are received by the customer. Provisions for estimated returns and allowances are recorded at the time revenue is recognized based on historical rates and are periodically adjusted for known changes in return levels. Outbound shipping and handling costs are included in cost of sales.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Under the terms of the Amended and Restated Exclusive Agency and Marketing Agreement (the “Marketing Agreement”) between the Company and Monsanto Company (“Monsanto”), the Company, in its role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exclusive agent, performs certain functions, primarily manufacturing conversion, distribution and logistics, and selling and marketing support on behalf of Monsanto in the conduct of the consumer Roundup</w:t>
      </w:r>
      <w:r>
        <w:rPr>
          <w:rFonts w:ascii="Arial" w:cs="Arial" w:eastAsia="Arial" w:hAnsi="Arial"/>
          <w:sz w:val="11"/>
          <w:szCs w:val="11"/>
          <w:color w:val="auto"/>
        </w:rPr>
        <w:t>®</w:t>
      </w:r>
      <w:r>
        <w:rPr>
          <w:rFonts w:ascii="Arial" w:cs="Arial" w:eastAsia="Arial" w:hAnsi="Arial"/>
          <w:sz w:val="18"/>
          <w:szCs w:val="18"/>
          <w:color w:val="auto"/>
        </w:rPr>
        <w:t xml:space="preserve"> business. The actual costs incurred by the Company on behalf of the consumer Roundup</w:t>
      </w:r>
      <w:r>
        <w:rPr>
          <w:rFonts w:ascii="Arial" w:cs="Arial" w:eastAsia="Arial" w:hAnsi="Arial"/>
          <w:sz w:val="11"/>
          <w:szCs w:val="11"/>
          <w:color w:val="auto"/>
        </w:rPr>
        <w:t>®</w:t>
      </w:r>
      <w:r>
        <w:rPr>
          <w:rFonts w:ascii="Arial" w:cs="Arial" w:eastAsia="Arial" w:hAnsi="Arial"/>
          <w:sz w:val="18"/>
          <w:szCs w:val="18"/>
          <w:color w:val="auto"/>
        </w:rPr>
        <w:t xml:space="preserve"> business are recovered from Monsanto through the terms of the Marketing Agreement. The reimbursement of costs for which the Company is considered the primary obligor is included in net sales.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Promotional Allowances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promotes its branded products through, among other things, cooperative advertising programs with retailers. Retailers may also be offered in-store promotional allowances and rebates based on sales volumes. Certain products are promoted with direct consumer rebate programs and special purchasing incentives.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Advertising</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Advertising costs incurred during the year by our Global Consumer segment are expensed to interim periods in relation to revenues. All advertising costs, except for external production costs, are expensed within the fiscal year in which such costs are incurred. External production costs for advertising programs are deferred until the period in which the advertising is first aired.</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Scotts LawnService</w:t>
      </w:r>
      <w:r>
        <w:rPr>
          <w:rFonts w:ascii="Arial" w:cs="Arial" w:eastAsia="Arial" w:hAnsi="Arial"/>
          <w:sz w:val="10"/>
          <w:szCs w:val="10"/>
          <w:color w:val="auto"/>
        </w:rPr>
        <w:t>®</w:t>
      </w:r>
      <w:r>
        <w:rPr>
          <w:rFonts w:ascii="Arial" w:cs="Arial" w:eastAsia="Arial" w:hAnsi="Arial"/>
          <w:sz w:val="16"/>
          <w:szCs w:val="16"/>
          <w:color w:val="auto"/>
        </w:rPr>
        <w:t xml:space="preserve"> promotes its service offerings primarily through direct mail campaigns. External costs associated with these campaigns that qualify as direct response advertising costs are deferred and recognized as advertising expense in proportion to revenues over a period not beyond the end of the subsequent calendar year. Costs that do not qualify as direct response advertising costs are expensed within the fiscal year incurred on a monthly basis in proportion to net sales. The costs deferred at September 30, 2011 and 2010 were $1.6 million and $1.5 million,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Advertising expenses were $141.0 million in fiscal 2011, $140.8 million in fiscal 2010 and $125.6 million in fiscal 2009.</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w:t>
      </w:r>
    </w:p>
    <w:p>
      <w:pPr>
        <w:spacing w:after="0" w:line="90"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All costs associated with research and development are charged to expense as incurred. Expenses for fiscal 2011, fiscal 2010 and fiscal 2009 were $50.9 million, $47.3 million and $49.8 million, respectively, including product registration costs of $14.6 million, $12.1 million and $15.0 million,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Environmental Costs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Share-Based Compensation Awards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fair value of awards is expensed over the requisite service period which is typically the vesting period, generally three years, except in cases where employees are eligible for accelerated vesting based on having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satisfied retirement requirements relating to age and years of service. Performance-based awards are expensed over the requisite service period based on achievement of performance criteria. The Company uses a binomial model to determine the fair value of its option grants. The Company classifies share-based compensation expense within selling, general and administrative expenses to correspond with the same line item as cash compensation paid to employees.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Earnings per Common Share</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Basic earnings per common share is computed based on the weighted-average number of common shares outstanding each period. Diluted earnings per common share is computed based on the weighted-average number of common shares and dilutive potential common shares (stock options, stock appreciation rights, performance shares, restricted stock and restricted stock unit awards) outstanding each period.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Accounts Receivable and Allowances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Trade accounts receivable are recorded at the invoiced amount and do not bear interest. Allowances reflect the Company’s best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Inventories are stated at the lower of cost or market, principally determined by the first in, first out method of accounting, using an average costing approach. Inventories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market value. Reserves for excess and obsolete inventories were $22.0 million and $17.9 million at September 30, 2011 and 2010,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Property, plant and equipment are stated at cost. Interest capitalized in property, plant and equipment amounted to $0.1 million, $0.8 million and $0.4 million during fiscal 2011, fiscal 2010 and fiscal 2009,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from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Depreciation of property, plant and equipment is provided on the straight-line method and is based on the estimated useful economic lives of the assets as follows:</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Land improvements</w:t>
            </w:r>
          </w:p>
        </w:tc>
        <w:tc>
          <w:tcPr>
            <w:tcW w:w="264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ind w:left="40"/>
              <w:spacing w:after="0"/>
              <w:rPr>
                <w:sz w:val="20"/>
                <w:szCs w:val="20"/>
                <w:color w:val="auto"/>
              </w:rPr>
            </w:pPr>
            <w:r>
              <w:rPr>
                <w:rFonts w:ascii="Arial" w:cs="Arial" w:eastAsia="Arial" w:hAnsi="Arial"/>
                <w:sz w:val="18"/>
                <w:szCs w:val="18"/>
                <w:color w:val="auto"/>
                <w:w w:val="80"/>
              </w:rPr>
              <w:t>–25 years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Buildings</w:t>
            </w:r>
          </w:p>
        </w:tc>
        <w:tc>
          <w:tcPr>
            <w:tcW w:w="2640" w:type="dxa"/>
            <w:vAlign w:val="bottom"/>
          </w:tcPr>
          <w:p>
            <w:pPr>
              <w:jc w:val="right"/>
              <w:spacing w:after="0"/>
              <w:rPr>
                <w:sz w:val="20"/>
                <w:szCs w:val="20"/>
                <w:color w:val="auto"/>
              </w:rPr>
            </w:pPr>
            <w:r>
              <w:rPr>
                <w:rFonts w:ascii="Arial" w:cs="Arial" w:eastAsia="Arial" w:hAnsi="Arial"/>
                <w:sz w:val="18"/>
                <w:szCs w:val="18"/>
                <w:color w:val="auto"/>
              </w:rPr>
              <w:t>10</w:t>
            </w:r>
          </w:p>
        </w:tc>
        <w:tc>
          <w:tcPr>
            <w:tcW w:w="700" w:type="dxa"/>
            <w:vAlign w:val="bottom"/>
          </w:tcPr>
          <w:p>
            <w:pPr>
              <w:ind w:left="40"/>
              <w:spacing w:after="0"/>
              <w:rPr>
                <w:sz w:val="20"/>
                <w:szCs w:val="20"/>
                <w:color w:val="auto"/>
              </w:rPr>
            </w:pPr>
            <w:r>
              <w:rPr>
                <w:rFonts w:ascii="Arial" w:cs="Arial" w:eastAsia="Arial" w:hAnsi="Arial"/>
                <w:sz w:val="18"/>
                <w:szCs w:val="18"/>
                <w:color w:val="auto"/>
                <w:w w:val="80"/>
              </w:rPr>
              <w:t>–40 years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64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ind w:left="40"/>
              <w:spacing w:after="0"/>
              <w:rPr>
                <w:sz w:val="20"/>
                <w:szCs w:val="20"/>
                <w:color w:val="auto"/>
              </w:rPr>
            </w:pPr>
            <w:r>
              <w:rPr>
                <w:rFonts w:ascii="Arial" w:cs="Arial" w:eastAsia="Arial" w:hAnsi="Arial"/>
                <w:sz w:val="18"/>
                <w:szCs w:val="18"/>
                <w:color w:val="auto"/>
                <w:w w:val="80"/>
              </w:rPr>
              <w:t>–15 years</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64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ind w:left="40"/>
              <w:spacing w:after="0"/>
              <w:rPr>
                <w:sz w:val="20"/>
                <w:szCs w:val="20"/>
                <w:color w:val="auto"/>
              </w:rPr>
            </w:pPr>
            <w:r>
              <w:rPr>
                <w:rFonts w:ascii="Arial" w:cs="Arial" w:eastAsia="Arial" w:hAnsi="Arial"/>
                <w:sz w:val="18"/>
                <w:szCs w:val="18"/>
                <w:color w:val="auto"/>
                <w:w w:val="80"/>
              </w:rPr>
              <w:t>–10 years</w:t>
            </w:r>
          </w:p>
        </w:tc>
      </w:tr>
      <w:tr>
        <w:trPr>
          <w:trHeight w:val="222"/>
        </w:trPr>
        <w:tc>
          <w:tcPr>
            <w:tcW w:w="4280" w:type="dxa"/>
            <w:vAlign w:val="bottom"/>
          </w:tcPr>
          <w:p>
            <w:pPr>
              <w:spacing w:after="0"/>
              <w:rPr>
                <w:sz w:val="20"/>
                <w:szCs w:val="20"/>
                <w:color w:val="auto"/>
              </w:rPr>
            </w:pPr>
            <w:r>
              <w:rPr>
                <w:rFonts w:ascii="Arial" w:cs="Arial" w:eastAsia="Arial" w:hAnsi="Arial"/>
                <w:sz w:val="18"/>
                <w:szCs w:val="18"/>
                <w:color w:val="auto"/>
              </w:rPr>
              <w:t>Software</w:t>
            </w:r>
          </w:p>
        </w:tc>
        <w:tc>
          <w:tcPr>
            <w:tcW w:w="2640" w:type="dxa"/>
            <w:vAlign w:val="bottom"/>
          </w:tcPr>
          <w:p>
            <w:pPr>
              <w:jc w:val="right"/>
              <w:spacing w:after="0"/>
              <w:rPr>
                <w:sz w:val="20"/>
                <w:szCs w:val="20"/>
                <w:color w:val="auto"/>
              </w:rPr>
            </w:pPr>
            <w:r>
              <w:rPr>
                <w:rFonts w:ascii="Arial" w:cs="Arial" w:eastAsia="Arial" w:hAnsi="Arial"/>
                <w:sz w:val="18"/>
                <w:szCs w:val="18"/>
                <w:color w:val="auto"/>
              </w:rPr>
              <w:t>3</w:t>
            </w:r>
          </w:p>
        </w:tc>
        <w:tc>
          <w:tcPr>
            <w:tcW w:w="700" w:type="dxa"/>
            <w:vAlign w:val="bottom"/>
          </w:tcPr>
          <w:p>
            <w:pPr>
              <w:ind w:left="40"/>
              <w:spacing w:after="0"/>
              <w:rPr>
                <w:sz w:val="20"/>
                <w:szCs w:val="20"/>
                <w:color w:val="auto"/>
              </w:rPr>
            </w:pPr>
            <w:r>
              <w:rPr>
                <w:rFonts w:ascii="Arial" w:cs="Arial" w:eastAsia="Arial" w:hAnsi="Arial"/>
                <w:sz w:val="18"/>
                <w:szCs w:val="18"/>
                <w:color w:val="auto"/>
                <w:w w:val="86"/>
              </w:rPr>
              <w:t>– 8 years</w:t>
            </w:r>
          </w:p>
        </w:tc>
      </w:tr>
    </w:tbl>
    <w:p>
      <w:pPr>
        <w:spacing w:after="0" w:line="15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Intangible assets with finite lives, and therefore subject to amortization, include technology such as patents, customer relationships, non-compete agreements and certain tradenames. These intangible assets are being amortized on the straight-line method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was required, the estimated undiscounted future cash flows associated with the asset would be compared to the asset’s carrying amount to determine if a write-down is required. If the undiscounted cash flows are less than the carrying amount, an impairment loss is recorded to the extent that the carrying amount exceeds fair value and classified as “Impairment, restructuring and other charges” in the Consolidated Statements of Operations.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had noncash investing activities of $8.7 million and $11.4 million, respectively, representing unpaid liabilities incurred during fiscal 2011 and fiscal 2010 to acquire property, plant and equipment.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Internal Use Software</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costs of internal use software are expensed or capitalized depending on whether they are incurred in the preliminary project stage, application development stage or the post-implementation/operation stage. As of September 30, 2011 and 2010, the Company had $29.6 million and $32.3 million, respectively, in unamortized capitalized internal use computer software costs. Amortization of these costs was $9.0 million, $8.1 million and $7.9 million during fiscal 2011, fiscal 2010 and fiscal 2009,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Goodwill and Indefinite-lived Intangible Assets</w:t>
      </w:r>
    </w:p>
    <w:p>
      <w:pPr>
        <w:spacing w:after="0" w:line="9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Goodwill and indefinite-lived intangible assets are not subject to amortization. Goodwill and indefinite-lived intangible assets are reviewed for impairment by applying a fair-value based test on an annual basis, as of the first day of the Company’s fiscal fourth quarter, or more frequently if circumstances indicate impairment may have occurred. The Company assesses goodwill for impairment by comparing the carrying value of its reporting units to their respective fair values and reviewing the Company’s market value of invested capital. A reporting unit is defined as an operating segment or one level below an operating segment. In fiscal 2011, the Company identified four reporting units: U.S. Consumer, Wild Bird Food, International Consumer and Scotts LawnService</w:t>
      </w:r>
      <w:r>
        <w:rPr>
          <w:rFonts w:ascii="Arial" w:cs="Arial" w:eastAsia="Arial" w:hAnsi="Arial"/>
          <w:sz w:val="10"/>
          <w:szCs w:val="10"/>
          <w:color w:val="auto"/>
        </w:rPr>
        <w:t>®</w:t>
      </w:r>
      <w:r>
        <w:rPr>
          <w:rFonts w:ascii="Arial" w:cs="Arial" w:eastAsia="Arial" w:hAnsi="Arial"/>
          <w:sz w:val="16"/>
          <w:szCs w:val="16"/>
          <w:color w:val="auto"/>
        </w:rPr>
        <w:t>. The Company determines the fair value of its reporting units under the income-based approach utilizing discounted cash flows and incorporates assumptions it believes marketplace participants would utilize. The Company also uses a comparative market-based approach using market multiples and other factors to corroborate the discounted cash flow results used. As permitted by GAAP, if certain criteria are met, the Company carries forward the fair value of a reporting unit from the previous year. The value of all indefinite-lived tradenames was determined using a royalty savings methodology similar to that employed when the associated businesses were acquired but using updated estimates of sales, cash flow and profitability. If it is determined that an impairment has occurred, an impairment loss is recognized for the amount by which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carrying value of the asset exceeds its estimated fair value and classified as “Impairment, restructuring and other charges” in the Consolidated Statements of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Insurance and Self-Insurance</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maintains insurance for certain risks, including workers’ compensation, general liability and vehicle liability,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w:t>
      </w:r>
    </w:p>
    <w:p>
      <w:pPr>
        <w:spacing w:after="0" w:line="10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Translation of Foreign Currencies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For all foreign operations, the functional currency is the local currency. Assets and liabilities of these operations are translated at the exchange rate in effect at each year-end. Income and expense accounts are translated at the average rate of exchange prevailing during the year. Translation gains and losses arising from the use of differing exchange rates from period to period are included in accumulated other comprehensive income (loss) within shareholders’ equity. Foreign currency transaction gains and losses are included in the determination of net income and classified as other (income) expense, net.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the normal course of business, the Company is exposed to fluctuations in interest rates, the value of foreign currencies and the cost of commodities. A variety of financial instruments, including forward and swap contracts, are used to manage these exposures. These financial instruments are recognized at fair value on the balance sheet, and all changes in fair value are recognized in net income or shareholders’ equity through</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accumulated other comprehensive income (loss). The Company’s objective in managing these exposures is to better control these elements of cost and mitigate the earnings and cash flow volatility associated with changes in the applicable rates and prices.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established policies and procedures that encompass risk-management philosophy and objectives, guidelines for derivative-instrument usage, counterparty credit approval, and the monitoring and reporting of derivative activity. The Company does not enter into derivative instruments for the purpose of speculation.</w:t>
      </w:r>
    </w:p>
    <w:p>
      <w:pPr>
        <w:spacing w:after="0" w:line="14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cash flows of the underlying exposures being hedged. This offset is driven by the high degree of effectiveness between the exposure being hedged and the hedging instrument. GAAP requires all derivative instruments to be recognized as either assets or liabilities at fair value in the Consolidated Balance Sheets. The Company designates commodity hedges as cash flow hedges of forecasted purchases of commodities and interest rate swap agreements as cash flow hedges of interest payments on variable rate borrowings. Any ineffective portion of a change in the fair value of a qualifying instrument is immediately recognized in earnings. The amounts recorded in earnings related to ineffectiveness of derivative hedges for the years ended September 30, 2011, 2010 and 2009 were not significant.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Variable Interest Entities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June 2009, the Financial Accounting Standards Board (“FASB”) issued new accounting guidance requiring an enterprise to perform an analysis to determine whether the enterprise’s variable interest or interests give it a controlling financial interest in a variable interest entity. The new guidance also requires enhanced disclosures that will provide users of financial statements with more transparent information about an enterprise’s involvement in a variable interest entity. The Company adopted the new guidance on October 1, 2010 and the adoption did not impact the Company’s financial statements and related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Recognition—Multiple-Element Arrangements</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October 2009, the FASB issued new accounting guidance addressing the accounting for multiple-deliverable arrangements to enable entities to account for products or services (deliverables) separately rather than as a combined unit. The provisions establish the accounting and reporting guidance for arrangements under which the entity will perform multiple revenue-generating activities. Specifically, this guidance addresses how to separate deliverables and how to measure and allocate arrangement consideration to one or more units of accounting. The Company adopted the new guidance on October 1, 2010 and the adoption did not impact the Company’s financial statements and related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Measurement</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May 2011, the FASB issued amended accounting guidance to improve comparability of fair value measures between GAAP and the International Financial Reporting Standards. The amended guidance clarifies how to apply the existing fair value measurement and disclosure requirements. The provisions will be effective for the Company’s financial statements beginning with the Company’s second quarter of fiscal 2012.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Company is in the process of evaluating the impact that the amended guidance may have on its financial statements and related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Comprehensive Income</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June 2011, the FASB issued amended accounting guidance on the presentation of comprehensive income. The amended guidance requires that all non-owner changes in stockholders’ equity be presented either in a single continuous statement of comprehensive income or in two separate but consecutive statements. The provisions will be effective for the Company’s financial statements for the fiscal year beginning October 1, 2012. The Company is in the process of evaluating the impact that the amended guidance may have on its financial statements and related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Testing for Goodwill Impairment</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September 2011, the FASB issued new accounting guidance which permits an entity to first assess qualitative factors to determine whether it is more likely than not that the fair value of a reporting unit is less than its carrying amount as a basis for determining whether it is necessary to perform the two-step goodwill impairment test. The entity is not required to calculate the fair value of a reporting unit unless the entity determines that it is more likely than not that its fair value is less than its carrying value. The guidance will be effective for the Company’s financial statements beginning with the Company’s second quarter of fiscal 2012. The Company is in the process of evaluating the impact that the guidance may have on its financial statements and related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Global Pro</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28, 2011, the Company completed the sale of Global Pro to ICL for $270 million. After agreed upon adjustments (including post-closing adjustments), the Company received $270.9 million net proceeds, or $253.6 million after transaction costs. Results from discontinued operations for fiscal 2011 include an after-tax gain on the sale of Global Pro of $39.5 million, which includes transaction costs.</w:t>
      </w:r>
    </w:p>
    <w:p>
      <w:pPr>
        <w:spacing w:after="0" w:line="140"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As required by the indenture governing the Company’s 7.25% Senior Notes due 2018 and the indenture governing the Company’s 6.625% Senior Notes due 2020, the Company has applied, or intends to apply, an amount equal to the net proceeds received from the sale of Global Pro to repay indebtedness, acquire equity interests in certain persons, make capital expenditures, acquire other assets useful in a related business and/or make investments in certain joint ventures.</w:t>
      </w:r>
    </w:p>
    <w:p>
      <w:pPr>
        <w:spacing w:after="0" w:line="88"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Company’s decision to exit the professional ornamental horticulture, turf and specialty agriculture markets and sell Global Pro was another step in its strategy to evolve its business portfolio to better leverage growth opportunities within its core Global Consumer business segment.</w:t>
      </w:r>
    </w:p>
    <w:p>
      <w:pPr>
        <w:spacing w:after="0" w:line="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conjunction with the transaction, Scotts LLC and ICL entered into several product supply agreements which are generally up to five years in duration, as well as various trademark and technology licensing agreements with varying durations. The purpose of these agreements is to allow each party to continue leveraging existing production capabilities and intellectual property to meet customer demand for their respective products. Furthermore, certain transitional services are being provided by Scotts LLC to ICL, the majority of which extend for a period of six to 12 months from the date of sale. Scotts LLC estimates that it will supply ICL with approximately $50 million of product, as well as purchase approximately $15 million of materials from ICL, each on an annualized basis.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Company’s continuing cash inflows and outflows related to these agreements are not considered to be significant in relation to the overall cash flows of Global Pro. Furthermore, none of these agreements permit the Company to influence the operating or financial policies of Global Pro under the ownership of ICL. Therefore, Global Pro met the criteria for presentation as discontinued operations. As such, effective in the first quarter of fiscal 2011, the Company classified Global Pro as discontinued operations for all periods presented. The Global Pro results from discontinued operations include an allocation of interest expense relating to the amount of our then existing credit facilities that was required to be repaid from the sale proceeds.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Smith &amp; Hawken Ltd.</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July 2009, Scotts Miracle-Gro announced that its wholly-owned subsidiary, Smith &amp; Hawken, Ltd., had adopted a plan to close the Smith &amp; Hawken business. During the Company’s first quarter of fiscal 2010, all Smith &amp; Hawken stores were closed and substantially all operational activities of Smith &amp; Hawken were discontinued. As a result, effective in its first quarter of fiscal 2010, the Company classified Smith &amp; Hawken as discontinued operations.</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recorded restructuring and other charges of $18.3 million and $14.7 million in fiscal 2010 and fiscal 2009, respectively, related to the liquidation of the Smith &amp; Hawken business primarily associated with the termination of retail site lease obligations, third-party agency fees and severance and benefit commitments. These charges were partially offset by a gain of approximately $18 million from the sale of the Smith &amp; Hawken intellectual property on December 30, 2009.</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table summarizes the results of Global Pro and Smith &amp; Hawken as discontinued operations for fiscal 2011, fiscal 2010 and fiscal 2009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1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7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$ 88.7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256.6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Operating costs</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78.1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245.5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377.2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Impairment, restructuring and other charges</w:t>
            </w:r>
          </w:p>
        </w:tc>
        <w:tc>
          <w:tcPr>
            <w:tcW w:w="2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Gain on sale of Global Pro business</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Global Pro sale related transaction costs</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income, net</w:t>
            </w:r>
          </w:p>
        </w:tc>
        <w:tc>
          <w:tcPr>
            <w:tcW w:w="3600" w:type="dxa"/>
            <w:vAlign w:val="bottom"/>
            <w:gridSpan w:val="3"/>
          </w:tcPr>
          <w:p>
            <w:pPr>
              <w:jc w:val="right"/>
              <w:ind w:right="38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w w:val="95"/>
              </w:rPr>
              <w:t>Income from discontinued operations before income taxes</w:t>
            </w:r>
          </w:p>
        </w:tc>
        <w:tc>
          <w:tcPr>
            <w:tcW w:w="2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27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84.8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tax expense (benefit) from discontinued operations</w:t>
            </w:r>
          </w:p>
        </w:tc>
        <w:tc>
          <w:tcPr>
            <w:tcW w:w="27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(18.1)</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Income from discontinued operations</w:t>
            </w:r>
          </w:p>
        </w:tc>
        <w:tc>
          <w:tcPr>
            <w:tcW w:w="2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vMerge w:val="continue"/>
          </w:tcPr>
          <w:p>
            <w:pPr>
              <w:spacing w:after="0"/>
              <w:rPr>
                <w:sz w:val="19"/>
                <w:szCs w:val="19"/>
                <w:color w:val="auto"/>
              </w:rPr>
            </w:pP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$ 46.0</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700" w:type="dxa"/>
            <w:vAlign w:val="bottom"/>
            <w:vMerge w:val="restart"/>
          </w:tcPr>
          <w:p>
            <w:pPr>
              <w:jc w:val="right"/>
              <w:ind w:right="2155"/>
              <w:spacing w:after="0"/>
              <w:rPr>
                <w:sz w:val="20"/>
                <w:szCs w:val="20"/>
                <w:color w:val="auto"/>
              </w:rPr>
            </w:pPr>
            <w:r>
              <w:rPr>
                <w:rFonts w:ascii="Arial" w:cs="Arial" w:eastAsia="Arial" w:hAnsi="Arial"/>
                <w:sz w:val="18"/>
                <w:szCs w:val="18"/>
                <w:color w:val="auto"/>
              </w:rPr>
              <w:t>72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major classes of assets and liabilities of Global Pro recorded as held for sale as of September 30, 2010 were as follows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Prepaid and other assets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Goodwill</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Assets held for sale</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Accounts payable</w:t>
            </w: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80" w:type="dxa"/>
            <w:vAlign w:val="bottom"/>
            <w:vMerge w:val="continue"/>
          </w:tcPr>
          <w:p>
            <w:pPr>
              <w:spacing w:after="0"/>
              <w:rPr>
                <w:sz w:val="18"/>
                <w:szCs w:val="18"/>
                <w:color w:val="auto"/>
              </w:rPr>
            </w:pP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Other liabilities</w:t>
            </w:r>
          </w:p>
        </w:tc>
        <w:tc>
          <w:tcPr>
            <w:tcW w:w="2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Liabilities held for sale</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PRODUCT REGISTRATION AND RECALL MATTERS</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April 2008, the Company became aware that a former associate apparently deliberately circumvented the Company’s policies and U.S. Environmental Protection Agency (“U.S. EPA”) regulations under the Federal Insecticide, Fungicide, and Rodenticide Act of 1947, as amended (“FIFRA”), by failing to obtain valid registrations for certain products and/or causing certain invalid product registration forms to be submitted to regulators. Since that time, the Company has been cooperating with both the U.S. EPA and the U.S. Department of Justice (the “U.S. DOJ”) in related civil and criminal investigations into the pesticide product registration issues as well as a state civil investigation into related allegations arising under state pesticide registration laws and regulations.</w:t>
      </w:r>
    </w:p>
    <w:p>
      <w:pPr>
        <w:spacing w:after="0" w:line="116"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In late April 2008, in connection with the U.S. EPA’s investigation, the Company conducted a consumer-level recall of certain consumer lawn and garden products and a Scotts LawnService</w:t>
      </w:r>
      <w:r>
        <w:rPr>
          <w:rFonts w:ascii="Arial" w:cs="Arial" w:eastAsia="Arial" w:hAnsi="Arial"/>
          <w:sz w:val="10"/>
          <w:szCs w:val="10"/>
          <w:color w:val="auto"/>
        </w:rPr>
        <w:t>®</w:t>
      </w:r>
      <w:r>
        <w:rPr>
          <w:rFonts w:ascii="Arial" w:cs="Arial" w:eastAsia="Arial" w:hAnsi="Arial"/>
          <w:sz w:val="16"/>
          <w:szCs w:val="16"/>
          <w:color w:val="auto"/>
        </w:rPr>
        <w:t xml:space="preserve"> product. Subsequently, the Company and the U.S. EPA agreed upon a Compliance Review Plan for conducting a comprehensive, independent review of the Company’s product registration records. Pursuant to the Compliance Review Plan, an independent third-party firm, Quality Associates Incorporated (“QAI”), reviewed substantially all of the Company’s U.S. pesticide product registrations and associated advertisements, some of which were historical in nature and no longer related to sales of the Company’s products. The U.S. EPA investigation and the QAI review process resulted in the temporary suspension of sales and shipments of certain products. In addition, as the QAI review process or the Company’s internal review identified potential FIFRA registration issues (some of which appear unrelated to the actions of the former associate), the Company endeavored to stop selling or distributing the affected products until the issues could be resolved. QAI’s review of the Company’s U.S. pesticide product registrations and associated advertisements is now substantially complete. The results of the QAI review process did not materially affect the Company’s fiscal 2009, fiscal 2010 or fiscal 2011 sales and are not expected to materially affect the Company’s fiscal 2012 sales.</w:t>
      </w:r>
    </w:p>
    <w:p>
      <w:pPr>
        <w:spacing w:after="0" w:line="12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fiscal 2008, the Company conducted a voluntary recall of certain of its wild bird food products due to a formulation issue. Certain wild bird food products had been treated with pest control additives to avoid insect infestation, especially at retail stores. While the pest control additives had been labeled for use on certain stored grains that can be processed for human and/or animal consumption, they were not labeled for use on wild bird food products. In October 2008, the U.S. Food &amp; Drug Administration concluded that the recall had been completed and that there had been proper disposition of the recalled products. The results of the wild bird food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recall did not materially affect the Company’s fiscal 2009, fiscal 2010 or fiscal 2011 financial condition, result of operations or cash flows.</w:t>
      </w:r>
    </w:p>
    <w:p>
      <w:pPr>
        <w:spacing w:after="0" w:line="171"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Settlement discussions relating to potential fines and/or penalties are a frequent outgrowth of governmental investigations. In that regard, on or about June 30, 2011, the Company received a Notice of Intent to File Administrative Complaint (“Notice”) from the U.S. EPA Region 5 with respect to the alleged FIFRA violations. The Notice, which does not set forth a proposed penalty amount, offers the Company an opportunity to present any information that it believes the U.S. EPA should consider prior to filing the complaint and indicates that the U.S. EPA is prepared to meet with the Company to discuss the alleged violations. The Company made a timely response to the Notice and communications between the Company and the U.S. EPA are underway. The Company is also engaged in settlement discussions with the U.S. DOJ regarding its criminal investigation.</w:t>
      </w:r>
    </w:p>
    <w:p>
      <w:pPr>
        <w:spacing w:after="0" w:line="120"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Based on the facts and circumstances known to the Company at this time (including settlement discussions that have taken place to date), the Company has established what it believes to be an appropriate reserve. The U.S. EPA, U.S. DOJ and related state investigations continue, however, and may result in future state, federal or private rights of action as well as judgments, settlements, fines and/or penalties with respect to known or potential additional product registration issues. At this stage of the investigations, the Company cannot reasonably estimate the total scope or magnitude of all possible liabilities that could result from known or potential product registration issues. It is possible that any fines and/or penalties with respect to the investigations, as well as any judgments, litigation costs or other liabilities relating to such known or potential product registration issues, could exceed the amount of the reserve, possibly materially, and could have an adverse effect on the Company’s financial condition, results of operations or cash flows.</w:t>
      </w:r>
    </w:p>
    <w:p>
      <w:pPr>
        <w:spacing w:after="0" w:line="11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June 2008, the California Department of Pesticide Regulation (“CDPR”) issued a request for information to the Company relating to products that had been the subject of the April 2008 recall. The Company cooperated with that inquiry and reached agreement with CDPR that CDPR would place its investigation on hold pending the completion of the Company’s internal audit. In July 2010, CDPR notified the Company that CDPR planned to proceed with its investigation independent of the U.S. EPA and U.S. DOJ, and in March 2011, the Company received a letter from CDPR offering to settle the matter without the need for an enforcement proceeding for $245,631. On July 25, 2011, the Company paid the requested civil penalty and entered into a Settlement Agreement pursuant to which CDPR agreed not to take further civil or criminal action with regard to the affected products.</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a result of these registration and recall matters, the Company has recorded charges for affected inventory and other registration and recall-related costs. The effects of these adjustments, including the reserve noted above, were pre-tax charges of $14.6 million, $8.7 million and $28.6 million for the fiscal years ended September 2011, 2010 and 2009, respectively. The Company expects that future charges will include costs associated with the rework of certain finished goods inventories, the potential disposal of certain products and ongoing third-party professional services related to the U.S. EPA, U.S. DOJ and state investigations. It may also be appropriate to establish additional reserves as settlement discussions continue or in connection with other actions or potential liabilities arising in connection with the product registration issues.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tables summarize the impact of the product registration and recall matters on the results of operations during fiscal 2011, fiscal 2010 and fiscal 2009 and on accrued liabilities and inventory reserves as of September 30, 2011 and 2010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5"/>
              </w:rPr>
              <w:t>Year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left="219"/>
              <w:spacing w:after="0" w:line="142" w:lineRule="exact"/>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sales—product recalls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Cost of sales—product recalls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Cost of sales—other charges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44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(11.8)</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44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(14.6)</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(28.6)</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w:t>
            </w:r>
          </w:p>
        </w:tc>
        <w:tc>
          <w:tcPr>
            <w:tcW w:w="0" w:type="dxa"/>
            <w:vAlign w:val="bottom"/>
          </w:tcPr>
          <w:p>
            <w:pPr>
              <w:spacing w:after="0"/>
              <w:rPr>
                <w:sz w:val="1"/>
                <w:szCs w:val="1"/>
                <w:color w:val="auto"/>
              </w:rPr>
            </w:pPr>
          </w:p>
        </w:tc>
      </w:tr>
      <w:tr>
        <w:trPr>
          <w:trHeight w:val="20"/>
        </w:trPr>
        <w:tc>
          <w:tcPr>
            <w:tcW w:w="7240" w:type="dxa"/>
            <w:vAlign w:val="bottom"/>
            <w:vMerge w:val="restart"/>
          </w:tcPr>
          <w:p>
            <w:pPr>
              <w:ind w:left="44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(12.0)</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Additional</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Reserves at</w:t>
            </w:r>
          </w:p>
        </w:tc>
        <w:tc>
          <w:tcPr>
            <w:tcW w:w="92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Costs and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1"/>
              </w:rPr>
              <w:t>Reserves at</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1"/>
              </w:rPr>
              <w:t>September 30,</w:t>
            </w:r>
          </w:p>
        </w:tc>
        <w:tc>
          <w:tcPr>
            <w:tcW w:w="92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Changes in</w:t>
            </w:r>
          </w:p>
        </w:tc>
        <w:tc>
          <w:tcPr>
            <w:tcW w:w="44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Reserves</w:t>
            </w:r>
          </w:p>
        </w:tc>
        <w:tc>
          <w:tcPr>
            <w:tcW w:w="380" w:type="dxa"/>
            <w:vAlign w:val="bottom"/>
          </w:tcPr>
          <w:p>
            <w:pPr>
              <w:spacing w:after="0"/>
              <w:rPr>
                <w:sz w:val="12"/>
                <w:szCs w:val="12"/>
                <w:color w:val="auto"/>
              </w:rPr>
            </w:pPr>
          </w:p>
        </w:tc>
        <w:tc>
          <w:tcPr>
            <w:tcW w:w="9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92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Estimates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1"/>
              </w:rPr>
              <w:t>Used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Inventory reserves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9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incremental costs of sales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Accrued liabilities and inventory reserves</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vMerge w:val="continue"/>
          </w:tcPr>
          <w:p>
            <w:pPr>
              <w:spacing w:after="0"/>
              <w:rPr>
                <w:sz w:val="19"/>
                <w:szCs w:val="19"/>
                <w:color w:val="auto"/>
              </w:rPr>
            </w:pPr>
          </w:p>
        </w:tc>
        <w:tc>
          <w:tcPr>
            <w:tcW w:w="180" w:type="dxa"/>
            <w:vAlign w:val="bottom"/>
            <w:gridSpan w:val="2"/>
          </w:tcPr>
          <w:p>
            <w:pPr>
              <w:jc w:val="right"/>
              <w:ind w:right="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14.6</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(10.1)</w:t>
            </w:r>
          </w:p>
        </w:tc>
        <w:tc>
          <w:tcPr>
            <w:tcW w:w="5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 CHARGES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details impairment, restructuring and other charges and rolls forward the restructuring and other charges accrued in fiscal 2011, fiscal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 and fiscal 2009 (in millions):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36"/>
              <w:spacing w:after="0"/>
              <w:rPr>
                <w:sz w:val="20"/>
                <w:szCs w:val="20"/>
                <w:color w:val="auto"/>
              </w:rPr>
            </w:pPr>
            <w:r>
              <w:rPr>
                <w:rFonts w:ascii="Arial" w:cs="Arial" w:eastAsia="Arial" w:hAnsi="Arial"/>
                <w:sz w:val="14"/>
                <w:szCs w:val="14"/>
                <w:b w:val="1"/>
                <w:bCs w:val="1"/>
                <w:color w:val="auto"/>
                <w:w w:val="76"/>
              </w:rPr>
              <w:t>2011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and other charges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0"/>
              </w:rPr>
              <w:t>$ —</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Other impairments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impairments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Goodwill and intangible asset impairments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18.5</w:t>
            </w:r>
          </w:p>
        </w:tc>
        <w:tc>
          <w:tcPr>
            <w:tcW w:w="2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impairment, restructuring and other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36"/>
              <w:spacing w:after="0"/>
              <w:rPr>
                <w:sz w:val="20"/>
                <w:szCs w:val="20"/>
                <w:color w:val="auto"/>
              </w:rPr>
            </w:pPr>
            <w:r>
              <w:rPr>
                <w:rFonts w:ascii="Arial" w:cs="Arial" w:eastAsia="Arial" w:hAnsi="Arial"/>
                <w:sz w:val="14"/>
                <w:szCs w:val="14"/>
                <w:b w:val="1"/>
                <w:bCs w:val="1"/>
                <w:color w:val="auto"/>
                <w:w w:val="76"/>
              </w:rPr>
              <w:t>2011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2010</w:t>
            </w:r>
          </w:p>
        </w:tc>
        <w:tc>
          <w:tcPr>
            <w:tcW w:w="3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24"/>
                <w:szCs w:val="24"/>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Amounts reserved for restructuring and other charges at beginning of year</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Restructuring and other charges in continuing operations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47.6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charges in discontinued operations</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Payments and other</w:t>
            </w:r>
          </w:p>
        </w:tc>
        <w:tc>
          <w:tcPr>
            <w:tcW w:w="1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(18.5)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(32.4)</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Amounts reserved for restructuring and other charges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6</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5620" w:right="1320" w:hanging="5612"/>
        <w:spacing w:after="0" w:line="440" w:lineRule="auto"/>
        <w:tabs>
          <w:tab w:leader="none" w:pos="4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Restructuring and other charges related to the Company’s Smith &amp; Hawken business. See “NOTE 2. DISCONTINUED OPERATIONS.” 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Fiscal 2011</w:t>
      </w:r>
    </w:p>
    <w:p>
      <w:pPr>
        <w:spacing w:after="0" w:line="9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May 26, 2011, the Company and the former owners of Turf-Seed, Inc. agreed to an early settlement of the contingent consideration associated with the Company’s fiscal 2006 acquisition of Turf-Seed, Inc. Concurrently, several other contracts and agreements between the Company and the former owners of Turf-Seed, Inc. were terminated or amended. The Company agreed to pay a total of $21.3 million to resolve these matters, resulting in a net charge of $10.3 million after consideration of previously recorded liabilities and other aspects of the agreements. In the fourth quarter of fiscal 2011, the Company also recorded impairment and other charges of $6.5 million related to its investment in Turf-Seed (Europe) Limited.</w:t>
      </w:r>
    </w:p>
    <w:p>
      <w:pPr>
        <w:spacing w:after="0" w:line="1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August 8, 2011, the Company announced a restructuring plan designed to streamline management decision making and continue the regionalization of the Company’s operating structure, with the objective of reinvesting the savings generated in innovation and growth initiatives. During fiscal 2011, the Company incurred $24.2 million in restructuring costs related to termination benefits provided to employees who were involuntarily terminated and special termination benefits provided to certain employees upon future separation, as well as $2.3 million related to curtailment charges for its U.S. defined benefit pension and U.S. retiree medical plans. The amounts reserved as of September 30, 2011 will be paid out primarily over the course of fiscal 2012. The restructuring plan is expected to be completed in the first quarter of fiscal 2012.</w:t>
      </w:r>
    </w:p>
    <w:p>
      <w:pPr>
        <w:spacing w:after="0" w:line="12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connection with the Company’s annual impairment review, the Company recognized impairment charges related to the Wild Bird Food reporting unit of $9.1 million for property, plant and equipment, $16.8 million for intangible assets and $0.3 million for goodwill, based on their respective estimated fair values. Losses generated by this business over the past two years, combined with a revised long-term outlook have negatively impacted the value of this business.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Company recognized charges of $2.3 million for other intangible asset impairments and $4.3 million for restructuring and other charges.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Fiscal 2010</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Company’s fiscal 2010 impairment review resulted in a charge of $18.5 million related to intangible assets of certain brands and sub-brands in its Global Consumer segment that have been discontinued or de-emphasized, consistent with the Company’s business strategy to increasingly concentrate its advertising and promotional spending on fewer, more significant brands to more efficiently drive growth.</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displays a rollforward of the carrying amount of goodwill by reportable segment, as well as Corporate &amp; Other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26"/>
              <w:spacing w:after="0"/>
              <w:rPr>
                <w:sz w:val="20"/>
                <w:szCs w:val="20"/>
                <w:color w:val="auto"/>
              </w:rPr>
            </w:pPr>
            <w:r>
              <w:rPr>
                <w:rFonts w:ascii="Arial" w:cs="Arial" w:eastAsia="Arial" w:hAnsi="Arial"/>
                <w:sz w:val="14"/>
                <w:szCs w:val="14"/>
                <w:b w:val="1"/>
                <w:bCs w:val="1"/>
                <w:color w:val="auto"/>
                <w:w w:val="87"/>
              </w:rPr>
              <w:t>Global</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4"/>
              </w:rPr>
              <w:t>Scotts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Corporate &amp;</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83"/>
              </w:rPr>
              <w:t>Consumer</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5"/>
          </w:tcPr>
          <w:p>
            <w:pPr>
              <w:spacing w:after="0" w:line="176" w:lineRule="exact"/>
              <w:rPr>
                <w:sz w:val="20"/>
                <w:szCs w:val="20"/>
                <w:color w:val="auto"/>
              </w:rPr>
            </w:pPr>
            <w:r>
              <w:rPr>
                <w:rFonts w:ascii="Arial" w:cs="Arial" w:eastAsia="Arial" w:hAnsi="Arial"/>
                <w:sz w:val="13"/>
                <w:szCs w:val="13"/>
                <w:b w:val="1"/>
                <w:bCs w:val="1"/>
                <w:color w:val="auto"/>
              </w:rPr>
              <w:t>LawnService</w:t>
            </w:r>
            <w:r>
              <w:rPr>
                <w:rFonts w:ascii="Arial" w:cs="Arial" w:eastAsia="Arial" w:hAnsi="Arial"/>
                <w:sz w:val="20"/>
                <w:szCs w:val="20"/>
                <w:b w:val="1"/>
                <w:bCs w:val="1"/>
                <w:color w:val="auto"/>
                <w:vertAlign w:val="superscript"/>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Other</w:t>
            </w:r>
          </w:p>
        </w:tc>
        <w:tc>
          <w:tcPr>
            <w:tcW w:w="540" w:type="dxa"/>
            <w:vAlign w:val="bottom"/>
          </w:tcPr>
          <w:p>
            <w:pPr>
              <w:spacing w:after="0"/>
              <w:rPr>
                <w:sz w:val="15"/>
                <w:szCs w:val="15"/>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September 30, 2009</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274.2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123.7</w:t>
            </w:r>
          </w:p>
        </w:tc>
        <w:tc>
          <w:tcPr>
            <w:tcW w:w="6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$422.5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5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(87.1)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211.7</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335.4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to Assets held for sale</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(29.2)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Foreign currency translation and other</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272"/>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244.6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123.7</w:t>
            </w:r>
          </w:p>
        </w:tc>
        <w:tc>
          <w:tcPr>
            <w:tcW w:w="6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$392.9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5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(87.1)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182.1</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123.7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305.8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purchase price adjustments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Impairment loss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72"/>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780" w:type="dxa"/>
            <w:vAlign w:val="bottom"/>
            <w:gridSpan w:val="3"/>
          </w:tcPr>
          <w:p>
            <w:pPr>
              <w:ind w:left="6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244.6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127.3</w:t>
            </w:r>
          </w:p>
        </w:tc>
        <w:tc>
          <w:tcPr>
            <w:tcW w:w="6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1060" w:type="dxa"/>
            <w:vAlign w:val="bottom"/>
            <w:gridSpan w:val="4"/>
          </w:tcPr>
          <w:p>
            <w:pPr>
              <w:jc w:val="right"/>
              <w:ind w:right="100"/>
              <w:spacing w:after="0"/>
              <w:rPr>
                <w:sz w:val="20"/>
                <w:szCs w:val="20"/>
                <w:color w:val="auto"/>
              </w:rPr>
            </w:pPr>
            <w:r>
              <w:rPr>
                <w:rFonts w:ascii="Arial" w:cs="Arial" w:eastAsia="Arial" w:hAnsi="Arial"/>
                <w:sz w:val="18"/>
                <w:szCs w:val="18"/>
                <w:color w:val="auto"/>
              </w:rPr>
              <w:t>$396.5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(62.8)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54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(87.4)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181.8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127.3</w:t>
            </w:r>
          </w:p>
        </w:tc>
        <w:tc>
          <w:tcPr>
            <w:tcW w:w="6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following table presents intangible assets (in millions):</w:t>
            </w: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0"/>
              </w:rPr>
              <w:t>September 30, 2011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w w:val="96"/>
              </w:rPr>
              <w:t>September 30, 2010</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780" w:type="dxa"/>
            <w:vAlign w:val="bottom"/>
            <w:gridSpan w:val="3"/>
          </w:tcPr>
          <w:p>
            <w:pPr>
              <w:jc w:val="center"/>
              <w:ind w:right="166"/>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center"/>
              <w:ind w:right="33"/>
              <w:spacing w:after="0" w:line="129" w:lineRule="exact"/>
              <w:rPr>
                <w:sz w:val="20"/>
                <w:szCs w:val="20"/>
                <w:color w:val="auto"/>
              </w:rPr>
            </w:pPr>
            <w:r>
              <w:rPr>
                <w:rFonts w:ascii="Arial" w:cs="Arial" w:eastAsia="Arial" w:hAnsi="Arial"/>
                <w:sz w:val="14"/>
                <w:szCs w:val="14"/>
                <w:b w:val="1"/>
                <w:bCs w:val="1"/>
                <w:color w:val="auto"/>
                <w:w w:val="88"/>
              </w:rPr>
              <w:t>Net</w:t>
            </w:r>
          </w:p>
        </w:tc>
        <w:tc>
          <w:tcPr>
            <w:tcW w:w="24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center"/>
              <w:ind w:right="75"/>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gridSpan w:val="3"/>
          </w:tcPr>
          <w:p>
            <w:pPr>
              <w:jc w:val="center"/>
              <w:ind w:right="186"/>
              <w:spacing w:after="0" w:line="149" w:lineRule="exact"/>
              <w:rPr>
                <w:sz w:val="20"/>
                <w:szCs w:val="20"/>
                <w:color w:val="auto"/>
              </w:rPr>
            </w:pPr>
            <w:r>
              <w:rPr>
                <w:rFonts w:ascii="Arial" w:cs="Arial" w:eastAsia="Arial" w:hAnsi="Arial"/>
                <w:sz w:val="14"/>
                <w:szCs w:val="14"/>
                <w:b w:val="1"/>
                <w:bCs w:val="1"/>
                <w:color w:val="auto"/>
                <w:w w:val="90"/>
              </w:rPr>
              <w:t>Carrying</w:t>
            </w:r>
          </w:p>
        </w:tc>
        <w:tc>
          <w:tcPr>
            <w:tcW w:w="1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Carrying</w:t>
            </w:r>
          </w:p>
        </w:tc>
        <w:tc>
          <w:tcPr>
            <w:tcW w:w="140" w:type="dxa"/>
            <w:vAlign w:val="bottom"/>
          </w:tcPr>
          <w:p>
            <w:pPr>
              <w:spacing w:after="0"/>
              <w:rPr>
                <w:sz w:val="12"/>
                <w:szCs w:val="12"/>
                <w:color w:val="auto"/>
              </w:rPr>
            </w:pPr>
          </w:p>
        </w:tc>
        <w:tc>
          <w:tcPr>
            <w:tcW w:w="6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Carrying</w:t>
            </w:r>
          </w:p>
        </w:tc>
        <w:tc>
          <w:tcPr>
            <w:tcW w:w="3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2"/>
                <w:szCs w:val="12"/>
                <w:color w:val="auto"/>
              </w:rPr>
            </w:pPr>
          </w:p>
        </w:tc>
        <w:tc>
          <w:tcPr>
            <w:tcW w:w="6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gridSpan w:val="3"/>
          </w:tcPr>
          <w:p>
            <w:pPr>
              <w:jc w:val="center"/>
              <w:ind w:right="186"/>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3"/>
              </w:rPr>
              <w:t>Amortization</w:t>
            </w:r>
          </w:p>
        </w:tc>
        <w:tc>
          <w:tcPr>
            <w:tcW w:w="340" w:type="dxa"/>
            <w:vAlign w:val="bottom"/>
          </w:tcPr>
          <w:p>
            <w:pPr>
              <w:spacing w:after="0"/>
              <w:rPr>
                <w:sz w:val="14"/>
                <w:szCs w:val="14"/>
                <w:color w:val="auto"/>
              </w:rPr>
            </w:pPr>
          </w:p>
        </w:tc>
        <w:tc>
          <w:tcPr>
            <w:tcW w:w="6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right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Technology</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60.9</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(41.9)</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  53.2</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(40.5)</w:t>
            </w: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Customer accounts</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(63.4)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Tradenames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(77.1)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99.4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Total finite-lived intangible assets, net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 tradenames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233.5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ind w:left="440"/>
              <w:spacing w:after="0"/>
              <w:rPr>
                <w:sz w:val="20"/>
                <w:szCs w:val="20"/>
                <w:color w:val="auto"/>
              </w:rPr>
            </w:pPr>
            <w:r>
              <w:rPr>
                <w:rFonts w:ascii="Arial" w:cs="Arial" w:eastAsia="Arial" w:hAnsi="Arial"/>
                <w:sz w:val="18"/>
                <w:szCs w:val="18"/>
                <w:color w:val="auto"/>
              </w:rPr>
              <w:t>Total intangible assets, net</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$ 319.6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75"/>
              </w:rPr>
              <w:t>330.2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Fiscal 2011</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connection with the Company’s annual impairment review, the Company recognized impairment charges related to the Wild Bird Food reporting unit of $16.8 million for intangible assets and $0.3 million for goodwill, based on their respective estimated fair values. The impairment charges are discussed further in “NOTE 4. IMPAIRMENT, RESTRUCTURING AND OTHER CHARGES.”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Fiscal 2010</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fiscal 2010 impairment review resulted in a charge of $18.5 million related to intangible assets of certain brands and sub-brands in its Global Consumer segment. The impairment charges are discussed further in “NOTE 4. IMPAIRMENT, RESTRUCTURING AND OTHER CHARGES.”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Fiscal 2009</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the fourth quarter of fiscal 2009, the Company completed its annual impairment analysis and determined that no charge for impairment was required.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amortization expense for the years ended September 30, 2011, 2010 and 2009 was $11.4 million, $10.7 million and $12.5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is estimated to be as follows for the years ending September 30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80" w:type="dxa"/>
            <w:vAlign w:val="bottom"/>
            <w:shd w:val="clear" w:color="auto" w:fill="CCEEFF"/>
          </w:tcPr>
          <w:p>
            <w:pPr>
              <w:jc w:val="center"/>
              <w:ind w:right="4752"/>
              <w:spacing w:after="0"/>
              <w:rPr>
                <w:sz w:val="20"/>
                <w:szCs w:val="20"/>
                <w:color w:val="auto"/>
              </w:rPr>
            </w:pPr>
            <w:r>
              <w:rPr>
                <w:rFonts w:ascii="Arial" w:cs="Arial" w:eastAsia="Arial" w:hAnsi="Arial"/>
                <w:sz w:val="18"/>
                <w:szCs w:val="18"/>
                <w:color w:val="auto"/>
                <w:w w:val="84"/>
              </w:rPr>
              <w:t>2012</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80" w:type="dxa"/>
            <w:vAlign w:val="bottom"/>
          </w:tcPr>
          <w:p>
            <w:pPr>
              <w:jc w:val="center"/>
              <w:ind w:right="4752"/>
              <w:spacing w:after="0"/>
              <w:rPr>
                <w:sz w:val="20"/>
                <w:szCs w:val="20"/>
                <w:color w:val="auto"/>
              </w:rPr>
            </w:pPr>
            <w:r>
              <w:rPr>
                <w:rFonts w:ascii="Arial" w:cs="Arial" w:eastAsia="Arial" w:hAnsi="Arial"/>
                <w:sz w:val="18"/>
                <w:szCs w:val="18"/>
                <w:color w:val="auto"/>
                <w:w w:val="84"/>
              </w:rPr>
              <w:t>2013</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80" w:type="dxa"/>
            <w:vAlign w:val="bottom"/>
            <w:shd w:val="clear" w:color="auto" w:fill="CCEEFF"/>
          </w:tcPr>
          <w:p>
            <w:pPr>
              <w:jc w:val="center"/>
              <w:ind w:right="4752"/>
              <w:spacing w:after="0"/>
              <w:rPr>
                <w:sz w:val="20"/>
                <w:szCs w:val="20"/>
                <w:color w:val="auto"/>
              </w:rPr>
            </w:pPr>
            <w:r>
              <w:rPr>
                <w:rFonts w:ascii="Arial" w:cs="Arial" w:eastAsia="Arial" w:hAnsi="Arial"/>
                <w:sz w:val="18"/>
                <w:szCs w:val="18"/>
                <w:color w:val="auto"/>
                <w:w w:val="84"/>
              </w:rPr>
              <w:t>2014</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80" w:type="dxa"/>
            <w:vAlign w:val="bottom"/>
          </w:tcPr>
          <w:p>
            <w:pPr>
              <w:jc w:val="center"/>
              <w:ind w:right="4752"/>
              <w:spacing w:after="0"/>
              <w:rPr>
                <w:sz w:val="20"/>
                <w:szCs w:val="20"/>
                <w:color w:val="auto"/>
              </w:rPr>
            </w:pPr>
            <w:r>
              <w:rPr>
                <w:rFonts w:ascii="Arial" w:cs="Arial" w:eastAsia="Arial" w:hAnsi="Arial"/>
                <w:sz w:val="18"/>
                <w:szCs w:val="18"/>
                <w:color w:val="auto"/>
                <w:w w:val="84"/>
              </w:rPr>
              <w:t>2015</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180" w:type="dxa"/>
            <w:vAlign w:val="bottom"/>
            <w:shd w:val="clear" w:color="auto" w:fill="CCEEFF"/>
          </w:tcPr>
          <w:p>
            <w:pPr>
              <w:jc w:val="center"/>
              <w:ind w:right="4752"/>
              <w:spacing w:after="0"/>
              <w:rPr>
                <w:sz w:val="20"/>
                <w:szCs w:val="20"/>
                <w:color w:val="auto"/>
              </w:rPr>
            </w:pPr>
            <w:r>
              <w:rPr>
                <w:rFonts w:ascii="Arial" w:cs="Arial" w:eastAsia="Arial" w:hAnsi="Arial"/>
                <w:sz w:val="18"/>
                <w:szCs w:val="18"/>
                <w:color w:val="auto"/>
                <w:w w:val="84"/>
              </w:rPr>
              <w:t>2016</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rPr>
              <w:t>NOTE 6. DETAIL OF CERTAIN FINANCIAL STATEMENT ACCOUNTS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shd w:val="clear" w:color="auto" w:fill="CCEEFF"/>
          </w:tcPr>
          <w:p>
            <w:pPr>
              <w:jc w:val="center"/>
              <w:ind w:right="4272"/>
              <w:spacing w:after="0"/>
              <w:rPr>
                <w:sz w:val="20"/>
                <w:szCs w:val="20"/>
                <w:color w:val="auto"/>
              </w:rPr>
            </w:pPr>
            <w:r>
              <w:rPr>
                <w:rFonts w:ascii="Arial" w:cs="Arial" w:eastAsia="Arial" w:hAnsi="Arial"/>
                <w:sz w:val="18"/>
                <w:szCs w:val="18"/>
                <w:b w:val="1"/>
                <w:bCs w:val="1"/>
                <w:color w:val="auto"/>
                <w:w w:val="99"/>
              </w:rPr>
              <w:t>INVENTORIES: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tcPr>
          <w:p>
            <w:pPr>
              <w:ind w:left="440"/>
              <w:spacing w:after="0"/>
              <w:rPr>
                <w:sz w:val="20"/>
                <w:szCs w:val="20"/>
                <w:color w:val="auto"/>
              </w:rPr>
            </w:pPr>
            <w:r>
              <w:rPr>
                <w:rFonts w:ascii="Arial" w:cs="Arial" w:eastAsia="Arial" w:hAnsi="Arial"/>
                <w:sz w:val="18"/>
                <w:szCs w:val="18"/>
                <w:color w:val="auto"/>
              </w:rPr>
              <w:t>Finished goods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130.7</w:t>
            </w:r>
          </w:p>
        </w:tc>
        <w:tc>
          <w:tcPr>
            <w:tcW w:w="16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$ 180.9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Work-in-progress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40" w:type="dxa"/>
            <w:vAlign w:val="bottom"/>
            <w:gridSpan w:val="2"/>
          </w:tcPr>
          <w:p>
            <w:pPr>
              <w:ind w:left="440"/>
              <w:spacing w:after="0"/>
              <w:rPr>
                <w:sz w:val="20"/>
                <w:szCs w:val="20"/>
                <w:color w:val="auto"/>
              </w:rPr>
            </w:pPr>
            <w:r>
              <w:rPr>
                <w:rFonts w:ascii="Arial" w:cs="Arial" w:eastAsia="Arial" w:hAnsi="Arial"/>
                <w:sz w:val="18"/>
                <w:szCs w:val="18"/>
                <w:color w:val="auto"/>
              </w:rPr>
              <w:t>Raw materials</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222.0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387.0</w:t>
            </w: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$ 352.9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ind w:left="1380"/>
              <w:spacing w:after="0"/>
              <w:rPr>
                <w:sz w:val="20"/>
                <w:szCs w:val="20"/>
                <w:color w:val="auto"/>
              </w:rPr>
            </w:pPr>
            <w:r>
              <w:rPr>
                <w:rFonts w:ascii="Arial" w:cs="Arial" w:eastAsia="Arial" w:hAnsi="Arial"/>
                <w:sz w:val="18"/>
                <w:szCs w:val="18"/>
                <w:b w:val="1"/>
                <w:bCs w:val="1"/>
                <w:color w:val="auto"/>
              </w:rPr>
              <w:t>PREPAID AND OTHER ASSETS:</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20" w:type="dxa"/>
            <w:vAlign w:val="bottom"/>
            <w:gridSpan w:val="3"/>
            <w:vMerge w:val="continue"/>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asset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tcPr>
          <w:p>
            <w:pPr>
              <w:ind w:left="440"/>
              <w:spacing w:after="0"/>
              <w:rPr>
                <w:sz w:val="20"/>
                <w:szCs w:val="20"/>
                <w:color w:val="auto"/>
              </w:rPr>
            </w:pPr>
            <w:r>
              <w:rPr>
                <w:rFonts w:ascii="Arial" w:cs="Arial" w:eastAsia="Arial" w:hAnsi="Arial"/>
                <w:sz w:val="18"/>
                <w:szCs w:val="18"/>
                <w:color w:val="auto"/>
              </w:rPr>
              <w:t>Accounts receivable, non-trade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151.1</w:t>
            </w:r>
          </w:p>
        </w:tc>
        <w:tc>
          <w:tcPr>
            <w:tcW w:w="160" w:type="dxa"/>
            <w:vAlign w:val="bottom"/>
          </w:tcPr>
          <w:p>
            <w:pPr>
              <w:spacing w:after="0"/>
              <w:rPr>
                <w:sz w:val="19"/>
                <w:szCs w:val="19"/>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$ 133.1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38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tcPr>
          <w:p>
            <w:pPr>
              <w:ind w:left="440"/>
              <w:spacing w:after="0"/>
              <w:rPr>
                <w:sz w:val="20"/>
                <w:szCs w:val="20"/>
                <w:color w:val="auto"/>
              </w:rPr>
            </w:pPr>
            <w:r>
              <w:rPr>
                <w:rFonts w:ascii="Arial" w:cs="Arial" w:eastAsia="Arial" w:hAnsi="Arial"/>
                <w:sz w:val="18"/>
                <w:szCs w:val="18"/>
                <w:color w:val="auto"/>
              </w:rPr>
              <w:t>Land and improvements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Buildings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tcPr>
          <w:p>
            <w:pPr>
              <w:ind w:left="440"/>
              <w:spacing w:after="0"/>
              <w:rPr>
                <w:sz w:val="20"/>
                <w:szCs w:val="20"/>
                <w:color w:val="auto"/>
              </w:rPr>
            </w:pPr>
            <w:r>
              <w:rPr>
                <w:rFonts w:ascii="Arial" w:cs="Arial" w:eastAsia="Arial" w:hAnsi="Arial"/>
                <w:sz w:val="18"/>
                <w:szCs w:val="18"/>
                <w:color w:val="auto"/>
              </w:rPr>
              <w:t>Machinery and equipment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437.0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406.7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Furniture and fixtures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tcPr>
          <w:p>
            <w:pPr>
              <w:ind w:left="440"/>
              <w:spacing w:after="0"/>
              <w:rPr>
                <w:sz w:val="20"/>
                <w:szCs w:val="20"/>
                <w:color w:val="auto"/>
              </w:rPr>
            </w:pPr>
            <w:r>
              <w:rPr>
                <w:rFonts w:ascii="Arial" w:cs="Arial" w:eastAsia="Arial" w:hAnsi="Arial"/>
                <w:sz w:val="18"/>
                <w:szCs w:val="18"/>
                <w:color w:val="auto"/>
              </w:rPr>
              <w:t>Software</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116.9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107.2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Aircraft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640" w:type="dxa"/>
            <w:vAlign w:val="bottom"/>
            <w:gridSpan w:val="2"/>
          </w:tcPr>
          <w:p>
            <w:pPr>
              <w:ind w:left="440"/>
              <w:spacing w:after="0"/>
              <w:rPr>
                <w:sz w:val="20"/>
                <w:szCs w:val="20"/>
                <w:color w:val="auto"/>
              </w:rPr>
            </w:pPr>
            <w:r>
              <w:rPr>
                <w:rFonts w:ascii="Arial" w:cs="Arial" w:eastAsia="Arial" w:hAnsi="Arial"/>
                <w:sz w:val="18"/>
                <w:szCs w:val="18"/>
                <w:color w:val="auto"/>
              </w:rPr>
              <w:t>Construction in progress</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905.2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842.4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40" w:type="dxa"/>
            <w:vAlign w:val="bottom"/>
            <w:gridSpan w:val="2"/>
          </w:tcPr>
          <w:p>
            <w:pPr>
              <w:ind w:left="440"/>
              <w:spacing w:after="0"/>
              <w:rPr>
                <w:sz w:val="20"/>
                <w:szCs w:val="20"/>
                <w:color w:val="auto"/>
              </w:rPr>
            </w:pPr>
            <w:r>
              <w:rPr>
                <w:rFonts w:ascii="Arial" w:cs="Arial" w:eastAsia="Arial" w:hAnsi="Arial"/>
                <w:sz w:val="18"/>
                <w:szCs w:val="18"/>
                <w:color w:val="auto"/>
              </w:rPr>
              <w:t>Less: accumulated depreciation</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(510.5)</w:t>
            </w:r>
          </w:p>
        </w:tc>
        <w:tc>
          <w:tcPr>
            <w:tcW w:w="1080" w:type="dxa"/>
            <w:vAlign w:val="bottom"/>
            <w:gridSpan w:val="5"/>
          </w:tcPr>
          <w:p>
            <w:pPr>
              <w:jc w:val="right"/>
              <w:ind w:right="6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394.7</w:t>
            </w:r>
          </w:p>
        </w:tc>
        <w:tc>
          <w:tcPr>
            <w:tcW w:w="1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jc w:val="right"/>
              <w:ind w:right="1132"/>
              <w:spacing w:after="0"/>
              <w:rPr>
                <w:sz w:val="20"/>
                <w:szCs w:val="20"/>
                <w:color w:val="auto"/>
              </w:rPr>
            </w:pPr>
            <w:r>
              <w:rPr>
                <w:rFonts w:ascii="Arial" w:cs="Arial" w:eastAsia="Arial" w:hAnsi="Arial"/>
                <w:sz w:val="18"/>
                <w:szCs w:val="18"/>
                <w:color w:val="auto"/>
              </w:rPr>
              <w:t>78</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020" w:type="dxa"/>
            <w:vAlign w:val="bottom"/>
            <w:gridSpan w:val="3"/>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2011</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Payroll and other compensation accruals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37.9</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Advertising and promotional accruals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144.7</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315.4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pension and postretirement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232.0</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40" w:type="dxa"/>
            <w:vAlign w:val="bottom"/>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center"/>
              <w:ind w:left="221"/>
              <w:spacing w:after="0" w:line="142"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7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Unrecognized loss on derivatives, net of tax of $9.6, $7.9 and $10.7</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0"/>
              </w:rPr>
              <w:t>$ (15.7)</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 (12.7)</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 (17.3)</w:t>
            </w: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and other postretirement liabilities, net of tax of $33.5, $40.4 and $35.3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(69.1)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Foreign currency translation adjustment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3.7</w:t>
            </w:r>
          </w:p>
        </w:tc>
      </w:tr>
      <w:tr>
        <w:trPr>
          <w:trHeight w:val="27"/>
        </w:trPr>
        <w:tc>
          <w:tcPr>
            <w:tcW w:w="7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 xml:space="preserve"> (78.0)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(77.1)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(72.8)</w:t>
            </w:r>
          </w:p>
        </w:tc>
      </w:tr>
      <w:tr>
        <w:trPr>
          <w:trHeight w:val="20"/>
        </w:trPr>
        <w:tc>
          <w:tcPr>
            <w:tcW w:w="7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MARKETING AGREEMENT</w:t>
      </w:r>
    </w:p>
    <w:p>
      <w:pPr>
        <w:spacing w:after="0" w:line="96"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Company is Monsanto’s exclusive agent for the marketing and distribution of consumer Roundup</w:t>
      </w:r>
      <w:r>
        <w:rPr>
          <w:rFonts w:ascii="Arial" w:cs="Arial" w:eastAsia="Arial" w:hAnsi="Arial"/>
          <w:sz w:val="10"/>
          <w:szCs w:val="10"/>
          <w:color w:val="auto"/>
        </w:rPr>
        <w:t>®</w:t>
      </w:r>
      <w:r>
        <w:rPr>
          <w:rFonts w:ascii="Arial" w:cs="Arial" w:eastAsia="Arial" w:hAnsi="Arial"/>
          <w:sz w:val="16"/>
          <w:szCs w:val="16"/>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 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(EBIT) of the consumer Roundup</w:t>
      </w:r>
      <w:r>
        <w:rPr>
          <w:rFonts w:ascii="Arial" w:cs="Arial" w:eastAsia="Arial" w:hAnsi="Arial"/>
          <w:sz w:val="10"/>
          <w:szCs w:val="10"/>
          <w:color w:val="auto"/>
        </w:rPr>
        <w:t>®</w:t>
      </w:r>
      <w:r>
        <w:rPr>
          <w:rFonts w:ascii="Arial" w:cs="Arial" w:eastAsia="Arial" w:hAnsi="Arial"/>
          <w:sz w:val="16"/>
          <w:szCs w:val="16"/>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10"/>
          <w:szCs w:val="10"/>
          <w:color w:val="auto"/>
        </w:rPr>
        <w:t>®</w:t>
      </w:r>
      <w:r>
        <w:rPr>
          <w:rFonts w:ascii="Arial" w:cs="Arial" w:eastAsia="Arial" w:hAnsi="Arial"/>
          <w:sz w:val="16"/>
          <w:szCs w:val="16"/>
          <w:color w:val="auto"/>
        </w:rPr>
        <w:t xml:space="preserve"> business. The annual contribution payment is defined in the Marketing Agreement as $20 million.</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seven years as of September 30, 2011.</w:t>
      </w:r>
    </w:p>
    <w:p>
      <w:pPr>
        <w:spacing w:after="0" w:line="143"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conduct of the consumer Roundup</w:t>
      </w:r>
      <w:r>
        <w:rPr>
          <w:rFonts w:ascii="Arial" w:cs="Arial" w:eastAsia="Arial" w:hAnsi="Arial"/>
          <w:sz w:val="11"/>
          <w:szCs w:val="11"/>
          <w:color w:val="auto"/>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or net income. The related net sales and cost of sales were $63.7 million, $65.0 million and $67.8 million for fiscal 2011, fiscal 2010 and fiscal 2009, respectively.</w:t>
      </w:r>
    </w:p>
    <w:p>
      <w:pPr>
        <w:spacing w:after="0" w:line="14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For fiscal 2011, fiscal 2010 and fiscal 2009, the net amount earned under the Marketing Agreement was $57.1 million, $70.0 million and $51.4 million, respectively. The elements of the net commission earned under the Marketing Agreement and included in “Net sales” for each of the three years in the period ended September 30, 2011 were as follows (in millions):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2011</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2010</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commission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Contribution expenses</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(20.0)</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(20.0)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marketing fee</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Net commission income</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7"/>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Reimbursements associated with Marketing Agreement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Total net sales associated with Marketing Agreement</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560"/>
              <w:spacing w:after="0"/>
              <w:rPr>
                <w:sz w:val="20"/>
                <w:szCs w:val="20"/>
                <w:color w:val="auto"/>
              </w:rPr>
            </w:pPr>
            <w:r>
              <w:rPr>
                <w:rFonts w:ascii="Arial" w:cs="Arial" w:eastAsia="Arial" w:hAnsi="Arial"/>
                <w:sz w:val="18"/>
                <w:szCs w:val="18"/>
                <w:color w:val="auto"/>
                <w:w w:val="84"/>
              </w:rPr>
              <w:t>135.0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119.2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Marketing Agreement has no definite term except as it relates to the European Union countries (the “EU term”). The current EU term extends through September 30, 2013, with an automatic renewal period of two years, subject to non-renewal only upon the occurrence of certain performance defaults. Thereafter, the Marketing Agreement provides that the parties may agree to renew the EU term for an additional three years.</w:t>
      </w:r>
    </w:p>
    <w:p>
      <w:pPr>
        <w:spacing w:after="0" w:line="10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10"/>
          <w:szCs w:val="10"/>
          <w:color w:val="auto"/>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10"/>
          <w:szCs w:val="10"/>
          <w:color w:val="auto"/>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10"/>
          <w:szCs w:val="10"/>
          <w:color w:val="auto"/>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2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Under the Marketing Agreement, Monsanto must provide the Company with notice of any proposed sale of the consumer Roundup</w:t>
      </w:r>
      <w:r>
        <w:rPr>
          <w:rFonts w:ascii="Arial" w:cs="Arial" w:eastAsia="Arial" w:hAnsi="Arial"/>
          <w:sz w:val="11"/>
          <w:szCs w:val="11"/>
          <w:color w:val="auto"/>
        </w:rPr>
        <w:t>®</w:t>
      </w:r>
      <w:r>
        <w:rPr>
          <w:rFonts w:ascii="Arial" w:cs="Arial" w:eastAsia="Arial" w:hAnsi="Arial"/>
          <w:sz w:val="18"/>
          <w:szCs w:val="18"/>
          <w:color w:val="auto"/>
        </w:rPr>
        <w:t xml:space="preserve"> business, allow the Company to participate in the sale process and negotiate in good faith with the Company with respect to any such proposed sale. In the event the Company acquires the consumer Roundup</w:t>
      </w:r>
      <w:r>
        <w:rPr>
          <w:rFonts w:ascii="Arial" w:cs="Arial" w:eastAsia="Arial" w:hAnsi="Arial"/>
          <w:sz w:val="11"/>
          <w:szCs w:val="11"/>
          <w:color w:val="auto"/>
        </w:rPr>
        <w:t>®</w:t>
      </w:r>
      <w:r>
        <w:rPr>
          <w:rFonts w:ascii="Arial" w:cs="Arial" w:eastAsia="Arial" w:hAnsi="Arial"/>
          <w:sz w:val="18"/>
          <w:szCs w:val="18"/>
          <w:color w:val="auto"/>
        </w:rPr>
        <w:t xml:space="preserve"> business in such a sale, the Company would receive as a credit against the purchase price the amount of the termination fee that would have been paid to the Company if Monsanto had exercised its right to terminate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Marketing Agreement in connection with a sale to another party. If Monsanto decides to sell the consumer Roundup</w:t>
      </w:r>
      <w:r>
        <w:rPr>
          <w:rFonts w:ascii="Arial" w:cs="Arial" w:eastAsia="Arial" w:hAnsi="Arial"/>
          <w:sz w:val="11"/>
          <w:szCs w:val="11"/>
          <w:color w:val="auto"/>
        </w:rPr>
        <w:t>®</w:t>
      </w:r>
      <w:r>
        <w:rPr>
          <w:rFonts w:ascii="Arial" w:cs="Arial" w:eastAsia="Arial" w:hAnsi="Arial"/>
          <w:sz w:val="18"/>
          <w:szCs w:val="18"/>
          <w:color w:val="auto"/>
        </w:rPr>
        <w:t xml:space="preserve"> business to another party, the Company must let Monsanto know whether the Company intends to terminate the Marketing Agreement and forfeit any right to a termination fee or whether it will agree to continue to perform under the Marketing Agreement on behalf of the purchaser.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fiscal 2011, the Company completed several acquisitions within its growing media and Scotts LawnService</w:t>
      </w:r>
      <w:r>
        <w:rPr>
          <w:rFonts w:ascii="Arial" w:cs="Arial" w:eastAsia="Arial" w:hAnsi="Arial"/>
          <w:sz w:val="11"/>
          <w:szCs w:val="11"/>
          <w:color w:val="auto"/>
        </w:rPr>
        <w:t>®</w:t>
      </w:r>
      <w:r>
        <w:rPr>
          <w:rFonts w:ascii="Arial" w:cs="Arial" w:eastAsia="Arial" w:hAnsi="Arial"/>
          <w:sz w:val="18"/>
          <w:szCs w:val="18"/>
          <w:color w:val="auto"/>
        </w:rPr>
        <w:t xml:space="preserve"> businesses that individually and in the aggregate were not significant. The aggregate purchase price of these acquisitions was $10.9 million. The Consolidated Financial Statements include the results of operations from these business combinations from the date of each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RETIREMENT PLANS</w:t>
      </w:r>
    </w:p>
    <w:p>
      <w:pPr>
        <w:spacing w:after="0" w:line="96"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Company sponsors a defined contribution 401(k) plan for substantially all U.S. associates. During 2010 and 2009, the Company provided a base contribution equal to 2% of compensation up to 50% of the Social Security taxable wage base plus 4% of remaining compensation. Associates could also make pretax contributions from compensation that were matched by the Company at 100% of associates’ initial 3% contribution and 50% of their remaining contribution up to 5%. Beginning January 1, 2011, the Company stopped providing base contributions and began matching 150% of associates’ initial 4% contribution and 50% of their remaining contribution up to 6%. The Company recorded charges of $13.2 million, $14.5 million and $15.3 million under the plan in fiscal 2011, fiscal 2010 and fiscal 2009, respectively.</w:t>
      </w:r>
    </w:p>
    <w:p>
      <w:pPr>
        <w:spacing w:after="0" w:line="14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 sponsors two defined benefit plans for certain U.S. associates. Benefits under these plans have been frozen and closed to new associates since 1997. The benefits under the primary plan are based on years of service and the associates’ average final compensation or stated amounts. The Company’s funding policy, consistent with statutory requirements and tax considerations, is based on actuarial computations using the Projected Unit Credit method. The second frozen plan is a non-qualified supplemental pension plan. This plan provides for incremental pension payments so that total pension payments equal amounts that would have been payable from the Company’s pension plan if it were not for limitations imposed by the income tax regulations. In connection with the restructuring plan discussed in “NOTE 4. IMPAIRMENT, RESTRUCTURING AND OTHER CHARGES,” the Company recognized a plan curtailment charge of $1.2 million in fiscal 2011 for an increase in the benefit obligation associated with these plans.</w:t>
      </w:r>
    </w:p>
    <w:p>
      <w:pPr>
        <w:spacing w:after="0" w:line="11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sponsors defined benefit pension plans associated with its international businesses in the United Kingdom, Germany, France and the Netherlands. These plans generally cover all associates of the respective businesses, with retirement benefits primarily based on years of service and compensation levels. Two of the Company’s previously-sponsored international defined benefit plans were transferred to ICL in connection with the sale of Global Pro on February 28, 2011.</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July 1, 2010, the Company froze its two U.K. defined benefit pension plans and transferred participants to an amended defined contribution plan. Under the frozen plans, participants are no longer credited for future service; however, future salary increases will continue to be factored into each participant’s final pension benefit. As a result of the freeze, the Company measured the unfunded status of the U.K. defined benefit pension plans as of July 3, 2010. The results of the freeze and remeasurement did not affect the Company’s results of operations or cash flows, and did not significantly affect the Company’s financial position.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tables present information about benefit obligations, plan assets, annual expense, assumptions and other information about the Company’s defined benefit pension plans (in millions). The defined benefit plans are valued using a September 30 measurement date.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0"/>
              </w:rPr>
              <w:t>International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rPr>
              <w:t>U.S. Defined</w:t>
            </w:r>
          </w:p>
        </w:tc>
        <w:tc>
          <w:tcPr>
            <w:tcW w:w="100" w:type="dxa"/>
            <w:vAlign w:val="bottom"/>
          </w:tcPr>
          <w:p>
            <w:pPr>
              <w:spacing w:after="0"/>
              <w:rPr>
                <w:sz w:val="12"/>
                <w:szCs w:val="12"/>
                <w:color w:val="auto"/>
              </w:rPr>
            </w:pPr>
          </w:p>
        </w:tc>
        <w:tc>
          <w:tcPr>
            <w:tcW w:w="920" w:type="dxa"/>
            <w:vAlign w:val="bottom"/>
            <w:gridSpan w:val="4"/>
          </w:tcPr>
          <w:p>
            <w:pPr>
              <w:jc w:val="center"/>
              <w:ind w:left="235"/>
              <w:spacing w:after="0" w:line="149" w:lineRule="exact"/>
              <w:rPr>
                <w:sz w:val="20"/>
                <w:szCs w:val="20"/>
                <w:color w:val="auto"/>
              </w:rPr>
            </w:pPr>
            <w:r>
              <w:rPr>
                <w:rFonts w:ascii="Arial" w:cs="Arial" w:eastAsia="Arial" w:hAnsi="Arial"/>
                <w:sz w:val="14"/>
                <w:szCs w:val="14"/>
                <w:b w:val="1"/>
                <w:bCs w:val="1"/>
                <w:color w:val="auto"/>
                <w:w w:val="85"/>
              </w:rPr>
              <w:t>Defined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Benefit Plans</w:t>
            </w:r>
          </w:p>
        </w:tc>
        <w:tc>
          <w:tcPr>
            <w:tcW w:w="100" w:type="dxa"/>
            <w:vAlign w:val="bottom"/>
          </w:tcPr>
          <w:p>
            <w:pPr>
              <w:spacing w:after="0"/>
              <w:rPr>
                <w:sz w:val="14"/>
                <w:szCs w:val="14"/>
                <w:color w:val="auto"/>
              </w:rPr>
            </w:pPr>
          </w:p>
        </w:tc>
        <w:tc>
          <w:tcPr>
            <w:tcW w:w="14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Benefit Plans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2010</w:t>
            </w: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projected benefit obligation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106.6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174.6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Interest cost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Actuarial (gain) loss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Projected benefit obligation gain due to plan freeze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Curtailment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Projected benefit obligation at end of year</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109.6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106.6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159.6</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benefit obligation at end of year</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106.6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169.6</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Actual return on plan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Benefits paid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115.8</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Underfunded status at end of year</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gridSpan w:val="2"/>
            <w:vMerge w:val="continue"/>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(36.9)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Information for pension plans with an accumulated benefit obligation in excess of plan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109.6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109.6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106.6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19"/>
                <w:szCs w:val="19"/>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118.2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115.8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7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Current liabilities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(35.1)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(36.7)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(40.4)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(57.9)</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Total amount accrued</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2"/>
            <w:vMerge w:val="continue"/>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(36.9)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Actuarial loss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49.6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49.4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80" w:type="dxa"/>
            <w:vAlign w:val="bottom"/>
            <w:gridSpan w:val="2"/>
          </w:tcPr>
          <w:p>
            <w:pPr>
              <w:spacing w:after="0"/>
              <w:rPr>
                <w:sz w:val="20"/>
                <w:szCs w:val="20"/>
                <w:color w:val="auto"/>
              </w:rPr>
            </w:pPr>
            <w:r>
              <w:rPr>
                <w:rFonts w:ascii="Arial" w:cs="Arial" w:eastAsia="Arial" w:hAnsi="Arial"/>
                <w:sz w:val="18"/>
                <w:szCs w:val="18"/>
                <w:color w:val="auto"/>
              </w:rPr>
              <w:t>Net amount recognized</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49.6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49.4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ind w:left="5620"/>
              <w:spacing w:after="0"/>
              <w:rPr>
                <w:sz w:val="20"/>
                <w:szCs w:val="20"/>
                <w:color w:val="auto"/>
              </w:rPr>
            </w:pPr>
            <w:r>
              <w:rPr>
                <w:rFonts w:ascii="Arial" w:cs="Arial" w:eastAsia="Arial" w:hAnsi="Arial"/>
                <w:sz w:val="18"/>
                <w:szCs w:val="18"/>
                <w:color w:val="auto"/>
              </w:rPr>
              <w:t>82</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8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89"/>
              </w:rPr>
              <w:t>U.S. Defined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7"/>
              </w:rPr>
              <w:t>Defined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5"/>
              </w:rPr>
              <w:t>Benefit Plans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6"/>
              </w:rPr>
              <w:t>Benefit Plans</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change in other comprehensive loss attributable to:</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Pension benefit losses during the period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4"/>
          </w:tcPr>
          <w:p>
            <w:pPr>
              <w:jc w:val="right"/>
              <w:ind w:right="20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660" w:type="dxa"/>
            <w:vAlign w:val="bottom"/>
            <w:gridSpan w:val="6"/>
          </w:tcPr>
          <w:p>
            <w:pPr>
              <w:jc w:val="right"/>
              <w:ind w:right="32"/>
              <w:spacing w:after="0"/>
              <w:rPr>
                <w:sz w:val="20"/>
                <w:szCs w:val="20"/>
                <w:color w:val="auto"/>
              </w:rPr>
            </w:pPr>
            <w:r>
              <w:rPr>
                <w:rFonts w:ascii="Arial" w:cs="Arial" w:eastAsia="Arial" w:hAnsi="Arial"/>
                <w:sz w:val="18"/>
                <w:szCs w:val="18"/>
                <w:color w:val="auto"/>
              </w:rPr>
              <w:t>$10.8</w:t>
            </w:r>
          </w:p>
        </w:tc>
        <w:tc>
          <w:tcPr>
            <w:tcW w:w="460" w:type="dxa"/>
            <w:vAlign w:val="bottom"/>
          </w:tcPr>
          <w:p>
            <w:pPr>
              <w:spacing w:after="0"/>
              <w:rPr>
                <w:sz w:val="18"/>
                <w:szCs w:val="18"/>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8"/>
                <w:szCs w:val="18"/>
                <w:color w:val="auto"/>
                <w:w w:val="93"/>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pension benefit losses to net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1"/>
              </w:rPr>
              <w:t>(4.9)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7"/>
              </w:rPr>
              <w:t>(4.3)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(1.2)</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change in other comprehensive loss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46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12.1</w:t>
            </w:r>
          </w:p>
        </w:tc>
        <w:tc>
          <w:tcPr>
            <w:tcW w:w="0" w:type="dxa"/>
            <w:vAlign w:val="bottom"/>
          </w:tcPr>
          <w:p>
            <w:pPr>
              <w:spacing w:after="0"/>
              <w:rPr>
                <w:sz w:val="1"/>
                <w:szCs w:val="1"/>
                <w:color w:val="auto"/>
              </w:rPr>
            </w:pPr>
          </w:p>
        </w:tc>
      </w:tr>
      <w:tr>
        <w:trPr>
          <w:trHeight w:val="20"/>
        </w:trPr>
        <w:tc>
          <w:tcPr>
            <w:tcW w:w="7840" w:type="dxa"/>
            <w:vAlign w:val="bottom"/>
            <w:gridSpan w:val="10"/>
            <w:vMerge w:val="restart"/>
          </w:tcPr>
          <w:p>
            <w:pPr>
              <w:spacing w:after="0"/>
              <w:rPr>
                <w:sz w:val="20"/>
                <w:szCs w:val="20"/>
                <w:color w:val="auto"/>
              </w:rPr>
            </w:pPr>
            <w:r>
              <w:rPr>
                <w:rFonts w:ascii="Arial" w:cs="Arial" w:eastAsia="Arial" w:hAnsi="Arial"/>
                <w:sz w:val="18"/>
                <w:szCs w:val="18"/>
                <w:b w:val="1"/>
                <w:bCs w:val="1"/>
                <w:color w:val="auto"/>
                <w:w w:val="90"/>
              </w:rPr>
              <w:t>Amounts in accumulated other comprehensive loss expected to be recognized as components of net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gridSpan w:val="10"/>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Arial" w:cs="Arial" w:eastAsia="Arial" w:hAnsi="Arial"/>
                <w:sz w:val="18"/>
                <w:szCs w:val="18"/>
                <w:b w:val="1"/>
                <w:bCs w:val="1"/>
                <w:color w:val="auto"/>
              </w:rPr>
              <w:t>periodic benefit cost in fiscal 2012 are as follows: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Prior service cost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Amount to be amortized into net periodic benefit cost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7"/>
              </w:rPr>
              <w:t>Weighted average assumptions used in development of projected benefit obligation</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86"/>
              </w:rPr>
              <w:t>4.29%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4.66%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w w:val="86"/>
              </w:rPr>
              <w:t>5.46%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5.01%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4"/>
          </w:tcPr>
          <w:p>
            <w:pPr>
              <w:jc w:val="right"/>
              <w:ind w:right="5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740" w:type="dxa"/>
            <w:vAlign w:val="bottom"/>
            <w:gridSpan w:val="5"/>
          </w:tcPr>
          <w:p>
            <w:pPr>
              <w:ind w:left="10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5"/>
          </w:tcPr>
          <w:p>
            <w:pPr>
              <w:jc w:val="right"/>
              <w:ind w:right="42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9"/>
              </w:rPr>
              <w:t>U.S. Defined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0"/>
              </w:rPr>
              <w:t>International</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Benefit Plans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6"/>
              </w:rPr>
              <w:t>Defined Benefit Plans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2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Service cost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ind w:right="360"/>
              <w:spacing w:after="0"/>
              <w:rPr>
                <w:sz w:val="20"/>
                <w:szCs w:val="20"/>
                <w:color w:val="auto"/>
              </w:rPr>
            </w:pPr>
            <w:r>
              <w:rPr>
                <w:rFonts w:ascii="Arial" w:cs="Arial" w:eastAsia="Arial" w:hAnsi="Arial"/>
                <w:sz w:val="18"/>
                <w:szCs w:val="18"/>
                <w:color w:val="auto"/>
                <w:w w:val="90"/>
              </w:rPr>
              <w:t>$ —</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(5.0)</w:t>
            </w:r>
          </w:p>
        </w:tc>
        <w:tc>
          <w:tcPr>
            <w:tcW w:w="10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92"/>
              <w:spacing w:after="0"/>
              <w:rPr>
                <w:sz w:val="20"/>
                <w:szCs w:val="20"/>
                <w:color w:val="auto"/>
              </w:rPr>
            </w:pPr>
            <w:r>
              <w:rPr>
                <w:rFonts w:ascii="Arial" w:cs="Arial" w:eastAsia="Arial" w:hAnsi="Arial"/>
                <w:sz w:val="18"/>
                <w:szCs w:val="18"/>
                <w:color w:val="auto"/>
                <w:w w:val="97"/>
              </w:rPr>
              <w:t>(8.4)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8"/>
                <w:szCs w:val="18"/>
                <w:color w:val="auto"/>
                <w:w w:val="91"/>
              </w:rPr>
              <w:t>(7.3)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Net periodic benefit cost</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Curtailment loss</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Total benefit cost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880" w:type="dxa"/>
            <w:vAlign w:val="bottom"/>
            <w:gridSpan w:val="4"/>
          </w:tcPr>
          <w:p>
            <w:pPr>
              <w:jc w:val="right"/>
              <w:ind w:right="280"/>
              <w:spacing w:after="0"/>
              <w:rPr>
                <w:sz w:val="20"/>
                <w:szCs w:val="20"/>
                <w:color w:val="auto"/>
              </w:rPr>
            </w:pPr>
            <w:r>
              <w:rPr>
                <w:rFonts w:ascii="Arial" w:cs="Arial" w:eastAsia="Arial" w:hAnsi="Arial"/>
                <w:sz w:val="18"/>
                <w:szCs w:val="18"/>
                <w:color w:val="auto"/>
              </w:rPr>
              <w:t>$ 3.6</w:t>
            </w:r>
          </w:p>
        </w:tc>
        <w:tc>
          <w:tcPr>
            <w:tcW w:w="10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Weighted average assumptions used in development of net periodic benefit cost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Discount rate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4.66%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5.23%</w:t>
            </w:r>
          </w:p>
        </w:tc>
        <w:tc>
          <w:tcPr>
            <w:tcW w:w="10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2"/>
              <w:spacing w:after="0"/>
              <w:rPr>
                <w:sz w:val="20"/>
                <w:szCs w:val="20"/>
                <w:color w:val="auto"/>
              </w:rPr>
            </w:pPr>
            <w:r>
              <w:rPr>
                <w:rFonts w:ascii="Arial" w:cs="Arial" w:eastAsia="Arial" w:hAnsi="Arial"/>
                <w:sz w:val="18"/>
                <w:szCs w:val="18"/>
                <w:color w:val="auto"/>
                <w:w w:val="86"/>
              </w:rPr>
              <w:t>5.01%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w w:val="86"/>
              </w:rPr>
              <w:t>5.46%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12"/>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56"/>
        </w:trPr>
        <w:tc>
          <w:tcPr>
            <w:tcW w:w="6280" w:type="dxa"/>
            <w:vAlign w:val="bottom"/>
            <w:gridSpan w:val="2"/>
          </w:tcPr>
          <w:p>
            <w:pPr>
              <w:ind w:left="562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640" w:type="dxa"/>
            <w:vAlign w:val="bottom"/>
            <w:gridSpan w:val="4"/>
          </w:tcPr>
          <w:p>
            <w:pPr>
              <w:ind w:left="1300"/>
              <w:spacing w:after="0"/>
              <w:rPr>
                <w:sz w:val="20"/>
                <w:szCs w:val="20"/>
                <w:color w:val="auto"/>
              </w:rPr>
            </w:pPr>
            <w:r>
              <w:rPr>
                <w:rFonts w:ascii="Arial" w:cs="Arial" w:eastAsia="Arial" w:hAnsi="Arial"/>
                <w:sz w:val="14"/>
                <w:szCs w:val="14"/>
                <w:b w:val="1"/>
                <w:bCs w:val="1"/>
                <w:color w:val="auto"/>
              </w:rPr>
              <w:t>U.S. Defined</w:t>
            </w:r>
          </w:p>
        </w:tc>
        <w:tc>
          <w:tcPr>
            <w:tcW w:w="1440" w:type="dxa"/>
            <w:vAlign w:val="bottom"/>
            <w:gridSpan w:val="4"/>
          </w:tcPr>
          <w:p>
            <w:pPr>
              <w:ind w:left="460"/>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88"/>
              </w:rPr>
              <w:t>Benefit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Defined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Plans</w:t>
            </w:r>
          </w:p>
        </w:tc>
        <w:tc>
          <w:tcPr>
            <w:tcW w:w="1440" w:type="dxa"/>
            <w:vAlign w:val="bottom"/>
            <w:gridSpan w:val="4"/>
          </w:tcPr>
          <w:p>
            <w:pPr>
              <w:ind w:left="460"/>
              <w:spacing w:after="0"/>
              <w:rPr>
                <w:sz w:val="20"/>
                <w:szCs w:val="20"/>
                <w:color w:val="auto"/>
              </w:rPr>
            </w:pPr>
            <w:r>
              <w:rPr>
                <w:rFonts w:ascii="Arial" w:cs="Arial" w:eastAsia="Arial" w:hAnsi="Arial"/>
                <w:sz w:val="14"/>
                <w:szCs w:val="14"/>
                <w:b w:val="1"/>
                <w:bCs w:val="1"/>
                <w:color w:val="auto"/>
              </w:rPr>
              <w:t>Benefit Plans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Plan asset allocations:</w:t>
            </w:r>
          </w:p>
        </w:tc>
        <w:tc>
          <w:tcPr>
            <w:tcW w:w="1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Target for September 30, 2012:</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Equity securities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40"/>
              <w:spacing w:after="0"/>
              <w:rPr>
                <w:sz w:val="20"/>
                <w:szCs w:val="20"/>
                <w:color w:val="auto"/>
              </w:rPr>
            </w:pPr>
            <w:r>
              <w:rPr>
                <w:rFonts w:ascii="Arial" w:cs="Arial" w:eastAsia="Arial" w:hAnsi="Arial"/>
                <w:sz w:val="18"/>
                <w:szCs w:val="18"/>
                <w:color w:val="auto"/>
              </w:rPr>
              <w:t>Debt securities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September 30, 2011:</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40"/>
              <w:spacing w:after="0"/>
              <w:rPr>
                <w:sz w:val="20"/>
                <w:szCs w:val="20"/>
                <w:color w:val="auto"/>
              </w:rPr>
            </w:pPr>
            <w:r>
              <w:rPr>
                <w:rFonts w:ascii="Arial" w:cs="Arial" w:eastAsia="Arial" w:hAnsi="Arial"/>
                <w:sz w:val="18"/>
                <w:szCs w:val="18"/>
                <w:color w:val="auto"/>
              </w:rPr>
              <w:t>Equity securities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Debt securities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40"/>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September 30, 2010:</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840"/>
              <w:spacing w:after="0"/>
              <w:rPr>
                <w:sz w:val="20"/>
                <w:szCs w:val="20"/>
                <w:color w:val="auto"/>
              </w:rPr>
            </w:pPr>
            <w:r>
              <w:rPr>
                <w:rFonts w:ascii="Arial" w:cs="Arial" w:eastAsia="Arial" w:hAnsi="Arial"/>
                <w:sz w:val="18"/>
                <w:szCs w:val="18"/>
                <w:color w:val="auto"/>
              </w:rPr>
              <w:t>Equity securities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Debt securities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ind w:left="840"/>
              <w:spacing w:after="0"/>
              <w:rPr>
                <w:sz w:val="20"/>
                <w:szCs w:val="20"/>
                <w:color w:val="auto"/>
              </w:rPr>
            </w:pPr>
            <w:r>
              <w:rPr>
                <w:rFonts w:ascii="Arial" w:cs="Arial" w:eastAsia="Arial" w:hAnsi="Arial"/>
                <w:sz w:val="18"/>
                <w:szCs w:val="18"/>
                <w:color w:val="auto"/>
              </w:rPr>
              <w:t>Cash and cash equivalents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company contributions in fiscal 2012</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00" w:type="dxa"/>
            <w:vAlign w:val="bottom"/>
            <w:gridSpan w:val="2"/>
          </w:tcPr>
          <w:p>
            <w:pPr>
              <w:spacing w:after="0"/>
              <w:rPr>
                <w:sz w:val="20"/>
                <w:szCs w:val="20"/>
                <w:color w:val="auto"/>
              </w:rPr>
            </w:pPr>
            <w:r>
              <w:rPr>
                <w:rFonts w:ascii="Arial" w:cs="Arial" w:eastAsia="Arial" w:hAnsi="Arial"/>
                <w:sz w:val="18"/>
                <w:szCs w:val="18"/>
                <w:color w:val="auto"/>
              </w:rPr>
              <w:t>Expected future benefit payments: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2013</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2015</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2017 – 2021</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w:t>
            </w: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tables set forth the fair value of the Company’s pension plan assets (in millions), segregated by level within the fair value hierarchy (refer to “NOTE 16. FAIR VALUE MEASUREMENTS” for further discussion of the fair value hierarchy and fair value principles):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6"/>
              </w:rPr>
              <w:t>September 30, 2011</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1040" w:type="dxa"/>
            <w:vAlign w:val="bottom"/>
          </w:tcPr>
          <w:p>
            <w:pPr>
              <w:spacing w:after="0"/>
              <w:rPr>
                <w:sz w:val="11"/>
                <w:szCs w:val="11"/>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Active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Markets for</w:t>
            </w:r>
          </w:p>
        </w:tc>
        <w:tc>
          <w:tcPr>
            <w:tcW w:w="104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Identical</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Inputs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1040" w:type="dxa"/>
            <w:vAlign w:val="bottom"/>
          </w:tcPr>
          <w:p>
            <w:pPr>
              <w:spacing w:after="0"/>
              <w:rPr>
                <w:sz w:val="14"/>
                <w:szCs w:val="14"/>
                <w:color w:val="auto"/>
              </w:rPr>
            </w:pPr>
          </w:p>
        </w:tc>
        <w:tc>
          <w:tcPr>
            <w:tcW w:w="160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U.S. Defined Benefit Plan Assets</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Mutual funds—equities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Mutual funds—fixed income</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International Defined Benefit Plan Assets</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4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Insurance contracts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9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Mutual funds—equities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Mutual funds—fixed income</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137"/>
              <w:spacing w:after="0"/>
              <w:rPr>
                <w:sz w:val="20"/>
                <w:szCs w:val="20"/>
                <w:color w:val="auto"/>
              </w:rPr>
            </w:pPr>
            <w:r>
              <w:rPr>
                <w:rFonts w:ascii="Arial" w:cs="Arial" w:eastAsia="Arial" w:hAnsi="Arial"/>
                <w:sz w:val="18"/>
                <w:szCs w:val="18"/>
                <w:color w:val="auto"/>
              </w:rPr>
              <w:t>84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6"/>
              </w:rPr>
              <w:t>September 30, 2010</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560" w:type="dxa"/>
            <w:vAlign w:val="bottom"/>
          </w:tcPr>
          <w:p>
            <w:pPr>
              <w:spacing w:after="0"/>
              <w:rPr>
                <w:sz w:val="11"/>
                <w:szCs w:val="11"/>
                <w:color w:val="auto"/>
              </w:rPr>
            </w:pP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1040" w:type="dxa"/>
            <w:vAlign w:val="bottom"/>
          </w:tcPr>
          <w:p>
            <w:pPr>
              <w:spacing w:after="0"/>
              <w:rPr>
                <w:sz w:val="11"/>
                <w:szCs w:val="11"/>
                <w:color w:val="auto"/>
              </w:rPr>
            </w:pPr>
          </w:p>
        </w:tc>
        <w:tc>
          <w:tcPr>
            <w:tcW w:w="16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5"/>
              </w:rPr>
              <w:t>Active</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Markets for</w:t>
            </w:r>
          </w:p>
        </w:tc>
        <w:tc>
          <w:tcPr>
            <w:tcW w:w="104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Identical</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Inputs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5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1040" w:type="dxa"/>
            <w:vAlign w:val="bottom"/>
          </w:tcPr>
          <w:p>
            <w:pPr>
              <w:spacing w:after="0"/>
              <w:rPr>
                <w:sz w:val="14"/>
                <w:szCs w:val="14"/>
                <w:color w:val="auto"/>
              </w:rPr>
            </w:pPr>
          </w:p>
        </w:tc>
        <w:tc>
          <w:tcPr>
            <w:tcW w:w="160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U.S. Defined Benefit Plan Assets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69.7</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Defined Benefit Plan Assets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Insurance contracts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Mutual funds—equities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94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11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Mutual funds—fixed income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160" w:type="dxa"/>
            <w:vAlign w:val="bottom"/>
            <w:gridSpan w:val="2"/>
          </w:tcPr>
          <w:p>
            <w:pPr>
              <w:ind w:left="104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94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460"/>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115.8</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a summary of changes in the fair value of the Company’s level 3 pension plan assets (in millions):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Balance,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Realized gain on plan assets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Unrealized gain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Foreign currency translation</w:t>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Balance,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Realized gain on plan assets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Unrealized gain on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Foreign currency translation</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Purchases, sales, issuances and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-107315</wp:posOffset>
            </wp:positionV>
            <wp:extent cx="49225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8"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Balance, September 30, 2011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Level 3 Assets</w:t>
      </w:r>
    </w:p>
    <w:p>
      <w:pPr>
        <w:spacing w:after="0" w:line="12" w:lineRule="exact"/>
        <w:rPr>
          <w:sz w:val="20"/>
          <w:szCs w:val="20"/>
          <w:color w:val="auto"/>
        </w:rPr>
      </w:pPr>
    </w:p>
    <w:p>
      <w:pPr>
        <w:ind w:left="108"/>
        <w:spacing w:after="0"/>
        <w:rPr>
          <w:sz w:val="20"/>
          <w:szCs w:val="20"/>
          <w:color w:val="auto"/>
        </w:rPr>
      </w:pPr>
      <w:r>
        <w:rPr>
          <w:rFonts w:ascii="Arial" w:cs="Arial" w:eastAsia="Arial" w:hAnsi="Arial"/>
          <w:sz w:val="14"/>
          <w:szCs w:val="14"/>
          <w:b w:val="1"/>
          <w:bCs w:val="1"/>
          <w:color w:val="auto"/>
        </w:rPr>
        <w:t>Insurance</w:t>
      </w:r>
    </w:p>
    <w:p>
      <w:pPr>
        <w:ind w:left="148"/>
        <w:spacing w:after="0"/>
        <w:rPr>
          <w:sz w:val="20"/>
          <w:szCs w:val="20"/>
          <w:color w:val="auto"/>
        </w:rPr>
      </w:pPr>
      <w:r>
        <w:rPr>
          <w:rFonts w:ascii="Arial" w:cs="Arial" w:eastAsia="Arial" w:hAnsi="Arial"/>
          <w:sz w:val="14"/>
          <w:szCs w:val="14"/>
          <w:b w:val="1"/>
          <w:bCs w:val="1"/>
          <w:color w:val="auto"/>
        </w:rPr>
        <w:t>contracts</w:t>
      </w:r>
    </w:p>
    <w:p>
      <w:pPr>
        <w:ind w:left="588" w:hanging="588"/>
        <w:spacing w:after="0"/>
        <w:tabs>
          <w:tab w:leader="none" w:pos="5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3.9</w:t>
      </w:r>
    </w:p>
    <w:p>
      <w:pPr>
        <w:spacing w:after="0" w:line="7" w:lineRule="exact"/>
        <w:rPr>
          <w:rFonts w:ascii="Arial" w:cs="Arial" w:eastAsia="Arial" w:hAnsi="Arial"/>
          <w:sz w:val="18"/>
          <w:szCs w:val="18"/>
          <w:color w:val="auto"/>
        </w:rPr>
      </w:pPr>
    </w:p>
    <w:p>
      <w:pPr>
        <w:ind w:left="588"/>
        <w:spacing w:after="0"/>
        <w:rPr>
          <w:rFonts w:ascii="Arial" w:cs="Arial" w:eastAsia="Arial" w:hAnsi="Arial"/>
          <w:sz w:val="18"/>
          <w:szCs w:val="18"/>
          <w:color w:val="auto"/>
        </w:rPr>
      </w:pPr>
      <w:r>
        <w:rPr>
          <w:rFonts w:ascii="Arial" w:cs="Arial" w:eastAsia="Arial" w:hAnsi="Arial"/>
          <w:sz w:val="18"/>
          <w:szCs w:val="18"/>
          <w:color w:val="auto"/>
        </w:rPr>
        <w:t>0.2</w:t>
      </w:r>
    </w:p>
    <w:p>
      <w:pPr>
        <w:spacing w:after="0" w:line="9" w:lineRule="exact"/>
        <w:rPr>
          <w:rFonts w:ascii="Arial" w:cs="Arial" w:eastAsia="Arial" w:hAnsi="Arial"/>
          <w:sz w:val="18"/>
          <w:szCs w:val="18"/>
          <w:color w:val="auto"/>
        </w:rPr>
      </w:pPr>
    </w:p>
    <w:p>
      <w:pPr>
        <w:ind w:left="588"/>
        <w:spacing w:after="0"/>
        <w:rPr>
          <w:rFonts w:ascii="Arial" w:cs="Arial" w:eastAsia="Arial" w:hAnsi="Arial"/>
          <w:sz w:val="18"/>
          <w:szCs w:val="18"/>
          <w:color w:val="auto"/>
        </w:rPr>
      </w:pPr>
      <w:r>
        <w:rPr>
          <w:rFonts w:ascii="Arial" w:cs="Arial" w:eastAsia="Arial" w:hAnsi="Arial"/>
          <w:sz w:val="18"/>
          <w:szCs w:val="18"/>
          <w:color w:val="auto"/>
        </w:rPr>
        <w:t>0.3</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5143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0" w:lineRule="exact"/>
        <w:rPr>
          <w:sz w:val="20"/>
          <w:szCs w:val="20"/>
          <w:color w:val="auto"/>
        </w:rPr>
      </w:pPr>
    </w:p>
    <w:p>
      <w:pPr>
        <w:ind w:left="588"/>
        <w:spacing w:after="0"/>
        <w:rPr>
          <w:sz w:val="20"/>
          <w:szCs w:val="20"/>
          <w:color w:val="auto"/>
        </w:rPr>
      </w:pPr>
      <w:r>
        <w:rPr>
          <w:rFonts w:ascii="Arial" w:cs="Arial" w:eastAsia="Arial" w:hAnsi="Arial"/>
          <w:sz w:val="18"/>
          <w:szCs w:val="18"/>
          <w:color w:val="auto"/>
        </w:rPr>
        <w:t>4.1</w:t>
      </w:r>
    </w:p>
    <w:p>
      <w:pPr>
        <w:spacing w:after="0" w:line="15" w:lineRule="exact"/>
        <w:rPr>
          <w:sz w:val="20"/>
          <w:szCs w:val="20"/>
          <w:color w:val="auto"/>
        </w:rPr>
      </w:pPr>
    </w:p>
    <w:p>
      <w:pPr>
        <w:ind w:left="588"/>
        <w:spacing w:after="0"/>
        <w:rPr>
          <w:sz w:val="20"/>
          <w:szCs w:val="20"/>
          <w:color w:val="auto"/>
        </w:rPr>
      </w:pPr>
      <w:r>
        <w:rPr>
          <w:rFonts w:ascii="Arial" w:cs="Arial" w:eastAsia="Arial" w:hAnsi="Arial"/>
          <w:sz w:val="18"/>
          <w:szCs w:val="18"/>
          <w:color w:val="auto"/>
        </w:rPr>
        <w:t>0.2</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(0.4)</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(0.1)</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5143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0" w:lineRule="exact"/>
        <w:rPr>
          <w:sz w:val="20"/>
          <w:szCs w:val="20"/>
          <w:color w:val="auto"/>
        </w:rPr>
      </w:pPr>
    </w:p>
    <w:p>
      <w:pPr>
        <w:ind w:left="588" w:hanging="588"/>
        <w:spacing w:after="0"/>
        <w:tabs>
          <w:tab w:leader="none" w:pos="5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5143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5143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2" w:space="720"/>
            <w:col w:w="2748"/>
          </w:cols>
          <w:pgMar w:left="240" w:top="459" w:right="239" w:bottom="1440" w:gutter="0" w:footer="0" w:header="0"/>
          <w:type w:val="continuous"/>
        </w:sectPr>
      </w:pP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Investment Strategy</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and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for Long-Term Rate of Return on Asset Assumptions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Company’s expected long-term rate of return on asset assumptions are derived from studies conducted by third parties. The studies include a review of anticipated future long-term performance of individual asset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ASSOCIATE MEDICAL BENEFITS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1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sets forth information about the retiree medical plan for domestic associates (in millions). The retiree medical plan is valued using a September 30 measurement date.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2011</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 in Accumulated Plan Benefit Obligation (APBO)</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31.7</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Actuarial loss</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Curtailment loss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Benefits paid (net of federal subsidy of $0.3 and $0.3)</w:t>
            </w:r>
          </w:p>
        </w:tc>
        <w:tc>
          <w:tcPr>
            <w:tcW w:w="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Employer contribution</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Gross benefits paid</w:t>
            </w:r>
          </w:p>
        </w:tc>
        <w:tc>
          <w:tcPr>
            <w:tcW w:w="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Unfunded status at end of year</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(34.4)</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the Consolidated Balance Sheets consist of:</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(29.6)</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spacing w:after="0"/>
              <w:rPr>
                <w:sz w:val="20"/>
                <w:szCs w:val="20"/>
                <w:color w:val="auto"/>
              </w:rPr>
            </w:pPr>
            <w:r>
              <w:rPr>
                <w:rFonts w:ascii="Arial" w:cs="Arial" w:eastAsia="Arial" w:hAnsi="Arial"/>
                <w:sz w:val="18"/>
                <w:szCs w:val="18"/>
                <w:color w:val="auto"/>
              </w:rPr>
              <w:t>Total amount accrued</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66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(34.4)</w:t>
            </w: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 in accumulated other comprehensive loss consist of:</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Actuarial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change in other comprehensive loss attributable to:</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Benefit losses during the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benefit gains to net income</w:t>
            </w: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spacing w:after="0"/>
              <w:rPr>
                <w:sz w:val="20"/>
                <w:szCs w:val="20"/>
                <w:color w:val="auto"/>
              </w:rPr>
            </w:pPr>
            <w:r>
              <w:rPr>
                <w:rFonts w:ascii="Arial" w:cs="Arial" w:eastAsia="Arial" w:hAnsi="Arial"/>
                <w:sz w:val="18"/>
                <w:szCs w:val="18"/>
                <w:color w:val="auto"/>
              </w:rPr>
              <w:t>Total change in other 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6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3"/>
              </w:rPr>
              <w:t>The estimated actuarial gain that will be amortized from accumulated loss into net periodic benefit cost over the next fiscal year is</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immaterial</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b w:val="1"/>
                <w:bCs w:val="1"/>
                <w:color w:val="auto"/>
              </w:rPr>
              <w:t>Discount rate used in development of APBO</w:t>
            </w: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4.66%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4.91%</w:t>
            </w:r>
          </w:p>
        </w:tc>
        <w:tc>
          <w:tcPr>
            <w:tcW w:w="0" w:type="dxa"/>
            <w:vAlign w:val="bottom"/>
          </w:tcPr>
          <w:p>
            <w:pPr>
              <w:spacing w:after="0"/>
              <w:rPr>
                <w:sz w:val="1"/>
                <w:szCs w:val="1"/>
                <w:color w:val="auto"/>
              </w:rPr>
            </w:pPr>
          </w:p>
        </w:tc>
      </w:tr>
      <w:tr>
        <w:trPr>
          <w:trHeight w:val="20"/>
        </w:trPr>
        <w:tc>
          <w:tcPr>
            <w:tcW w:w="9660" w:type="dxa"/>
            <w:vAlign w:val="bottom"/>
            <w:gridSpan w:val="2"/>
            <w:vMerge w:val="restart"/>
          </w:tcPr>
          <w:p>
            <w:pPr>
              <w:ind w:left="5620"/>
              <w:spacing w:after="0"/>
              <w:rPr>
                <w:sz w:val="20"/>
                <w:szCs w:val="20"/>
                <w:color w:val="auto"/>
              </w:rPr>
            </w:pPr>
            <w:r>
              <w:rPr>
                <w:rFonts w:ascii="Arial" w:cs="Arial" w:eastAsia="Arial" w:hAnsi="Arial"/>
                <w:sz w:val="18"/>
                <w:szCs w:val="18"/>
                <w:color w:val="auto"/>
              </w:rPr>
              <w:t>86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6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2011</w:t>
            </w:r>
          </w:p>
        </w:tc>
        <w:tc>
          <w:tcPr>
            <w:tcW w:w="34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w:t>
            </w: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Curtailment loss</w:t>
            </w:r>
          </w:p>
        </w:tc>
        <w:tc>
          <w:tcPr>
            <w:tcW w:w="8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gain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Total postretirement benefit cost</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Discount rate used in development of net periodic benefit cost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4.91%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7.54%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In connection with the restructuring plan discussed in “NOTE 4. IMPAIRMENT, RESTRUCTURING AND OTHER CHARGES,” the Company recognized a plan curtailment charge of $1.1 million in fiscal 2011 for an increase in the benefit obligation associated with its retiree medical plan.</w:t>
      </w:r>
    </w:p>
    <w:p>
      <w:pPr>
        <w:spacing w:after="0" w:line="85"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On December 8, 2003, the Medicare Prescription Drug, Improvement and Modernization Act (the “Act”) became law. The Act provides for a federal subsidy to sponsors of retiree health care benefit plans that provide a prescription drug benefit that is at least actuarially equivalent to the benefit established by the Act. The APBO at September 30, 2011, has been reduced by a deferred actuarial gain in the amount of $0.4 million to reflect the effect of the subsidy related to benefits attributed to past service. The amortization of the actuarial gain and reduction of service and interest costs served to reduce net periodic post retirement benefit cost for fiscal 2011, fiscal 2010 and fiscal 2009 by $1.1 million, $0.5 million and $0.6 million, respectively.</w:t>
      </w:r>
    </w:p>
    <w:p>
      <w:pPr>
        <w:spacing w:after="0" w:line="11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Company has historically received a federal retiree drug subsidy as it offers retiree prescription drug coverage that is at a minimum as valuable as Medicare Part D coverage. The Patient Protection and Affordable Care Act (“PPACA”), which was enacted on March 23, 2010, repealed the existing rule that permitted a tax deduction for the portion of the drug coverage expense that was offset by the Medicare Part D subsidy received by the Company. This provision of PPACA was to be effective beginning with the Company’s fiscal 2012 tax year. On March 30, 2010, a companion bill, the Health Care and Education Reconciliation Act of 2010 (“HCERA”), was enacted. HCERA delayed the effective date of the reduction under PPACA until the Company’s fiscal 2014 tax year. As a result of this new legislation, the Company recorded a $1.9 million charge to tax expense during its second quarter of fiscal 2010 to reduce its deferred tax asset for the portion of the subsidy that will no longer be deductible when paid after fiscal 2013.</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For measurement as of September 30, 2011, management has assumed that health care costs will increase at an annual rate of 7.25% in fiscal 2011, decreasing 0.25% per year to an ultimate trend of 5.00% in 2020. A 1% increase in health cost trend rate assumptions would increase the APBO by $1.0 million as of September 30, 2011. A 1% decrease in health cost trend rate assumptions would decrease the APBO by $1.2 million as of September 30, 2011. A 1% increase or decrease in the same rate would not have a material effect on service or interest costs.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Estimated Future Benefit Payments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benefit payments under the plan are expected to be paid by the Company and the retirees for the fiscal years indicated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Medicare</w:t>
            </w:r>
          </w:p>
        </w:tc>
        <w:tc>
          <w:tcPr>
            <w:tcW w:w="3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40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Benefit</w:t>
            </w:r>
          </w:p>
        </w:tc>
        <w:tc>
          <w:tcPr>
            <w:tcW w:w="140" w:type="dxa"/>
            <w:vAlign w:val="bottom"/>
          </w:tcPr>
          <w:p>
            <w:pPr>
              <w:spacing w:after="0"/>
              <w:rPr>
                <w:sz w:val="12"/>
                <w:szCs w:val="12"/>
                <w:color w:val="auto"/>
              </w:rPr>
            </w:pPr>
          </w:p>
        </w:tc>
        <w:tc>
          <w:tcPr>
            <w:tcW w:w="110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6"/>
              </w:rPr>
              <w:t>Retiree</w:t>
            </w:r>
          </w:p>
        </w:tc>
        <w:tc>
          <w:tcPr>
            <w:tcW w:w="36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Part D</w:t>
            </w:r>
          </w:p>
        </w:tc>
        <w:tc>
          <w:tcPr>
            <w:tcW w:w="360" w:type="dxa"/>
            <w:vAlign w:val="bottom"/>
          </w:tcPr>
          <w:p>
            <w:pPr>
              <w:spacing w:after="0"/>
              <w:rPr>
                <w:sz w:val="12"/>
                <w:szCs w:val="12"/>
                <w:color w:val="auto"/>
              </w:rPr>
            </w:pP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Payments</w:t>
            </w:r>
          </w:p>
        </w:tc>
        <w:tc>
          <w:tcPr>
            <w:tcW w:w="8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Contributions</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0"/>
              </w:rPr>
              <w:t>Subsidy</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2012</w:t>
            </w:r>
          </w:p>
        </w:tc>
        <w:tc>
          <w:tcPr>
            <w:tcW w:w="56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w:t>
            </w: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3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(0.3)</w:t>
            </w:r>
          </w:p>
        </w:tc>
        <w:tc>
          <w:tcPr>
            <w:tcW w:w="42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2013</w:t>
            </w: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2015</w:t>
            </w: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2017 – 2021</w:t>
            </w:r>
          </w:p>
        </w:tc>
        <w:tc>
          <w:tcPr>
            <w:tcW w:w="1400" w:type="dxa"/>
            <w:vAlign w:val="bottom"/>
            <w:gridSpan w:val="2"/>
          </w:tcPr>
          <w:p>
            <w:pPr>
              <w:jc w:val="right"/>
              <w:ind w:right="8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(3.2)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also provides comprehensive major medical benefits to its associates. The Company is self-insured for certain health benefits up to $0.3 million per occurrence per individual. The cost of such benefits is recognized as expense in the period the claim is incurred. This cost was $27.9 million, $27.6 million and $27.8 million in fiscal 2011, fiscal 2010 and fiscal 2009,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long-term debt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7"/>
          </w:tcPr>
          <w:p>
            <w:pPr>
              <w:ind w:left="3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bottom w:val="single" w:sz="8" w:color="auto"/>
            </w:tcBorders>
            <w:gridSpan w:val="5"/>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6"/>
          </w:tcPr>
          <w:p>
            <w:pPr>
              <w:jc w:val="right"/>
              <w:ind w:right="312"/>
              <w:spacing w:after="0" w:line="142"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Facilities: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tcPr>
          <w:p>
            <w:pPr>
              <w:ind w:left="440"/>
              <w:spacing w:after="0"/>
              <w:rPr>
                <w:sz w:val="20"/>
                <w:szCs w:val="20"/>
                <w:color w:val="auto"/>
              </w:rPr>
            </w:pPr>
            <w:r>
              <w:rPr>
                <w:rFonts w:ascii="Arial" w:cs="Arial" w:eastAsia="Arial" w:hAnsi="Arial"/>
                <w:sz w:val="18"/>
                <w:szCs w:val="18"/>
                <w:color w:val="auto"/>
              </w:rPr>
              <w:t>Revolving loans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$387.2</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$ 111.7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Term loans</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Senior Notes – 7.25%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 6.625%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Foreign borrowings (local facilities and term loans)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520" w:type="dxa"/>
            <w:vAlign w:val="bottom"/>
            <w:gridSpan w:val="2"/>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795.0</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Arial" w:cs="Arial" w:eastAsia="Arial" w:hAnsi="Arial"/>
                <w:sz w:val="18"/>
                <w:szCs w:val="18"/>
                <w:color w:val="auto"/>
              </w:rPr>
              <w:t>Less current portions</w:t>
            </w: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520" w:type="dxa"/>
            <w:vAlign w:val="bottom"/>
            <w:gridSpan w:val="2"/>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791.8</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jc w:val="right"/>
              <w:ind w:right="212"/>
              <w:spacing w:after="0"/>
              <w:rPr>
                <w:sz w:val="20"/>
                <w:szCs w:val="20"/>
                <w:color w:val="auto"/>
              </w:rPr>
            </w:pPr>
            <w:r>
              <w:rPr>
                <w:rFonts w:ascii="Arial" w:cs="Arial" w:eastAsia="Arial" w:hAnsi="Arial"/>
                <w:sz w:val="18"/>
                <w:szCs w:val="18"/>
                <w:color w:val="auto"/>
                <w:w w:val="89"/>
              </w:rPr>
              <w:t>The Company’s debt matures as follows for each of the next five fiscal years and thereafter (in millions):</w:t>
            </w: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80" w:type="dxa"/>
            <w:vAlign w:val="bottom"/>
            <w:gridSpan w:val="2"/>
            <w:vMerge w:val="restart"/>
          </w:tcPr>
          <w:p>
            <w:pPr>
              <w:spacing w:after="0"/>
              <w:rPr>
                <w:sz w:val="17"/>
                <w:szCs w:val="17"/>
                <w:color w:val="auto"/>
              </w:rPr>
            </w:pPr>
          </w:p>
        </w:tc>
        <w:tc>
          <w:tcPr>
            <w:tcW w:w="6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gridSpan w:val="2"/>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795.0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3"/>
            <w:vMerge w:val="restart"/>
          </w:tcPr>
          <w:p>
            <w:pPr>
              <w:jc w:val="right"/>
              <w:ind w:right="2252"/>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6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On June 30, 2011, Scotts Miracle-Gro and certain of its subsidiaries entered into a second amended and restated senior secured credit facility, providing for revolving loans in the aggregate principal amount of up to $1.7 billion over a five-year term. Borrowings may be made in various currencies including U.S. dollars, Euros, British pounds, Australian dollars and Canadian dollars. Under this credit facility, the Company may request up to an additional $450 million in revolving and/or term commitments, subject to certain specified conditions, including approval from the Company’s lenders. The credit facility replaced the Company’s previous senior secured credit facilities, which were comprised of: (a) a senior secured revolving loan facility in the aggregate principal amount of up to $1.59 billion and (b) a senior secured term loan facility totaling $560 million. The previous credit facilities were scheduled to expire in February 2012.</w:t>
      </w:r>
    </w:p>
    <w:p>
      <w:pPr>
        <w:spacing w:after="0" w:line="120"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terms of the credit facility provide for customary representations and warranties and affirmative covenants. The credit facility also contains customary negative covenants setting forth limitations, subject to negotiated carve-outs on liens; contingent obligations; fundamental changes; acquisitions, investments, loans and advances; indebtedness; restrictions on subsidiary distributions; transactions with affiliates and officers; sales of assets; sale and leaseback transactions; changing the Company’s fiscal year end; modifications of certain debt instruments; negative pledge clauses; entering into new lines of business; and restricted payments, which are limited to an aggregate of $125 million annually through fiscal 2013 and $150 million annually beginning in fiscal 2014 if our leverage ratio, after giving effect to any such annual dividend payment, exceeds 2.50. The credit facility is secured by collateral that includes the capital stock of specified subsidiaries of Scotts Miracle-Gro, substantially all domestic accounts receivable (exclusive of any “sold” receivables), inventory and equipment. The credit facility is guaranteed by substantially all of Scotts Miracle-Gro’s domestic subsidiaries.</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made under the credit facility bear interest, at the Company’s election, at a rate per annum equal to either the ABR or LIBOR rate, (both as defined) plus an applicable margin. Amounts outstanding under the credit facility at September 30, 2011 were at interest rates based on LIBOR applicable to the borrowed currencies plus 200 basis points. Under the credit facility, the Company has the ability to issue letter of credit commitments up to $75 million. At September 30, 2011, the Company had letters of credit in the aggregate face amount of $30.4 million outstanding, and $1.3 billion of availability under its credit facility.</w:t>
      </w:r>
    </w:p>
    <w:p>
      <w:pPr>
        <w:spacing w:after="0" w:line="11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On January 14, 2010, Scotts Miracle-Gro issued $200 million aggregate principal amount of 7.25% Senior Notes due 2018 (the “7.25% Senior Notes”). The net proceeds of the offering were used to reduce outstanding borrowings under the Company’s then existing credit facilities. The 7.25% Senior Notes represent general unsecured senior obligations of Scotts Miracle-Gro, and were sold to the public at 99.254% of the principal amount thereof, to yield 7.375% to maturity. The 7.25% Senior Notes have interest payment dates of January 15 and July 15 of each year, which began on July 15, 2010, and may be redeemed prior to maturity at applicable redemption premiums. The 7.25% Senior Notes contain usual and customary incurrence-based covenants, which include, but are not limited to, restrictions on the incurrence of additional indebtedness, the incurrence of liens and the issuance of certain preferred shares, and the making of certain distributions, investments and other restricted payments, as well as other usual and customary covenants, which include, but are not limited to, restrictions on sale and leaseback transactions, restrictions on purchases or redemptions of Scotts Miracle-Gro stock and prepayments of subordinated debt, limitations on asset sales and restrictions on transactions with affiliates. The 7.25% Senior Notes mature on January 15, 2018.</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On December 16, 2010, Scotts Miracle-Gro issued $200 million aggregate principal amount of 6.625% Senior Notes due 2020 (the “6.625% Senior Notes”) in a private placement exempt from the registration requirements under the Securities Act of 1933, as amended. The net proceeds of the offering were used to repay outstanding borrowings under the Company’s then existing credit facilities and for general corporate purposes. The 6.625% Senior Notes represent general unsecured senior obligations of Scotts Miracle-Gro and rank equal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right of payment with the Company’s existing and future unsecured senior debt, including, without limitation, the 7.25% Senior Notes. The 6.625% Senior Notes have interest payment dates of June 15 and December 15 of each year, which began on June 15, 2011, and may be redeemed prior to maturity at applicable redemption premiums. The 6.625% Senior Notes contain usual and customary incurrence-based covenants, as well as other usual and customary covenants, substantially similar to those contained in the 7.25% Senior Notes. The 6.625% Senior Notes mature on December 15, 2020.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Substantially all of Scotts Miracle-Gro’s domestic subsidiaries serve as guarantors of both the 7.25% and the 6.625% Senior Notes. Refer to “NOTE 24.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FOR SUBSIDIARY GUARANTORS AND NON-GUARANTORS” for more information regarding the guarantor entities.</w:t>
      </w:r>
    </w:p>
    <w:p>
      <w:pPr>
        <w:spacing w:after="0" w:line="18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The Company was in compliance with the terms of all debt covenants at September 30, 2011. The credit facility contains, among other obligations, an affirmative covenant regarding the Company’s leverage ratio, calculated as average total indebtedness, as described in the Company’s credit facility, relative to the Company’s EBITDA, as adjusted pursuant to the terms of the credit facility (“Adjusted EBITDA”). Under the terms of the credit facility, the maximum leverage ratio was 3.50 as of September 30, 2011. The Company’s leverage ratio was 1.98 at September 30, 2011. The Company’s credit facility also includes an affirmative covenant regarding its interest coverage ratio. Interest coverage ratio is calculated as Adjusted EBITDA divided by interest expense, as described in the credit facility, and excludes costs related to refinancings. Under the terms of the credit facility, the minimum interest coverage ratio was 3.50 for the year ended September 30, 2011. The Company’s interest coverage ratio was 7.47 for the year ended September 30, 2011. The weighted average interest rates on average debt were 5.9% and 4.7% for fiscal 2011 and fiscal 2010, respectively.</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September 30, 2011, the Company had outstanding interest rate swap agreements with major financial institutions that effectively converted a portion of variable-rate debt denominated in U.S. dollars to a fixed rate. The swap agreements had a total U.S. dollar notional amount of $900 million at September 30, 2011.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3"/>
          </w:tcPr>
          <w:p>
            <w:pPr>
              <w:jc w:val="right"/>
              <w:ind w:right="2800"/>
              <w:spacing w:after="0"/>
              <w:rPr>
                <w:sz w:val="20"/>
                <w:szCs w:val="20"/>
                <w:color w:val="auto"/>
              </w:rPr>
            </w:pPr>
            <w:r>
              <w:rPr>
                <w:rFonts w:ascii="Arial" w:cs="Arial" w:eastAsia="Arial" w:hAnsi="Arial"/>
                <w:sz w:val="14"/>
                <w:szCs w:val="14"/>
                <w:b w:val="1"/>
                <w:bCs w:val="1"/>
                <w:color w:val="auto"/>
                <w:w w:val="90"/>
              </w:rPr>
              <w:t>Notional Amount</w:t>
            </w:r>
          </w:p>
        </w:tc>
        <w:tc>
          <w:tcPr>
            <w:tcW w:w="3540" w:type="dxa"/>
            <w:vAlign w:val="bottom"/>
            <w:gridSpan w:val="2"/>
          </w:tcPr>
          <w:p>
            <w:pPr>
              <w:jc w:val="center"/>
              <w:ind w:right="2680"/>
              <w:spacing w:after="0"/>
              <w:rPr>
                <w:sz w:val="20"/>
                <w:szCs w:val="20"/>
                <w:color w:val="auto"/>
              </w:rPr>
            </w:pPr>
            <w:r>
              <w:rPr>
                <w:rFonts w:ascii="Arial" w:cs="Arial" w:eastAsia="Arial" w:hAnsi="Arial"/>
                <w:sz w:val="14"/>
                <w:szCs w:val="14"/>
                <w:b w:val="1"/>
                <w:bCs w:val="1"/>
                <w:color w:val="auto"/>
                <w:w w:val="85"/>
              </w:rPr>
              <w:t>Effective</w:t>
            </w:r>
          </w:p>
        </w:tc>
        <w:tc>
          <w:tcPr>
            <w:tcW w:w="3480" w:type="dxa"/>
            <w:vAlign w:val="bottom"/>
            <w:gridSpan w:val="2"/>
          </w:tcPr>
          <w:p>
            <w:pPr>
              <w:jc w:val="center"/>
              <w:ind w:right="2700"/>
              <w:spacing w:after="0"/>
              <w:rPr>
                <w:sz w:val="20"/>
                <w:szCs w:val="20"/>
                <w:color w:val="auto"/>
              </w:rPr>
            </w:pPr>
            <w:r>
              <w:rPr>
                <w:rFonts w:ascii="Arial" w:cs="Arial" w:eastAsia="Arial" w:hAnsi="Arial"/>
                <w:sz w:val="14"/>
                <w:szCs w:val="14"/>
                <w:b w:val="1"/>
                <w:bCs w:val="1"/>
                <w:color w:val="auto"/>
                <w:w w:val="90"/>
              </w:rPr>
              <w:t>Expiration</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Fixed</w:t>
            </w:r>
          </w:p>
        </w:tc>
        <w:tc>
          <w:tcPr>
            <w:tcW w:w="0" w:type="dxa"/>
            <w:vAlign w:val="bottom"/>
          </w:tcPr>
          <w:p>
            <w:pPr>
              <w:spacing w:after="0"/>
              <w:rPr>
                <w:sz w:val="1"/>
                <w:szCs w:val="1"/>
                <w:color w:val="auto"/>
              </w:rPr>
            </w:pPr>
          </w:p>
        </w:tc>
      </w:tr>
      <w:tr>
        <w:trPr>
          <w:trHeight w:val="161"/>
        </w:trPr>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1"/>
              </w:rPr>
              <w:t>(in millions)</w:t>
            </w:r>
          </w:p>
        </w:tc>
        <w:tc>
          <w:tcPr>
            <w:tcW w:w="2760" w:type="dxa"/>
            <w:vAlign w:val="bottom"/>
          </w:tcPr>
          <w:p>
            <w:pPr>
              <w:spacing w:after="0"/>
              <w:rPr>
                <w:sz w:val="14"/>
                <w:szCs w:val="14"/>
                <w:color w:val="auto"/>
              </w:rPr>
            </w:pPr>
          </w:p>
        </w:tc>
        <w:tc>
          <w:tcPr>
            <w:tcW w:w="3540" w:type="dxa"/>
            <w:vAlign w:val="bottom"/>
            <w:gridSpan w:val="2"/>
          </w:tcPr>
          <w:p>
            <w:pPr>
              <w:jc w:val="center"/>
              <w:ind w:right="2680"/>
              <w:spacing w:after="0"/>
              <w:rPr>
                <w:sz w:val="20"/>
                <w:szCs w:val="20"/>
                <w:color w:val="auto"/>
              </w:rPr>
            </w:pPr>
            <w:r>
              <w:rPr>
                <w:rFonts w:ascii="Arial" w:cs="Arial" w:eastAsia="Arial" w:hAnsi="Arial"/>
                <w:sz w:val="14"/>
                <w:szCs w:val="14"/>
                <w:b w:val="1"/>
                <w:bCs w:val="1"/>
                <w:color w:val="auto"/>
                <w:w w:val="89"/>
              </w:rPr>
              <w:t>Date (a)</w:t>
            </w:r>
          </w:p>
        </w:tc>
        <w:tc>
          <w:tcPr>
            <w:tcW w:w="3480" w:type="dxa"/>
            <w:vAlign w:val="bottom"/>
            <w:gridSpan w:val="2"/>
          </w:tcPr>
          <w:p>
            <w:pPr>
              <w:jc w:val="center"/>
              <w:ind w:right="2700"/>
              <w:spacing w:after="0"/>
              <w:rPr>
                <w:sz w:val="20"/>
                <w:szCs w:val="20"/>
                <w:color w:val="auto"/>
              </w:rPr>
            </w:pPr>
            <w:r>
              <w:rPr>
                <w:rFonts w:ascii="Arial" w:cs="Arial" w:eastAsia="Arial" w:hAnsi="Arial"/>
                <w:sz w:val="14"/>
                <w:szCs w:val="14"/>
                <w:b w:val="1"/>
                <w:bCs w:val="1"/>
                <w:color w:val="auto"/>
                <w:w w:val="85"/>
              </w:rPr>
              <w:t>Date</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0"/>
        </w:trPr>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700" w:type="dxa"/>
            <w:vAlign w:val="bottom"/>
            <w:gridSpan w:val="2"/>
            <w:vMerge w:val="restart"/>
            <w:shd w:val="clear" w:color="auto" w:fill="CCEEFF"/>
          </w:tcPr>
          <w:p>
            <w:pPr>
              <w:jc w:val="right"/>
              <w:ind w:right="2760"/>
              <w:spacing w:after="0"/>
              <w:rPr>
                <w:sz w:val="20"/>
                <w:szCs w:val="20"/>
                <w:color w:val="auto"/>
              </w:rPr>
            </w:pPr>
            <w:r>
              <w:rPr>
                <w:rFonts w:ascii="Arial" w:cs="Arial" w:eastAsia="Arial" w:hAnsi="Arial"/>
                <w:sz w:val="18"/>
                <w:szCs w:val="18"/>
                <w:color w:val="auto"/>
              </w:rPr>
              <w:t>200</w:t>
            </w:r>
          </w:p>
        </w:tc>
        <w:tc>
          <w:tcPr>
            <w:tcW w:w="860" w:type="dxa"/>
            <w:vAlign w:val="bottom"/>
            <w:shd w:val="clear" w:color="auto" w:fill="000000"/>
          </w:tcPr>
          <w:p>
            <w:pPr>
              <w:spacing w:after="0" w:line="20" w:lineRule="exact"/>
              <w:rPr>
                <w:sz w:val="1"/>
                <w:szCs w:val="1"/>
                <w:color w:val="auto"/>
              </w:rPr>
            </w:pPr>
          </w:p>
        </w:tc>
        <w:tc>
          <w:tcPr>
            <w:tcW w:w="26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7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0" w:type="dxa"/>
            <w:vAlign w:val="bottom"/>
            <w:vMerge w:val="continue"/>
            <w:shd w:val="clear" w:color="auto" w:fill="CCEEFF"/>
          </w:tcPr>
          <w:p>
            <w:pPr>
              <w:spacing w:after="0"/>
              <w:rPr>
                <w:sz w:val="17"/>
                <w:szCs w:val="17"/>
                <w:color w:val="auto"/>
              </w:rPr>
            </w:pPr>
          </w:p>
        </w:tc>
        <w:tc>
          <w:tcPr>
            <w:tcW w:w="370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2/14/2007</w:t>
            </w:r>
          </w:p>
        </w:tc>
        <w:tc>
          <w:tcPr>
            <w:tcW w:w="26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2/14/2012</w:t>
            </w:r>
          </w:p>
        </w:tc>
        <w:tc>
          <w:tcPr>
            <w:tcW w:w="2700" w:type="dxa"/>
            <w:vAlign w:val="bottom"/>
            <w:vMerge w:val="continue"/>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93"/>
              </w:rPr>
              <w:t>5.20%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700" w:type="dxa"/>
            <w:vAlign w:val="bottom"/>
            <w:gridSpan w:val="2"/>
          </w:tcPr>
          <w:p>
            <w:pPr>
              <w:jc w:val="right"/>
              <w:ind w:right="2760"/>
              <w:spacing w:after="0"/>
              <w:rPr>
                <w:sz w:val="20"/>
                <w:szCs w:val="20"/>
                <w:color w:val="auto"/>
              </w:rPr>
            </w:pPr>
            <w:r>
              <w:rPr>
                <w:rFonts w:ascii="Arial" w:cs="Arial" w:eastAsia="Arial" w:hAnsi="Arial"/>
                <w:sz w:val="18"/>
                <w:szCs w:val="18"/>
                <w:color w:val="auto"/>
              </w:rPr>
              <w:t>50</w:t>
            </w:r>
          </w:p>
        </w:tc>
        <w:tc>
          <w:tcPr>
            <w:tcW w:w="3540" w:type="dxa"/>
            <w:vAlign w:val="bottom"/>
            <w:gridSpan w:val="2"/>
          </w:tcPr>
          <w:p>
            <w:pPr>
              <w:jc w:val="right"/>
              <w:ind w:right="2680"/>
              <w:spacing w:after="0"/>
              <w:rPr>
                <w:sz w:val="20"/>
                <w:szCs w:val="20"/>
                <w:color w:val="auto"/>
              </w:rPr>
            </w:pPr>
            <w:r>
              <w:rPr>
                <w:rFonts w:ascii="Arial" w:cs="Arial" w:eastAsia="Arial" w:hAnsi="Arial"/>
                <w:sz w:val="18"/>
                <w:szCs w:val="18"/>
                <w:color w:val="auto"/>
              </w:rPr>
              <w:t>2/14/2012</w:t>
            </w:r>
          </w:p>
        </w:tc>
        <w:tc>
          <w:tcPr>
            <w:tcW w:w="3480" w:type="dxa"/>
            <w:vAlign w:val="bottom"/>
            <w:gridSpan w:val="2"/>
          </w:tcPr>
          <w:p>
            <w:pPr>
              <w:jc w:val="right"/>
              <w:ind w:right="2700"/>
              <w:spacing w:after="0"/>
              <w:rPr>
                <w:sz w:val="20"/>
                <w:szCs w:val="20"/>
                <w:color w:val="auto"/>
              </w:rPr>
            </w:pPr>
            <w:r>
              <w:rPr>
                <w:rFonts w:ascii="Arial" w:cs="Arial" w:eastAsia="Arial" w:hAnsi="Arial"/>
                <w:sz w:val="18"/>
                <w:szCs w:val="18"/>
                <w:color w:val="auto"/>
                <w:w w:val="94"/>
              </w:rPr>
              <w:t>2/14/2016</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3"/>
              </w:rPr>
              <w:t>3.78%</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right"/>
              <w:ind w:right="264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(b)</w:t>
            </w:r>
          </w:p>
        </w:tc>
        <w:tc>
          <w:tcPr>
            <w:tcW w:w="354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rPr>
              <w:t>2/7/2012</w:t>
            </w:r>
          </w:p>
        </w:tc>
        <w:tc>
          <w:tcPr>
            <w:tcW w:w="3480" w:type="dxa"/>
            <w:vAlign w:val="bottom"/>
            <w:gridSpan w:val="2"/>
            <w:shd w:val="clear" w:color="auto" w:fill="CCEEFF"/>
          </w:tcPr>
          <w:p>
            <w:pPr>
              <w:jc w:val="right"/>
              <w:ind w:right="2700"/>
              <w:spacing w:after="0"/>
              <w:rPr>
                <w:sz w:val="20"/>
                <w:szCs w:val="20"/>
                <w:color w:val="auto"/>
              </w:rPr>
            </w:pPr>
            <w:r>
              <w:rPr>
                <w:rFonts w:ascii="Arial" w:cs="Arial" w:eastAsia="Arial" w:hAnsi="Arial"/>
                <w:sz w:val="18"/>
                <w:szCs w:val="18"/>
                <w:color w:val="auto"/>
              </w:rPr>
              <w:t>5/7/2016</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2.42%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700" w:type="dxa"/>
            <w:vAlign w:val="bottom"/>
            <w:gridSpan w:val="2"/>
          </w:tcPr>
          <w:p>
            <w:pPr>
              <w:jc w:val="right"/>
              <w:ind w:right="2640"/>
              <w:spacing w:after="0"/>
              <w:rPr>
                <w:sz w:val="20"/>
                <w:szCs w:val="20"/>
                <w:color w:val="auto"/>
              </w:rPr>
            </w:pPr>
            <w:r>
              <w:rPr>
                <w:rFonts w:ascii="Arial" w:cs="Arial" w:eastAsia="Arial" w:hAnsi="Arial"/>
                <w:sz w:val="18"/>
                <w:szCs w:val="18"/>
                <w:color w:val="auto"/>
              </w:rPr>
              <w:t>150</w:t>
            </w:r>
            <w:r>
              <w:rPr>
                <w:rFonts w:ascii="Arial" w:cs="Arial" w:eastAsia="Arial" w:hAnsi="Arial"/>
                <w:sz w:val="11"/>
                <w:szCs w:val="11"/>
                <w:color w:val="auto"/>
              </w:rPr>
              <w:t>(c)</w:t>
            </w:r>
          </w:p>
        </w:tc>
        <w:tc>
          <w:tcPr>
            <w:tcW w:w="3540" w:type="dxa"/>
            <w:vAlign w:val="bottom"/>
            <w:gridSpan w:val="2"/>
          </w:tcPr>
          <w:p>
            <w:pPr>
              <w:jc w:val="right"/>
              <w:ind w:right="2680"/>
              <w:spacing w:after="0"/>
              <w:rPr>
                <w:sz w:val="20"/>
                <w:szCs w:val="20"/>
                <w:color w:val="auto"/>
              </w:rPr>
            </w:pPr>
            <w:r>
              <w:rPr>
                <w:rFonts w:ascii="Arial" w:cs="Arial" w:eastAsia="Arial" w:hAnsi="Arial"/>
                <w:sz w:val="18"/>
                <w:szCs w:val="18"/>
                <w:color w:val="auto"/>
                <w:w w:val="93"/>
              </w:rPr>
              <w:t>11/16/2009</w:t>
            </w:r>
          </w:p>
        </w:tc>
        <w:tc>
          <w:tcPr>
            <w:tcW w:w="3480" w:type="dxa"/>
            <w:vAlign w:val="bottom"/>
            <w:gridSpan w:val="2"/>
          </w:tcPr>
          <w:p>
            <w:pPr>
              <w:jc w:val="right"/>
              <w:ind w:right="2700"/>
              <w:spacing w:after="0"/>
              <w:rPr>
                <w:sz w:val="20"/>
                <w:szCs w:val="20"/>
                <w:color w:val="auto"/>
              </w:rPr>
            </w:pPr>
            <w:r>
              <w:rPr>
                <w:rFonts w:ascii="Arial" w:cs="Arial" w:eastAsia="Arial" w:hAnsi="Arial"/>
                <w:sz w:val="18"/>
                <w:szCs w:val="18"/>
                <w:color w:val="auto"/>
                <w:w w:val="94"/>
              </w:rPr>
              <w:t>5/16/2016</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3"/>
              </w:rPr>
              <w:t>3.26%</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right"/>
              <w:ind w:right="2640"/>
              <w:spacing w:after="0"/>
              <w:rPr>
                <w:sz w:val="20"/>
                <w:szCs w:val="20"/>
                <w:color w:val="auto"/>
              </w:rPr>
            </w:pPr>
            <w:r>
              <w:rPr>
                <w:rFonts w:ascii="Arial" w:cs="Arial" w:eastAsia="Arial" w:hAnsi="Arial"/>
                <w:sz w:val="18"/>
                <w:szCs w:val="18"/>
                <w:color w:val="auto"/>
              </w:rPr>
              <w:t>50</w:t>
            </w:r>
            <w:r>
              <w:rPr>
                <w:rFonts w:ascii="Arial" w:cs="Arial" w:eastAsia="Arial" w:hAnsi="Arial"/>
                <w:sz w:val="11"/>
                <w:szCs w:val="11"/>
                <w:color w:val="auto"/>
              </w:rPr>
              <w:t>(b)</w:t>
            </w:r>
          </w:p>
        </w:tc>
        <w:tc>
          <w:tcPr>
            <w:tcW w:w="354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rPr>
              <w:t>2/16/2010</w:t>
            </w:r>
          </w:p>
        </w:tc>
        <w:tc>
          <w:tcPr>
            <w:tcW w:w="3480" w:type="dxa"/>
            <w:vAlign w:val="bottom"/>
            <w:gridSpan w:val="2"/>
            <w:shd w:val="clear" w:color="auto" w:fill="CCEEFF"/>
          </w:tcPr>
          <w:p>
            <w:pPr>
              <w:jc w:val="right"/>
              <w:ind w:right="2700"/>
              <w:spacing w:after="0"/>
              <w:rPr>
                <w:sz w:val="20"/>
                <w:szCs w:val="20"/>
                <w:color w:val="auto"/>
              </w:rPr>
            </w:pPr>
            <w:r>
              <w:rPr>
                <w:rFonts w:ascii="Arial" w:cs="Arial" w:eastAsia="Arial" w:hAnsi="Arial"/>
                <w:sz w:val="18"/>
                <w:szCs w:val="18"/>
                <w:color w:val="auto"/>
                <w:w w:val="94"/>
              </w:rPr>
              <w:t>5/16/2016</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3.05%</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700" w:type="dxa"/>
            <w:vAlign w:val="bottom"/>
            <w:gridSpan w:val="2"/>
          </w:tcPr>
          <w:p>
            <w:pPr>
              <w:jc w:val="right"/>
              <w:ind w:right="2640"/>
              <w:spacing w:after="0"/>
              <w:rPr>
                <w:sz w:val="20"/>
                <w:szCs w:val="20"/>
                <w:color w:val="auto"/>
              </w:rPr>
            </w:pPr>
            <w:r>
              <w:rPr>
                <w:rFonts w:ascii="Arial" w:cs="Arial" w:eastAsia="Arial" w:hAnsi="Arial"/>
                <w:sz w:val="18"/>
                <w:szCs w:val="18"/>
                <w:color w:val="auto"/>
              </w:rPr>
              <w:t>100</w:t>
            </w:r>
            <w:r>
              <w:rPr>
                <w:rFonts w:ascii="Arial" w:cs="Arial" w:eastAsia="Arial" w:hAnsi="Arial"/>
                <w:sz w:val="11"/>
                <w:szCs w:val="11"/>
                <w:color w:val="auto"/>
              </w:rPr>
              <w:t>(b)</w:t>
            </w:r>
          </w:p>
        </w:tc>
        <w:tc>
          <w:tcPr>
            <w:tcW w:w="3540" w:type="dxa"/>
            <w:vAlign w:val="bottom"/>
            <w:gridSpan w:val="2"/>
          </w:tcPr>
          <w:p>
            <w:pPr>
              <w:jc w:val="right"/>
              <w:ind w:right="2680"/>
              <w:spacing w:after="0"/>
              <w:rPr>
                <w:sz w:val="20"/>
                <w:szCs w:val="20"/>
                <w:color w:val="auto"/>
              </w:rPr>
            </w:pPr>
            <w:r>
              <w:rPr>
                <w:rFonts w:ascii="Arial" w:cs="Arial" w:eastAsia="Arial" w:hAnsi="Arial"/>
                <w:sz w:val="18"/>
                <w:szCs w:val="18"/>
                <w:color w:val="auto"/>
              </w:rPr>
              <w:t>2/21/2012</w:t>
            </w:r>
          </w:p>
        </w:tc>
        <w:tc>
          <w:tcPr>
            <w:tcW w:w="3480" w:type="dxa"/>
            <w:vAlign w:val="bottom"/>
            <w:gridSpan w:val="2"/>
          </w:tcPr>
          <w:p>
            <w:pPr>
              <w:jc w:val="right"/>
              <w:ind w:right="2700"/>
              <w:spacing w:after="0"/>
              <w:rPr>
                <w:sz w:val="20"/>
                <w:szCs w:val="20"/>
                <w:color w:val="auto"/>
              </w:rPr>
            </w:pPr>
            <w:r>
              <w:rPr>
                <w:rFonts w:ascii="Arial" w:cs="Arial" w:eastAsia="Arial" w:hAnsi="Arial"/>
                <w:sz w:val="18"/>
                <w:szCs w:val="18"/>
                <w:color w:val="auto"/>
                <w:w w:val="94"/>
              </w:rPr>
              <w:t>5/23/2016</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3"/>
              </w:rPr>
              <w:t>2.40%</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3700" w:type="dxa"/>
            <w:vAlign w:val="bottom"/>
            <w:gridSpan w:val="2"/>
            <w:shd w:val="clear" w:color="auto" w:fill="CCEEFF"/>
          </w:tcPr>
          <w:p>
            <w:pPr>
              <w:jc w:val="right"/>
              <w:ind w:right="2640"/>
              <w:spacing w:after="0" w:line="216" w:lineRule="exact"/>
              <w:rPr>
                <w:sz w:val="20"/>
                <w:szCs w:val="20"/>
                <w:color w:val="auto"/>
              </w:rPr>
            </w:pPr>
            <w:r>
              <w:rPr>
                <w:rFonts w:ascii="Arial" w:cs="Arial" w:eastAsia="Arial" w:hAnsi="Arial"/>
                <w:sz w:val="25"/>
                <w:szCs w:val="25"/>
                <w:color w:val="auto"/>
                <w:vertAlign w:val="subscript"/>
              </w:rPr>
              <w:t>150</w:t>
            </w:r>
            <w:r>
              <w:rPr>
                <w:rFonts w:ascii="Arial" w:cs="Arial" w:eastAsia="Arial" w:hAnsi="Arial"/>
                <w:sz w:val="10"/>
                <w:szCs w:val="10"/>
                <w:color w:val="auto"/>
              </w:rPr>
              <w:t>(c)</w:t>
            </w:r>
          </w:p>
        </w:tc>
        <w:tc>
          <w:tcPr>
            <w:tcW w:w="3540" w:type="dxa"/>
            <w:vAlign w:val="bottom"/>
            <w:gridSpan w:val="2"/>
            <w:shd w:val="clear" w:color="auto" w:fill="CCEEFF"/>
          </w:tcPr>
          <w:p>
            <w:pPr>
              <w:jc w:val="right"/>
              <w:ind w:right="2680"/>
              <w:spacing w:after="0"/>
              <w:rPr>
                <w:sz w:val="20"/>
                <w:szCs w:val="20"/>
                <w:color w:val="auto"/>
              </w:rPr>
            </w:pPr>
            <w:r>
              <w:rPr>
                <w:rFonts w:ascii="Arial" w:cs="Arial" w:eastAsia="Arial" w:hAnsi="Arial"/>
                <w:sz w:val="18"/>
                <w:szCs w:val="18"/>
                <w:color w:val="auto"/>
                <w:w w:val="93"/>
              </w:rPr>
              <w:t>12/20/2011</w:t>
            </w:r>
          </w:p>
        </w:tc>
        <w:tc>
          <w:tcPr>
            <w:tcW w:w="3480" w:type="dxa"/>
            <w:vAlign w:val="bottom"/>
            <w:gridSpan w:val="2"/>
            <w:shd w:val="clear" w:color="auto" w:fill="CCEEFF"/>
          </w:tcPr>
          <w:p>
            <w:pPr>
              <w:jc w:val="right"/>
              <w:ind w:right="2700"/>
              <w:spacing w:after="0"/>
              <w:rPr>
                <w:sz w:val="20"/>
                <w:szCs w:val="20"/>
                <w:color w:val="auto"/>
              </w:rPr>
            </w:pPr>
            <w:r>
              <w:rPr>
                <w:rFonts w:ascii="Arial" w:cs="Arial" w:eastAsia="Arial" w:hAnsi="Arial"/>
                <w:sz w:val="18"/>
                <w:szCs w:val="18"/>
                <w:color w:val="auto"/>
                <w:w w:val="94"/>
              </w:rPr>
              <w:t>6/20/2016</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2.61%</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3700" w:type="dxa"/>
            <w:vAlign w:val="bottom"/>
            <w:gridSpan w:val="2"/>
          </w:tcPr>
          <w:p>
            <w:pPr>
              <w:jc w:val="right"/>
              <w:ind w:right="2640"/>
              <w:spacing w:after="0"/>
              <w:rPr>
                <w:sz w:val="20"/>
                <w:szCs w:val="20"/>
                <w:color w:val="auto"/>
              </w:rPr>
            </w:pPr>
            <w:r>
              <w:rPr>
                <w:rFonts w:ascii="Arial" w:cs="Arial" w:eastAsia="Arial" w:hAnsi="Arial"/>
                <w:sz w:val="18"/>
                <w:szCs w:val="18"/>
                <w:color w:val="auto"/>
              </w:rPr>
              <w:t>50</w:t>
            </w:r>
            <w:r>
              <w:rPr>
                <w:rFonts w:ascii="Arial" w:cs="Arial" w:eastAsia="Arial" w:hAnsi="Arial"/>
                <w:sz w:val="11"/>
                <w:szCs w:val="11"/>
                <w:color w:val="auto"/>
              </w:rPr>
              <w:t>(d)</w:t>
            </w:r>
          </w:p>
        </w:tc>
        <w:tc>
          <w:tcPr>
            <w:tcW w:w="3540" w:type="dxa"/>
            <w:vAlign w:val="bottom"/>
            <w:gridSpan w:val="2"/>
          </w:tcPr>
          <w:p>
            <w:pPr>
              <w:jc w:val="right"/>
              <w:ind w:right="2680"/>
              <w:spacing w:after="0"/>
              <w:rPr>
                <w:sz w:val="20"/>
                <w:szCs w:val="20"/>
                <w:color w:val="auto"/>
              </w:rPr>
            </w:pPr>
            <w:r>
              <w:rPr>
                <w:rFonts w:ascii="Arial" w:cs="Arial" w:eastAsia="Arial" w:hAnsi="Arial"/>
                <w:sz w:val="18"/>
                <w:szCs w:val="18"/>
                <w:color w:val="auto"/>
              </w:rPr>
              <w:t>12/6/2012</w:t>
            </w:r>
          </w:p>
        </w:tc>
        <w:tc>
          <w:tcPr>
            <w:tcW w:w="3480" w:type="dxa"/>
            <w:vAlign w:val="bottom"/>
            <w:gridSpan w:val="2"/>
          </w:tcPr>
          <w:p>
            <w:pPr>
              <w:jc w:val="right"/>
              <w:ind w:right="2700"/>
              <w:spacing w:after="0"/>
              <w:rPr>
                <w:sz w:val="20"/>
                <w:szCs w:val="20"/>
                <w:color w:val="auto"/>
              </w:rPr>
            </w:pPr>
            <w:r>
              <w:rPr>
                <w:rFonts w:ascii="Arial" w:cs="Arial" w:eastAsia="Arial" w:hAnsi="Arial"/>
                <w:sz w:val="18"/>
                <w:szCs w:val="18"/>
                <w:color w:val="auto"/>
              </w:rPr>
              <w:t>9/6/2017</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w w:val="93"/>
              </w:rPr>
              <w:t>2.96%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or will be, first hedged by the applicable swap agreement.</w:t>
      </w:r>
    </w:p>
    <w:p>
      <w:pPr>
        <w:spacing w:after="0" w:line="15"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4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46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Interest payments made during the nine-month period of each year that begins with the month and day of the effective date are hedged by the swap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Master Accounts Receivable Purchase Agreement</w:t>
      </w:r>
    </w:p>
    <w:p>
      <w:pPr>
        <w:spacing w:after="0" w:line="90" w:lineRule="exact"/>
        <w:rPr>
          <w:sz w:val="20"/>
          <w:szCs w:val="20"/>
          <w:color w:val="auto"/>
        </w:rPr>
      </w:pPr>
    </w:p>
    <w:p>
      <w:pPr>
        <w:jc w:val="both"/>
        <w:ind w:firstLine="456"/>
        <w:spacing w:after="0" w:line="309" w:lineRule="auto"/>
        <w:rPr>
          <w:sz w:val="20"/>
          <w:szCs w:val="20"/>
          <w:color w:val="auto"/>
        </w:rPr>
      </w:pPr>
      <w:r>
        <w:rPr>
          <w:rFonts w:ascii="Arial" w:cs="Arial" w:eastAsia="Arial" w:hAnsi="Arial"/>
          <w:sz w:val="15"/>
          <w:szCs w:val="15"/>
          <w:color w:val="auto"/>
        </w:rPr>
        <w:t>On September 21, 2011, the Company entered into a new Master Accounts Receivable Purchase Agreement (the “MARP Agreement”), with an initial stated termination date of September 21, 2012, or such later date as may be mutually agreed by the Company and the banks party thereto. The MARP Agreement, which is uncommitted, provides for the discretionary sale by the Company, and the discretionary purchase by the banks, on a revolving basis, of accounts receivable generated by sales to two specified account debtors in an aggregate amount not to exceed $325 million, with debtor sublimits ranging from $120 million to $250 million. Under the terms of the MARP Agreement, the banks have the opportunity to purchase those accounts receivable offered by the Company at a discount (from the agreed base value thereof) effectively equal to the greater of 7-day or 3-month LIBOR plus 1.05%. The MARP Agreement replaced the Company’s previous Master Accounts Receivable Purchase Agreement, which provided for the discounted sale, on an uncommitted, revolving basis, of accounts receivable generated by a single specified account debtor, with aggregate limits not to exceed $80 million and an interest rate that approximated the 7-day LIBOR rate plus 1.25%. The previous Master Accounts Receivable Purchase Agreement was scheduled to expire on September 30, 2011.</w:t>
      </w:r>
    </w:p>
    <w:p>
      <w:pPr>
        <w:spacing w:after="0" w:line="10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accounts for the sale of receivables under the MARP Agreement as short-term debt and continues to carry the receivables on its Consolidated Balance Sheet, primarily as a result of the Company’s right to repurchase receivables sold. There were no short-term borrowings under the MARP Agreement as of September 30, 2011 and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interest rate currently available to the Company fluctuates with the applicable LIBOR rate, prime rate or Federal Funds Effective Rate, and thus the carrying value is a reasonable estimate of fair value.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7.25% Senior Notes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fair value of the 7.25% Senior Notes can be determined based on the trading of the 7.25% Senior Notes in the open market. The difference between the carrying value and the fair value of the 7.25% Senior Notes represents the premium or discount on that date. Based on the trading value on or around September 30, 2011, the fair value of the 7.25% Senior Notes was approximately $206.0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fair value of the 6.625% Senior Notes can be determined based on the trading of the 6.625% Senior Notes. The difference between the carrying value and the fair value of the 6.625% Senior Notes represents the premium or discount on that date. Based on the trading value on or around September 30, 2011, the fair value of the 6.625% Senior Notes was approximately $198.1 million.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fair values of the Company’s debt instruments are as follows for the fiscal years ended September 30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90"/>
              </w:rPr>
              <w:t>Carrying</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jc w:val="right"/>
              <w:ind w:right="42"/>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Value</w:t>
            </w:r>
          </w:p>
        </w:tc>
      </w:tr>
      <w:tr>
        <w:trPr>
          <w:trHeight w:val="210"/>
        </w:trPr>
        <w:tc>
          <w:tcPr>
            <w:tcW w:w="460" w:type="dxa"/>
            <w:vAlign w:val="bottom"/>
          </w:tcPr>
          <w:p>
            <w:pPr>
              <w:spacing w:after="0"/>
              <w:rPr>
                <w:sz w:val="18"/>
                <w:szCs w:val="18"/>
                <w:color w:val="auto"/>
              </w:rPr>
            </w:pPr>
          </w:p>
        </w:tc>
        <w:tc>
          <w:tcPr>
            <w:tcW w:w="68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Revolving loans</w:t>
            </w: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$ 387.2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$387.2</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$ 111.7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Term loans</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302.4</w:t>
            </w: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302.4</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 – 7.25%</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200.0</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Senior Notes – 6.625%</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200.0</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198.1</w:t>
            </w:r>
          </w:p>
        </w:tc>
        <w:tc>
          <w:tcPr>
            <w:tcW w:w="3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Other</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7.1</w:t>
            </w:r>
          </w:p>
        </w:tc>
        <w:tc>
          <w:tcPr>
            <w:tcW w:w="780" w:type="dxa"/>
            <w:vAlign w:val="bottom"/>
            <w:gridSpan w:val="3"/>
          </w:tcPr>
          <w:p>
            <w:pPr>
              <w:jc w:val="right"/>
              <w:ind w:right="180"/>
              <w:spacing w:after="0"/>
              <w:rPr>
                <w:sz w:val="20"/>
                <w:szCs w:val="20"/>
                <w:color w:val="auto"/>
              </w:rPr>
            </w:pPr>
            <w:r>
              <w:rPr>
                <w:rFonts w:ascii="Arial" w:cs="Arial" w:eastAsia="Arial" w:hAnsi="Arial"/>
                <w:sz w:val="18"/>
                <w:szCs w:val="18"/>
                <w:color w:val="auto"/>
              </w:rPr>
              <w:t>7.1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r>
      <w:tr>
        <w:trPr>
          <w:trHeight w:val="451"/>
        </w:trPr>
        <w:tc>
          <w:tcPr>
            <w:tcW w:w="7280" w:type="dxa"/>
            <w:vAlign w:val="bottom"/>
            <w:gridSpan w:val="4"/>
          </w:tcPr>
          <w:p>
            <w:pPr>
              <w:spacing w:after="0"/>
              <w:rPr>
                <w:sz w:val="20"/>
                <w:szCs w:val="20"/>
                <w:color w:val="auto"/>
              </w:rPr>
            </w:pPr>
            <w:r>
              <w:rPr>
                <w:rFonts w:ascii="Arial" w:cs="Arial" w:eastAsia="Arial" w:hAnsi="Arial"/>
                <w:sz w:val="18"/>
                <w:szCs w:val="18"/>
                <w:b w:val="1"/>
                <w:bCs w:val="1"/>
                <w:color w:val="auto"/>
              </w:rPr>
              <w:t>NOTE 12. SHAREHOLDERS’ EQUITY</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280" w:type="dxa"/>
            <w:vAlign w:val="bottom"/>
            <w:gridSpan w:val="4"/>
          </w:tcPr>
          <w:p>
            <w:pPr>
              <w:ind w:left="460"/>
              <w:spacing w:after="0"/>
              <w:rPr>
                <w:sz w:val="20"/>
                <w:szCs w:val="20"/>
                <w:color w:val="auto"/>
              </w:rPr>
            </w:pPr>
            <w:r>
              <w:rPr>
                <w:rFonts w:ascii="Arial" w:cs="Arial" w:eastAsia="Arial" w:hAnsi="Arial"/>
                <w:sz w:val="18"/>
                <w:szCs w:val="18"/>
                <w:color w:val="auto"/>
              </w:rPr>
              <w:t>At September 30, authorized and issued capital shares consisted of the following:</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3"/>
          </w:tcPr>
          <w:p>
            <w:pPr>
              <w:jc w:val="center"/>
              <w:ind w:right="4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 no par value:</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Authorized</w:t>
            </w:r>
          </w:p>
        </w:tc>
        <w:tc>
          <w:tcPr>
            <w:tcW w:w="1720" w:type="dxa"/>
            <w:vAlign w:val="bottom"/>
            <w:gridSpan w:val="5"/>
          </w:tcPr>
          <w:p>
            <w:pPr>
              <w:jc w:val="right"/>
              <w:ind w:right="640"/>
              <w:spacing w:after="0"/>
              <w:rPr>
                <w:sz w:val="20"/>
                <w:szCs w:val="20"/>
                <w:color w:val="auto"/>
              </w:rPr>
            </w:pPr>
            <w:r>
              <w:rPr>
                <w:rFonts w:ascii="Arial" w:cs="Arial" w:eastAsia="Arial" w:hAnsi="Arial"/>
                <w:sz w:val="18"/>
                <w:szCs w:val="18"/>
                <w:color w:val="auto"/>
              </w:rPr>
              <w:t>0.2 shares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0.2 shares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Issued</w:t>
            </w:r>
          </w:p>
        </w:tc>
        <w:tc>
          <w:tcPr>
            <w:tcW w:w="172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0.0 shares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 shares</w:t>
            </w:r>
          </w:p>
        </w:tc>
        <w:tc>
          <w:tcPr>
            <w:tcW w:w="12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Common shares, no par value, $.01 stated value per share</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Authorized</w:t>
            </w:r>
          </w:p>
        </w:tc>
        <w:tc>
          <w:tcPr>
            <w:tcW w:w="1720" w:type="dxa"/>
            <w:vAlign w:val="bottom"/>
            <w:gridSpan w:val="5"/>
            <w:shd w:val="clear" w:color="auto" w:fill="CCEEFF"/>
          </w:tcPr>
          <w:p>
            <w:pPr>
              <w:jc w:val="right"/>
              <w:ind w:right="640"/>
              <w:spacing w:after="0"/>
              <w:rPr>
                <w:sz w:val="20"/>
                <w:szCs w:val="20"/>
                <w:color w:val="auto"/>
              </w:rPr>
            </w:pPr>
            <w:r>
              <w:rPr>
                <w:rFonts w:ascii="Arial" w:cs="Arial" w:eastAsia="Arial" w:hAnsi="Arial"/>
                <w:sz w:val="18"/>
                <w:szCs w:val="18"/>
                <w:color w:val="auto"/>
              </w:rPr>
              <w:t>100.0 shares</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100.0 shares</w:t>
            </w:r>
          </w:p>
        </w:tc>
        <w:tc>
          <w:tcPr>
            <w:tcW w:w="120" w:type="dxa"/>
            <w:vAlign w:val="bottom"/>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900" w:type="dxa"/>
            <w:vAlign w:val="bottom"/>
            <w:gridSpan w:val="2"/>
          </w:tcPr>
          <w:p>
            <w:pPr>
              <w:ind w:left="440"/>
              <w:spacing w:after="0"/>
              <w:rPr>
                <w:sz w:val="20"/>
                <w:szCs w:val="20"/>
                <w:color w:val="auto"/>
              </w:rPr>
            </w:pPr>
            <w:r>
              <w:rPr>
                <w:rFonts w:ascii="Arial" w:cs="Arial" w:eastAsia="Arial" w:hAnsi="Arial"/>
                <w:sz w:val="18"/>
                <w:szCs w:val="18"/>
                <w:color w:val="auto"/>
              </w:rPr>
              <w:t>Issued</w:t>
            </w:r>
          </w:p>
        </w:tc>
        <w:tc>
          <w:tcPr>
            <w:tcW w:w="1720" w:type="dxa"/>
            <w:vAlign w:val="bottom"/>
            <w:gridSpan w:val="5"/>
          </w:tcPr>
          <w:p>
            <w:pPr>
              <w:jc w:val="right"/>
              <w:ind w:right="640"/>
              <w:spacing w:after="0"/>
              <w:rPr>
                <w:sz w:val="20"/>
                <w:szCs w:val="20"/>
                <w:color w:val="auto"/>
              </w:rPr>
            </w:pPr>
            <w:r>
              <w:rPr>
                <w:rFonts w:ascii="Arial" w:cs="Arial" w:eastAsia="Arial" w:hAnsi="Arial"/>
                <w:sz w:val="18"/>
                <w:szCs w:val="18"/>
                <w:color w:val="auto"/>
              </w:rPr>
              <w:t>68.1 shares</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68.1 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fiscal 1995, The Scotts Company merged with Stern’s Miracle-Gro Products, Inc. (“Miracle-Gro”). At September 30, 2011, the former shareholders of Miracle-Gro, including Hagedorn Partnership L.P., owned approximately 30% of Scotts Miracle-Gro’s outstanding common shares and, thus, have the ability to significantly influence the election of directors and other actions requiring the approval of Scotts Miracle-Gro’s shareholders.</w:t>
      </w:r>
    </w:p>
    <w:p>
      <w:pPr>
        <w:spacing w:after="0" w:line="10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11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August 2010, the Scotts Miracle-Gro Board of Directors authorized the repurchase of up to $500 million of Scotts Miracle-Gro’s common shares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authorization provides the Company with flexibility to purchase the Common Shares from time to time in open market purchases or through privately negotiated transactions. All or part of the repurchases may be made under Rule 10b5-1 plans, which the Company may enter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from time to time and which enable the repurchases to occur on a more regular basis, or pursuant to accelerated share repurchases. The share repurchase authorization, which expires September 30, 2014, may be suspended or discontinued at any time, and there can be no guarantee as to the timing or amount of any repurchases. Since the inception of this program in the fourth quarter of fiscal 2010 through September 30, 2011, Scotts Miracle-Gro has repurchased approximately 7.4 million Common Shares for $383.7 million to be held in treasury. Scotts Miracle-Gro repurchased 6.9 million Common Shares in fiscal 2011. Common Shares held in treasury totaling 1.2 million and 1.1 million were reissued in support of share-based compensation awards and employee purchases under the employee stock purchase plan during fiscal 2011 and fiscal 2010, respectively.</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90"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5"/>
          <w:szCs w:val="15"/>
          <w:color w:val="auto"/>
        </w:rPr>
        <w:t>Scotts Miracle-Gro grants share-based awards annually to officers, certain other employees of the Company and non-employee directors of Scotts Miracle-Gro. The share-based awards typically consist of stock options, restricted stock, restricted stock units and deferred stock units. Performance-based awards have also been made. Stock appreciation rights (“SARs”) have been granted, though not in recent years. SARs result in less dilution than stock options as the SAR holder receives a net share settlement upon exercise. All of these share-based awards have been made under plans approved by the shareholders. Generally, employee share-based awards provide for three-year cliff vesting. Vesting for non-employee director awards varies based on the length of service and age of each director at the time of the award. Vesting of performance-based awards are dependent on service and achievement of specified performance targets. Share-based awards are forfeited if a holder terminates employment or service with the Company prior to the vesting date. The Company estimates that 10-15% of its share-based awards will be forfeited based on an analysis of historical trends. This assumption is re-evaluated on an annual basis and adjusted as appropriate. Stock options and SAR awards have exercise prices equal to the market price of the underlying common shares on the date of grant with a term of 10 years. If available, Scotts Miracle-Gro will typically use treasury shares, or if not available, newly-issued Common Shares, in satisfaction of its share-based awards.</w:t>
      </w:r>
    </w:p>
    <w:p>
      <w:pPr>
        <w:spacing w:after="0" w:line="109"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A maximum of 18 million Common Shares are available for issuance under share-based award plans. At September 30, 2011, approximately 0.7 million Common Shares were not subject to outstanding awards and were available to underlie the grant of new share-based awards.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recap of the share-based awards granted during the periods indicated: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8"/>
              </w:rPr>
              <w:t>Year Ended September 30,</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Employees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Options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429,700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367,600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Restricted stock units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65,939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259,353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Performance shares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Performance units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53,874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Pr>
          <w:p>
            <w:pPr>
              <w:ind w:left="440"/>
              <w:spacing w:after="0"/>
              <w:rPr>
                <w:sz w:val="20"/>
                <w:szCs w:val="20"/>
                <w:color w:val="auto"/>
              </w:rPr>
            </w:pPr>
            <w:r>
              <w:rPr>
                <w:rFonts w:ascii="Arial" w:cs="Arial" w:eastAsia="Arial" w:hAnsi="Arial"/>
                <w:sz w:val="18"/>
                <w:szCs w:val="18"/>
                <w:color w:val="auto"/>
              </w:rPr>
              <w:t>Deferred stock units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30,296</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28,854</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awards</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579,809</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660,007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1,177,043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color w:val="auto"/>
              </w:rPr>
              <w:t>Aggregate fair value at grant dates (in millions)</w:t>
            </w: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vMerge w:val="continue"/>
          </w:tcPr>
          <w:p>
            <w:pPr>
              <w:spacing w:after="0"/>
              <w:rPr>
                <w:sz w:val="18"/>
                <w:szCs w:val="18"/>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020" w:type="dxa"/>
            <w:vAlign w:val="bottom"/>
          </w:tcPr>
          <w:p>
            <w:pPr>
              <w:spacing w:after="0"/>
              <w:rPr>
                <w:sz w:val="24"/>
                <w:szCs w:val="24"/>
                <w:color w:val="auto"/>
              </w:rPr>
            </w:pPr>
          </w:p>
        </w:tc>
        <w:tc>
          <w:tcPr>
            <w:tcW w:w="1700" w:type="dxa"/>
            <w:vAlign w:val="bottom"/>
          </w:tcPr>
          <w:p>
            <w:pPr>
              <w:jc w:val="right"/>
              <w:ind w:right="75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share-based compensation was as follows for the periods indicated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Year Ended September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w w:val="96"/>
              </w:rPr>
              <w:t>2011</w:t>
            </w:r>
          </w:p>
        </w:tc>
        <w:tc>
          <w:tcPr>
            <w:tcW w:w="13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9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w:t>
            </w:r>
          </w:p>
        </w:tc>
        <w:tc>
          <w:tcPr>
            <w:tcW w:w="2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$16.0</w:t>
            </w:r>
          </w:p>
        </w:tc>
        <w:tc>
          <w:tcPr>
            <w:tcW w:w="9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$16.4</w:t>
            </w:r>
          </w:p>
        </w:tc>
        <w:tc>
          <w:tcPr>
            <w:tcW w:w="9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Tax benefit recognized</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2240" w:type="dxa"/>
            <w:vAlign w:val="bottom"/>
            <w:gridSpan w:val="3"/>
          </w:tcPr>
          <w:p>
            <w:pPr>
              <w:jc w:val="right"/>
              <w:ind w:right="920"/>
              <w:spacing w:after="0"/>
              <w:rPr>
                <w:sz w:val="20"/>
                <w:szCs w:val="20"/>
                <w:color w:val="auto"/>
              </w:rPr>
            </w:pPr>
            <w:r>
              <w:rPr>
                <w:rFonts w:ascii="Arial" w:cs="Arial" w:eastAsia="Arial" w:hAnsi="Arial"/>
                <w:sz w:val="18"/>
                <w:szCs w:val="18"/>
                <w:color w:val="auto"/>
              </w:rPr>
              <w:t>6.3</w:t>
            </w: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September 30, 2011, total unrecognized compensation cost related to non-vested share-based awards amounted to $11.9 million. This cost is expected to be recognized over a weighted-average period of 1.9 years. The tax benefit realized from the tax deductions associated with the exercise of share-based awards and the vesting of restricted stock totaled $14.2 million for fiscal 2011.</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 Options/SARs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Aggregate stock option and SARs activity consisted of the following for the year ended September 30, 2011 (options/SARs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No. of</w:t>
            </w:r>
          </w:p>
        </w:tc>
        <w:tc>
          <w:tcPr>
            <w:tcW w:w="34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38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3"/>
              </w:rPr>
              <w:t>Options/SARs</w:t>
            </w:r>
          </w:p>
        </w:tc>
        <w:tc>
          <w:tcPr>
            <w:tcW w:w="340" w:type="dxa"/>
            <w:vAlign w:val="bottom"/>
          </w:tcPr>
          <w:p>
            <w:pPr>
              <w:spacing w:after="0"/>
              <w:rPr>
                <w:sz w:val="12"/>
                <w:szCs w:val="12"/>
                <w:color w:val="auto"/>
              </w:rPr>
            </w:pPr>
          </w:p>
        </w:tc>
        <w:tc>
          <w:tcPr>
            <w:tcW w:w="6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$31.74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Exercisable</w:t>
            </w: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summarizes certain information pertaining to stock option and SAR awards outstanding and exercisable at September 30, 2011 (options/SARs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15"/>
              <w:spacing w:after="0"/>
              <w:rPr>
                <w:sz w:val="20"/>
                <w:szCs w:val="20"/>
                <w:color w:val="auto"/>
              </w:rPr>
            </w:pPr>
            <w:r>
              <w:rPr>
                <w:rFonts w:ascii="Arial" w:cs="Arial" w:eastAsia="Arial" w:hAnsi="Arial"/>
                <w:sz w:val="14"/>
                <w:szCs w:val="14"/>
                <w:b w:val="1"/>
                <w:bCs w:val="1"/>
                <w:color w:val="auto"/>
                <w:w w:val="87"/>
              </w:rPr>
              <w:t>Awards Outstanding</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6"/>
              </w:rPr>
              <w:t>Awards Exercisable</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rPr>
              <w:t>WTD.</w:t>
            </w:r>
          </w:p>
        </w:tc>
        <w:tc>
          <w:tcPr>
            <w:tcW w:w="10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WTD.</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94"/>
              </w:rPr>
              <w:t>WTD.</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WTD.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No. of</w:t>
            </w:r>
          </w:p>
        </w:tc>
        <w:tc>
          <w:tcPr>
            <w:tcW w:w="48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Avg.</w:t>
            </w:r>
          </w:p>
        </w:tc>
        <w:tc>
          <w:tcPr>
            <w:tcW w:w="100" w:type="dxa"/>
            <w:vAlign w:val="bottom"/>
          </w:tcPr>
          <w:p>
            <w:pPr>
              <w:spacing w:after="0"/>
              <w:rPr>
                <w:sz w:val="12"/>
                <w:szCs w:val="12"/>
                <w:color w:val="auto"/>
              </w:rPr>
            </w:pPr>
          </w:p>
        </w:tc>
        <w:tc>
          <w:tcPr>
            <w:tcW w:w="10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Avg.</w:t>
            </w:r>
          </w:p>
        </w:tc>
        <w:tc>
          <w:tcPr>
            <w:tcW w:w="6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No. of</w:t>
            </w:r>
          </w:p>
        </w:tc>
        <w:tc>
          <w:tcPr>
            <w:tcW w:w="3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Avg.</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34"/>
        </w:trPr>
        <w:tc>
          <w:tcPr>
            <w:tcW w:w="5600" w:type="dxa"/>
            <w:vAlign w:val="bottom"/>
            <w:gridSpan w:val="2"/>
            <w:vMerge w:val="continue"/>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4"/>
              </w:rPr>
              <w:t>Options/</w:t>
            </w:r>
          </w:p>
        </w:tc>
        <w:tc>
          <w:tcPr>
            <w:tcW w:w="480" w:type="dxa"/>
            <w:vAlign w:val="bottom"/>
          </w:tcPr>
          <w:p>
            <w:pPr>
              <w:spacing w:after="0"/>
              <w:rPr>
                <w:sz w:val="11"/>
                <w:szCs w:val="11"/>
                <w:color w:val="auto"/>
              </w:rPr>
            </w:pPr>
          </w:p>
        </w:tc>
        <w:tc>
          <w:tcPr>
            <w:tcW w:w="102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1"/>
                <w:szCs w:val="11"/>
                <w:color w:val="auto"/>
              </w:rPr>
            </w:pPr>
          </w:p>
        </w:tc>
        <w:tc>
          <w:tcPr>
            <w:tcW w:w="100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3"/>
              </w:rPr>
              <w:t>Exercise</w:t>
            </w:r>
          </w:p>
        </w:tc>
        <w:tc>
          <w:tcPr>
            <w:tcW w:w="62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80"/>
              </w:rPr>
              <w:t>Options/</w:t>
            </w:r>
          </w:p>
        </w:tc>
        <w:tc>
          <w:tcPr>
            <w:tcW w:w="380" w:type="dxa"/>
            <w:vAlign w:val="bottom"/>
          </w:tcPr>
          <w:p>
            <w:pPr>
              <w:spacing w:after="0"/>
              <w:rPr>
                <w:sz w:val="11"/>
                <w:szCs w:val="11"/>
                <w:color w:val="auto"/>
              </w:rPr>
            </w:pPr>
          </w:p>
        </w:tc>
        <w:tc>
          <w:tcPr>
            <w:tcW w:w="112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3"/>
              </w:rPr>
              <w:t>Remaining</w:t>
            </w: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5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Exercise Price</w:t>
            </w: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SARs</w:t>
            </w:r>
          </w:p>
        </w:tc>
        <w:tc>
          <w:tcPr>
            <w:tcW w:w="480" w:type="dxa"/>
            <w:vAlign w:val="bottom"/>
          </w:tcPr>
          <w:p>
            <w:pPr>
              <w:spacing w:after="0"/>
              <w:rPr>
                <w:sz w:val="12"/>
                <w:szCs w:val="12"/>
                <w:color w:val="auto"/>
              </w:rPr>
            </w:pPr>
          </w:p>
        </w:tc>
        <w:tc>
          <w:tcPr>
            <w:tcW w:w="10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2"/>
                <w:szCs w:val="12"/>
                <w:color w:val="auto"/>
              </w:rPr>
            </w:pPr>
          </w:p>
        </w:tc>
        <w:tc>
          <w:tcPr>
            <w:tcW w:w="100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7"/>
              </w:rPr>
              <w:t>Price</w:t>
            </w:r>
          </w:p>
        </w:tc>
        <w:tc>
          <w:tcPr>
            <w:tcW w:w="62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SARS</w:t>
            </w:r>
          </w:p>
        </w:tc>
        <w:tc>
          <w:tcPr>
            <w:tcW w:w="380" w:type="dxa"/>
            <w:vAlign w:val="bottom"/>
          </w:tcPr>
          <w:p>
            <w:pPr>
              <w:spacing w:after="0"/>
              <w:rPr>
                <w:sz w:val="12"/>
                <w:szCs w:val="12"/>
                <w:color w:val="auto"/>
              </w:rPr>
            </w:pPr>
          </w:p>
        </w:tc>
        <w:tc>
          <w:tcPr>
            <w:tcW w:w="112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Life</w:t>
            </w:r>
          </w:p>
        </w:tc>
        <w:tc>
          <w:tcPr>
            <w:tcW w:w="6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$16.80 – $19.82</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$16.92</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0.07</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$16.92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$20.12 – $21.65</w:t>
            </w: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3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21.45</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$24.45 – $28.72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25.74</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$29.01 – $31.62</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3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29.17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$33.25 – $37.48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35.87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$37.89 – $38.90</w:t>
            </w: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380" w:type="dxa"/>
            <w:vAlign w:val="bottom"/>
          </w:tcPr>
          <w:p>
            <w:pPr>
              <w:spacing w:after="0"/>
              <w:rPr>
                <w:sz w:val="18"/>
                <w:szCs w:val="18"/>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38.59</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$40.81 – $51.73</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46.74</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38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$33.47</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00" w:type="dxa"/>
            <w:vAlign w:val="bottom"/>
          </w:tcPr>
          <w:p>
            <w:pPr>
              <w:jc w:val="right"/>
              <w:ind w:right="217"/>
              <w:spacing w:after="0"/>
              <w:rPr>
                <w:sz w:val="20"/>
                <w:szCs w:val="20"/>
                <w:color w:val="auto"/>
              </w:rPr>
            </w:pPr>
            <w:r>
              <w:rPr>
                <w:rFonts w:ascii="Arial" w:cs="Arial" w:eastAsia="Arial" w:hAnsi="Arial"/>
                <w:sz w:val="18"/>
                <w:szCs w:val="18"/>
                <w:color w:val="auto"/>
                <w:w w:val="89"/>
              </w:rPr>
              <w:t>94</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intrinsic value of the stock option and SAR awards outstanding and exercisable at September 30 were as follows (in millions):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w:t>
            </w:r>
          </w:p>
        </w:tc>
        <w:tc>
          <w:tcPr>
            <w:tcW w:w="3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rPr>
              <w:t>Exercisable</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grant date fair value of stock option awards are estimated using a binomial model and the assumptions in the following table. Expected market price volatility is based on implied volatilities from traded options on Scotts Miracle-Gro’s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(normally ten years) of the stock option is based on the U.S. Treasury yield curve in effect at the time of grant. The expected life of stock options is based on historical experience and expectations for grants outstanding. The weighted average assumptions for awards granted are as follows for the periods indicated:</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Year Ended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56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3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740" w:type="dxa"/>
            <w:vAlign w:val="bottom"/>
          </w:tcPr>
          <w:p>
            <w:pPr>
              <w:spacing w:after="0"/>
              <w:rPr>
                <w:sz w:val="12"/>
                <w:szCs w:val="12"/>
                <w:color w:val="auto"/>
              </w:rPr>
            </w:pPr>
          </w:p>
        </w:tc>
        <w:tc>
          <w:tcPr>
            <w:tcW w:w="5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market price volatility</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7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040" w:type="dxa"/>
            <w:vAlign w:val="bottom"/>
            <w:gridSpan w:val="3"/>
          </w:tcPr>
          <w:p>
            <w:pPr>
              <w:jc w:val="right"/>
              <w:ind w:right="740"/>
              <w:spacing w:after="0"/>
              <w:rPr>
                <w:sz w:val="20"/>
                <w:szCs w:val="20"/>
                <w:color w:val="auto"/>
              </w:rPr>
            </w:pPr>
            <w:r>
              <w:rPr>
                <w:rFonts w:ascii="Arial" w:cs="Arial" w:eastAsia="Arial" w:hAnsi="Arial"/>
                <w:sz w:val="18"/>
                <w:szCs w:val="18"/>
                <w:color w:val="auto"/>
              </w:rPr>
              <w:t>2.8%</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Expected life of stock options in years</w:t>
            </w:r>
          </w:p>
        </w:tc>
        <w:tc>
          <w:tcPr>
            <w:tcW w:w="560" w:type="dxa"/>
            <w:vAlign w:val="bottom"/>
          </w:tcPr>
          <w:p>
            <w:pPr>
              <w:jc w:val="right"/>
              <w:spacing w:after="0"/>
              <w:rPr>
                <w:sz w:val="20"/>
                <w:szCs w:val="20"/>
                <w:color w:val="auto"/>
              </w:rPr>
            </w:pPr>
            <w:r>
              <w:rPr>
                <w:rFonts w:ascii="Arial" w:cs="Arial" w:eastAsia="Arial" w:hAnsi="Arial"/>
                <w:sz w:val="18"/>
                <w:szCs w:val="18"/>
                <w:color w:val="auto"/>
              </w:rPr>
              <w:t>5.97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Estimated weighted-average fair value per stock option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$ 14.06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$ 12.90</w:t>
            </w: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7.93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total intrinsic value of stock options exercised was $22.4 million, $25.9 million and $16.1 million during fiscal 2011, fiscal 2010 and fiscal 2009, respectively. Cash received from the exercise of stock options for fiscal 2011 was $31.5 million.</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Restricted share-based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share-based award activity (including restricted stock, restricted stock units and deferred stock units) was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3"/>
          </w:tcPr>
          <w:p>
            <w:pPr>
              <w:jc w:val="center"/>
              <w:ind w:left="134"/>
              <w:spacing w:after="0"/>
              <w:rPr>
                <w:sz w:val="20"/>
                <w:szCs w:val="20"/>
                <w:color w:val="auto"/>
              </w:rPr>
            </w:pPr>
            <w:r>
              <w:rPr>
                <w:rFonts w:ascii="Arial" w:cs="Arial" w:eastAsia="Arial" w:hAnsi="Arial"/>
                <w:sz w:val="14"/>
                <w:szCs w:val="14"/>
                <w:b w:val="1"/>
                <w:bCs w:val="1"/>
                <w:color w:val="auto"/>
                <w:w w:val="91"/>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No. of</w:t>
            </w:r>
          </w:p>
        </w:tc>
        <w:tc>
          <w:tcPr>
            <w:tcW w:w="3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Awards outstanding at September 30, 2008</w:t>
            </w:r>
          </w:p>
        </w:tc>
        <w:tc>
          <w:tcPr>
            <w:tcW w:w="29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371,836</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43.91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Granted</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483,843</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(114,730)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Forfeited</w:t>
            </w:r>
          </w:p>
        </w:tc>
        <w:tc>
          <w:tcPr>
            <w:tcW w:w="29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(33,000)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September 30, 2009</w:t>
            </w:r>
          </w:p>
        </w:tc>
        <w:tc>
          <w:tcPr>
            <w:tcW w:w="29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707,949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Granted</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288,207</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(129,130)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Forfeited</w:t>
            </w:r>
          </w:p>
        </w:tc>
        <w:tc>
          <w:tcPr>
            <w:tcW w:w="29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(26,600)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September 30, 2010</w:t>
            </w:r>
          </w:p>
        </w:tc>
        <w:tc>
          <w:tcPr>
            <w:tcW w:w="29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840,426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Granted</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96,235</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(136,355)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Forfeited</w:t>
            </w:r>
          </w:p>
        </w:tc>
        <w:tc>
          <w:tcPr>
            <w:tcW w:w="292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(103,400)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September 30, 2011</w:t>
            </w:r>
          </w:p>
        </w:tc>
        <w:tc>
          <w:tcPr>
            <w:tcW w:w="29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696,906</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920" w:type="dxa"/>
            <w:vAlign w:val="bottom"/>
            <w:vMerge w:val="restart"/>
          </w:tcPr>
          <w:p>
            <w:pPr>
              <w:jc w:val="right"/>
              <w:ind w:right="2052"/>
              <w:spacing w:after="0"/>
              <w:rPr>
                <w:sz w:val="20"/>
                <w:szCs w:val="20"/>
                <w:color w:val="auto"/>
              </w:rPr>
            </w:pPr>
            <w:r>
              <w:rPr>
                <w:rFonts w:ascii="Arial" w:cs="Arial" w:eastAsia="Arial" w:hAnsi="Arial"/>
                <w:sz w:val="18"/>
                <w:szCs w:val="18"/>
                <w:color w:val="auto"/>
              </w:rPr>
              <w:t>95</w:t>
            </w: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fair value of restricted stock vested was $4.6 million, $5.2 million and $4.4 million during fiscal 2011, fiscal 2010 and fiscal 2009,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total fair value of restricted stock units vested was $0.6 million, $0.4 million and $0.2 million during fiscal 2011, fiscal 2010 and fiscal 2009, respectively.</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Performance-based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Performance-based award activity was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w w:val="91"/>
              </w:rPr>
              <w:t>WTD. Avg.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No. of</w:t>
            </w:r>
          </w:p>
        </w:tc>
        <w:tc>
          <w:tcPr>
            <w:tcW w:w="2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Awards outstanding at September 30, 2008</w:t>
            </w:r>
          </w:p>
        </w:tc>
        <w:tc>
          <w:tcPr>
            <w:tcW w:w="30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27.98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Granted</w:t>
            </w:r>
          </w:p>
        </w:tc>
        <w:tc>
          <w:tcPr>
            <w:tcW w:w="308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Forfeited</w:t>
            </w:r>
          </w:p>
        </w:tc>
        <w:tc>
          <w:tcPr>
            <w:tcW w:w="30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(4,962)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September 30, 2009</w:t>
            </w:r>
          </w:p>
        </w:tc>
        <w:tc>
          <w:tcPr>
            <w:tcW w:w="30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Granted</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4,200</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Forfeited</w:t>
            </w:r>
          </w:p>
        </w:tc>
        <w:tc>
          <w:tcPr>
            <w:tcW w:w="30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September 30, 2010</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Granted</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53,874</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(35,774)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Forfeited</w:t>
            </w:r>
          </w:p>
        </w:tc>
        <w:tc>
          <w:tcPr>
            <w:tcW w:w="30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Awards outstanding at September 30, 2011</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42,300</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80" w:type="dxa"/>
            <w:vAlign w:val="bottom"/>
            <w:vMerge w:val="restart"/>
          </w:tcPr>
          <w:p>
            <w:pPr>
              <w:jc w:val="right"/>
              <w:ind w:right="2212"/>
              <w:spacing w:after="0"/>
              <w:rPr>
                <w:sz w:val="20"/>
                <w:szCs w:val="20"/>
                <w:color w:val="auto"/>
              </w:rPr>
            </w:pPr>
            <w:r>
              <w:rPr>
                <w:rFonts w:ascii="Arial" w:cs="Arial" w:eastAsia="Arial" w:hAnsi="Arial"/>
                <w:sz w:val="18"/>
                <w:szCs w:val="18"/>
                <w:color w:val="auto"/>
              </w:rPr>
              <w:t>96</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COMMON SHARE</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following table presents information necessary to calculate basic and diluted earnings per common share. Basic earnings per common share are computed by dividing income from continuing operations, income from discontinued operations or net income by the weighted average number of common shares outstanding. Diluted earnings per common share are computed by dividing income from continuing operations, income from discontinued operations or net income by the weighted average number of common shares outstanding plus all potentially dilutive securities. Stock options with exercise prices greater than the average market price of the underlying common shares are excluded from the computation of diluted earnings per common share because they are out-of-the-money and the effect of their inclusion would be anti-dilutive. The number of common shares covered by out-of-the-money stock options was 0.2 million, 0.2 million and 2.3 million for the years ended September 30, 2011, 2010 and 2009, respectively.</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ind w:left="256"/>
              <w:spacing w:after="0"/>
              <w:rPr>
                <w:sz w:val="20"/>
                <w:szCs w:val="20"/>
                <w:color w:val="auto"/>
              </w:rPr>
            </w:pPr>
            <w:r>
              <w:rPr>
                <w:rFonts w:ascii="Arial" w:cs="Arial" w:eastAsia="Arial" w:hAnsi="Arial"/>
                <w:sz w:val="14"/>
                <w:szCs w:val="14"/>
                <w:b w:val="1"/>
                <w:bCs w:val="1"/>
                <w:color w:val="auto"/>
                <w:w w:val="87"/>
              </w:rPr>
              <w:t>Year Ended September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gridSpan w:val="7"/>
          </w:tcPr>
          <w:p>
            <w:pPr>
              <w:jc w:val="center"/>
              <w:ind w:right="34"/>
              <w:spacing w:after="0" w:line="142" w:lineRule="exact"/>
              <w:rPr>
                <w:sz w:val="20"/>
                <w:szCs w:val="20"/>
                <w:color w:val="auto"/>
              </w:rPr>
            </w:pPr>
            <w:r>
              <w:rPr>
                <w:rFonts w:ascii="Arial" w:cs="Arial" w:eastAsia="Arial" w:hAnsi="Arial"/>
                <w:sz w:val="14"/>
                <w:szCs w:val="14"/>
                <w:b w:val="1"/>
                <w:bCs w:val="1"/>
                <w:color w:val="auto"/>
                <w:w w:val="87"/>
              </w:rPr>
              <w:t>(In millions,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121.9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200.5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2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167.9</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204.1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common shares outstanding</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during the period</w:t>
            </w:r>
          </w:p>
        </w:tc>
        <w:tc>
          <w:tcPr>
            <w:tcW w:w="25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4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ind w:left="440"/>
              <w:spacing w:after="0"/>
              <w:rPr>
                <w:sz w:val="20"/>
                <w:szCs w:val="20"/>
                <w:color w:val="auto"/>
              </w:rPr>
            </w:pPr>
            <w:r>
              <w:rPr>
                <w:rFonts w:ascii="Arial" w:cs="Arial" w:eastAsia="Arial" w:hAnsi="Arial"/>
                <w:sz w:val="18"/>
                <w:szCs w:val="18"/>
                <w:color w:val="auto"/>
              </w:rPr>
              <w:t>Income from continuing operations</w:t>
            </w:r>
          </w:p>
        </w:tc>
        <w:tc>
          <w:tcPr>
            <w:tcW w:w="2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20" w:type="dxa"/>
            <w:vAlign w:val="bottom"/>
            <w:vMerge w:val="continue"/>
          </w:tcPr>
          <w:p>
            <w:pPr>
              <w:spacing w:after="0"/>
              <w:rPr>
                <w:sz w:val="18"/>
                <w:szCs w:val="18"/>
                <w:color w:val="auto"/>
              </w:rPr>
            </w:pPr>
          </w:p>
        </w:tc>
        <w:tc>
          <w:tcPr>
            <w:tcW w:w="2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1.88</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3.03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discontinued operations</w:t>
            </w:r>
          </w:p>
        </w:tc>
        <w:tc>
          <w:tcPr>
            <w:tcW w:w="2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6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3.08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20" w:type="dxa"/>
            <w:vAlign w:val="bottom"/>
          </w:tcPr>
          <w:p>
            <w:pPr>
              <w:ind w:left="440"/>
              <w:spacing w:after="0"/>
              <w:rPr>
                <w:sz w:val="20"/>
                <w:szCs w:val="20"/>
                <w:color w:val="auto"/>
              </w:rPr>
            </w:pPr>
            <w:r>
              <w:rPr>
                <w:rFonts w:ascii="Arial" w:cs="Arial" w:eastAsia="Arial" w:hAnsi="Arial"/>
                <w:sz w:val="18"/>
                <w:szCs w:val="18"/>
                <w:color w:val="auto"/>
              </w:rPr>
              <w:t>Weighted-average common shares outstanding</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660"/>
              <w:spacing w:after="0"/>
              <w:rPr>
                <w:sz w:val="20"/>
                <w:szCs w:val="20"/>
                <w:color w:val="auto"/>
              </w:rPr>
            </w:pPr>
            <w:r>
              <w:rPr>
                <w:rFonts w:ascii="Arial" w:cs="Arial" w:eastAsia="Arial" w:hAnsi="Arial"/>
                <w:sz w:val="18"/>
                <w:szCs w:val="18"/>
                <w:color w:val="auto"/>
              </w:rPr>
              <w:t>during the period</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potential common shares</w:t>
            </w:r>
          </w:p>
        </w:tc>
        <w:tc>
          <w:tcPr>
            <w:tcW w:w="2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420" w:type="dxa"/>
            <w:vAlign w:val="bottom"/>
          </w:tcPr>
          <w:p>
            <w:pPr>
              <w:ind w:left="440"/>
              <w:spacing w:after="0"/>
              <w:rPr>
                <w:sz w:val="20"/>
                <w:szCs w:val="20"/>
                <w:color w:val="auto"/>
              </w:rPr>
            </w:pPr>
            <w:r>
              <w:rPr>
                <w:rFonts w:ascii="Arial" w:cs="Arial" w:eastAsia="Arial" w:hAnsi="Arial"/>
                <w:sz w:val="18"/>
                <w:szCs w:val="18"/>
                <w:color w:val="auto"/>
              </w:rPr>
              <w:t>Weighted-average number of common shares</w:t>
            </w:r>
          </w:p>
        </w:tc>
        <w:tc>
          <w:tcPr>
            <w:tcW w:w="2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660"/>
              <w:spacing w:after="0"/>
              <w:rPr>
                <w:sz w:val="20"/>
                <w:szCs w:val="20"/>
                <w:color w:val="auto"/>
              </w:rPr>
            </w:pPr>
            <w:r>
              <w:rPr>
                <w:rFonts w:ascii="Arial" w:cs="Arial" w:eastAsia="Arial" w:hAnsi="Arial"/>
                <w:sz w:val="18"/>
                <w:szCs w:val="18"/>
                <w:color w:val="auto"/>
                <w:w w:val="94"/>
              </w:rPr>
              <w:t>outstanding and dilutive potential common shares</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66.2</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w:t>
            </w:r>
          </w:p>
        </w:tc>
        <w:tc>
          <w:tcPr>
            <w:tcW w:w="2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440"/>
              <w:spacing w:after="0"/>
              <w:rPr>
                <w:sz w:val="20"/>
                <w:szCs w:val="20"/>
                <w:color w:val="auto"/>
              </w:rPr>
            </w:pPr>
            <w:r>
              <w:rPr>
                <w:rFonts w:ascii="Arial" w:cs="Arial" w:eastAsia="Arial" w:hAnsi="Arial"/>
                <w:sz w:val="18"/>
                <w:szCs w:val="18"/>
                <w:color w:val="auto"/>
              </w:rPr>
              <w:t>Income from discontinued operations</w:t>
            </w:r>
          </w:p>
        </w:tc>
        <w:tc>
          <w:tcPr>
            <w:tcW w:w="2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2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520" w:type="dxa"/>
            <w:vAlign w:val="bottom"/>
            <w:vMerge w:val="restart"/>
          </w:tcPr>
          <w:p>
            <w:pPr>
              <w:jc w:val="right"/>
              <w:ind w:right="1972"/>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 (benefit) for income taxes allocated to continuing operations consisted of the following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420" w:type="dxa"/>
            <w:vAlign w:val="bottom"/>
            <w:gridSpan w:val="8"/>
          </w:tcPr>
          <w:p>
            <w:pPr>
              <w:ind w:left="40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2010</w:t>
            </w:r>
          </w:p>
        </w:tc>
        <w:tc>
          <w:tcPr>
            <w:tcW w:w="5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Federal</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$57.3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83.9</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Foreign</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6.3</w:t>
            </w: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97.5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Deferred:</w:t>
            </w:r>
          </w:p>
        </w:tc>
        <w:tc>
          <w:tcPr>
            <w:tcW w:w="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State</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1.3</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0.6</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880"/>
              <w:spacing w:after="0"/>
              <w:rPr>
                <w:sz w:val="20"/>
                <w:szCs w:val="20"/>
                <w:color w:val="auto"/>
              </w:rPr>
            </w:pPr>
            <w:r>
              <w:rPr>
                <w:rFonts w:ascii="Arial" w:cs="Arial" w:eastAsia="Arial" w:hAnsi="Arial"/>
                <w:sz w:val="18"/>
                <w:szCs w:val="18"/>
                <w:color w:val="auto"/>
              </w:rPr>
              <w:t>Total Deferred</w:t>
            </w: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21.9</w:t>
            </w: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7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72.9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79"/>
              </w:rPr>
              <w:t>119.4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domestic and foreign components of income from continuing operations before income taxes were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7"/>
              </w:rPr>
              <w:t>Year Ended 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50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2011</w:t>
            </w:r>
          </w:p>
        </w:tc>
        <w:tc>
          <w:tcPr>
            <w:tcW w:w="106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500" w:type="dxa"/>
            <w:vAlign w:val="bottom"/>
          </w:tcPr>
          <w:p>
            <w:pPr>
              <w:jc w:val="right"/>
              <w:ind w:right="1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$177.9</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$307.8</w:t>
            </w:r>
          </w:p>
        </w:tc>
        <w:tc>
          <w:tcPr>
            <w:tcW w:w="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Foreign</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5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5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319.9</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208.1</w:t>
            </w:r>
          </w:p>
        </w:tc>
        <w:tc>
          <w:tcPr>
            <w:tcW w:w="100" w:type="dxa"/>
            <w:vAlign w:val="bottom"/>
            <w:shd w:val="clear" w:color="auto" w:fill="CCEEFF"/>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reconciliation of the federal corporate income tax rate and the effective tax rate on income from continuing operations before income taxes is summarized below:</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Year Ended September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6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income tax rate</w:t>
            </w: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35.0%</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3360" w:type="dxa"/>
            <w:vAlign w:val="bottom"/>
            <w:gridSpan w:val="3"/>
          </w:tcPr>
          <w:p>
            <w:pPr>
              <w:jc w:val="right"/>
              <w:ind w:right="512"/>
              <w:spacing w:after="0"/>
              <w:rPr>
                <w:sz w:val="20"/>
                <w:szCs w:val="20"/>
                <w:color w:val="auto"/>
              </w:rPr>
            </w:pPr>
            <w:r>
              <w:rPr>
                <w:rFonts w:ascii="Arial" w:cs="Arial" w:eastAsia="Arial" w:hAnsi="Arial"/>
                <w:sz w:val="18"/>
                <w:szCs w:val="18"/>
                <w:color w:val="auto"/>
              </w:rPr>
              <w:t>(0.4)</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(0.2)</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benefit</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Change in state NOL and credit carryforwards</w:t>
            </w:r>
          </w:p>
        </w:tc>
        <w:tc>
          <w:tcPr>
            <w:tcW w:w="3360" w:type="dxa"/>
            <w:vAlign w:val="bottom"/>
            <w:gridSpan w:val="3"/>
          </w:tcPr>
          <w:p>
            <w:pPr>
              <w:jc w:val="right"/>
              <w:ind w:right="512"/>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0.1</w:t>
            </w: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tax credit</w:t>
            </w:r>
          </w:p>
        </w:tc>
        <w:tc>
          <w:tcPr>
            <w:tcW w:w="33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(0.2)</w:t>
            </w:r>
          </w:p>
        </w:tc>
        <w:tc>
          <w:tcPr>
            <w:tcW w:w="10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w w:val="92"/>
              </w:rPr>
              <w:t>Effect of goodwill impairment and other permanent differences</w:t>
            </w:r>
          </w:p>
        </w:tc>
        <w:tc>
          <w:tcPr>
            <w:tcW w:w="2320" w:type="dxa"/>
            <w:vAlign w:val="bottom"/>
          </w:tcPr>
          <w:p>
            <w:pPr>
              <w:spacing w:after="0"/>
              <w:rPr>
                <w:sz w:val="18"/>
                <w:szCs w:val="18"/>
                <w:color w:val="auto"/>
              </w:rPr>
            </w:pPr>
          </w:p>
        </w:tc>
        <w:tc>
          <w:tcPr>
            <w:tcW w:w="10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(0.6)</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Resolution of prior tax contingencies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18"/>
                <w:szCs w:val="18"/>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8"/>
                <w:szCs w:val="18"/>
                <w:color w:val="auto"/>
              </w:rPr>
              <w:t>(0.5)</w:t>
            </w:r>
          </w:p>
        </w:tc>
        <w:tc>
          <w:tcPr>
            <w:tcW w:w="10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37.4%</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320" w:type="dxa"/>
            <w:vAlign w:val="bottom"/>
            <w:vMerge w:val="restart"/>
          </w:tcPr>
          <w:p>
            <w:pPr>
              <w:jc w:val="right"/>
              <w:ind w:right="1932"/>
              <w:spacing w:after="0"/>
              <w:rPr>
                <w:sz w:val="20"/>
                <w:szCs w:val="20"/>
                <w:color w:val="auto"/>
              </w:rPr>
            </w:pPr>
            <w:r>
              <w:rPr>
                <w:rFonts w:ascii="Arial" w:cs="Arial" w:eastAsia="Arial" w:hAnsi="Arial"/>
                <w:sz w:val="18"/>
                <w:szCs w:val="18"/>
                <w:color w:val="auto"/>
              </w:rPr>
              <w:t>98</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 (in millions):</w:t>
      </w:r>
    </w:p>
    <w:p>
      <w:pPr>
        <w:spacing w:after="0" w:line="12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2011</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18.3</w:t>
            </w:r>
          </w:p>
        </w:tc>
        <w:tc>
          <w:tcPr>
            <w:tcW w:w="4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liabilities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Postretirement benefits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State NOL carryovers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NOL carryovers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Foreign tax credit carryovers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44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208.2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(44.3)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21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163.9</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plant and equipment</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Intangible assets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(74.5)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640" w:type="dxa"/>
            <w:vAlign w:val="bottom"/>
            <w:vMerge w:val="restart"/>
          </w:tcPr>
          <w:p>
            <w:pPr>
              <w:ind w:left="440"/>
              <w:spacing w:after="0"/>
              <w:rPr>
                <w:sz w:val="20"/>
                <w:szCs w:val="20"/>
                <w:color w:val="auto"/>
              </w:rPr>
            </w:pPr>
            <w:r>
              <w:rPr>
                <w:rFonts w:ascii="Arial" w:cs="Arial" w:eastAsia="Arial" w:hAnsi="Arial"/>
                <w:sz w:val="18"/>
                <w:szCs w:val="18"/>
                <w:color w:val="auto"/>
              </w:rPr>
              <w:t>Total deferred tax liabilities</w:t>
            </w:r>
          </w:p>
        </w:tc>
        <w:tc>
          <w:tcPr>
            <w:tcW w:w="2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40" w:type="dxa"/>
            <w:vAlign w:val="bottom"/>
            <w:vMerge w:val="continue"/>
          </w:tcPr>
          <w:p>
            <w:pPr>
              <w:spacing w:after="0"/>
              <w:rPr>
                <w:sz w:val="19"/>
                <w:szCs w:val="19"/>
                <w:color w:val="auto"/>
              </w:rPr>
            </w:pPr>
          </w:p>
        </w:tc>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(141.0)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(139.6)</w:t>
            </w:r>
          </w:p>
        </w:tc>
        <w:tc>
          <w:tcPr>
            <w:tcW w:w="0" w:type="dxa"/>
            <w:vAlign w:val="bottom"/>
          </w:tcPr>
          <w:p>
            <w:pPr>
              <w:spacing w:after="0"/>
              <w:rPr>
                <w:sz w:val="1"/>
                <w:szCs w:val="1"/>
                <w:color w:val="auto"/>
              </w:rPr>
            </w:pPr>
          </w:p>
        </w:tc>
      </w:tr>
      <w:tr>
        <w:trPr>
          <w:trHeight w:val="28"/>
        </w:trPr>
        <w:tc>
          <w:tcPr>
            <w:tcW w:w="46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deferred tax asset</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net current and non-current components of deferred income taxes recognized in the Consolidated Balance Sheets were (in millions):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76"/>
              </w:rPr>
              <w:t>2011</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3"/>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current deferred tax assets (classified with prepaid and other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88.1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current deferred tax assets held for sale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liabilities (classified with other liabilities)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(65.2)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Net non-current deferred tax liabilities held for sale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GAAP requires that a valuation allowance be placed against a deferred tax asset if it is more likely than not that the tax benefit associated with the asset will not be realized in the future. As shown in the table above, valuation allowances were placed against $44.3 million and $42.3 million of deferred tax assets as of September 30, 2011 and 2010, respectively. Most of these valuation allowances relate to certain foreign net operating losses, and the remainder relates to certain state net operating losses and a capital loss carryover. Each of these items is explained more fully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has elected to treat certain foreign entities as disregarded entities for U.S. tax purposes, which results in their net income or loss being recognized currently in the Company’s U.S. tax return. As such, the tax benefit of net operating losses available for foreign statutory tax purposes has already been recognized for U.S. purposes. Accordingly, a full valuation allowance is required on the tax benefit of these net operating losses on global consolidation. The foreign net operating losses of these foreign disregarded entities were $152.8 million at September 30, 2011, the majority of which have indefinite carryforward periods. The statutory tax benefit of these net operating loss carryovers, and related full valuation allowances thereon, amounted to $41.5 million and $39.6 million for the fiscal years ended September 30, 2011 and 2010, respectively.</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Foreign net operating losses of certain controlled foreign corporations were $4.7 million as of September 30, 2011, the majority of which have indefinite carryforward periods. Due to a history of losses in these entities, a full valuation allowance has also been placed against the statutory tax benefit associated with these losses amounting to $1.2 million and $1.3 million at September 30, 2011 and 2010, respectively.</w:t>
      </w:r>
    </w:p>
    <w:p>
      <w:pPr>
        <w:spacing w:after="0" w:line="14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State net operating losses were $25.8 million as of September 30, 2011, with carryforward periods ranging from 5 to 20 years. Any losses not utilized within a specific state’s carryforward period will expire. State net operating loss carryforwards included $0.4 million and $1.4 million of tax benefits relating to Smith &amp; Hawken at September 30, 2011 and 2010, respectively. As these losses may only be used against income of Smith &amp; Hawken, and cannot be used to offset income of the consolidated group, a full valuation allowance has been recorded against this tax asset.</w:t>
      </w:r>
    </w:p>
    <w:p>
      <w:pPr>
        <w:spacing w:after="0" w:line="113"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Tax benefits associated with state tax credits will expire if not utilized and amounted to $0.5 million at both September 30, 2011 and 2010. No valuation allowance has been placed against these credits as the Company should fully utilize the credits within their respective carryover periods.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Lastly, regarding valuation allowances, a full valuation allowance has been placed against a capital loss carryover generated in the current fiscal year related to the worthlessness and related write-off of the Company’s $3.3 million investment in the stock of Turf-Seed (Europe) Limited. As it is unlikely that the Company will generate capital gains within the five year carryover period to absorb this capital loss, a full valuation allowance has been placed against the associated deferred tax asset of $1.2 million.</w:t>
      </w:r>
    </w:p>
    <w:p>
      <w:pPr>
        <w:spacing w:after="0" w:line="143"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Deferred taxes have not been provided on unremitted earnings approximating $110.0 million of certain foreign subsidiaries and foreign corporate joint ventures as such earnings have been indefinitely reinvested. These foreign entities held cash and cash equivalents of $121.1 million and $78.0 million at September 30, 2011 and 2010, respectively. Our current plans do not demonstrate a need to, nor do we have plans to, repatriate the retained earnings from these subsidiaries as the earnings are indefinitely reinvested. However, in the future, if we determine it is necessary to repatriate these funds, or we sell or liquidate any of these subsidiaries, we may be required to pay associated taxes on the repatriation. We may also be required to withhold foreign taxes depending on the foreign jurisdiction from which the funds are repatriated. The effective rate of tax on such repatriations may materially differ from the federal statutory tax rate, thereby having a material impact on tax expense in the year of repatriation; however, the Company cannot reasonably estimate the amount of such a tax event.</w:t>
      </w:r>
    </w:p>
    <w:p>
      <w:pPr>
        <w:spacing w:after="0" w:line="10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14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Company had $8.9 million, $7.8 million and $6.2 million of gross unrecognized tax benefits related to uncertain tax positions at September 30, 2011, 2010 and 2009, respectively. Included in the September 30, 2011,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2010 and 2009 balances were $7.3 million, $6.4 million and $6.4 million, respectively, of unrecognized tax benefits that, if recognized, would have an impact on the effective tax rate.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unrecognized tax benefits for fiscal 2011, fiscal 2010 and fiscal 2009 is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$ 7.8</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2.1</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Reductions for tax positions of the current year</w:t>
            </w:r>
          </w:p>
        </w:tc>
        <w:tc>
          <w:tcPr>
            <w:tcW w:w="20" w:type="dxa"/>
            <w:vAlign w:val="bottom"/>
          </w:tcPr>
          <w:p>
            <w:pPr>
              <w:spacing w:after="0"/>
              <w:rPr>
                <w:sz w:val="18"/>
                <w:szCs w:val="18"/>
                <w:color w:val="auto"/>
              </w:rPr>
            </w:pPr>
          </w:p>
        </w:tc>
        <w:tc>
          <w:tcPr>
            <w:tcW w:w="7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(0.8)</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72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Settlements with tax authorities</w:t>
            </w:r>
          </w:p>
        </w:tc>
        <w:tc>
          <w:tcPr>
            <w:tcW w:w="720" w:type="dxa"/>
            <w:vAlign w:val="bottom"/>
            <w:gridSpan w:val="4"/>
          </w:tcPr>
          <w:p>
            <w:pPr>
              <w:jc w:val="right"/>
              <w:ind w:right="28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statutes of limitation</w:t>
            </w: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Balance at end of year</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00" w:type="dxa"/>
            <w:vAlign w:val="bottom"/>
            <w:vMerge w:val="continue"/>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$ 8.9</w:t>
            </w:r>
          </w:p>
        </w:tc>
        <w:tc>
          <w:tcPr>
            <w:tcW w:w="320" w:type="dxa"/>
            <w:vAlign w:val="bottom"/>
          </w:tcPr>
          <w:p>
            <w:pPr>
              <w:spacing w:after="0"/>
              <w:rPr>
                <w:sz w:val="19"/>
                <w:szCs w:val="19"/>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$ 7.8</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$ 6.2</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Company continues to recognize accrued interest and penalties related to unrecognized tax benefits as a component of the provision for income taxes. As of September 30, 2011, 2010 and 2009, respectively, the Company had $1.6 million, $1.3 million and $1.2 million accrued for the payment of interest that, if recognized, would impact the effective tax rate. As of September 30, 2011, 2010 and 2009, respectively, the Company had $0.7 million, $0.7 million and $0.6 million accrued for the payment of penalties that, if recognized, would impact the effective tax rate. For the year ended September 30, 2011, the Company recognized a $0.4 million of tax interest and tax penalties in its statement of operations.</w:t>
      </w:r>
    </w:p>
    <w:p>
      <w:pPr>
        <w:spacing w:after="0" w:line="11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With few exceptions, the Company is no longer subject to examinations by these tax authorities for fiscal years prior to 2008. The Company is currently under examination by certain foreign and U.S. state and local tax authorities. The Internal Revenue Service has completed its audit of the Company’s fiscal 2008 tax period which resulted in an immaterial change to tax expense and associated liability for unrecognized tax benefits. The audit did result in a cash payment due related to foreign tax credits that was timing in nature only. As such, the cash payment resulted in a corresponding increase of $7.8 million to a deferred tax asset related to foreign tax credit carrybacks and carryovers that are expected to be fully utilized within the ten year carryover period. In regard to the local German audit, the tax periods under investigation are limited to fiscal years 2004 through 2008. In regard to the U.S. state and local audits, the tax periods under investigation are limited to fiscal years 1997 through 2008. In addition to these aforementioned audits, certain other tax deficiency notices and refund claims for previous years remain unresolved.</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currently anticipates that few of its open and active audits will be resolved 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Management judgment is required in determining tax provisions and evaluating tax positions. Management believes its tax positions and related provisions reflected in the consolidated financial statements are fully supportable and appropriate. The Company established reserves for additional income taxes that may become due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if the tax positions are challenged and not sustained, and as such, the Company’s tax provision includes the impact of recording reserves and changes thereto.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DERIVATIVE INSTRUMENTS AND HEDGING ACTIVITIES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9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Company periodically uses foreign currency swap contracts to manage the exchange rate risk associated with intercompany loans with foreign subsidiaries that are denominated in local currencies. At September 30, 2011, the notional amount of outstanding foreign currency swap contracts was $217.9 million, with a fair value of $2.7 million. At September 30, 2010, the notional amount of outstanding foreign currency swap contracts was $209.9 million, with a liability position based on a negative fair value of $6.6 million. The fair value of foreign currency swap contracts is determined based on changes in spot rates. The unrealized loss on the foreign currency swap contracts approximates the unrealized gain on the intercompany loans recognized by the Company’s lending subsidiaries. The contracts will mature over the next fiscal year.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90" w:lineRule="exact"/>
        <w:rPr>
          <w:sz w:val="20"/>
          <w:szCs w:val="20"/>
          <w:color w:val="auto"/>
        </w:rPr>
      </w:pPr>
    </w:p>
    <w:p>
      <w:pPr>
        <w:jc w:val="both"/>
        <w:ind w:firstLine="456"/>
        <w:spacing w:after="0" w:line="318" w:lineRule="auto"/>
        <w:rPr>
          <w:sz w:val="20"/>
          <w:szCs w:val="20"/>
          <w:color w:val="auto"/>
        </w:rPr>
      </w:pPr>
      <w:r>
        <w:rPr>
          <w:rFonts w:ascii="Arial" w:cs="Arial" w:eastAsia="Arial" w:hAnsi="Arial"/>
          <w:sz w:val="15"/>
          <w:szCs w:val="15"/>
          <w:color w:val="auto"/>
        </w:rPr>
        <w:t>The Company enters into interest rate swap agreements as a means to hedge its variable interest rate risk on debt instruments. The fair values are reflected in the Company’s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loss (“AOCI”) within the Consolidated Balance Sheets. The fair value of the swap agreements is determined based on the present value of the estimated future net cash flows using implied rates in the applicable yield curve as of the valuation date.</w:t>
      </w:r>
    </w:p>
    <w:p>
      <w:pPr>
        <w:spacing w:after="0" w:line="10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At September 30, 2011 and 2010, the Company had outstanding interest rate swap agreements with major financial institutions that effectively converted a portion of the Company’s variable-rate debt to a fixed rate. The swap agreements had a total U.S. dollar equivalent notional amount of $900.0 million and $450.0 million at September 30, 2011 and 2010, respectively. Refer to “NOTE 11. DEBT” for the terms of the swap agreements outstanding at September 30, 2011. Included in the AOCI balance at September 30, 2011 is a loss of $6.6 million related to interest rate swap agreements that is expected to be reclassified to earnings during the next 12 months, consistent with the timing of the underlying hedged transactions.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9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had outstanding hedging arrangements at September 30, 2011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component of shareholders’ equity. Realized gains or losses remain as a component of AOCI until the related inventory is sold. Upon sale of the underlying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inventory, the gain or loss is reclassified to cost of sales. Included in the AOCI balance at September 30, 2011 was a gain of $1.1 million related to urea derivatives that is expected to be reclassified to earnings during the next 12 months, consistent with the timing of the underlying hedged transactions.</w:t>
      </w:r>
    </w:p>
    <w:p>
      <w:pPr>
        <w:spacing w:after="0" w:line="8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derivative contracts that do qualify for hedge accounting are recorded in other comprehensive income (expense),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September 30, 2011 was a loss of $0.2 million related to fuel derivatives that is expected to be reclassified to earnings during the next 12 months, consistent with the timing of the underlying hedged transactions.</w:t>
      </w:r>
    </w:p>
    <w:p>
      <w:pPr>
        <w:spacing w:after="0" w:line="118"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As of September 30, 2011 and 2010, the Company had the following outstanding commodity contracts that were entered into to hedge forecasted purchases: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Commodity</w:t>
            </w:r>
          </w:p>
        </w:tc>
        <w:tc>
          <w:tcPr>
            <w:tcW w:w="5820" w:type="dxa"/>
            <w:vAlign w:val="bottom"/>
            <w:gridSpan w:val="2"/>
          </w:tcPr>
          <w:p>
            <w:pPr>
              <w:jc w:val="right"/>
              <w:ind w:right="672"/>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5"/>
                <w:szCs w:val="15"/>
                <w:color w:val="auto"/>
              </w:rPr>
            </w:pPr>
          </w:p>
        </w:tc>
        <w:tc>
          <w:tcPr>
            <w:tcW w:w="1800" w:type="dxa"/>
            <w:vAlign w:val="bottom"/>
          </w:tcPr>
          <w:p>
            <w:pPr>
              <w:jc w:val="right"/>
              <w:ind w:right="699"/>
              <w:spacing w:after="0"/>
              <w:rPr>
                <w:sz w:val="20"/>
                <w:szCs w:val="20"/>
                <w:color w:val="auto"/>
              </w:rPr>
            </w:pPr>
            <w:r>
              <w:rPr>
                <w:rFonts w:ascii="Arial" w:cs="Arial" w:eastAsia="Arial" w:hAnsi="Arial"/>
                <w:sz w:val="14"/>
                <w:szCs w:val="14"/>
                <w:b w:val="1"/>
                <w:bCs w:val="1"/>
                <w:color w:val="auto"/>
              </w:rPr>
              <w:t>2010</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Urea</w:t>
            </w:r>
          </w:p>
        </w:tc>
        <w:tc>
          <w:tcPr>
            <w:tcW w:w="4040" w:type="dxa"/>
            <w:vAlign w:val="bottom"/>
          </w:tcPr>
          <w:p>
            <w:pPr>
              <w:spacing w:after="0"/>
              <w:rPr>
                <w:sz w:val="16"/>
                <w:szCs w:val="16"/>
                <w:color w:val="auto"/>
              </w:rPr>
            </w:pPr>
          </w:p>
        </w:tc>
        <w:tc>
          <w:tcPr>
            <w:tcW w:w="1780" w:type="dxa"/>
            <w:vAlign w:val="bottom"/>
            <w:tcBorders>
              <w:top w:val="single" w:sz="8" w:color="auto"/>
            </w:tcBorders>
          </w:tcPr>
          <w:p>
            <w:pPr>
              <w:ind w:left="560"/>
              <w:spacing w:after="0" w:line="195" w:lineRule="exact"/>
              <w:rPr>
                <w:sz w:val="20"/>
                <w:szCs w:val="20"/>
                <w:color w:val="auto"/>
              </w:rPr>
            </w:pPr>
            <w:r>
              <w:rPr>
                <w:rFonts w:ascii="Arial" w:cs="Arial" w:eastAsia="Arial" w:hAnsi="Arial"/>
                <w:sz w:val="18"/>
                <w:szCs w:val="18"/>
                <w:color w:val="auto"/>
              </w:rPr>
              <w:t>4,500 tons</w:t>
            </w:r>
          </w:p>
        </w:tc>
        <w:tc>
          <w:tcPr>
            <w:tcW w:w="34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62,000 tons</w:t>
            </w:r>
          </w:p>
        </w:tc>
      </w:t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Diesel</w:t>
            </w:r>
          </w:p>
        </w:tc>
        <w:tc>
          <w:tcPr>
            <w:tcW w:w="4040" w:type="dxa"/>
            <w:vAlign w:val="bottom"/>
          </w:tcPr>
          <w:p>
            <w:pPr>
              <w:spacing w:after="0"/>
              <w:rPr>
                <w:sz w:val="19"/>
                <w:szCs w:val="19"/>
                <w:color w:val="auto"/>
              </w:rPr>
            </w:pPr>
          </w:p>
        </w:tc>
        <w:tc>
          <w:tcPr>
            <w:tcW w:w="21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3,955,000 gallons</w:t>
            </w:r>
          </w:p>
        </w:tc>
        <w:tc>
          <w:tcPr>
            <w:tcW w:w="1800" w:type="dxa"/>
            <w:vAlign w:val="bottom"/>
          </w:tcPr>
          <w:p>
            <w:pPr>
              <w:ind w:left="400"/>
              <w:spacing w:after="0"/>
              <w:rPr>
                <w:sz w:val="20"/>
                <w:szCs w:val="20"/>
                <w:color w:val="auto"/>
              </w:rPr>
            </w:pPr>
            <w:r>
              <w:rPr>
                <w:rFonts w:ascii="Arial" w:cs="Arial" w:eastAsia="Arial" w:hAnsi="Arial"/>
                <w:sz w:val="18"/>
                <w:szCs w:val="18"/>
                <w:color w:val="auto"/>
              </w:rPr>
              <w:t>420,000 gallons</w:t>
            </w: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fair values of the Company’s derivative instruments and the respective lines in which they were recorded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September 30, 2011 and 2010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Assets / (Liabilities)</w:t>
            </w: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5260" w:type="dxa"/>
            <w:vAlign w:val="bottom"/>
            <w:gridSpan w:val="5"/>
          </w:tcPr>
          <w:p>
            <w:pPr>
              <w:spacing w:after="0" w:line="143" w:lineRule="exact"/>
              <w:rPr>
                <w:sz w:val="20"/>
                <w:szCs w:val="20"/>
                <w:color w:val="auto"/>
              </w:rPr>
            </w:pPr>
            <w:r>
              <w:rPr>
                <w:rFonts w:ascii="Arial" w:cs="Arial" w:eastAsia="Arial" w:hAnsi="Arial"/>
                <w:sz w:val="14"/>
                <w:szCs w:val="14"/>
                <w:b w:val="1"/>
                <w:bCs w:val="1"/>
                <w:color w:val="auto"/>
              </w:rPr>
              <w:t>Derivatives Designated As Hedging Instruments</w:t>
            </w: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2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Balance Sheet Location</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16"/>
              <w:spacing w:after="0" w:line="143"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14"/>
              <w:spacing w:after="0" w:line="143"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auto"/>
              <w:bottom w:val="single" w:sz="8" w:color="CCEEFF"/>
            </w:tcBorders>
          </w:tcPr>
          <w:p>
            <w:pPr>
              <w:spacing w:after="0"/>
              <w:rPr>
                <w:sz w:val="12"/>
                <w:szCs w:val="12"/>
                <w:color w:val="auto"/>
              </w:rPr>
            </w:pPr>
          </w:p>
        </w:tc>
        <w:tc>
          <w:tcPr>
            <w:tcW w:w="1780" w:type="dxa"/>
            <w:vAlign w:val="bottom"/>
            <w:tcBorders>
              <w:top w:val="single" w:sz="8" w:color="auto"/>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420" w:type="dxa"/>
            <w:vAlign w:val="bottom"/>
            <w:tcBorders>
              <w:top w:val="single" w:sz="8" w:color="auto"/>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5"/>
          </w:tcPr>
          <w:p>
            <w:pPr>
              <w:jc w:val="right"/>
              <w:ind w:right="254"/>
              <w:spacing w:after="0" w:line="149" w:lineRule="exact"/>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4"/>
            <w:shd w:val="clear" w:color="auto" w:fill="CCEEFF"/>
          </w:tcPr>
          <w:p>
            <w:pPr>
              <w:ind w:left="420"/>
              <w:spacing w:after="0" w:line="202" w:lineRule="exact"/>
              <w:rPr>
                <w:sz w:val="20"/>
                <w:szCs w:val="20"/>
                <w:color w:val="auto"/>
              </w:rPr>
            </w:pPr>
            <w:r>
              <w:rPr>
                <w:rFonts w:ascii="Arial" w:cs="Arial" w:eastAsia="Arial" w:hAnsi="Arial"/>
                <w:sz w:val="18"/>
                <w:szCs w:val="18"/>
                <w:color w:val="auto"/>
              </w:rPr>
              <w:t>Interest rate swap agreements</w:t>
            </w:r>
          </w:p>
        </w:tc>
        <w:tc>
          <w:tcPr>
            <w:tcW w:w="4500" w:type="dxa"/>
            <w:vAlign w:val="bottom"/>
            <w:gridSpan w:val="4"/>
            <w:shd w:val="clear" w:color="auto" w:fill="CCEEFF"/>
          </w:tcPr>
          <w:p>
            <w:pPr>
              <w:ind w:left="12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(10.7)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gridSpan w:val="4"/>
          </w:tcPr>
          <w:p>
            <w:pPr>
              <w:ind w:left="12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Commodity hedging instruments</w:t>
            </w:r>
          </w:p>
        </w:tc>
        <w:tc>
          <w:tcPr>
            <w:tcW w:w="4500" w:type="dxa"/>
            <w:vAlign w:val="bottom"/>
            <w:gridSpan w:val="4"/>
            <w:shd w:val="clear" w:color="auto" w:fill="CCEEFF"/>
          </w:tcPr>
          <w:p>
            <w:pPr>
              <w:ind w:left="1220"/>
              <w:spacing w:after="0"/>
              <w:rPr>
                <w:sz w:val="20"/>
                <w:szCs w:val="20"/>
                <w:color w:val="auto"/>
              </w:rPr>
            </w:pPr>
            <w:r>
              <w:rPr>
                <w:rFonts w:ascii="Arial" w:cs="Arial" w:eastAsia="Arial" w:hAnsi="Arial"/>
                <w:sz w:val="18"/>
                <w:szCs w:val="18"/>
                <w:color w:val="auto"/>
              </w:rPr>
              <w:t>Prepaid and other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gridSpan w:val="4"/>
          </w:tcPr>
          <w:p>
            <w:pPr>
              <w:ind w:left="12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derivatives designated as hedging instruments</w:t>
            </w: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(22.7)</w:t>
            </w:r>
          </w:p>
        </w:tc>
        <w:tc>
          <w:tcPr>
            <w:tcW w:w="0" w:type="dxa"/>
            <w:vAlign w:val="bottom"/>
          </w:tcPr>
          <w:p>
            <w:pPr>
              <w:spacing w:after="0"/>
              <w:rPr>
                <w:sz w:val="1"/>
                <w:szCs w:val="1"/>
                <w:color w:val="auto"/>
              </w:rPr>
            </w:pPr>
          </w:p>
        </w:tc>
      </w:tr>
      <w:tr>
        <w:trPr>
          <w:trHeight w:val="20"/>
        </w:trPr>
        <w:tc>
          <w:tcPr>
            <w:tcW w:w="5260" w:type="dxa"/>
            <w:vAlign w:val="bottom"/>
            <w:gridSpan w:val="5"/>
            <w:vMerge w:val="restart"/>
          </w:tcPr>
          <w:p>
            <w:pPr>
              <w:spacing w:after="0" w:line="183" w:lineRule="exact"/>
              <w:rPr>
                <w:sz w:val="20"/>
                <w:szCs w:val="20"/>
                <w:color w:val="auto"/>
              </w:rPr>
            </w:pPr>
            <w:r>
              <w:rPr>
                <w:rFonts w:ascii="Arial" w:cs="Arial" w:eastAsia="Arial" w:hAnsi="Arial"/>
                <w:sz w:val="13"/>
                <w:szCs w:val="13"/>
                <w:b w:val="1"/>
                <w:bCs w:val="1"/>
                <w:color w:val="auto"/>
              </w:rPr>
              <w:t>Derivatives Not Designated As Hedging Instruments</w:t>
            </w:r>
            <w:r>
              <w:rPr>
                <w:rFonts w:ascii="Arial" w:cs="Arial" w:eastAsia="Arial" w:hAnsi="Arial"/>
                <w:sz w:val="21"/>
                <w:szCs w:val="21"/>
                <w:b w:val="1"/>
                <w:bCs w:val="1"/>
                <w:color w:val="auto"/>
                <w:vertAlign w:val="superscript"/>
              </w:rPr>
              <w:t>(1)</w:t>
            </w: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5"/>
            <w:vMerge w:val="continue"/>
          </w:tcPr>
          <w:p>
            <w:pPr>
              <w:spacing w:after="0"/>
              <w:rPr>
                <w:sz w:val="12"/>
                <w:szCs w:val="12"/>
                <w:color w:val="auto"/>
              </w:rPr>
            </w:pPr>
          </w:p>
        </w:tc>
        <w:tc>
          <w:tcPr>
            <w:tcW w:w="1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gridSpan w:val="3"/>
            <w:shd w:val="clear" w:color="auto" w:fill="CCEEFF"/>
          </w:tcPr>
          <w:p>
            <w:pPr>
              <w:ind w:left="420"/>
              <w:spacing w:after="0"/>
              <w:rPr>
                <w:sz w:val="20"/>
                <w:szCs w:val="20"/>
                <w:color w:val="auto"/>
              </w:rPr>
            </w:pPr>
            <w:r>
              <w:rPr>
                <w:rFonts w:ascii="Arial" w:cs="Arial" w:eastAsia="Arial" w:hAnsi="Arial"/>
                <w:sz w:val="18"/>
                <w:szCs w:val="18"/>
                <w:color w:val="auto"/>
              </w:rPr>
              <w:t>Foreign currency swap contracts</w:t>
            </w:r>
          </w:p>
        </w:tc>
        <w:tc>
          <w:tcPr>
            <w:tcW w:w="1940" w:type="dxa"/>
            <w:vAlign w:val="bottom"/>
            <w:shd w:val="clear" w:color="auto" w:fill="CCEEFF"/>
          </w:tcPr>
          <w:p>
            <w:pPr>
              <w:spacing w:after="0"/>
              <w:rPr>
                <w:sz w:val="18"/>
                <w:szCs w:val="18"/>
                <w:color w:val="auto"/>
              </w:rPr>
            </w:pPr>
          </w:p>
        </w:tc>
        <w:tc>
          <w:tcPr>
            <w:tcW w:w="4500" w:type="dxa"/>
            <w:vAlign w:val="bottom"/>
            <w:gridSpan w:val="4"/>
            <w:shd w:val="clear" w:color="auto" w:fill="CCEEFF"/>
          </w:tcPr>
          <w:p>
            <w:pPr>
              <w:ind w:left="1220"/>
              <w:spacing w:after="0"/>
              <w:rPr>
                <w:sz w:val="20"/>
                <w:szCs w:val="20"/>
                <w:color w:val="auto"/>
              </w:rPr>
            </w:pPr>
            <w:r>
              <w:rPr>
                <w:rFonts w:ascii="Arial" w:cs="Arial" w:eastAsia="Arial" w:hAnsi="Arial"/>
                <w:sz w:val="18"/>
                <w:szCs w:val="18"/>
                <w:color w:val="auto"/>
              </w:rPr>
              <w:t>Prepaid and other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500" w:type="dxa"/>
            <w:vAlign w:val="bottom"/>
            <w:gridSpan w:val="4"/>
          </w:tcPr>
          <w:p>
            <w:pPr>
              <w:ind w:left="122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Commodity hedging instruments</w:t>
            </w:r>
          </w:p>
        </w:tc>
        <w:tc>
          <w:tcPr>
            <w:tcW w:w="4500" w:type="dxa"/>
            <w:vAlign w:val="bottom"/>
            <w:gridSpan w:val="4"/>
            <w:shd w:val="clear" w:color="auto" w:fill="CCEEFF"/>
          </w:tcPr>
          <w:p>
            <w:pPr>
              <w:ind w:left="122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60" w:type="dxa"/>
            <w:vAlign w:val="bottom"/>
            <w:gridSpan w:val="5"/>
            <w:vMerge w:val="restart"/>
          </w:tcPr>
          <w:p>
            <w:pPr>
              <w:spacing w:after="0"/>
              <w:rPr>
                <w:sz w:val="20"/>
                <w:szCs w:val="20"/>
                <w:color w:val="auto"/>
              </w:rPr>
            </w:pPr>
            <w:r>
              <w:rPr>
                <w:rFonts w:ascii="Arial" w:cs="Arial" w:eastAsia="Arial" w:hAnsi="Arial"/>
                <w:sz w:val="18"/>
                <w:szCs w:val="18"/>
                <w:color w:val="auto"/>
              </w:rPr>
              <w:t>Total derivatives not designated as hedging instruments</w:t>
            </w:r>
            <w:r>
              <w:rPr>
                <w:rFonts w:ascii="Arial" w:cs="Arial" w:eastAsia="Arial" w:hAnsi="Arial"/>
                <w:sz w:val="11"/>
                <w:szCs w:val="11"/>
                <w:color w:val="auto"/>
              </w:rPr>
              <w:t>(1)</w:t>
            </w: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5"/>
            <w:vMerge w:val="continue"/>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discussion above for additional information regarding the Company’s purpose for entering into derivatives not designated as hedging instruments and its overall risk management strategy.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Refer to “NOTE 16. FAIR VALUE MEASUREMENTS” for the Company’s fair value measurements of derivative instruments as they relate to the valuation hierarchy.</w:t>
      </w:r>
    </w:p>
    <w:p>
      <w:pPr>
        <w:spacing w:after="0" w:line="13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effect of derivative instruments, net of tax, on AOCI and the Consolidated Statements of Operations for the years ended September 30, 2011 and 2010 was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13"/>
          </w:tcPr>
          <w:p>
            <w:pPr>
              <w:jc w:val="center"/>
              <w:ind w:right="800"/>
              <w:spacing w:after="0"/>
              <w:rPr>
                <w:sz w:val="20"/>
                <w:szCs w:val="20"/>
                <w:color w:val="auto"/>
              </w:rPr>
            </w:pPr>
            <w:r>
              <w:rPr>
                <w:rFonts w:ascii="Arial" w:cs="Arial" w:eastAsia="Arial" w:hAnsi="Arial"/>
                <w:sz w:val="14"/>
                <w:szCs w:val="14"/>
                <w:b w:val="1"/>
                <w:bCs w:val="1"/>
                <w:color w:val="auto"/>
                <w:w w:val="90"/>
              </w:rPr>
              <w:t>Amount of Gain/(Loss)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13"/>
          </w:tcPr>
          <w:p>
            <w:pPr>
              <w:jc w:val="center"/>
              <w:ind w:right="820"/>
              <w:spacing w:after="0"/>
              <w:rPr>
                <w:sz w:val="20"/>
                <w:szCs w:val="20"/>
                <w:color w:val="auto"/>
              </w:rPr>
            </w:pPr>
            <w:r>
              <w:rPr>
                <w:rFonts w:ascii="Arial" w:cs="Arial" w:eastAsia="Arial" w:hAnsi="Arial"/>
                <w:sz w:val="14"/>
                <w:szCs w:val="14"/>
                <w:b w:val="1"/>
                <w:bCs w:val="1"/>
                <w:color w:val="auto"/>
                <w:w w:val="88"/>
              </w:rPr>
              <w:t>Recognized in AOCI</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gridSpan w:val="4"/>
            <w:vMerge w:val="restart"/>
          </w:tcPr>
          <w:p>
            <w:pPr>
              <w:ind w:left="1380"/>
              <w:spacing w:after="0"/>
              <w:rPr>
                <w:sz w:val="20"/>
                <w:szCs w:val="20"/>
                <w:color w:val="auto"/>
              </w:rPr>
            </w:pPr>
            <w:r>
              <w:rPr>
                <w:rFonts w:ascii="Arial" w:cs="Arial" w:eastAsia="Arial" w:hAnsi="Arial"/>
                <w:sz w:val="14"/>
                <w:szCs w:val="14"/>
                <w:b w:val="1"/>
                <w:bCs w:val="1"/>
                <w:color w:val="auto"/>
                <w:w w:val="91"/>
              </w:rPr>
              <w:t>Derivatives in Cash Flow Hedging Relationships</w:t>
            </w:r>
          </w:p>
        </w:tc>
        <w:tc>
          <w:tcPr>
            <w:tcW w:w="10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88"/>
              </w:rPr>
              <w:t>Year Ended</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2011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2940" w:type="dxa"/>
            <w:vAlign w:val="bottom"/>
            <w:tcBorders>
              <w:top w:val="single" w:sz="8" w:color="auto"/>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104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(14.5)</w:t>
            </w: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(17.6)</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Commodity hedging instruments</w:t>
            </w:r>
          </w:p>
        </w:tc>
        <w:tc>
          <w:tcPr>
            <w:tcW w:w="10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ind w:right="412"/>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gridSpan w:val="4"/>
            <w:shd w:val="clear" w:color="auto" w:fill="CCEEFF"/>
          </w:tcPr>
          <w:p>
            <w:pPr>
              <w:jc w:val="right"/>
              <w:ind w:right="4"/>
              <w:spacing w:after="0"/>
              <w:rPr>
                <w:sz w:val="20"/>
                <w:szCs w:val="20"/>
                <w:color w:val="auto"/>
              </w:rPr>
            </w:pPr>
            <w:r>
              <w:rPr>
                <w:rFonts w:ascii="Arial" w:cs="Arial" w:eastAsia="Arial" w:hAnsi="Arial"/>
                <w:sz w:val="18"/>
                <w:szCs w:val="18"/>
                <w:color w:val="auto"/>
              </w:rPr>
              <w:t>(14.8)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87"/>
              </w:rPr>
              <w:t>Amount of Gain/(Loss)</w:t>
            </w:r>
          </w:p>
        </w:tc>
        <w:tc>
          <w:tcPr>
            <w:tcW w:w="0" w:type="dxa"/>
            <w:vAlign w:val="bottom"/>
          </w:tcPr>
          <w:p>
            <w:pPr>
              <w:spacing w:after="0"/>
              <w:rPr>
                <w:sz w:val="1"/>
                <w:szCs w:val="1"/>
                <w:color w:val="auto"/>
              </w:rPr>
            </w:pPr>
          </w:p>
        </w:tc>
      </w:tr>
      <w:tr>
        <w:trPr>
          <w:trHeight w:val="149"/>
        </w:trPr>
        <w:tc>
          <w:tcPr>
            <w:tcW w:w="4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10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Reclassified From</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2880" w:type="dxa"/>
            <w:vAlign w:val="bottom"/>
            <w:gridSpan w:val="2"/>
          </w:tcPr>
          <w:p>
            <w:pPr>
              <w:jc w:val="center"/>
              <w:ind w:left="282"/>
              <w:spacing w:after="0" w:line="135" w:lineRule="exact"/>
              <w:rPr>
                <w:sz w:val="20"/>
                <w:szCs w:val="20"/>
                <w:color w:val="auto"/>
              </w:rPr>
            </w:pPr>
            <w:r>
              <w:rPr>
                <w:rFonts w:ascii="Arial" w:cs="Arial" w:eastAsia="Arial" w:hAnsi="Arial"/>
                <w:sz w:val="14"/>
                <w:szCs w:val="14"/>
                <w:b w:val="1"/>
                <w:bCs w:val="1"/>
                <w:color w:val="auto"/>
                <w:w w:val="86"/>
              </w:rPr>
              <w:t>Location of Gain/(Loss)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8"/>
          </w:tcPr>
          <w:p>
            <w:pPr>
              <w:jc w:val="center"/>
              <w:ind w:right="380"/>
              <w:spacing w:after="0" w:line="135" w:lineRule="exact"/>
              <w:rPr>
                <w:sz w:val="20"/>
                <w:szCs w:val="20"/>
                <w:color w:val="auto"/>
              </w:rPr>
            </w:pPr>
            <w:r>
              <w:rPr>
                <w:rFonts w:ascii="Arial" w:cs="Arial" w:eastAsia="Arial" w:hAnsi="Arial"/>
                <w:sz w:val="14"/>
                <w:szCs w:val="14"/>
                <w:b w:val="1"/>
                <w:bCs w:val="1"/>
                <w:color w:val="auto"/>
                <w:w w:val="91"/>
              </w:rPr>
              <w:t>AOCI Into Earnings</w:t>
            </w:r>
          </w:p>
        </w:tc>
        <w:tc>
          <w:tcPr>
            <w:tcW w:w="0" w:type="dxa"/>
            <w:vAlign w:val="bottom"/>
          </w:tcPr>
          <w:p>
            <w:pPr>
              <w:spacing w:after="0"/>
              <w:rPr>
                <w:sz w:val="1"/>
                <w:szCs w:val="1"/>
                <w:color w:val="auto"/>
              </w:rPr>
            </w:pPr>
          </w:p>
        </w:tc>
      </w:tr>
      <w:tr>
        <w:trPr>
          <w:trHeight w:val="26"/>
        </w:trPr>
        <w:tc>
          <w:tcPr>
            <w:tcW w:w="4320" w:type="dxa"/>
            <w:vAlign w:val="bottom"/>
            <w:gridSpan w:val="4"/>
            <w:vMerge w:val="restart"/>
          </w:tcPr>
          <w:p>
            <w:pPr>
              <w:spacing w:after="0" w:line="141" w:lineRule="exact"/>
              <w:rPr>
                <w:sz w:val="20"/>
                <w:szCs w:val="20"/>
                <w:color w:val="auto"/>
              </w:rPr>
            </w:pPr>
            <w:r>
              <w:rPr>
                <w:rFonts w:ascii="Arial" w:cs="Arial" w:eastAsia="Arial" w:hAnsi="Arial"/>
                <w:sz w:val="14"/>
                <w:szCs w:val="14"/>
                <w:b w:val="1"/>
                <w:bCs w:val="1"/>
                <w:color w:val="auto"/>
              </w:rPr>
              <w:t>Hedging Relationships</w:t>
            </w:r>
          </w:p>
        </w:tc>
        <w:tc>
          <w:tcPr>
            <w:tcW w:w="1040" w:type="dxa"/>
            <w:vAlign w:val="bottom"/>
            <w:vMerge w:val="restart"/>
          </w:tcPr>
          <w:p>
            <w:pPr>
              <w:spacing w:after="0"/>
              <w:rPr>
                <w:sz w:val="2"/>
                <w:szCs w:val="2"/>
                <w:color w:val="auto"/>
              </w:rPr>
            </w:pPr>
          </w:p>
        </w:tc>
        <w:tc>
          <w:tcPr>
            <w:tcW w:w="2880" w:type="dxa"/>
            <w:vAlign w:val="bottom"/>
            <w:gridSpan w:val="2"/>
            <w:vMerge w:val="restart"/>
          </w:tcPr>
          <w:p>
            <w:pPr>
              <w:jc w:val="center"/>
              <w:ind w:left="262"/>
              <w:spacing w:after="0" w:line="141" w:lineRule="exact"/>
              <w:rPr>
                <w:sz w:val="20"/>
                <w:szCs w:val="20"/>
                <w:color w:val="auto"/>
              </w:rPr>
            </w:pPr>
            <w:r>
              <w:rPr>
                <w:rFonts w:ascii="Arial" w:cs="Arial" w:eastAsia="Arial" w:hAnsi="Arial"/>
                <w:sz w:val="14"/>
                <w:szCs w:val="14"/>
                <w:b w:val="1"/>
                <w:bCs w:val="1"/>
                <w:color w:val="auto"/>
                <w:w w:val="89"/>
              </w:rPr>
              <w:t>Reclassified From AOCI Into Earnings</w:t>
            </w: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320" w:type="dxa"/>
            <w:vAlign w:val="bottom"/>
            <w:gridSpan w:val="4"/>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28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3"/>
          </w:tcPr>
          <w:p>
            <w:pPr>
              <w:jc w:val="center"/>
              <w:ind w:right="20"/>
              <w:spacing w:after="0" w:line="102" w:lineRule="exact"/>
              <w:rPr>
                <w:sz w:val="20"/>
                <w:szCs w:val="20"/>
                <w:color w:val="auto"/>
              </w:rPr>
            </w:pPr>
            <w:r>
              <w:rPr>
                <w:rFonts w:ascii="Arial" w:cs="Arial" w:eastAsia="Arial" w:hAnsi="Arial"/>
                <w:sz w:val="11"/>
                <w:szCs w:val="11"/>
                <w:b w:val="1"/>
                <w:bCs w:val="1"/>
                <w:color w:val="auto"/>
              </w:rPr>
              <w:t>Year Ended</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24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27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Interest rate swap agreements</w:t>
            </w:r>
          </w:p>
        </w:tc>
        <w:tc>
          <w:tcPr>
            <w:tcW w:w="10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6"/>
              </w:rPr>
              <w:t>(12.6)</w:t>
            </w:r>
          </w:p>
        </w:tc>
        <w:tc>
          <w:tcPr>
            <w:tcW w:w="160" w:type="dxa"/>
            <w:vAlign w:val="bottom"/>
            <w:gridSpan w:val="2"/>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Commodity hedging instruments</w:t>
            </w:r>
          </w:p>
        </w:tc>
        <w:tc>
          <w:tcPr>
            <w:tcW w:w="104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180"/>
              <w:spacing w:after="0"/>
              <w:rPr>
                <w:sz w:val="20"/>
                <w:szCs w:val="20"/>
                <w:color w:val="auto"/>
              </w:rPr>
            </w:pPr>
            <w:r>
              <w:rPr>
                <w:rFonts w:ascii="Arial" w:cs="Arial" w:eastAsia="Arial" w:hAnsi="Arial"/>
                <w:sz w:val="18"/>
                <w:szCs w:val="18"/>
                <w:color w:val="auto"/>
                <w:w w:val="79"/>
              </w:rPr>
              <w:t>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(10.0)</w:t>
            </w: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Derivatives not Designated As</w:t>
            </w:r>
          </w:p>
        </w:tc>
        <w:tc>
          <w:tcPr>
            <w:tcW w:w="10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87"/>
              </w:rPr>
              <w:t>Amount of Gain/(Loss)</w:t>
            </w:r>
          </w:p>
        </w:tc>
        <w:tc>
          <w:tcPr>
            <w:tcW w:w="0" w:type="dxa"/>
            <w:vAlign w:val="bottom"/>
          </w:tcPr>
          <w:p>
            <w:pPr>
              <w:spacing w:after="0"/>
              <w:rPr>
                <w:sz w:val="1"/>
                <w:szCs w:val="1"/>
                <w:color w:val="auto"/>
              </w:rPr>
            </w:pPr>
          </w:p>
        </w:tc>
      </w:tr>
      <w:tr>
        <w:trPr>
          <w:trHeight w:val="135"/>
        </w:trPr>
        <w:tc>
          <w:tcPr>
            <w:tcW w:w="4320" w:type="dxa"/>
            <w:vAlign w:val="bottom"/>
            <w:gridSpan w:val="4"/>
            <w:vMerge w:val="continue"/>
          </w:tcPr>
          <w:p>
            <w:pPr>
              <w:spacing w:after="0"/>
              <w:rPr>
                <w:sz w:val="11"/>
                <w:szCs w:val="11"/>
                <w:color w:val="auto"/>
              </w:rPr>
            </w:pPr>
          </w:p>
        </w:tc>
        <w:tc>
          <w:tcPr>
            <w:tcW w:w="1040" w:type="dxa"/>
            <w:vAlign w:val="bottom"/>
          </w:tcPr>
          <w:p>
            <w:pPr>
              <w:spacing w:after="0"/>
              <w:rPr>
                <w:sz w:val="11"/>
                <w:szCs w:val="11"/>
                <w:color w:val="auto"/>
              </w:rPr>
            </w:pPr>
          </w:p>
        </w:tc>
        <w:tc>
          <w:tcPr>
            <w:tcW w:w="2880" w:type="dxa"/>
            <w:vAlign w:val="bottom"/>
            <w:gridSpan w:val="2"/>
          </w:tcPr>
          <w:p>
            <w:pPr>
              <w:jc w:val="center"/>
              <w:ind w:left="222"/>
              <w:spacing w:after="0" w:line="135" w:lineRule="exact"/>
              <w:rPr>
                <w:sz w:val="20"/>
                <w:szCs w:val="20"/>
                <w:color w:val="auto"/>
              </w:rPr>
            </w:pPr>
            <w:r>
              <w:rPr>
                <w:rFonts w:ascii="Arial" w:cs="Arial" w:eastAsia="Arial" w:hAnsi="Arial"/>
                <w:sz w:val="14"/>
                <w:szCs w:val="14"/>
                <w:b w:val="1"/>
                <w:bCs w:val="1"/>
                <w:color w:val="auto"/>
                <w:w w:val="88"/>
              </w:rPr>
              <w:t>Location of Gain/(Loss)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8"/>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Recognized in Earnings</w:t>
            </w:r>
          </w:p>
        </w:tc>
        <w:tc>
          <w:tcPr>
            <w:tcW w:w="0" w:type="dxa"/>
            <w:vAlign w:val="bottom"/>
          </w:tcPr>
          <w:p>
            <w:pPr>
              <w:spacing w:after="0"/>
              <w:rPr>
                <w:sz w:val="1"/>
                <w:szCs w:val="1"/>
                <w:color w:val="auto"/>
              </w:rPr>
            </w:pPr>
          </w:p>
        </w:tc>
      </w:tr>
      <w:tr>
        <w:trPr>
          <w:trHeight w:val="26"/>
        </w:trPr>
        <w:tc>
          <w:tcPr>
            <w:tcW w:w="4320" w:type="dxa"/>
            <w:vAlign w:val="bottom"/>
            <w:gridSpan w:val="4"/>
            <w:vMerge w:val="restart"/>
          </w:tcPr>
          <w:p>
            <w:pPr>
              <w:spacing w:after="0" w:line="141" w:lineRule="exact"/>
              <w:rPr>
                <w:sz w:val="20"/>
                <w:szCs w:val="20"/>
                <w:color w:val="auto"/>
              </w:rPr>
            </w:pPr>
            <w:r>
              <w:rPr>
                <w:rFonts w:ascii="Arial" w:cs="Arial" w:eastAsia="Arial" w:hAnsi="Arial"/>
                <w:sz w:val="14"/>
                <w:szCs w:val="14"/>
                <w:b w:val="1"/>
                <w:bCs w:val="1"/>
                <w:color w:val="auto"/>
              </w:rPr>
              <w:t>Hedging Instruments</w:t>
            </w:r>
          </w:p>
        </w:tc>
        <w:tc>
          <w:tcPr>
            <w:tcW w:w="1040" w:type="dxa"/>
            <w:vAlign w:val="bottom"/>
          </w:tcPr>
          <w:p>
            <w:pPr>
              <w:spacing w:after="0"/>
              <w:rPr>
                <w:sz w:val="2"/>
                <w:szCs w:val="2"/>
                <w:color w:val="auto"/>
              </w:rPr>
            </w:pPr>
          </w:p>
        </w:tc>
        <w:tc>
          <w:tcPr>
            <w:tcW w:w="2880" w:type="dxa"/>
            <w:vAlign w:val="bottom"/>
            <w:gridSpan w:val="2"/>
            <w:vMerge w:val="restart"/>
          </w:tcPr>
          <w:p>
            <w:pPr>
              <w:jc w:val="center"/>
              <w:ind w:left="222"/>
              <w:spacing w:after="0" w:line="141" w:lineRule="exact"/>
              <w:rPr>
                <w:sz w:val="20"/>
                <w:szCs w:val="20"/>
                <w:color w:val="auto"/>
              </w:rPr>
            </w:pPr>
            <w:r>
              <w:rPr>
                <w:rFonts w:ascii="Arial" w:cs="Arial" w:eastAsia="Arial" w:hAnsi="Arial"/>
                <w:sz w:val="14"/>
                <w:szCs w:val="14"/>
                <w:b w:val="1"/>
                <w:bCs w:val="1"/>
                <w:color w:val="auto"/>
                <w:w w:val="85"/>
              </w:rPr>
              <w:t>Recognized in Income</w:t>
            </w: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4320" w:type="dxa"/>
            <w:vAlign w:val="bottom"/>
            <w:gridSpan w:val="4"/>
            <w:vMerge w:val="continue"/>
          </w:tcPr>
          <w:p>
            <w:pPr>
              <w:spacing w:after="0"/>
              <w:rPr>
                <w:sz w:val="10"/>
                <w:szCs w:val="10"/>
                <w:color w:val="auto"/>
              </w:rPr>
            </w:pPr>
          </w:p>
        </w:tc>
        <w:tc>
          <w:tcPr>
            <w:tcW w:w="1040" w:type="dxa"/>
            <w:vAlign w:val="bottom"/>
          </w:tcPr>
          <w:p>
            <w:pPr>
              <w:spacing w:after="0"/>
              <w:rPr>
                <w:sz w:val="10"/>
                <w:szCs w:val="10"/>
                <w:color w:val="auto"/>
              </w:rPr>
            </w:pPr>
          </w:p>
        </w:tc>
        <w:tc>
          <w:tcPr>
            <w:tcW w:w="28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tcPr>
          <w:p>
            <w:pPr>
              <w:jc w:val="center"/>
              <w:ind w:right="63"/>
              <w:spacing w:after="0" w:line="102" w:lineRule="exact"/>
              <w:rPr>
                <w:sz w:val="20"/>
                <w:szCs w:val="20"/>
                <w:color w:val="auto"/>
              </w:rPr>
            </w:pPr>
            <w:r>
              <w:rPr>
                <w:rFonts w:ascii="Arial" w:cs="Arial" w:eastAsia="Arial" w:hAnsi="Arial"/>
                <w:sz w:val="11"/>
                <w:szCs w:val="11"/>
                <w:b w:val="1"/>
                <w:bCs w:val="1"/>
                <w:color w:val="auto"/>
              </w:rPr>
              <w:t>Year Ended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24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27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7"/>
              <w:spacing w:after="0" w:line="129"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32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 currency swap contracts</w:t>
            </w:r>
          </w:p>
        </w:tc>
        <w:tc>
          <w:tcPr>
            <w:tcW w:w="104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6.1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4"/>
          </w:tcPr>
          <w:p>
            <w:pPr>
              <w:spacing w:after="0"/>
              <w:rPr>
                <w:sz w:val="20"/>
                <w:szCs w:val="20"/>
                <w:color w:val="auto"/>
              </w:rPr>
            </w:pPr>
            <w:r>
              <w:rPr>
                <w:rFonts w:ascii="Arial" w:cs="Arial" w:eastAsia="Arial" w:hAnsi="Arial"/>
                <w:sz w:val="18"/>
                <w:szCs w:val="18"/>
                <w:color w:val="auto"/>
              </w:rPr>
              <w:t>Commodity hedging instruments</w:t>
            </w:r>
          </w:p>
        </w:tc>
        <w:tc>
          <w:tcPr>
            <w:tcW w:w="104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MEASUREMENTS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90"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quoted prices included in Level 1, such as quoted prices for similar assets and liabilities in active markets; quoted</w:t>
      </w:r>
      <w:r>
        <w:rPr>
          <w:rFonts w:ascii="Arial" w:cs="Arial" w:eastAsia="Arial" w:hAnsi="Arial"/>
          <w:sz w:val="16"/>
          <w:szCs w:val="16"/>
          <w:i w:val="1"/>
          <w:iCs w:val="1"/>
          <w:color w:val="auto"/>
        </w:rPr>
        <w:t xml:space="preserve"> </w:t>
      </w:r>
      <w:r>
        <w:rPr>
          <w:rFonts w:ascii="Arial" w:cs="Arial" w:eastAsia="Arial" w:hAnsi="Arial"/>
          <w:sz w:val="16"/>
          <w:szCs w:val="16"/>
          <w:color w:val="auto"/>
        </w:rPr>
        <w:t>prices for similar assets and liabilities in markets that are not active; or other inputs that are observable or can be corroborated by observable market data.</w:t>
      </w:r>
    </w:p>
    <w:p>
      <w:pPr>
        <w:spacing w:after="0" w:line="4"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i w:val="1"/>
          <w:iCs w:val="1"/>
          <w:color w:val="auto"/>
        </w:rPr>
        <w:t>Level 3—</w:t>
      </w:r>
      <w:r>
        <w:rPr>
          <w:rFonts w:ascii="Arial" w:cs="Arial" w:eastAsia="Arial" w:hAnsi="Arial"/>
          <w:sz w:val="16"/>
          <w:szCs w:val="16"/>
          <w:color w:val="auto"/>
        </w:rPr>
        <w:t>Unobservable inputs that are supported by little or no market activity and that are significant to the fair value of the assets or liabilities. This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includes pricing models, discounted cash flow methodologies and similar techniques that use significant unobservable inputs.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swap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our Consolidated Balance Sheets, except for derivative instruments expected to be settled within the next 12 months, which are included within prepaid and other assets and other current liabilities.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Company’s financial assets and liabilities measured at fair value on a recurring basis at September 30, 2011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Quoted Prices in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Active</w:t>
            </w:r>
          </w:p>
        </w:tc>
        <w:tc>
          <w:tcPr>
            <w:tcW w:w="4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Significant Other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Markets for Identical</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40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78"/>
              </w:rPr>
              <w:t>Assets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Inputs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Inputs</w:t>
            </w: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(Level 1)</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7"/>
              </w:rPr>
              <w:t>(Level 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c>
          <w:tcPr>
            <w:tcW w:w="86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Cash equivalents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420"/>
              <w:spacing w:after="0"/>
              <w:rPr>
                <w:sz w:val="20"/>
                <w:szCs w:val="20"/>
                <w:color w:val="auto"/>
              </w:rPr>
            </w:pPr>
            <w:r>
              <w:rPr>
                <w:rFonts w:ascii="Arial" w:cs="Arial" w:eastAsia="Arial" w:hAnsi="Arial"/>
                <w:sz w:val="18"/>
                <w:szCs w:val="18"/>
                <w:color w:val="auto"/>
              </w:rPr>
              <w:t>83.6</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$ 83.6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Commodity hedging instruments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swap contracts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w:t>
            </w: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$ 92.7</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8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Interest rate swap agreements</w:t>
            </w: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(28.1)</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 (28.1)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Commodity hedging instruments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gridSpan w:val="2"/>
            <w:vMerge w:val="continue"/>
          </w:tcPr>
          <w:p>
            <w:pPr>
              <w:spacing w:after="0"/>
              <w:rPr>
                <w:sz w:val="19"/>
                <w:szCs w:val="19"/>
                <w:color w:val="auto"/>
              </w:rPr>
            </w:pPr>
          </w:p>
        </w:tc>
        <w:tc>
          <w:tcPr>
            <w:tcW w:w="1320" w:type="dxa"/>
            <w:vAlign w:val="bottom"/>
            <w:gridSpan w:val="2"/>
          </w:tcPr>
          <w:p>
            <w:pPr>
              <w:ind w:left="122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(28.9)</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518"/>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presents the Company’s non-financial assets and liabilities measured at fair value on a non-recurring basis at September 30, 2011 (in millions) and describes the valuation methodologies used for non-financial assets and liabilities measured at fair value, as well as the general classification within the valuation hierarchy: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Quoted Prices in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Active</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2"/>
              </w:rPr>
              <w:t>Markets for</w:t>
            </w:r>
          </w:p>
        </w:tc>
        <w:tc>
          <w:tcPr>
            <w:tcW w:w="92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Significant Other</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7"/>
              </w:rPr>
              <w:t>Identical</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78"/>
              </w:rPr>
              <w:t>Assets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5"/>
              </w:rPr>
              <w:t>Inputs</w:t>
            </w:r>
          </w:p>
        </w:tc>
        <w:tc>
          <w:tcPr>
            <w:tcW w:w="120" w:type="dxa"/>
            <w:vAlign w:val="bottom"/>
          </w:tcPr>
          <w:p>
            <w:pPr>
              <w:spacing w:after="0"/>
              <w:rPr>
                <w:sz w:val="12"/>
                <w:szCs w:val="12"/>
                <w:color w:val="auto"/>
              </w:rPr>
            </w:pPr>
          </w:p>
        </w:tc>
        <w:tc>
          <w:tcPr>
            <w:tcW w:w="11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Inputs</w:t>
            </w:r>
          </w:p>
        </w:tc>
        <w:tc>
          <w:tcPr>
            <w:tcW w:w="460" w:type="dxa"/>
            <w:vAlign w:val="bottom"/>
          </w:tcPr>
          <w:p>
            <w:pPr>
              <w:spacing w:after="0"/>
              <w:rPr>
                <w:sz w:val="12"/>
                <w:szCs w:val="12"/>
                <w:color w:val="auto"/>
              </w:rPr>
            </w:pPr>
          </w:p>
        </w:tc>
        <w:tc>
          <w:tcPr>
            <w:tcW w:w="5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25"/>
              <w:spacing w:after="0"/>
              <w:rPr>
                <w:sz w:val="20"/>
                <w:szCs w:val="20"/>
                <w:color w:val="auto"/>
              </w:rPr>
            </w:pPr>
            <w:r>
              <w:rPr>
                <w:rFonts w:ascii="Arial" w:cs="Arial" w:eastAsia="Arial" w:hAnsi="Arial"/>
                <w:sz w:val="14"/>
                <w:szCs w:val="14"/>
                <w:b w:val="1"/>
                <w:bCs w:val="1"/>
                <w:color w:val="auto"/>
                <w:w w:val="87"/>
              </w:rPr>
              <w:t>(Level 1)</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1"/>
              </w:rPr>
              <w:t>(Level 3)</w:t>
            </w:r>
          </w:p>
        </w:tc>
        <w:tc>
          <w:tcPr>
            <w:tcW w:w="460" w:type="dxa"/>
            <w:vAlign w:val="bottom"/>
          </w:tcPr>
          <w:p>
            <w:pPr>
              <w:spacing w:after="0"/>
              <w:rPr>
                <w:sz w:val="14"/>
                <w:szCs w:val="14"/>
                <w:color w:val="auto"/>
              </w:rPr>
            </w:pP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Losses</w:t>
            </w:r>
          </w:p>
        </w:tc>
      </w:tr>
      <w:tr>
        <w:trPr>
          <w:trHeight w:val="210"/>
        </w:trPr>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Assets of Wild Bird Food</w:t>
            </w: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tradenames</w:t>
            </w:r>
          </w:p>
        </w:tc>
        <w:tc>
          <w:tcPr>
            <w:tcW w:w="1300" w:type="dxa"/>
            <w:vAlign w:val="bottom"/>
            <w:gridSpan w:val="2"/>
          </w:tcPr>
          <w:p>
            <w:pPr>
              <w:ind w:left="1180"/>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Turf-Seed (Europe) Limited</w:t>
            </w:r>
          </w:p>
        </w:tc>
        <w:tc>
          <w:tcPr>
            <w:tcW w:w="13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Certain property, plant and equipment, tradenames, goodwill and other long-lived assets were written down to their fair value, resulting in an impairment charge of $34.9 million, which was included in earnings for the period. The value of the property, plant and equipment was determined using the cost approach, which is a valuation technique based on the amounts that currently would be required to replace the service capacity of the respective assets (often referred to as current replacement cost). The value of the tradenames was determined using a royalty savings methodology similar to that employed when the associated businesses were acquired but using updated estimates of sales, cash flow and profitability. The value of the goodwill was determined under the income-based approach utilizing discounted cash flows and assumptions the Company believes marketplace participants would utilize. The investment in Turf-Seed (Europe) Limited was determined to be fully impaired based on the estimated future cash flows associated with this entity in relation to the carrying value of the investment.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Company’s financial assets and liabilities measured at fair value on a recurring basis at September 30, 2010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Active</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Significant Other</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Identical</w:t>
            </w:r>
          </w:p>
        </w:tc>
        <w:tc>
          <w:tcPr>
            <w:tcW w:w="120" w:type="dxa"/>
            <w:vAlign w:val="bottom"/>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Observable</w:t>
            </w:r>
          </w:p>
        </w:tc>
        <w:tc>
          <w:tcPr>
            <w:tcW w:w="4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78"/>
              </w:rPr>
              <w:t>Assets</w:t>
            </w:r>
          </w:p>
        </w:tc>
        <w:tc>
          <w:tcPr>
            <w:tcW w:w="12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Inputs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Inputs</w:t>
            </w: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7"/>
              </w:rPr>
              <w:t>(Level 1)</w:t>
            </w:r>
          </w:p>
        </w:tc>
        <w:tc>
          <w:tcPr>
            <w:tcW w:w="12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(Level 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rPr>
              <w:t>(Level 3)</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Commodity hedging instruments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79"/>
              </w:rPr>
              <w:t>6.5</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ind w:left="660"/>
              <w:spacing w:after="0"/>
              <w:rPr>
                <w:sz w:val="20"/>
                <w:szCs w:val="20"/>
                <w:color w:val="auto"/>
              </w:rPr>
            </w:pPr>
            <w:r>
              <w:rPr>
                <w:rFonts w:ascii="Arial" w:cs="Arial" w:eastAsia="Arial" w:hAnsi="Arial"/>
                <w:sz w:val="18"/>
                <w:szCs w:val="18"/>
                <w:color w:val="auto"/>
                <w:w w:val="79"/>
              </w:rPr>
              <w:t>6.5</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8"/>
                <w:szCs w:val="18"/>
                <w:color w:val="auto"/>
              </w:rPr>
              <w:t>Interest rate swap agreements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(24.6)</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swap contracts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2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ind w:left="88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following presents the Company’s non-financial assets and liabilities measured at fair value on a non-recurring basis at September 30, 2010 (in millions) and describes the valuation methodologies used for non-financial assets and liabilities measured at fair value, as well as the general classification within the valuation hierarchy:</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980" w:type="dxa"/>
            <w:vAlign w:val="bottom"/>
            <w:gridSpan w:val="3"/>
          </w:tcPr>
          <w:p>
            <w:pPr>
              <w:jc w:val="center"/>
              <w:ind w:right="1020"/>
              <w:spacing w:after="0"/>
              <w:rPr>
                <w:sz w:val="20"/>
                <w:szCs w:val="20"/>
                <w:color w:val="auto"/>
              </w:rPr>
            </w:pPr>
            <w:r>
              <w:rPr>
                <w:rFonts w:ascii="Arial" w:cs="Arial" w:eastAsia="Arial" w:hAnsi="Arial"/>
                <w:sz w:val="14"/>
                <w:szCs w:val="14"/>
                <w:b w:val="1"/>
                <w:bCs w:val="1"/>
                <w:color w:val="auto"/>
                <w:w w:val="86"/>
              </w:rPr>
              <w:t>Quoted Prices in</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Active</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0"/>
              </w:rPr>
              <w:t>Markets for</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20" w:type="dxa"/>
            <w:vAlign w:val="bottom"/>
          </w:tcPr>
          <w:p>
            <w:pPr>
              <w:spacing w:after="0"/>
              <w:rPr>
                <w:sz w:val="12"/>
                <w:szCs w:val="12"/>
                <w:color w:val="auto"/>
              </w:rPr>
            </w:pPr>
          </w:p>
        </w:tc>
        <w:tc>
          <w:tcPr>
            <w:tcW w:w="900" w:type="dxa"/>
            <w:vAlign w:val="bottom"/>
          </w:tcPr>
          <w:p>
            <w:pPr>
              <w:jc w:val="center"/>
              <w:ind w:right="87"/>
              <w:spacing w:after="0" w:line="149" w:lineRule="exact"/>
              <w:rPr>
                <w:sz w:val="20"/>
                <w:szCs w:val="20"/>
                <w:color w:val="auto"/>
              </w:rPr>
            </w:pPr>
            <w:r>
              <w:rPr>
                <w:rFonts w:ascii="Arial" w:cs="Arial" w:eastAsia="Arial" w:hAnsi="Arial"/>
                <w:sz w:val="14"/>
                <w:szCs w:val="14"/>
                <w:b w:val="1"/>
                <w:bCs w:val="1"/>
                <w:color w:val="auto"/>
                <w:w w:val="86"/>
              </w:rPr>
              <w:t>Observable</w:t>
            </w:r>
          </w:p>
        </w:tc>
        <w:tc>
          <w:tcPr>
            <w:tcW w:w="9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78"/>
              </w:rPr>
              <w:t>Assets</w:t>
            </w:r>
          </w:p>
        </w:tc>
        <w:tc>
          <w:tcPr>
            <w:tcW w:w="120" w:type="dxa"/>
            <w:vAlign w:val="bottom"/>
          </w:tcPr>
          <w:p>
            <w:pPr>
              <w:spacing w:after="0"/>
              <w:rPr>
                <w:sz w:val="12"/>
                <w:szCs w:val="12"/>
                <w:color w:val="auto"/>
              </w:rPr>
            </w:pPr>
          </w:p>
        </w:tc>
        <w:tc>
          <w:tcPr>
            <w:tcW w:w="90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90"/>
              </w:rPr>
              <w:t>Inputs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0"/>
              </w:rPr>
              <w:t>Inputs</w:t>
            </w:r>
          </w:p>
        </w:tc>
        <w:tc>
          <w:tcPr>
            <w:tcW w:w="100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1"/>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4"/>
                <w:szCs w:val="14"/>
                <w:color w:val="auto"/>
              </w:rPr>
            </w:pPr>
          </w:p>
        </w:tc>
        <w:tc>
          <w:tcPr>
            <w:tcW w:w="900" w:type="dxa"/>
            <w:vAlign w:val="bottom"/>
          </w:tcPr>
          <w:p>
            <w:pPr>
              <w:jc w:val="center"/>
              <w:ind w:right="47"/>
              <w:spacing w:after="0"/>
              <w:rPr>
                <w:sz w:val="20"/>
                <w:szCs w:val="20"/>
                <w:color w:val="auto"/>
              </w:rPr>
            </w:pPr>
            <w:r>
              <w:rPr>
                <w:rFonts w:ascii="Arial" w:cs="Arial" w:eastAsia="Arial" w:hAnsi="Arial"/>
                <w:sz w:val="14"/>
                <w:szCs w:val="14"/>
                <w:b w:val="1"/>
                <w:bCs w:val="1"/>
                <w:color w:val="auto"/>
                <w:w w:val="87"/>
              </w:rPr>
              <w:t>(Level 2)</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(Level 3)</w:t>
            </w:r>
          </w:p>
        </w:tc>
        <w:tc>
          <w:tcPr>
            <w:tcW w:w="1000" w:type="dxa"/>
            <w:vAlign w:val="bottom"/>
          </w:tcPr>
          <w:p>
            <w:pPr>
              <w:spacing w:after="0"/>
              <w:rPr>
                <w:sz w:val="14"/>
                <w:szCs w:val="1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8"/>
              </w:rPr>
              <w:t>Losses</w:t>
            </w:r>
          </w:p>
        </w:tc>
      </w:tr>
      <w:tr>
        <w:trPr>
          <w:trHeight w:val="210"/>
        </w:trPr>
        <w:tc>
          <w:tcPr>
            <w:tcW w:w="4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Tradenames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0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$18.5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Certain intangible assets held and used were written down to their fair value, resulting in an impairment charge of $18.5 million, which was included in earnings for the period. The value of the indefinite-lived tradenames was determined using a royalty savings methodology similar to that employed when the associated businesses were acquired but using updated estimates of sales, cash flow and profitability.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OPERATING LEASES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leases certain property and equipment from third parties under various non-cancelable operating lease agreements. Certain lease agreements contain renewal and purchase options. The lease agreements generally require that the Company pay taxes, insurance and maintenance expenses related to the leased assets. Future minimum lease payments for non-cancelable operating leases at September 30, 2011, were as follows (in millions):</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2013</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2015</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Thereafter</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194.8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also leases certain vehicles (primarily cars and light trucks) under agreements that are cancelable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2011, the Company’s residual value guarantee would have approximated $5.9 million.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residual value guarantee amounts that apply at the conclusion of non-cancelable lease terms are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Amount of</w:t>
            </w:r>
          </w:p>
        </w:tc>
        <w:tc>
          <w:tcPr>
            <w:tcW w:w="9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0"/>
              </w:rPr>
              <w:t>Lease</w:t>
            </w:r>
          </w:p>
        </w:tc>
      </w:tr>
      <w:tr>
        <w:trPr>
          <w:trHeight w:val="161"/>
        </w:trPr>
        <w:tc>
          <w:tcPr>
            <w:tcW w:w="3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Guarantee</w:t>
            </w:r>
          </w:p>
        </w:tc>
        <w:tc>
          <w:tcPr>
            <w:tcW w:w="2020" w:type="dxa"/>
            <w:vAlign w:val="bottom"/>
            <w:gridSpan w:val="2"/>
          </w:tcPr>
          <w:p>
            <w:pPr>
              <w:jc w:val="center"/>
              <w:ind w:left="882"/>
              <w:spacing w:after="0"/>
              <w:rPr>
                <w:sz w:val="20"/>
                <w:szCs w:val="20"/>
                <w:color w:val="auto"/>
              </w:rPr>
            </w:pPr>
            <w:r>
              <w:rPr>
                <w:rFonts w:ascii="Arial" w:cs="Arial" w:eastAsia="Arial" w:hAnsi="Arial"/>
                <w:sz w:val="14"/>
                <w:szCs w:val="14"/>
                <w:b w:val="1"/>
                <w:bCs w:val="1"/>
                <w:color w:val="auto"/>
                <w:w w:val="89"/>
              </w:rPr>
              <w:t>Termination Date</w:t>
            </w:r>
          </w:p>
        </w:tc>
      </w:tr>
      <w:tr>
        <w:trPr>
          <w:trHeight w:val="210"/>
        </w:trPr>
        <w:tc>
          <w:tcPr>
            <w:tcW w:w="3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Scotts LawnService</w:t>
            </w:r>
            <w:r>
              <w:rPr>
                <w:rFonts w:ascii="Arial" w:cs="Arial" w:eastAsia="Arial" w:hAnsi="Arial"/>
                <w:sz w:val="11"/>
                <w:szCs w:val="11"/>
                <w:color w:val="auto"/>
              </w:rPr>
              <w:t>®</w:t>
            </w:r>
            <w:r>
              <w:rPr>
                <w:rFonts w:ascii="Arial" w:cs="Arial" w:eastAsia="Arial" w:hAnsi="Arial"/>
                <w:sz w:val="18"/>
                <w:szCs w:val="18"/>
                <w:color w:val="auto"/>
              </w:rPr>
              <w:t xml:space="preserve"> vehicles</w:t>
            </w:r>
          </w:p>
        </w:tc>
        <w:tc>
          <w:tcPr>
            <w:tcW w:w="25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$15.9 million</w:t>
            </w:r>
          </w:p>
        </w:tc>
        <w:tc>
          <w:tcPr>
            <w:tcW w:w="9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Corporate aircraft</w:t>
            </w:r>
          </w:p>
        </w:tc>
        <w:tc>
          <w:tcPr>
            <w:tcW w:w="3500" w:type="dxa"/>
            <w:vAlign w:val="bottom"/>
            <w:gridSpan w:val="2"/>
          </w:tcPr>
          <w:p>
            <w:pPr>
              <w:jc w:val="center"/>
              <w:ind w:left="2452"/>
              <w:spacing w:after="0"/>
              <w:rPr>
                <w:sz w:val="20"/>
                <w:szCs w:val="20"/>
                <w:color w:val="auto"/>
              </w:rPr>
            </w:pPr>
            <w:r>
              <w:rPr>
                <w:rFonts w:ascii="Arial" w:cs="Arial" w:eastAsia="Arial" w:hAnsi="Arial"/>
                <w:sz w:val="18"/>
                <w:szCs w:val="18"/>
                <w:color w:val="auto"/>
                <w:w w:val="94"/>
              </w:rPr>
              <w:t>$12.8 million</w:t>
            </w:r>
          </w:p>
        </w:tc>
        <w:tc>
          <w:tcPr>
            <w:tcW w:w="2020" w:type="dxa"/>
            <w:vAlign w:val="bottom"/>
            <w:gridSpan w:val="2"/>
          </w:tcPr>
          <w:p>
            <w:pPr>
              <w:jc w:val="center"/>
              <w:ind w:left="902"/>
              <w:spacing w:after="0"/>
              <w:rPr>
                <w:sz w:val="20"/>
                <w:szCs w:val="20"/>
                <w:color w:val="auto"/>
              </w:rPr>
            </w:pPr>
            <w:r>
              <w:rPr>
                <w:rFonts w:ascii="Arial" w:cs="Arial" w:eastAsia="Arial" w:hAnsi="Arial"/>
                <w:sz w:val="18"/>
                <w:szCs w:val="18"/>
                <w:color w:val="auto"/>
                <w:w w:val="89"/>
              </w:rPr>
              <w:t>2012</w:t>
            </w:r>
          </w:p>
        </w:tc>
      </w:tr>
      <w:tr>
        <w:trPr>
          <w:trHeight w:val="356"/>
        </w:trPr>
        <w:tc>
          <w:tcPr>
            <w:tcW w:w="3160" w:type="dxa"/>
            <w:vAlign w:val="bottom"/>
          </w:tcPr>
          <w:p>
            <w:pPr>
              <w:spacing w:after="0"/>
              <w:rPr>
                <w:sz w:val="24"/>
                <w:szCs w:val="24"/>
                <w:color w:val="auto"/>
              </w:rPr>
            </w:pPr>
          </w:p>
        </w:tc>
        <w:tc>
          <w:tcPr>
            <w:tcW w:w="2540" w:type="dxa"/>
            <w:vAlign w:val="bottom"/>
          </w:tcPr>
          <w:p>
            <w:pPr>
              <w:jc w:val="right"/>
              <w:ind w:right="1152"/>
              <w:spacing w:after="0"/>
              <w:rPr>
                <w:sz w:val="20"/>
                <w:szCs w:val="20"/>
                <w:color w:val="auto"/>
              </w:rPr>
            </w:pPr>
            <w:r>
              <w:rPr>
                <w:rFonts w:ascii="Arial" w:cs="Arial" w:eastAsia="Arial" w:hAnsi="Arial"/>
                <w:sz w:val="18"/>
                <w:szCs w:val="18"/>
                <w:color w:val="auto"/>
              </w:rPr>
              <w:t>107</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fiscal 2011, fiscal 2010 and fiscal 2009 totaled $67.3 million, $65.4 million and $62.8 million,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the following unconditional purchase obligations due during each of the next five fiscal years that have not been recognized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at September 30, 2011 (in millions):</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2013</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2015</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Thereafter</w:t>
            </w:r>
          </w:p>
        </w:tc>
        <w:tc>
          <w:tcPr>
            <w:tcW w:w="3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257.1</w:t>
            </w:r>
          </w:p>
        </w:tc>
        <w:tc>
          <w:tcPr>
            <w:tcW w:w="10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Purchase obligations primarily represent commitments for materials used in the Company’s manufacturing processes, as well as commitments for warehouse services, grass seed and out-sourced information services.</w:t>
      </w:r>
    </w:p>
    <w:p>
      <w:pPr>
        <w:spacing w:after="0" w:line="132"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 addition, the Company leases certain property and equipment from third parties under various non-cancelable operating lease agreements. Future minimum lease payments for non-cancelable operating leases not included above are included in “NOTE 17. OPERATING LEASES.”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CONTINGENCIES</w:t>
      </w:r>
    </w:p>
    <w:p>
      <w:pPr>
        <w:spacing w:after="0" w:line="9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are expensed as incurred. In the opinion of management, its assessment of contingencies is reasonable and related reserves, in the aggregate, are adequate; however, there can be no assurance that final resolution of these matters will not have a material effect on the Company’s financial condition, results of operations or cash flows. The following are the more significant of the Company’s identified contingencies: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FIFRA Compliance and the Corresponding Governmental Investigations</w:t>
      </w:r>
    </w:p>
    <w:p>
      <w:pPr>
        <w:spacing w:after="0" w:line="9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For a description of the Company’s ongoing FIFRA compliance efforts and the corresponding governmental investigations, see “NOTE 3. PRODUCT REGISTRATION AND RECALL MATTERS.”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Other Regulatory Matters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At September 30, 2011, $3.9 million was accrued in the “Other liabilities” line in the Consolidated Balance Sheet for non-FIFRA compliance-related environmental actions, the majority of which is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9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The complaints in these cases are not specific about the plaintiffs’ contacts with the Company or its products. The Company in each case is one of numerous defendants and none of the claims seek damages from the Company alone.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20"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On April 27, 2007, the Company received a proposed Order On Consent from the New York State Department of Environmental Conservation (the “Proposed Order”) alleging that, during calendar year 2003, the Company and James Hagedorn, individually and as Chairman of the Board and Chief Executive Officer of the Company, unlawfully donated to a Port Washington, New York youth sports organization forty bags of Scotts</w:t>
      </w:r>
      <w:r>
        <w:rPr>
          <w:rFonts w:ascii="Arial" w:cs="Arial" w:eastAsia="Arial" w:hAnsi="Arial"/>
          <w:sz w:val="11"/>
          <w:szCs w:val="11"/>
          <w:color w:val="auto"/>
        </w:rPr>
        <w:t>®</w:t>
      </w:r>
      <w:r>
        <w:rPr>
          <w:rFonts w:ascii="Arial" w:cs="Arial" w:eastAsia="Arial" w:hAnsi="Arial"/>
          <w:sz w:val="18"/>
          <w:szCs w:val="18"/>
          <w:color w:val="auto"/>
        </w:rPr>
        <w:t xml:space="preserve"> LawnPro Annual Program Step 3 Insect Control Plus Fertilizer which, while federally registered, was allegedly not registered in the state of New York. The Proposed Order requests penalties totaling $695,000. The Company has responded in writing to the New York State Department of Environmental Conservation with respect to the Proposed Order and is awaiting a response.</w:t>
      </w:r>
    </w:p>
    <w:p>
      <w:pPr>
        <w:spacing w:after="0" w:line="144"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CONCENTRATIONS OF CREDIT RISK</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Financial instruments which potentially subject the Company to concentration of credit risk consist principally of trade accounts receivable. The Company sells its consumer products to a wide variety of retailers, including home centers, mass merchandisers, warehouse clubs, large hardware chains, independent hardware stores, nurseries, garden centers and food and drug stores. Concentrations of accounts receivable at September 30 were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Due from customers geographically located in North America</w:t>
            </w:r>
          </w:p>
        </w:tc>
        <w:tc>
          <w:tcPr>
            <w:tcW w:w="7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w:t>
            </w:r>
          </w:p>
        </w:tc>
        <w:tc>
          <w:tcPr>
            <w:tcW w:w="220" w:type="dxa"/>
            <w:vAlign w:val="bottom"/>
            <w:vMerge w:val="continue"/>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6600" w:type="dxa"/>
            <w:vAlign w:val="bottom"/>
          </w:tcPr>
          <w:p>
            <w:pPr>
              <w:ind w:left="440"/>
              <w:spacing w:after="0"/>
              <w:rPr>
                <w:sz w:val="20"/>
                <w:szCs w:val="20"/>
                <w:color w:val="auto"/>
              </w:rPr>
            </w:pPr>
            <w:r>
              <w:rPr>
                <w:rFonts w:ascii="Arial" w:cs="Arial" w:eastAsia="Arial" w:hAnsi="Arial"/>
                <w:sz w:val="18"/>
                <w:szCs w:val="18"/>
                <w:color w:val="auto"/>
              </w:rPr>
              <w:t>Applicable to the Global Consumer business</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89%</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Applicable primarily to Scotts LawnService</w:t>
            </w:r>
            <w:r>
              <w:rPr>
                <w:rFonts w:ascii="Arial" w:cs="Arial" w:eastAsia="Arial" w:hAnsi="Arial"/>
                <w:sz w:val="11"/>
                <w:szCs w:val="11"/>
                <w:color w:val="auto"/>
              </w:rPr>
              <w:t>®</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6600" w:type="dxa"/>
            <w:vAlign w:val="bottom"/>
          </w:tcPr>
          <w:p>
            <w:pPr>
              <w:spacing w:after="0"/>
              <w:rPr>
                <w:sz w:val="20"/>
                <w:szCs w:val="20"/>
                <w:color w:val="auto"/>
              </w:rPr>
            </w:pPr>
            <w:r>
              <w:rPr>
                <w:rFonts w:ascii="Arial" w:cs="Arial" w:eastAsia="Arial" w:hAnsi="Arial"/>
                <w:sz w:val="18"/>
                <w:szCs w:val="18"/>
                <w:color w:val="auto"/>
                <w:w w:val="98"/>
              </w:rPr>
              <w:t>Top 3 customers as a percent of total North America Consumer accounts receivable</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69%</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remainder of the Company’s accounts receivable at September 30, 2011 and 2010 were generated from customers located outside of North America, primarily retailers, distributors and nurseries in Europe. No concentrations of these customers or individual customers within this group accounted for more than 10% of the Company’s accounts receivable at either balance sheet date.</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Company’s three largest customers are reported within the Global Consumer segment and are the only customers that individually represent more than 10% of reported consolidated net sales for each of the last three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fiscal years. These three customers accounted for the following percentages of consolidated net sales for the fiscal years ended September 30:</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3rd</w:t>
            </w:r>
          </w:p>
        </w:tc>
      </w:tr>
      <w:tr>
        <w:trPr>
          <w:trHeight w:val="149"/>
        </w:trPr>
        <w:tc>
          <w:tcPr>
            <w:tcW w:w="5760" w:type="dxa"/>
            <w:vAlign w:val="bottom"/>
          </w:tcPr>
          <w:p>
            <w:pPr>
              <w:spacing w:after="0"/>
              <w:rPr>
                <w:sz w:val="12"/>
                <w:szCs w:val="12"/>
                <w:color w:val="auto"/>
              </w:rPr>
            </w:pPr>
          </w:p>
        </w:tc>
        <w:tc>
          <w:tcPr>
            <w:tcW w:w="14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0"/>
              </w:rPr>
              <w:t>Largest</w:t>
            </w:r>
          </w:p>
        </w:tc>
        <w:tc>
          <w:tcPr>
            <w:tcW w:w="15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2nd Largest</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Largest</w:t>
            </w:r>
          </w:p>
        </w:tc>
      </w:tr>
      <w:tr>
        <w:trPr>
          <w:trHeight w:val="161"/>
        </w:trPr>
        <w:tc>
          <w:tcPr>
            <w:tcW w:w="57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Customer</w:t>
            </w:r>
          </w:p>
        </w:tc>
        <w:tc>
          <w:tcPr>
            <w:tcW w:w="8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Customer</w:t>
            </w:r>
          </w:p>
        </w:tc>
        <w:tc>
          <w:tcPr>
            <w:tcW w:w="8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Customer</w:t>
            </w:r>
          </w:p>
        </w:tc>
        <w:tc>
          <w:tcPr>
            <w:tcW w:w="200" w:type="dxa"/>
            <w:vAlign w:val="bottom"/>
            <w:tcBorders>
              <w:bottom w:val="single" w:sz="8" w:color="CCEEFF"/>
            </w:tcBorders>
          </w:tcPr>
          <w:p>
            <w:pPr>
              <w:spacing w:after="0"/>
              <w:rPr>
                <w:sz w:val="14"/>
                <w:szCs w:val="14"/>
                <w:color w:val="auto"/>
              </w:rPr>
            </w:pPr>
          </w:p>
        </w:tc>
      </w:tr>
      <w:tr>
        <w:trPr>
          <w:trHeight w:val="210"/>
        </w:trPr>
        <w:tc>
          <w:tcPr>
            <w:tcW w:w="5760" w:type="dxa"/>
            <w:vAlign w:val="bottom"/>
            <w:shd w:val="clear" w:color="auto" w:fill="CCEEFF"/>
          </w:tcPr>
          <w:p>
            <w:pPr>
              <w:jc w:val="right"/>
              <w:ind w:right="5312"/>
              <w:spacing w:after="0" w:line="202" w:lineRule="exact"/>
              <w:rPr>
                <w:sz w:val="20"/>
                <w:szCs w:val="20"/>
                <w:color w:val="auto"/>
              </w:rPr>
            </w:pPr>
            <w:r>
              <w:rPr>
                <w:rFonts w:ascii="Arial" w:cs="Arial" w:eastAsia="Arial" w:hAnsi="Arial"/>
                <w:sz w:val="18"/>
                <w:szCs w:val="18"/>
                <w:color w:val="auto"/>
                <w:w w:val="84"/>
              </w:rPr>
              <w:t>2011</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29.7%</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5760" w:type="dxa"/>
            <w:vAlign w:val="bottom"/>
          </w:tcPr>
          <w:p>
            <w:pPr>
              <w:jc w:val="right"/>
              <w:ind w:right="5312"/>
              <w:spacing w:after="0"/>
              <w:rPr>
                <w:sz w:val="20"/>
                <w:szCs w:val="20"/>
                <w:color w:val="auto"/>
              </w:rPr>
            </w:pPr>
            <w:r>
              <w:rPr>
                <w:rFonts w:ascii="Arial" w:cs="Arial" w:eastAsia="Arial" w:hAnsi="Arial"/>
                <w:sz w:val="18"/>
                <w:szCs w:val="18"/>
                <w:color w:val="auto"/>
                <w:w w:val="84"/>
              </w:rPr>
              <w:t>2010</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29.9%</w:t>
            </w:r>
          </w:p>
        </w:tc>
        <w:tc>
          <w:tcPr>
            <w:tcW w:w="1580" w:type="dxa"/>
            <w:vAlign w:val="bottom"/>
            <w:gridSpan w:val="2"/>
          </w:tcPr>
          <w:p>
            <w:pPr>
              <w:jc w:val="right"/>
              <w:ind w:right="740"/>
              <w:spacing w:after="0"/>
              <w:rPr>
                <w:sz w:val="20"/>
                <w:szCs w:val="20"/>
                <w:color w:val="auto"/>
              </w:rPr>
            </w:pPr>
            <w:r>
              <w:rPr>
                <w:rFonts w:ascii="Arial" w:cs="Arial" w:eastAsia="Arial" w:hAnsi="Arial"/>
                <w:sz w:val="18"/>
                <w:szCs w:val="18"/>
                <w:color w:val="auto"/>
              </w:rPr>
              <w:t>18.0%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r>
      <w:tr>
        <w:trPr>
          <w:trHeight w:val="216"/>
        </w:trPr>
        <w:tc>
          <w:tcPr>
            <w:tcW w:w="5760" w:type="dxa"/>
            <w:vAlign w:val="bottom"/>
            <w:shd w:val="clear" w:color="auto" w:fill="CCEEFF"/>
          </w:tcPr>
          <w:p>
            <w:pPr>
              <w:jc w:val="right"/>
              <w:ind w:right="5312"/>
              <w:spacing w:after="0"/>
              <w:rPr>
                <w:sz w:val="20"/>
                <w:szCs w:val="20"/>
                <w:color w:val="auto"/>
              </w:rPr>
            </w:pPr>
            <w:r>
              <w:rPr>
                <w:rFonts w:ascii="Arial" w:cs="Arial" w:eastAsia="Arial" w:hAnsi="Arial"/>
                <w:sz w:val="18"/>
                <w:szCs w:val="18"/>
                <w:color w:val="auto"/>
                <w:w w:val="84"/>
              </w:rPr>
              <w:t>2009</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29.4%</w:t>
            </w:r>
          </w:p>
        </w:tc>
        <w:tc>
          <w:tcPr>
            <w:tcW w:w="15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OTHER (INCOME)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expense consisted of the following for the fiscal years ended September 30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26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Royalty income, net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$(4.8)</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$(4.5)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Gain from peat transaction</w:t>
            </w:r>
          </w:p>
        </w:tc>
        <w:tc>
          <w:tcPr>
            <w:tcW w:w="8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Franchise fees</w:t>
            </w: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Foreign currency losses</w:t>
            </w:r>
          </w:p>
        </w:tc>
        <w:tc>
          <w:tcPr>
            <w:tcW w:w="840" w:type="dxa"/>
            <w:vAlign w:val="bottom"/>
            <w:gridSpan w:val="3"/>
          </w:tcPr>
          <w:p>
            <w:pPr>
              <w:jc w:val="right"/>
              <w:ind w:right="460"/>
              <w:spacing w:after="0"/>
              <w:rPr>
                <w:sz w:val="20"/>
                <w:szCs w:val="20"/>
                <w:color w:val="auto"/>
              </w:rPr>
            </w:pPr>
            <w:r>
              <w:rPr>
                <w:rFonts w:ascii="Arial" w:cs="Arial" w:eastAsia="Arial" w:hAnsi="Arial"/>
                <w:sz w:val="18"/>
                <w:szCs w:val="18"/>
                <w:color w:val="auto"/>
              </w:rPr>
              <w:t>1.4</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$ 1.2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INFORMATION</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Company divides its business into the following segments—Global Consumer and Scotts LawnService</w:t>
      </w:r>
      <w:r>
        <w:rPr>
          <w:rFonts w:ascii="Arial" w:cs="Arial" w:eastAsia="Arial" w:hAnsi="Arial"/>
          <w:sz w:val="11"/>
          <w:szCs w:val="11"/>
          <w:color w:val="auto"/>
        </w:rPr>
        <w:t>®</w:t>
      </w:r>
      <w:r>
        <w:rPr>
          <w:rFonts w:ascii="Arial" w:cs="Arial" w:eastAsia="Arial" w:hAnsi="Arial"/>
          <w:sz w:val="18"/>
          <w:szCs w:val="18"/>
          <w:color w:val="auto"/>
        </w:rPr>
        <w:t>. This division of reportable segments is consistent with how the segments report to and are managed by the chief operating decision maker of the Company. The Company has made reclassifications to prior period segment amounts as a result of the change in internal organization structure associated with the sale of a significant majority of its previously reported Global Professional business segment, which is now reported in discontinued operations. For additional information regarding the sale, refer to “NOTE 2. DISCONTINUED OPERATIONS.”</w:t>
      </w:r>
    </w:p>
    <w:p>
      <w:pPr>
        <w:spacing w:after="0" w:line="143"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The Global Consumer segment consists of the U.S. Consumer and International Consumer business groups. The business groups comprising this segment manufacture, market and sell dry, granular slow-release lawn fertilizers, combination lawn fertilizer and control products, grass seed, spreaders, water-soluble, liquid and continuous release garden and indoor plant foods, plant care products, potting, garden and lawn soils, mulches and other growing media products, wild bird food, pesticide and rodenticide products. Products are marketed to mass merchandisers, home centers, large hardware chains, warehouse clubs, distributors, garden centers and grocers in the United States, Canada, Europe, Latin America and Australia.</w:t>
      </w:r>
    </w:p>
    <w:p>
      <w:pPr>
        <w:spacing w:after="0" w:line="1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Scotts LawnService</w:t>
      </w:r>
      <w:r>
        <w:rPr>
          <w:rFonts w:ascii="Arial" w:cs="Arial" w:eastAsia="Arial" w:hAnsi="Arial"/>
          <w:sz w:val="10"/>
          <w:szCs w:val="10"/>
          <w:color w:val="auto"/>
        </w:rPr>
        <w:t>®</w:t>
      </w:r>
      <w:r>
        <w:rPr>
          <w:rFonts w:ascii="Arial" w:cs="Arial" w:eastAsia="Arial" w:hAnsi="Arial"/>
          <w:sz w:val="16"/>
          <w:szCs w:val="16"/>
          <w:color w:val="auto"/>
        </w:rPr>
        <w:t xml:space="preserve"> segment provides residential and commercial lawn fertilization, disease and insect control and other related services such as core aeration, tree and shrub fertilization and limited pest control services through Company-owned branches and independent franchisees in the United States.</w:t>
      </w:r>
    </w:p>
    <w:p>
      <w:pPr>
        <w:spacing w:after="0" w:line="8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Segment performance is evaluated based on several factors, including income from continuing operations before amortization, product registration and recall costs, and impairment, restructuring and other charges, which is not a GAAP measure. Senior management of the Company uses this measure of operating profit to gauge segment performance because the Company believes this measure is the most indicative of performance trends and the overall earnings potential of each segment. Total assets reported for the Company’s operating segments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include the intangible assets for the acquired businesses within those segments. The accounting policies of the segments are the same as those described in the “NOTE 1. SUMMARY OF SIGNIFICANT ACCOUNTING POLICIES.”</w:t>
      </w:r>
    </w:p>
    <w:p>
      <w:pPr>
        <w:spacing w:after="0" w:line="13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Corporate &amp; Other consists of the Company’s non-European professional seed business and revenues and expenses associated with the Company’s supply agreements with ICL,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 For capital expenditures and total assets, Corporate &amp; Other also includes Smith &amp; Hawken, which is classified as discontinued operations on the Consolidated Statements of Operations.</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following table presents summarized financial information concerning the Company’s reportable segments for fiscal years ended September 30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Global Consumer</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2,533.2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2,649.7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1"/>
                <w:szCs w:val="11"/>
                <w:color w:val="auto"/>
              </w:rPr>
              <w:t>®</w:t>
            </w:r>
          </w:p>
        </w:tc>
        <w:tc>
          <w:tcPr>
            <w:tcW w:w="3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Segment total</w:t>
            </w:r>
          </w:p>
        </w:tc>
        <w:tc>
          <w:tcPr>
            <w:tcW w:w="3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2,768.8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2,873.8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2,716.4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&amp; Other</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Roundup</w:t>
            </w:r>
            <w:r>
              <w:rPr>
                <w:rFonts w:ascii="Arial" w:cs="Arial" w:eastAsia="Arial" w:hAnsi="Arial"/>
                <w:sz w:val="11"/>
                <w:szCs w:val="11"/>
                <w:color w:val="auto"/>
              </w:rPr>
              <w:t>®</w:t>
            </w:r>
            <w:r>
              <w:rPr>
                <w:rFonts w:ascii="Arial" w:cs="Arial" w:eastAsia="Arial" w:hAnsi="Arial"/>
                <w:sz w:val="18"/>
                <w:szCs w:val="18"/>
                <w:color w:val="auto"/>
              </w:rPr>
              <w:t xml:space="preserve"> amortization</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registration and recall matters—returns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vMerge w:val="restart"/>
          </w:tcPr>
          <w:p>
            <w:pPr>
              <w:ind w:left="420"/>
              <w:spacing w:after="0"/>
              <w:rPr>
                <w:sz w:val="20"/>
                <w:szCs w:val="20"/>
                <w:color w:val="auto"/>
              </w:rPr>
            </w:pPr>
            <w:r>
              <w:rPr>
                <w:rFonts w:ascii="Arial" w:cs="Arial" w:eastAsia="Arial" w:hAnsi="Arial"/>
                <w:sz w:val="18"/>
                <w:szCs w:val="18"/>
                <w:color w:val="auto"/>
              </w:rPr>
              <w:t>Consolidated</w:t>
            </w:r>
          </w:p>
        </w:tc>
        <w:tc>
          <w:tcPr>
            <w:tcW w:w="3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vMerge w:val="continue"/>
          </w:tcPr>
          <w:p>
            <w:pPr>
              <w:spacing w:after="0"/>
              <w:rPr>
                <w:sz w:val="19"/>
                <w:szCs w:val="19"/>
                <w:color w:val="auto"/>
              </w:rPr>
            </w:pPr>
          </w:p>
        </w:tc>
        <w:tc>
          <w:tcPr>
            <w:tcW w:w="3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2,835.7</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2,898.0</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Global Consumer</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425.6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490.7</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1"/>
                <w:szCs w:val="11"/>
                <w:color w:val="auto"/>
              </w:rPr>
              <w:t>®</w:t>
            </w:r>
          </w:p>
        </w:tc>
        <w:tc>
          <w:tcPr>
            <w:tcW w:w="3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rPr>
              <w:t>Segment total</w:t>
            </w:r>
          </w:p>
        </w:tc>
        <w:tc>
          <w:tcPr>
            <w:tcW w:w="3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511.7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&amp; Other</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Roundup</w:t>
            </w:r>
            <w:r>
              <w:rPr>
                <w:rFonts w:ascii="Arial" w:cs="Arial" w:eastAsia="Arial" w:hAnsi="Arial"/>
                <w:sz w:val="11"/>
                <w:szCs w:val="11"/>
                <w:color w:val="auto"/>
              </w:rPr>
              <w:t>®</w:t>
            </w:r>
            <w:r>
              <w:rPr>
                <w:rFonts w:ascii="Arial" w:cs="Arial" w:eastAsia="Arial" w:hAnsi="Arial"/>
                <w:sz w:val="18"/>
                <w:szCs w:val="18"/>
                <w:color w:val="auto"/>
              </w:rPr>
              <w:t xml:space="preserve"> amortization</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amortization</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Product registration and recall matters</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restructuring and other charges</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Costs related to refinancing</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Consolidated</w:t>
            </w:r>
          </w:p>
        </w:tc>
        <w:tc>
          <w:tcPr>
            <w:tcW w:w="3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00" w:type="dxa"/>
            <w:vAlign w:val="bottom"/>
            <w:gridSpan w:val="2"/>
            <w:vMerge w:val="continue"/>
          </w:tcPr>
          <w:p>
            <w:pPr>
              <w:spacing w:after="0"/>
              <w:rPr>
                <w:sz w:val="19"/>
                <w:szCs w:val="19"/>
                <w:color w:val="auto"/>
              </w:rPr>
            </w:pP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194.8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319.9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Global Consumer</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1"/>
                <w:szCs w:val="11"/>
                <w:color w:val="auto"/>
              </w:rPr>
              <w:t>®</w:t>
            </w:r>
          </w:p>
        </w:tc>
        <w:tc>
          <w:tcPr>
            <w:tcW w:w="3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Corporate &amp; Other</w:t>
            </w:r>
          </w:p>
        </w:tc>
        <w:tc>
          <w:tcPr>
            <w:tcW w:w="3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Capital expenditures:</w:t>
            </w:r>
          </w:p>
        </w:tc>
        <w:tc>
          <w:tcPr>
            <w:tcW w:w="3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 Consumer</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42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1"/>
                <w:szCs w:val="11"/>
                <w:color w:val="auto"/>
              </w:rPr>
              <w:t>®</w:t>
            </w:r>
          </w:p>
        </w:tc>
        <w:tc>
          <w:tcPr>
            <w:tcW w:w="3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&amp; Other</w:t>
            </w:r>
          </w:p>
        </w:tc>
        <w:tc>
          <w:tcPr>
            <w:tcW w:w="3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82.9</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760" w:type="dxa"/>
            <w:vAlign w:val="bottom"/>
            <w:vMerge w:val="restart"/>
          </w:tcPr>
          <w:p>
            <w:pPr>
              <w:jc w:val="right"/>
              <w:ind w:right="2632"/>
              <w:spacing w:after="0"/>
              <w:rPr>
                <w:sz w:val="20"/>
                <w:szCs w:val="20"/>
                <w:color w:val="auto"/>
              </w:rPr>
            </w:pPr>
            <w:r>
              <w:rPr>
                <w:rFonts w:ascii="Arial" w:cs="Arial" w:eastAsia="Arial" w:hAnsi="Arial"/>
                <w:sz w:val="18"/>
                <w:szCs w:val="18"/>
                <w:color w:val="auto"/>
              </w:rPr>
              <w:t>111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6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22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Global Consumer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5"/>
              </w:rPr>
              <w:t>$1,552.4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$1,458.4</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Scotts LawnService</w:t>
            </w:r>
            <w:r>
              <w:rPr>
                <w:rFonts w:ascii="Arial" w:cs="Arial" w:eastAsia="Arial" w:hAnsi="Arial"/>
                <w:sz w:val="11"/>
                <w:szCs w:val="1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Corporate &amp; Other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334.8</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EFF"/>
          </w:tcPr>
          <w:p>
            <w:pPr>
              <w:spacing w:after="0"/>
              <w:rPr>
                <w:sz w:val="18"/>
                <w:szCs w:val="18"/>
                <w:color w:val="auto"/>
              </w:rPr>
            </w:pPr>
          </w:p>
        </w:tc>
      </w:tr>
      <w:tr>
        <w:trPr>
          <w:trHeight w:val="222"/>
        </w:trPr>
        <w:tc>
          <w:tcPr>
            <w:tcW w:w="67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2,052.2</w:t>
            </w: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2,164.0</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net sales and long-lived assets (property, plant and equipment and finite-lived intangibles) by geographic area for fiscal 2011, fiscal 2010 and fiscal 2009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20" w:type="dxa"/>
            <w:vAlign w:val="bottom"/>
            <w:tcBorders>
              <w:bottom w:val="single" w:sz="8" w:color="CCEEFF"/>
            </w:tcBorders>
          </w:tcPr>
          <w:p>
            <w:pPr>
              <w:spacing w:after="0"/>
              <w:rPr>
                <w:sz w:val="14"/>
                <w:szCs w:val="14"/>
                <w:color w:val="auto"/>
              </w:rPr>
            </w:pPr>
          </w:p>
        </w:tc>
        <w:tc>
          <w:tcPr>
            <w:tcW w:w="3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3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2,330.4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2,425.5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2,314.3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rPr>
                <w:sz w:val="19"/>
                <w:szCs w:val="19"/>
                <w:color w:val="auto"/>
              </w:rPr>
            </w:pPr>
          </w:p>
        </w:tc>
        <w:tc>
          <w:tcPr>
            <w:tcW w:w="3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2,835.7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2,898.0</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2,746.4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411.3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404.4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3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20" w:type="dxa"/>
            <w:vAlign w:val="bottom"/>
          </w:tcPr>
          <w:p>
            <w:pPr>
              <w:spacing w:after="0"/>
              <w:rPr>
                <w:sz w:val="19"/>
                <w:szCs w:val="19"/>
                <w:color w:val="auto"/>
              </w:rPr>
            </w:pP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481.1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478.0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3460" w:type="dxa"/>
            <w:vAlign w:val="bottom"/>
            <w:vMerge w:val="restart"/>
          </w:tcPr>
          <w:p>
            <w:pPr>
              <w:jc w:val="right"/>
              <w:ind w:right="1472"/>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2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CONSOLIDATED FINANCIAL INFORMATION (UNAUDITED)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unaudited quarterly results of operations for fiscal 2011 and fiscal 2010 (in millions,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9"/>
              </w:rPr>
              <w:t>Second</w:t>
            </w:r>
          </w:p>
        </w:tc>
        <w:tc>
          <w:tcPr>
            <w:tcW w:w="8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Third</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1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Quarter</w:t>
            </w:r>
          </w:p>
        </w:tc>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Quarter</w:t>
            </w: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196"/>
        </w:trPr>
        <w:tc>
          <w:tcPr>
            <w:tcW w:w="7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FISCAL 2011</w:t>
            </w: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sales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$230.2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1,129.6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1,058.7</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$417.2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2,835.7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111.7</w:t>
            </w:r>
          </w:p>
        </w:tc>
        <w:tc>
          <w:tcPr>
            <w:tcW w:w="3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177.6</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111.6</w:t>
            </w:r>
          </w:p>
        </w:tc>
        <w:tc>
          <w:tcPr>
            <w:tcW w:w="3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(1.16)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discontinued operations, net of tax</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1.73</w:t>
            </w:r>
          </w:p>
        </w:tc>
        <w:tc>
          <w:tcPr>
            <w:tcW w:w="3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(0.86)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used in basic EPS calculation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Income (loss) from discontinued operations, net of tax</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(1.02)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(0.86)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Common shares and dilutive potential common shares used in diluted EPS calculation</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80" w:type="dxa"/>
            <w:vAlign w:val="bottom"/>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66.2</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FISCAL 2010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sales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$252.4</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1,050.7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1,172.6</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$422.3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2,898.0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415.0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169.5</w:t>
            </w:r>
          </w:p>
        </w:tc>
        <w:tc>
          <w:tcPr>
            <w:tcW w:w="3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118.5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175.9</w:t>
            </w:r>
          </w:p>
        </w:tc>
        <w:tc>
          <w:tcPr>
            <w:tcW w:w="3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(0.76)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(0.50)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discontinued operations, net of tax</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440"/>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(0.88)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 (0.49)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used in basic EPS calculation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1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(0.76)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(0.50)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tcPr>
          <w:p>
            <w:pPr>
              <w:ind w:left="440"/>
              <w:spacing w:after="0"/>
              <w:rPr>
                <w:sz w:val="20"/>
                <w:szCs w:val="20"/>
                <w:color w:val="auto"/>
              </w:rPr>
            </w:pPr>
            <w:r>
              <w:rPr>
                <w:rFonts w:ascii="Arial" w:cs="Arial" w:eastAsia="Arial" w:hAnsi="Arial"/>
                <w:sz w:val="18"/>
                <w:szCs w:val="18"/>
                <w:color w:val="auto"/>
              </w:rPr>
              <w:t>Income (loss) from discontinued operations, net of tax</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(0.88)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 (0.49)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Common shares and dilutive potential common shares used in diluted EPS calculation</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80" w:type="dxa"/>
            <w:vAlign w:val="bottom"/>
            <w:vMerge w:val="continue"/>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67.9</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Common share equivalents, such as share-based awards, are excluded from the diluted loss per common share calculation in periods where there is a loss from continuing operations because the effect of their inclusion would be anti-dilutive.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business is highly seasonal, with approximately 75% of net sales occurring in the second and third fiscal quarters.</w:t>
      </w:r>
    </w:p>
    <w:p>
      <w:pPr>
        <w:spacing w:after="0" w:line="171"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Unusual items during fiscal 2011 consisted of product registration and recall charges, impairment, restructuring and other charges, and costs related to refinancing. These items are reflected in the quarterly financial information as follows: first quarter product registration and recall charges of $1.7 million; second quarter product registration and recall charges of $2.5 million; third quarter product registration and recall charges of $6.8 million, and impairment, restructuring and other charges of $13.8 million; fourth quarter product registration and recall charges of $3.6 million and impairment, restructuring and other charges of $62.3 million. Unusual items in discontinued operations consisted of the sale of Global Pro to ICL resulting in an after-tax gain of $39.5 million, which included transaction costs. During the fourth quarter of 2011, an out-of-period adjustment of approximately $13.6 million was recorded to correct the tax provision recognized for discontinued operations in the second quarter of 2011. Management believes the amount was not material individually or in the aggregate to current or prior interim periods. In addition, in the fourth quarter of fiscal 2011, the Company recorded an adjustment of $5.0 million as a change in estimate on the tax due on the gain on sale of Global Pro.</w:t>
      </w:r>
    </w:p>
    <w:p>
      <w:pPr>
        <w:spacing w:after="0" w:line="120"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Unusual items during fiscal 2010 consisted of impairment and product registration and recall charges. These items are reflected in the quarterly financial information as follows: first quarter product registration and recall charges of $2.6 million; second quarter product registration and recall charges of $1.7 million; third quarter product registration and recall charges of $1.5 million; and fourth quarter impairment charges of $18.5 million and product registration and recall charges of $2.9 million. Unusual items in discontinued operations consisted of Smith &amp; Hawken restructuring and other charges of $17.1 million in the first quarter, offset by a gain of approximately $18 million from the sale of Smith &amp; Hawken intellectual property; restructuring and other charges of $1.9 million in the second quarter; restructuring and other charges of $0.3 million in the third quarter; and restructuring and other charges of $(1.0) million in the fourth quarter.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FINANCIAL INFORMATION FOR SUBSIDIARY GUARANTORS AND NON-GUARANTORS</w:t>
      </w:r>
    </w:p>
    <w:p>
      <w:pPr>
        <w:spacing w:after="0" w:line="96"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 xml:space="preserve">The 7.25% and 6.625% Senior Notes (collectively, the “Senior Notes”) issued by Scotts Miracle-Gro on January 14, 2010 and December 16, 2010, respectively, are guaranteed by certain of its domestic subsidiaries and, therefore, the Company has disclosed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following 100% directly or indirectly owned subsidiaries fully and unconditionally guarantee the Senior Notes on a joint and several basis: EG Systems, Inc., dba Scotts LawnService</w:t>
      </w:r>
      <w:r>
        <w:rPr>
          <w:rFonts w:ascii="Arial" w:cs="Arial" w:eastAsia="Arial" w:hAnsi="Arial"/>
          <w:sz w:val="10"/>
          <w:szCs w:val="10"/>
          <w:color w:val="auto"/>
        </w:rPr>
        <w:t>®</w:t>
      </w:r>
      <w:r>
        <w:rPr>
          <w:rFonts w:ascii="Arial" w:cs="Arial" w:eastAsia="Arial" w:hAnsi="Arial"/>
          <w:sz w:val="16"/>
          <w:szCs w:val="16"/>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Inc.; SMG Brands, Inc.; SMG Growing Media, Inc.; Swiss Farms Products, Inc.; and The Scotts Company LLC (collectively, the “Guarantors”). SMG Brands, Inc. was added as a Guarantor of the Senior Notes on September 28, 2011. Accordingly, SMG Brands, Inc. has been classified as a Guarantor for all periods presented in the condensed, consolidating financial information accompanying this Note 24.</w:t>
      </w:r>
    </w:p>
    <w:p>
      <w:pPr>
        <w:spacing w:after="0" w:line="12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following information presents condensed, consolidating Statements of Operations and Statements of Cash Flows for each of the three years in the period ended September 30, 2011, and condensed, consolidating Balance Sheets as of September 30, 2011 and 2010. The consolidating financial information presents, in separate columns, financial information for: Scotts Miracle-Gro on a Parent-only basis, carrying its investment in subsidiaries under the equity method; Guarantors on a combined basis, carrying investments in subsidiaries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Subsidiary</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77"/>
              </w:rPr>
              <w:t>Parent</w:t>
            </w:r>
          </w:p>
        </w:tc>
        <w:tc>
          <w:tcPr>
            <w:tcW w:w="220" w:type="dxa"/>
            <w:vAlign w:val="bottom"/>
          </w:tcPr>
          <w:p>
            <w:pPr>
              <w:spacing w:after="0"/>
              <w:rPr>
                <w:sz w:val="13"/>
                <w:szCs w:val="13"/>
                <w:color w:val="auto"/>
              </w:rPr>
            </w:pPr>
          </w:p>
        </w:tc>
        <w:tc>
          <w:tcPr>
            <w:tcW w:w="11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Guarantors</w:t>
            </w: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Guarantors</w:t>
            </w:r>
          </w:p>
        </w:tc>
        <w:tc>
          <w:tcPr>
            <w:tcW w:w="220" w:type="dxa"/>
            <w:vAlign w:val="bottom"/>
          </w:tcPr>
          <w:p>
            <w:pPr>
              <w:spacing w:after="0"/>
              <w:rPr>
                <w:sz w:val="13"/>
                <w:szCs w:val="13"/>
                <w:color w:val="auto"/>
              </w:rPr>
            </w:pPr>
          </w:p>
        </w:tc>
        <w:tc>
          <w:tcPr>
            <w:tcW w:w="1220" w:type="dxa"/>
            <w:vAlign w:val="bottom"/>
            <w:gridSpan w:val="3"/>
          </w:tcPr>
          <w:p>
            <w:pPr>
              <w:spacing w:after="0" w:line="159" w:lineRule="exact"/>
              <w:rPr>
                <w:sz w:val="20"/>
                <w:szCs w:val="20"/>
                <w:color w:val="auto"/>
              </w:rPr>
            </w:pPr>
            <w:r>
              <w:rPr>
                <w:rFonts w:ascii="Arial" w:cs="Arial" w:eastAsia="Arial" w:hAnsi="Arial"/>
                <w:sz w:val="14"/>
                <w:szCs w:val="14"/>
                <w:color w:val="auto"/>
              </w:rPr>
              <w:t>Eliminations</w:t>
            </w:r>
          </w:p>
        </w:tc>
        <w:tc>
          <w:tcPr>
            <w:tcW w:w="820" w:type="dxa"/>
            <w:vAlign w:val="bottom"/>
            <w:gridSpan w:val="3"/>
          </w:tcPr>
          <w:p>
            <w:pPr>
              <w:spacing w:after="0" w:line="159"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2,312.6</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Cost of sales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1,465.1</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impairment, restructuring and other charges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Cost of sales - product registration and recall matters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827.0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526.1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Impairment, restructuring and other charges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registration and recall matters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Other income, net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236.5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Equity income in subsidiaries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(186.8)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228.4</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Costs related to refinancing</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258.1</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(228.4)</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from continuing operations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8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167.9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(228.4)</w:t>
            </w:r>
          </w:p>
        </w:tc>
        <w:tc>
          <w:tcPr>
            <w:tcW w:w="1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167.9</w:t>
            </w:r>
          </w:p>
        </w:tc>
        <w:tc>
          <w:tcPr>
            <w:tcW w:w="28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(228.4)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Subsidiary</w:t>
            </w:r>
          </w:p>
        </w:tc>
        <w:tc>
          <w:tcPr>
            <w:tcW w:w="120" w:type="dxa"/>
            <w:vAlign w:val="bottom"/>
          </w:tcPr>
          <w:p>
            <w:pPr>
              <w:spacing w:after="0"/>
              <w:rPr>
                <w:sz w:val="14"/>
                <w:szCs w:val="14"/>
                <w:color w:val="auto"/>
              </w:rPr>
            </w:pPr>
          </w:p>
        </w:tc>
        <w:tc>
          <w:tcPr>
            <w:tcW w:w="1060" w:type="dxa"/>
            <w:vAlign w:val="bottom"/>
            <w:gridSpan w:val="2"/>
          </w:tcPr>
          <w:p>
            <w:pPr>
              <w:jc w:val="right"/>
              <w:ind w:right="740"/>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38"/>
              <w:spacing w:after="0" w:line="159" w:lineRule="exact"/>
              <w:rPr>
                <w:sz w:val="20"/>
                <w:szCs w:val="20"/>
                <w:color w:val="auto"/>
              </w:rPr>
            </w:pPr>
            <w:r>
              <w:rPr>
                <w:rFonts w:ascii="Arial" w:cs="Arial" w:eastAsia="Arial" w:hAnsi="Arial"/>
                <w:sz w:val="14"/>
                <w:szCs w:val="14"/>
                <w:color w:val="auto"/>
                <w:w w:val="82"/>
              </w:rPr>
              <w:t>Parent</w:t>
            </w:r>
          </w:p>
        </w:tc>
        <w:tc>
          <w:tcPr>
            <w:tcW w:w="260" w:type="dxa"/>
            <w:vAlign w:val="bottom"/>
          </w:tcPr>
          <w:p>
            <w:pPr>
              <w:spacing w:after="0"/>
              <w:rPr>
                <w:sz w:val="13"/>
                <w:szCs w:val="13"/>
                <w:color w:val="auto"/>
              </w:rPr>
            </w:pPr>
          </w:p>
        </w:tc>
        <w:tc>
          <w:tcPr>
            <w:tcW w:w="1160" w:type="dxa"/>
            <w:vAlign w:val="bottom"/>
            <w:gridSpan w:val="3"/>
          </w:tcPr>
          <w:p>
            <w:pPr>
              <w:spacing w:after="0" w:line="159" w:lineRule="exact"/>
              <w:rPr>
                <w:sz w:val="20"/>
                <w:szCs w:val="20"/>
                <w:color w:val="auto"/>
              </w:rPr>
            </w:pPr>
            <w:r>
              <w:rPr>
                <w:rFonts w:ascii="Arial" w:cs="Arial" w:eastAsia="Arial" w:hAnsi="Arial"/>
                <w:sz w:val="14"/>
                <w:szCs w:val="14"/>
                <w:color w:val="auto"/>
              </w:rPr>
              <w:t>Guarantors</w:t>
            </w:r>
          </w:p>
        </w:tc>
        <w:tc>
          <w:tcPr>
            <w:tcW w:w="1180" w:type="dxa"/>
            <w:vAlign w:val="bottom"/>
            <w:gridSpan w:val="3"/>
          </w:tcPr>
          <w:p>
            <w:pPr>
              <w:spacing w:after="0" w:line="159" w:lineRule="exact"/>
              <w:rPr>
                <w:sz w:val="20"/>
                <w:szCs w:val="20"/>
                <w:color w:val="auto"/>
              </w:rPr>
            </w:pPr>
            <w:r>
              <w:rPr>
                <w:rFonts w:ascii="Arial" w:cs="Arial" w:eastAsia="Arial" w:hAnsi="Arial"/>
                <w:sz w:val="14"/>
                <w:szCs w:val="14"/>
                <w:color w:val="auto"/>
              </w:rPr>
              <w:t>Guarantors</w:t>
            </w:r>
          </w:p>
        </w:tc>
        <w:tc>
          <w:tcPr>
            <w:tcW w:w="700" w:type="dxa"/>
            <w:vAlign w:val="bottom"/>
            <w:gridSpan w:val="2"/>
          </w:tcPr>
          <w:p>
            <w:pPr>
              <w:spacing w:after="0" w:line="159" w:lineRule="exact"/>
              <w:rPr>
                <w:sz w:val="20"/>
                <w:szCs w:val="20"/>
                <w:color w:val="auto"/>
              </w:rPr>
            </w:pPr>
            <w:r>
              <w:rPr>
                <w:rFonts w:ascii="Arial" w:cs="Arial" w:eastAsia="Arial" w:hAnsi="Arial"/>
                <w:sz w:val="14"/>
                <w:szCs w:val="14"/>
                <w:color w:val="auto"/>
                <w:w w:val="90"/>
              </w:rPr>
              <w:t>Eliminations</w:t>
            </w:r>
          </w:p>
        </w:tc>
        <w:tc>
          <w:tcPr>
            <w:tcW w:w="560" w:type="dxa"/>
            <w:vAlign w:val="bottom"/>
          </w:tcPr>
          <w:p>
            <w:pPr>
              <w:spacing w:after="0"/>
              <w:rPr>
                <w:sz w:val="13"/>
                <w:szCs w:val="13"/>
                <w:color w:val="auto"/>
              </w:rPr>
            </w:pPr>
          </w:p>
        </w:tc>
        <w:tc>
          <w:tcPr>
            <w:tcW w:w="820" w:type="dxa"/>
            <w:vAlign w:val="bottom"/>
            <w:gridSpan w:val="3"/>
          </w:tcPr>
          <w:p>
            <w:pPr>
              <w:spacing w:after="0" w:line="159"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Borders>
              <w:top w:val="single" w:sz="8" w:color="CCEEFF"/>
            </w:tcBorders>
            <w:shd w:val="clear" w:color="auto" w:fill="CCEEFF"/>
          </w:tcPr>
          <w:p>
            <w:pPr>
              <w:jc w:val="right"/>
              <w:ind w:right="17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54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long-lived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Proceeds from sale of business, net of transaction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158.7</w:t>
            </w:r>
          </w:p>
        </w:tc>
        <w:tc>
          <w:tcPr>
            <w:tcW w:w="1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94.9</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property, plant and equipment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Contingent consideration and related payments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acquired businesses, net of cash acquired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860"/>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5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w w:val="93"/>
              </w:rPr>
              <w:t>Borrowings under revolving and bank lines of credit and term loans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908.2</w:t>
            </w:r>
          </w:p>
        </w:tc>
        <w:tc>
          <w:tcPr>
            <w:tcW w:w="12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701.9</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Repayments under revolving and bank lines of credit and term loans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87"/>
              </w:rPr>
              <w:t>(302.4)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(660.8)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(668.9)</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(1,632.1)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Proceeds from issuance of Senior Notes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 and issuance fees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78"/>
              <w:spacing w:after="0"/>
              <w:rPr>
                <w:sz w:val="20"/>
                <w:szCs w:val="20"/>
                <w:color w:val="auto"/>
              </w:rPr>
            </w:pPr>
            <w:r>
              <w:rPr>
                <w:rFonts w:ascii="Arial" w:cs="Arial" w:eastAsia="Arial" w:hAnsi="Arial"/>
                <w:sz w:val="18"/>
                <w:szCs w:val="18"/>
                <w:color w:val="auto"/>
              </w:rPr>
              <w:t>(67.9)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shares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w w:val="87"/>
              </w:rPr>
              <w:t>(358.7)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Payments on seller notes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payment arrangements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1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Cash received from exercise of stock options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Intercompany financing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(404.3)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(122.6)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(151.6)</w:t>
            </w:r>
          </w:p>
        </w:tc>
        <w:tc>
          <w:tcPr>
            <w:tcW w:w="12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(89.6)</w:t>
            </w:r>
          </w:p>
        </w:tc>
        <w:tc>
          <w:tcPr>
            <w:tcW w:w="26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5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1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126.6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color w:val="auto"/>
                <w:w w:val="88"/>
              </w:rPr>
              <w:t>Subsidiary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Parent</w:t>
            </w:r>
          </w:p>
        </w:tc>
        <w:tc>
          <w:tcPr>
            <w:tcW w:w="620" w:type="dxa"/>
            <w:vAlign w:val="bottom"/>
            <w:gridSpan w:val="2"/>
          </w:tcPr>
          <w:p>
            <w:pPr>
              <w:spacing w:after="0" w:line="159" w:lineRule="exact"/>
              <w:rPr>
                <w:sz w:val="20"/>
                <w:szCs w:val="20"/>
                <w:color w:val="auto"/>
              </w:rPr>
            </w:pPr>
            <w:r>
              <w:rPr>
                <w:rFonts w:ascii="Arial" w:cs="Arial" w:eastAsia="Arial" w:hAnsi="Arial"/>
                <w:sz w:val="14"/>
                <w:szCs w:val="14"/>
                <w:color w:val="auto"/>
                <w:w w:val="85"/>
              </w:rPr>
              <w:t>Guarantors</w:t>
            </w:r>
          </w:p>
        </w:tc>
        <w:tc>
          <w:tcPr>
            <w:tcW w:w="500" w:type="dxa"/>
            <w:vAlign w:val="bottom"/>
          </w:tcPr>
          <w:p>
            <w:pPr>
              <w:spacing w:after="0"/>
              <w:rPr>
                <w:sz w:val="13"/>
                <w:szCs w:val="13"/>
                <w:color w:val="auto"/>
              </w:rPr>
            </w:pPr>
          </w:p>
        </w:tc>
        <w:tc>
          <w:tcPr>
            <w:tcW w:w="9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Guarantors</w:t>
            </w:r>
          </w:p>
        </w:tc>
        <w:tc>
          <w:tcPr>
            <w:tcW w:w="240" w:type="dxa"/>
            <w:vAlign w:val="bottom"/>
          </w:tcPr>
          <w:p>
            <w:pPr>
              <w:spacing w:after="0"/>
              <w:rPr>
                <w:sz w:val="13"/>
                <w:szCs w:val="13"/>
                <w:color w:val="auto"/>
              </w:rPr>
            </w:pPr>
          </w:p>
        </w:tc>
        <w:tc>
          <w:tcPr>
            <w:tcW w:w="1000" w:type="dxa"/>
            <w:vAlign w:val="bottom"/>
            <w:gridSpan w:val="3"/>
          </w:tcPr>
          <w:p>
            <w:pPr>
              <w:spacing w:after="0" w:line="159" w:lineRule="exact"/>
              <w:rPr>
                <w:sz w:val="20"/>
                <w:szCs w:val="20"/>
                <w:color w:val="auto"/>
              </w:rPr>
            </w:pPr>
            <w:r>
              <w:rPr>
                <w:rFonts w:ascii="Arial" w:cs="Arial" w:eastAsia="Arial" w:hAnsi="Arial"/>
                <w:sz w:val="14"/>
                <w:szCs w:val="14"/>
                <w:color w:val="auto"/>
              </w:rPr>
              <w:t>Eliminations</w:t>
            </w:r>
          </w:p>
        </w:tc>
        <w:tc>
          <w:tcPr>
            <w:tcW w:w="220" w:type="dxa"/>
            <w:vAlign w:val="bottom"/>
          </w:tcPr>
          <w:p>
            <w:pPr>
              <w:spacing w:after="0"/>
              <w:rPr>
                <w:sz w:val="13"/>
                <w:szCs w:val="13"/>
                <w:color w:val="auto"/>
              </w:rPr>
            </w:pPr>
          </w:p>
        </w:tc>
        <w:tc>
          <w:tcPr>
            <w:tcW w:w="82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Current assets: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440"/>
              <w:spacing w:after="0"/>
              <w:rPr>
                <w:sz w:val="20"/>
                <w:szCs w:val="20"/>
                <w:color w:val="auto"/>
              </w:rPr>
            </w:pPr>
            <w:r>
              <w:rPr>
                <w:rFonts w:ascii="Arial" w:cs="Arial" w:eastAsia="Arial" w:hAnsi="Arial"/>
                <w:sz w:val="18"/>
                <w:szCs w:val="18"/>
                <w:color w:val="auto"/>
              </w:rPr>
              <w:t>Prepaid and other current assets</w:t>
            </w:r>
          </w:p>
        </w:tc>
        <w:tc>
          <w:tcPr>
            <w:tcW w:w="2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347.3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270.3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Equity investment in subsidiaries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794.3</w:t>
            </w:r>
          </w:p>
        </w:tc>
        <w:tc>
          <w:tcPr>
            <w:tcW w:w="8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(794.3)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Intercompany assets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880"/>
              <w:spacing w:after="0"/>
              <w:rPr>
                <w:sz w:val="20"/>
                <w:szCs w:val="20"/>
                <w:color w:val="auto"/>
              </w:rPr>
            </w:pPr>
            <w:r>
              <w:rPr>
                <w:rFonts w:ascii="Arial" w:cs="Arial" w:eastAsia="Arial" w:hAnsi="Arial"/>
                <w:sz w:val="18"/>
                <w:szCs w:val="18"/>
                <w:color w:val="auto"/>
              </w:rPr>
              <w:t>Total assets</w:t>
            </w:r>
          </w:p>
        </w:tc>
        <w:tc>
          <w:tcPr>
            <w:tcW w:w="22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740" w:type="dxa"/>
            <w:vAlign w:val="bottom"/>
            <w:vMerge w:val="continue"/>
          </w:tcPr>
          <w:p>
            <w:pPr>
              <w:spacing w:after="0"/>
              <w:rPr>
                <w:sz w:val="19"/>
                <w:szCs w:val="19"/>
                <w:color w:val="auto"/>
              </w:rPr>
            </w:pPr>
          </w:p>
        </w:tc>
        <w:tc>
          <w:tcPr>
            <w:tcW w:w="3380" w:type="dxa"/>
            <w:vAlign w:val="bottom"/>
            <w:gridSpan w:val="4"/>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1,381.1</w:t>
            </w: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1,728.8</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443.4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(1,501.1)</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3"/>
              </w:rPr>
              <w:t>2,052.2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4000" w:type="dxa"/>
            <w:vAlign w:val="bottom"/>
            <w:gridSpan w:val="6"/>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LIABILITIES AND SHAREHOLDERS’ EQUITY</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Current liabilities: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debt</w:t>
            </w: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103.9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2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40" w:type="dxa"/>
            <w:vAlign w:val="bottom"/>
          </w:tcPr>
          <w:p>
            <w:pPr>
              <w:ind w:left="880"/>
              <w:spacing w:after="0"/>
              <w:rPr>
                <w:sz w:val="20"/>
                <w:szCs w:val="20"/>
                <w:color w:val="auto"/>
              </w:rPr>
            </w:pPr>
            <w:r>
              <w:rPr>
                <w:rFonts w:ascii="Arial" w:cs="Arial" w:eastAsia="Arial" w:hAnsi="Arial"/>
                <w:sz w:val="18"/>
                <w:szCs w:val="18"/>
                <w:color w:val="auto"/>
              </w:rPr>
              <w:t>Total current liabilities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142.2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787.2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 liabilities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in subsidiaries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Intercompany liabilities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(281.9)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(1,035.5)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Shareholders’ equity</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559.8</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624.0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0"/>
              </w:rPr>
              <w:t>Total liabilities and shareholders’ equity</w:t>
            </w:r>
          </w:p>
        </w:tc>
        <w:tc>
          <w:tcPr>
            <w:tcW w:w="33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$1,381.1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1,728.8</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443.4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(1,501.1)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40" w:type="dxa"/>
            <w:vAlign w:val="bottom"/>
            <w:vMerge w:val="restart"/>
          </w:tcPr>
          <w:p>
            <w:pPr>
              <w:jc w:val="right"/>
              <w:ind w:right="5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7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Subsidiary</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Non-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77"/>
              </w:rPr>
              <w:t>Parent</w:t>
            </w:r>
          </w:p>
        </w:tc>
        <w:tc>
          <w:tcPr>
            <w:tcW w:w="220" w:type="dxa"/>
            <w:vAlign w:val="bottom"/>
          </w:tcPr>
          <w:p>
            <w:pPr>
              <w:spacing w:after="0"/>
              <w:rPr>
                <w:sz w:val="13"/>
                <w:szCs w:val="13"/>
                <w:color w:val="auto"/>
              </w:rPr>
            </w:pPr>
          </w:p>
        </w:tc>
        <w:tc>
          <w:tcPr>
            <w:tcW w:w="11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Guarantors</w:t>
            </w: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Guarantors</w:t>
            </w:r>
          </w:p>
        </w:tc>
        <w:tc>
          <w:tcPr>
            <w:tcW w:w="220" w:type="dxa"/>
            <w:vAlign w:val="bottom"/>
          </w:tcPr>
          <w:p>
            <w:pPr>
              <w:spacing w:after="0"/>
              <w:rPr>
                <w:sz w:val="13"/>
                <w:szCs w:val="13"/>
                <w:color w:val="auto"/>
              </w:rPr>
            </w:pPr>
          </w:p>
        </w:tc>
        <w:tc>
          <w:tcPr>
            <w:tcW w:w="1220" w:type="dxa"/>
            <w:vAlign w:val="bottom"/>
            <w:gridSpan w:val="3"/>
          </w:tcPr>
          <w:p>
            <w:pPr>
              <w:spacing w:after="0" w:line="159" w:lineRule="exact"/>
              <w:rPr>
                <w:sz w:val="20"/>
                <w:szCs w:val="20"/>
                <w:color w:val="auto"/>
              </w:rPr>
            </w:pPr>
            <w:r>
              <w:rPr>
                <w:rFonts w:ascii="Arial" w:cs="Arial" w:eastAsia="Arial" w:hAnsi="Arial"/>
                <w:sz w:val="14"/>
                <w:szCs w:val="14"/>
                <w:color w:val="auto"/>
              </w:rPr>
              <w:t>Eliminations</w:t>
            </w:r>
          </w:p>
        </w:tc>
        <w:tc>
          <w:tcPr>
            <w:tcW w:w="820" w:type="dxa"/>
            <w:vAlign w:val="bottom"/>
            <w:gridSpan w:val="3"/>
          </w:tcPr>
          <w:p>
            <w:pPr>
              <w:spacing w:after="0" w:line="159"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2,429.2</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Cost of sales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w w:val="83"/>
              </w:rPr>
              <w:t>1,502.8</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1,819.1</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 and recall matters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923.4</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152.5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1,075.9</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576.9</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restructuring and other charges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800" w:type="dxa"/>
            <w:vAlign w:val="bottom"/>
          </w:tcPr>
          <w:p>
            <w:pPr>
              <w:ind w:left="440"/>
              <w:spacing w:after="0"/>
              <w:rPr>
                <w:sz w:val="20"/>
                <w:szCs w:val="20"/>
                <w:color w:val="auto"/>
              </w:rPr>
            </w:pPr>
            <w:r>
              <w:rPr>
                <w:rFonts w:ascii="Arial" w:cs="Arial" w:eastAsia="Arial" w:hAnsi="Arial"/>
                <w:sz w:val="18"/>
                <w:szCs w:val="18"/>
                <w:color w:val="auto"/>
              </w:rPr>
              <w:t>Product registration and recall matters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Equity income in subsidiaries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234.4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non-operating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325.5</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(234.4)</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 from continuing operations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204.1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(234.4)</w:t>
            </w:r>
          </w:p>
        </w:tc>
        <w:tc>
          <w:tcPr>
            <w:tcW w:w="1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204.1</w:t>
            </w:r>
          </w:p>
        </w:tc>
        <w:tc>
          <w:tcPr>
            <w:tcW w:w="280" w:type="dxa"/>
            <w:vAlign w:val="bottom"/>
          </w:tcPr>
          <w:p>
            <w:pPr>
              <w:spacing w:after="0"/>
              <w:rPr>
                <w:sz w:val="20"/>
                <w:szCs w:val="20"/>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212.5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20"/>
                <w:szCs w:val="20"/>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(234.4)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60" w:type="dxa"/>
            <w:vAlign w:val="bottom"/>
            <w:vMerge w:val="restart"/>
          </w:tcPr>
          <w:p>
            <w:pPr>
              <w:jc w:val="right"/>
              <w:ind w:right="132"/>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8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Subsidiary</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4"/>
                <w:szCs w:val="14"/>
                <w:color w:val="auto"/>
                <w:w w:val="98"/>
              </w:rPr>
              <w:t>Non-</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598"/>
              <w:spacing w:after="0" w:line="159" w:lineRule="exact"/>
              <w:rPr>
                <w:sz w:val="20"/>
                <w:szCs w:val="20"/>
                <w:color w:val="auto"/>
              </w:rPr>
            </w:pPr>
            <w:r>
              <w:rPr>
                <w:rFonts w:ascii="Arial" w:cs="Arial" w:eastAsia="Arial" w:hAnsi="Arial"/>
                <w:sz w:val="14"/>
                <w:szCs w:val="14"/>
                <w:color w:val="auto"/>
                <w:w w:val="82"/>
              </w:rPr>
              <w:t>Parent</w:t>
            </w:r>
          </w:p>
        </w:tc>
        <w:tc>
          <w:tcPr>
            <w:tcW w:w="920" w:type="dxa"/>
            <w:vAlign w:val="bottom"/>
            <w:gridSpan w:val="3"/>
          </w:tcPr>
          <w:p>
            <w:pPr>
              <w:spacing w:after="0" w:line="159" w:lineRule="exact"/>
              <w:rPr>
                <w:sz w:val="20"/>
                <w:szCs w:val="20"/>
                <w:color w:val="auto"/>
              </w:rPr>
            </w:pPr>
            <w:r>
              <w:rPr>
                <w:rFonts w:ascii="Arial" w:cs="Arial" w:eastAsia="Arial" w:hAnsi="Arial"/>
                <w:sz w:val="14"/>
                <w:szCs w:val="14"/>
                <w:color w:val="auto"/>
              </w:rPr>
              <w:t>Guarantors</w:t>
            </w:r>
          </w:p>
        </w:tc>
        <w:tc>
          <w:tcPr>
            <w:tcW w:w="260" w:type="dxa"/>
            <w:vAlign w:val="bottom"/>
          </w:tcPr>
          <w:p>
            <w:pPr>
              <w:spacing w:after="0"/>
              <w:rPr>
                <w:sz w:val="13"/>
                <w:szCs w:val="13"/>
                <w:color w:val="auto"/>
              </w:rPr>
            </w:pPr>
          </w:p>
        </w:tc>
        <w:tc>
          <w:tcPr>
            <w:tcW w:w="920" w:type="dxa"/>
            <w:vAlign w:val="bottom"/>
            <w:gridSpan w:val="3"/>
          </w:tcPr>
          <w:p>
            <w:pPr>
              <w:jc w:val="right"/>
              <w:ind w:right="320"/>
              <w:spacing w:after="0" w:line="159" w:lineRule="exact"/>
              <w:rPr>
                <w:sz w:val="20"/>
                <w:szCs w:val="20"/>
                <w:color w:val="auto"/>
              </w:rPr>
            </w:pPr>
            <w:r>
              <w:rPr>
                <w:rFonts w:ascii="Arial" w:cs="Arial" w:eastAsia="Arial" w:hAnsi="Arial"/>
                <w:sz w:val="14"/>
                <w:szCs w:val="14"/>
                <w:color w:val="auto"/>
                <w:w w:val="82"/>
              </w:rPr>
              <w:t>Guarantors</w:t>
            </w:r>
          </w:p>
        </w:tc>
        <w:tc>
          <w:tcPr>
            <w:tcW w:w="240" w:type="dxa"/>
            <w:vAlign w:val="bottom"/>
          </w:tcPr>
          <w:p>
            <w:pPr>
              <w:spacing w:after="0"/>
              <w:rPr>
                <w:sz w:val="13"/>
                <w:szCs w:val="13"/>
                <w:color w:val="auto"/>
              </w:rPr>
            </w:pPr>
          </w:p>
        </w:tc>
        <w:tc>
          <w:tcPr>
            <w:tcW w:w="700" w:type="dxa"/>
            <w:vAlign w:val="bottom"/>
            <w:gridSpan w:val="2"/>
          </w:tcPr>
          <w:p>
            <w:pPr>
              <w:ind w:left="20"/>
              <w:spacing w:after="0" w:line="159" w:lineRule="exact"/>
              <w:rPr>
                <w:sz w:val="20"/>
                <w:szCs w:val="20"/>
                <w:color w:val="auto"/>
              </w:rPr>
            </w:pPr>
            <w:r>
              <w:rPr>
                <w:rFonts w:ascii="Arial" w:cs="Arial" w:eastAsia="Arial" w:hAnsi="Arial"/>
                <w:sz w:val="14"/>
                <w:szCs w:val="14"/>
                <w:color w:val="auto"/>
                <w:w w:val="87"/>
              </w:rPr>
              <w:t>Eliminations</w:t>
            </w:r>
          </w:p>
        </w:tc>
        <w:tc>
          <w:tcPr>
            <w:tcW w:w="580" w:type="dxa"/>
            <w:vAlign w:val="bottom"/>
          </w:tcPr>
          <w:p>
            <w:pPr>
              <w:spacing w:after="0"/>
              <w:rPr>
                <w:sz w:val="13"/>
                <w:szCs w:val="13"/>
                <w:color w:val="auto"/>
              </w:rPr>
            </w:pPr>
          </w:p>
        </w:tc>
        <w:tc>
          <w:tcPr>
            <w:tcW w:w="820" w:type="dxa"/>
            <w:vAlign w:val="bottom"/>
            <w:gridSpan w:val="3"/>
          </w:tcPr>
          <w:p>
            <w:pPr>
              <w:spacing w:after="0" w:line="159"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80" w:type="dxa"/>
            <w:vAlign w:val="bottom"/>
            <w:tcBorders>
              <w:top w:val="single" w:sz="8" w:color="CCEEFF"/>
            </w:tcBorders>
            <w:shd w:val="clear" w:color="auto" w:fill="CCEEFF"/>
          </w:tcPr>
          <w:p>
            <w:pPr>
              <w:jc w:val="right"/>
              <w:ind w:right="4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54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long-lived assets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Investments in property, plant and equipment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(74.5)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investing activities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330"/>
        </w:trPr>
        <w:tc>
          <w:tcPr>
            <w:tcW w:w="54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Borrowings under revolving and bank lines of credit and term loans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w w:val="91"/>
              </w:rPr>
              <w:t>Repayments under revolving and bank lines of credit and term loans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(851.6)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(539.8)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Senior Notes, net of discount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98"/>
              <w:spacing w:after="0"/>
              <w:rPr>
                <w:sz w:val="20"/>
                <w:szCs w:val="20"/>
                <w:color w:val="auto"/>
              </w:rPr>
            </w:pPr>
            <w:r>
              <w:rPr>
                <w:rFonts w:ascii="Arial" w:cs="Arial" w:eastAsia="Arial" w:hAnsi="Arial"/>
                <w:sz w:val="18"/>
                <w:szCs w:val="18"/>
                <w:color w:val="auto"/>
                <w:w w:val="97"/>
              </w:rPr>
              <w:t>198.5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Financing and issuance fees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38"/>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38"/>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Purchase of common shares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38"/>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seller notes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Excess tax benefits from share-based payment arrangements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exercise of stock options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98"/>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Intercompany financing</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38"/>
              <w:spacing w:after="0"/>
              <w:rPr>
                <w:sz w:val="20"/>
                <w:szCs w:val="20"/>
                <w:color w:val="auto"/>
              </w:rPr>
            </w:pPr>
            <w:r>
              <w:rPr>
                <w:rFonts w:ascii="Arial" w:cs="Arial" w:eastAsia="Arial" w:hAnsi="Arial"/>
                <w:sz w:val="18"/>
                <w:szCs w:val="18"/>
                <w:color w:val="auto"/>
                <w:w w:val="87"/>
              </w:rPr>
              <w:t>(142.7)</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98"/>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(204.9)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w:t>
            </w: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7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color w:val="auto"/>
              </w:rPr>
              <w:t>Subsidiary</w:t>
            </w:r>
          </w:p>
        </w:tc>
        <w:tc>
          <w:tcPr>
            <w:tcW w:w="120" w:type="dxa"/>
            <w:vAlign w:val="bottom"/>
          </w:tcPr>
          <w:p>
            <w:pPr>
              <w:spacing w:after="0"/>
              <w:rPr>
                <w:sz w:val="14"/>
                <w:szCs w:val="14"/>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color w:val="auto"/>
                <w:w w:val="98"/>
              </w:rPr>
              <w:t>Non-</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53"/>
              <w:spacing w:after="0" w:line="159" w:lineRule="exact"/>
              <w:rPr>
                <w:sz w:val="20"/>
                <w:szCs w:val="20"/>
                <w:color w:val="auto"/>
              </w:rPr>
            </w:pPr>
            <w:r>
              <w:rPr>
                <w:rFonts w:ascii="Arial" w:cs="Arial" w:eastAsia="Arial" w:hAnsi="Arial"/>
                <w:sz w:val="14"/>
                <w:szCs w:val="14"/>
                <w:color w:val="auto"/>
                <w:w w:val="87"/>
              </w:rPr>
              <w:t>Parent</w:t>
            </w:r>
          </w:p>
        </w:tc>
        <w:tc>
          <w:tcPr>
            <w:tcW w:w="500" w:type="dxa"/>
            <w:vAlign w:val="bottom"/>
          </w:tcPr>
          <w:p>
            <w:pPr>
              <w:spacing w:after="0"/>
              <w:rPr>
                <w:sz w:val="13"/>
                <w:szCs w:val="13"/>
                <w:color w:val="auto"/>
              </w:rPr>
            </w:pPr>
          </w:p>
        </w:tc>
        <w:tc>
          <w:tcPr>
            <w:tcW w:w="11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Guarantors</w:t>
            </w:r>
          </w:p>
        </w:tc>
        <w:tc>
          <w:tcPr>
            <w:tcW w:w="600" w:type="dxa"/>
            <w:vAlign w:val="bottom"/>
            <w:gridSpan w:val="2"/>
          </w:tcPr>
          <w:p>
            <w:pPr>
              <w:spacing w:after="0" w:line="159" w:lineRule="exact"/>
              <w:rPr>
                <w:sz w:val="20"/>
                <w:szCs w:val="20"/>
                <w:color w:val="auto"/>
              </w:rPr>
            </w:pPr>
            <w:r>
              <w:rPr>
                <w:rFonts w:ascii="Arial" w:cs="Arial" w:eastAsia="Arial" w:hAnsi="Arial"/>
                <w:sz w:val="14"/>
                <w:szCs w:val="14"/>
                <w:color w:val="auto"/>
                <w:w w:val="82"/>
              </w:rPr>
              <w:t>Guarantors</w:t>
            </w:r>
          </w:p>
        </w:tc>
        <w:tc>
          <w:tcPr>
            <w:tcW w:w="520" w:type="dxa"/>
            <w:vAlign w:val="bottom"/>
          </w:tcPr>
          <w:p>
            <w:pPr>
              <w:spacing w:after="0"/>
              <w:rPr>
                <w:sz w:val="13"/>
                <w:szCs w:val="13"/>
                <w:color w:val="auto"/>
              </w:rPr>
            </w:pPr>
          </w:p>
        </w:tc>
        <w:tc>
          <w:tcPr>
            <w:tcW w:w="1000" w:type="dxa"/>
            <w:vAlign w:val="bottom"/>
            <w:gridSpan w:val="3"/>
          </w:tcPr>
          <w:p>
            <w:pPr>
              <w:spacing w:after="0" w:line="159" w:lineRule="exact"/>
              <w:rPr>
                <w:sz w:val="20"/>
                <w:szCs w:val="20"/>
                <w:color w:val="auto"/>
              </w:rPr>
            </w:pPr>
            <w:r>
              <w:rPr>
                <w:rFonts w:ascii="Arial" w:cs="Arial" w:eastAsia="Arial" w:hAnsi="Arial"/>
                <w:sz w:val="14"/>
                <w:szCs w:val="14"/>
                <w:color w:val="auto"/>
              </w:rPr>
              <w:t>Eliminations</w:t>
            </w:r>
          </w:p>
        </w:tc>
        <w:tc>
          <w:tcPr>
            <w:tcW w:w="220" w:type="dxa"/>
            <w:vAlign w:val="bottom"/>
          </w:tcPr>
          <w:p>
            <w:pPr>
              <w:spacing w:after="0"/>
              <w:rPr>
                <w:sz w:val="13"/>
                <w:szCs w:val="13"/>
                <w:color w:val="auto"/>
              </w:rPr>
            </w:pPr>
          </w:p>
        </w:tc>
        <w:tc>
          <w:tcPr>
            <w:tcW w:w="82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Current assets: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287.7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Assets held for sale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and other assets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97.9</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880"/>
              <w:spacing w:after="0"/>
              <w:rPr>
                <w:sz w:val="20"/>
                <w:szCs w:val="20"/>
                <w:color w:val="auto"/>
              </w:rPr>
            </w:pPr>
            <w:r>
              <w:rPr>
                <w:rFonts w:ascii="Arial" w:cs="Arial" w:eastAsia="Arial" w:hAnsi="Arial"/>
                <w:sz w:val="18"/>
                <w:szCs w:val="18"/>
                <w:color w:val="auto"/>
              </w:rPr>
              <w:t>Total current assets</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656.2</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1,118.1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Goodwill</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305.1</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275.2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 assets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in subsidiaries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Intercompany assets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337.3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(337.3)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1,283.7</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1,587.3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(1,312.3)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740" w:type="dxa"/>
            <w:vAlign w:val="bottom"/>
          </w:tcPr>
          <w:p>
            <w:pPr>
              <w:spacing w:after="0"/>
              <w:rPr>
                <w:sz w:val="24"/>
                <w:szCs w:val="24"/>
                <w:color w:val="auto"/>
              </w:rPr>
            </w:pPr>
          </w:p>
        </w:tc>
        <w:tc>
          <w:tcPr>
            <w:tcW w:w="452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Current portion of debt</w:t>
            </w:r>
          </w:p>
        </w:tc>
        <w:tc>
          <w:tcPr>
            <w:tcW w:w="2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193.2</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440"/>
              <w:spacing w:after="0"/>
              <w:rPr>
                <w:sz w:val="20"/>
                <w:szCs w:val="20"/>
                <w:color w:val="auto"/>
              </w:rPr>
            </w:pPr>
            <w:r>
              <w:rPr>
                <w:rFonts w:ascii="Arial" w:cs="Arial" w:eastAsia="Arial" w:hAnsi="Arial"/>
                <w:sz w:val="18"/>
                <w:szCs w:val="18"/>
                <w:color w:val="auto"/>
              </w:rPr>
              <w:t>Liabilities held for sale</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249.1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ind w:left="880"/>
              <w:spacing w:after="0"/>
              <w:rPr>
                <w:sz w:val="20"/>
                <w:szCs w:val="20"/>
                <w:color w:val="auto"/>
              </w:rPr>
            </w:pPr>
            <w:r>
              <w:rPr>
                <w:rFonts w:ascii="Arial" w:cs="Arial" w:eastAsia="Arial" w:hAnsi="Arial"/>
                <w:sz w:val="18"/>
                <w:szCs w:val="18"/>
                <w:color w:val="auto"/>
              </w:rPr>
              <w:t>Total current liabilities</w:t>
            </w:r>
          </w:p>
        </w:tc>
        <w:tc>
          <w:tcPr>
            <w:tcW w:w="2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74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196.8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343.1</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196.9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 liabilities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in subsidiaries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Intercompany liabilities</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(327.6)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756.3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Shareholders’ equity</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764.5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831.0</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(834.0)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0"/>
              </w:rPr>
              <w:t>Total liabilities and shareholders’ equity</w:t>
            </w:r>
          </w:p>
        </w:tc>
        <w:tc>
          <w:tcPr>
            <w:tcW w:w="2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$1,283.7</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1,587.3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(1,312.3)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60" w:type="dxa"/>
            <w:vAlign w:val="bottom"/>
            <w:vMerge w:val="restart"/>
          </w:tcPr>
          <w:p>
            <w:pPr>
              <w:jc w:val="right"/>
              <w:ind w:right="72"/>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2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74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Subsidiary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color w:val="auto"/>
                <w:w w:val="98"/>
              </w:rPr>
              <w:t>Non-</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w w:val="82"/>
              </w:rPr>
              <w:t>Parent</w:t>
            </w:r>
          </w:p>
        </w:tc>
        <w:tc>
          <w:tcPr>
            <w:tcW w:w="220" w:type="dxa"/>
            <w:vAlign w:val="bottom"/>
          </w:tcPr>
          <w:p>
            <w:pPr>
              <w:spacing w:after="0"/>
              <w:rPr>
                <w:sz w:val="13"/>
                <w:szCs w:val="13"/>
                <w:color w:val="auto"/>
              </w:rPr>
            </w:pP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Guarantors</w:t>
            </w:r>
          </w:p>
        </w:tc>
        <w:tc>
          <w:tcPr>
            <w:tcW w:w="240" w:type="dxa"/>
            <w:vAlign w:val="bottom"/>
          </w:tcPr>
          <w:p>
            <w:pPr>
              <w:spacing w:after="0"/>
              <w:rPr>
                <w:sz w:val="13"/>
                <w:szCs w:val="13"/>
                <w:color w:val="auto"/>
              </w:rPr>
            </w:pPr>
          </w:p>
        </w:tc>
        <w:tc>
          <w:tcPr>
            <w:tcW w:w="1120" w:type="dxa"/>
            <w:vAlign w:val="bottom"/>
            <w:gridSpan w:val="3"/>
          </w:tcPr>
          <w:p>
            <w:pPr>
              <w:spacing w:after="0" w:line="159" w:lineRule="exact"/>
              <w:rPr>
                <w:sz w:val="20"/>
                <w:szCs w:val="20"/>
                <w:color w:val="auto"/>
              </w:rPr>
            </w:pPr>
            <w:r>
              <w:rPr>
                <w:rFonts w:ascii="Arial" w:cs="Arial" w:eastAsia="Arial" w:hAnsi="Arial"/>
                <w:sz w:val="14"/>
                <w:szCs w:val="14"/>
                <w:color w:val="auto"/>
              </w:rPr>
              <w:t>Guarantors</w:t>
            </w:r>
          </w:p>
        </w:tc>
        <w:tc>
          <w:tcPr>
            <w:tcW w:w="980" w:type="dxa"/>
            <w:vAlign w:val="bottom"/>
            <w:gridSpan w:val="3"/>
          </w:tcPr>
          <w:p>
            <w:pPr>
              <w:spacing w:after="0" w:line="159" w:lineRule="exact"/>
              <w:rPr>
                <w:sz w:val="20"/>
                <w:szCs w:val="20"/>
                <w:color w:val="auto"/>
              </w:rPr>
            </w:pPr>
            <w:r>
              <w:rPr>
                <w:rFonts w:ascii="Arial" w:cs="Arial" w:eastAsia="Arial" w:hAnsi="Arial"/>
                <w:sz w:val="14"/>
                <w:szCs w:val="14"/>
                <w:color w:val="auto"/>
              </w:rPr>
              <w:t>Eliminations</w:t>
            </w:r>
          </w:p>
        </w:tc>
        <w:tc>
          <w:tcPr>
            <w:tcW w:w="220" w:type="dxa"/>
            <w:vAlign w:val="bottom"/>
          </w:tcPr>
          <w:p>
            <w:pPr>
              <w:spacing w:after="0"/>
              <w:rPr>
                <w:sz w:val="13"/>
                <w:szCs w:val="13"/>
                <w:color w:val="auto"/>
              </w:rPr>
            </w:pPr>
          </w:p>
        </w:tc>
        <w:tc>
          <w:tcPr>
            <w:tcW w:w="820" w:type="dxa"/>
            <w:vAlign w:val="bottom"/>
            <w:gridSpan w:val="3"/>
          </w:tcPr>
          <w:p>
            <w:pPr>
              <w:ind w:left="20"/>
              <w:spacing w:after="0" w:line="159" w:lineRule="exact"/>
              <w:rPr>
                <w:sz w:val="20"/>
                <w:szCs w:val="20"/>
                <w:color w:val="auto"/>
              </w:rPr>
            </w:pPr>
            <w:r>
              <w:rPr>
                <w:rFonts w:ascii="Arial" w:cs="Arial" w:eastAsia="Arial" w:hAnsi="Arial"/>
                <w:sz w:val="14"/>
                <w:szCs w:val="14"/>
                <w:color w:val="auto"/>
                <w:w w:val="95"/>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2,316.2</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1,460.7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296.3</w:t>
            </w: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1,757.0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sales - product registration and recall matters</w:t>
            </w:r>
          </w:p>
        </w:tc>
        <w:tc>
          <w:tcPr>
            <w:tcW w:w="1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843.8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133.9</w:t>
            </w:r>
          </w:p>
        </w:tc>
        <w:tc>
          <w:tcPr>
            <w:tcW w:w="16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134.8</w:t>
            </w: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registration and recall matters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Other expense (income), net</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Equity income in subsidiaries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(155.1)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tax (benefit) expense from continuing operations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153.3</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8"/>
                <w:szCs w:val="18"/>
                <w:color w:val="auto"/>
              </w:rPr>
              <w:t>122</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right"/>
              <w:ind w:right="680"/>
              <w:spacing w:after="0"/>
              <w:rPr>
                <w:sz w:val="20"/>
                <w:szCs w:val="20"/>
                <w:color w:val="auto"/>
              </w:rPr>
            </w:pPr>
            <w:r>
              <w:rPr>
                <w:rFonts w:ascii="Arial" w:cs="Arial" w:eastAsia="Arial" w:hAnsi="Arial"/>
                <w:sz w:val="14"/>
                <w:szCs w:val="14"/>
                <w:color w:val="auto"/>
                <w:w w:val="94"/>
              </w:rPr>
              <w:t>Subsidiary</w:t>
            </w:r>
          </w:p>
        </w:tc>
        <w:tc>
          <w:tcPr>
            <w:tcW w:w="120" w:type="dxa"/>
            <w:vAlign w:val="bottom"/>
          </w:tcPr>
          <w:p>
            <w:pPr>
              <w:spacing w:after="0"/>
              <w:rPr>
                <w:sz w:val="14"/>
                <w:szCs w:val="14"/>
                <w:color w:val="auto"/>
              </w:rPr>
            </w:pPr>
          </w:p>
        </w:tc>
        <w:tc>
          <w:tcPr>
            <w:tcW w:w="1140" w:type="dxa"/>
            <w:vAlign w:val="bottom"/>
            <w:gridSpan w:val="2"/>
          </w:tcPr>
          <w:p>
            <w:pPr>
              <w:jc w:val="right"/>
              <w:ind w:right="820"/>
              <w:spacing w:after="0"/>
              <w:rPr>
                <w:sz w:val="20"/>
                <w:szCs w:val="20"/>
                <w:color w:val="auto"/>
              </w:rPr>
            </w:pPr>
            <w:r>
              <w:rPr>
                <w:rFonts w:ascii="Arial" w:cs="Arial" w:eastAsia="Arial" w:hAnsi="Arial"/>
                <w:sz w:val="14"/>
                <w:szCs w:val="14"/>
                <w:color w:val="auto"/>
                <w:w w:val="98"/>
              </w:rPr>
              <w:t>Non-</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82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Parent</w:t>
            </w:r>
          </w:p>
        </w:tc>
        <w:tc>
          <w:tcPr>
            <w:tcW w:w="280" w:type="dxa"/>
            <w:vAlign w:val="bottom"/>
          </w:tcPr>
          <w:p>
            <w:pPr>
              <w:spacing w:after="0"/>
              <w:rPr>
                <w:sz w:val="13"/>
                <w:szCs w:val="13"/>
                <w:color w:val="auto"/>
              </w:rPr>
            </w:pPr>
          </w:p>
        </w:tc>
        <w:tc>
          <w:tcPr>
            <w:tcW w:w="1320" w:type="dxa"/>
            <w:vAlign w:val="bottom"/>
            <w:gridSpan w:val="3"/>
          </w:tcPr>
          <w:p>
            <w:pPr>
              <w:jc w:val="right"/>
              <w:ind w:right="680"/>
              <w:spacing w:after="0" w:line="159" w:lineRule="exact"/>
              <w:rPr>
                <w:sz w:val="20"/>
                <w:szCs w:val="20"/>
                <w:color w:val="auto"/>
              </w:rPr>
            </w:pPr>
            <w:r>
              <w:rPr>
                <w:rFonts w:ascii="Arial" w:cs="Arial" w:eastAsia="Arial" w:hAnsi="Arial"/>
                <w:sz w:val="14"/>
                <w:szCs w:val="14"/>
                <w:color w:val="auto"/>
                <w:w w:val="88"/>
              </w:rPr>
              <w:t>Guarantors</w:t>
            </w:r>
          </w:p>
        </w:tc>
        <w:tc>
          <w:tcPr>
            <w:tcW w:w="1260" w:type="dxa"/>
            <w:vAlign w:val="bottom"/>
            <w:gridSpan w:val="3"/>
          </w:tcPr>
          <w:p>
            <w:pPr>
              <w:spacing w:after="0" w:line="159" w:lineRule="exact"/>
              <w:rPr>
                <w:sz w:val="20"/>
                <w:szCs w:val="20"/>
                <w:color w:val="auto"/>
              </w:rPr>
            </w:pPr>
            <w:r>
              <w:rPr>
                <w:rFonts w:ascii="Arial" w:cs="Arial" w:eastAsia="Arial" w:hAnsi="Arial"/>
                <w:sz w:val="14"/>
                <w:szCs w:val="14"/>
                <w:color w:val="auto"/>
              </w:rPr>
              <w:t>Guarantors</w:t>
            </w:r>
          </w:p>
        </w:tc>
        <w:tc>
          <w:tcPr>
            <w:tcW w:w="700" w:type="dxa"/>
            <w:vAlign w:val="bottom"/>
            <w:gridSpan w:val="2"/>
          </w:tcPr>
          <w:p>
            <w:pPr>
              <w:spacing w:after="0" w:line="159" w:lineRule="exact"/>
              <w:rPr>
                <w:sz w:val="20"/>
                <w:szCs w:val="20"/>
                <w:color w:val="auto"/>
              </w:rPr>
            </w:pPr>
            <w:r>
              <w:rPr>
                <w:rFonts w:ascii="Arial" w:cs="Arial" w:eastAsia="Arial" w:hAnsi="Arial"/>
                <w:sz w:val="14"/>
                <w:szCs w:val="14"/>
                <w:color w:val="auto"/>
                <w:w w:val="90"/>
              </w:rPr>
              <w:t>Eliminations</w:t>
            </w:r>
          </w:p>
        </w:tc>
        <w:tc>
          <w:tcPr>
            <w:tcW w:w="640" w:type="dxa"/>
            <w:vAlign w:val="bottom"/>
          </w:tcPr>
          <w:p>
            <w:pPr>
              <w:spacing w:after="0"/>
              <w:rPr>
                <w:sz w:val="13"/>
                <w:szCs w:val="13"/>
                <w:color w:val="auto"/>
              </w:rPr>
            </w:pPr>
          </w:p>
        </w:tc>
        <w:tc>
          <w:tcPr>
            <w:tcW w:w="820" w:type="dxa"/>
            <w:vAlign w:val="bottom"/>
            <w:gridSpan w:val="3"/>
          </w:tcPr>
          <w:p>
            <w:pPr>
              <w:spacing w:after="0" w:line="159" w:lineRule="exact"/>
              <w:rPr>
                <w:sz w:val="20"/>
                <w:szCs w:val="20"/>
                <w:color w:val="auto"/>
              </w:rPr>
            </w:pPr>
            <w:r>
              <w:rPr>
                <w:rFonts w:ascii="Arial" w:cs="Arial" w:eastAsia="Arial" w:hAnsi="Arial"/>
                <w:sz w:val="14"/>
                <w:szCs w:val="14"/>
                <w:color w:val="auto"/>
                <w:w w:val="9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5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long-lived assets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Investments in property, plant and equipment</w:t>
            </w:r>
          </w:p>
        </w:tc>
        <w:tc>
          <w:tcPr>
            <w:tcW w:w="8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intellectual property</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Investments in acquired businesses, net of cash acquired</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330"/>
        </w:trPr>
        <w:tc>
          <w:tcPr>
            <w:tcW w:w="55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under revolving and bank lines of credit and term</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1,181.5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1,558.0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Repayments under revolving and bank lines of credit and term</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640"/>
              <w:spacing w:after="0"/>
              <w:rPr>
                <w:sz w:val="20"/>
                <w:szCs w:val="20"/>
                <w:color w:val="auto"/>
              </w:rPr>
            </w:pPr>
            <w:r>
              <w:rPr>
                <w:rFonts w:ascii="Arial" w:cs="Arial" w:eastAsia="Arial" w:hAnsi="Arial"/>
                <w:sz w:val="18"/>
                <w:szCs w:val="18"/>
                <w:color w:val="auto"/>
              </w:rPr>
              <w:t>loans</w:t>
            </w:r>
          </w:p>
        </w:tc>
        <w:tc>
          <w:tcPr>
            <w:tcW w:w="80" w:type="dxa"/>
            <w:vAlign w:val="bottom"/>
          </w:tcPr>
          <w:p>
            <w:pPr>
              <w:spacing w:after="0"/>
              <w:rPr>
                <w:sz w:val="19"/>
                <w:szCs w:val="19"/>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(1,314.9)</w:t>
            </w:r>
          </w:p>
        </w:tc>
        <w:tc>
          <w:tcPr>
            <w:tcW w:w="12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(421.1)</w:t>
            </w:r>
          </w:p>
        </w:tc>
        <w:tc>
          <w:tcPr>
            <w:tcW w:w="26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(1,736.0)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 and issuance fees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(33.4)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seller notes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Excess tax benefits from share-based payment arrangements</w:t>
            </w:r>
          </w:p>
        </w:tc>
        <w:tc>
          <w:tcPr>
            <w:tcW w:w="8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exercise of stock options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Intercompany financing</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79.7</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September 30, 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Column A</w:t>
            </w:r>
          </w:p>
        </w:tc>
        <w:tc>
          <w:tcPr>
            <w:tcW w:w="2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Column B</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Column C</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87"/>
              </w:rPr>
              <w:t>Column D</w:t>
            </w:r>
          </w:p>
        </w:tc>
        <w:tc>
          <w:tcPr>
            <w:tcW w:w="20" w:type="dxa"/>
            <w:vAlign w:val="bottom"/>
          </w:tcPr>
          <w:p>
            <w:pPr>
              <w:spacing w:after="0"/>
              <w:rPr>
                <w:sz w:val="14"/>
                <w:szCs w:val="14"/>
                <w:color w:val="auto"/>
              </w:rPr>
            </w:pPr>
          </w:p>
        </w:tc>
        <w:tc>
          <w:tcPr>
            <w:tcW w:w="13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1"/>
              </w:rPr>
              <w:t>Column E</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Column F</w:t>
            </w:r>
          </w:p>
        </w:tc>
        <w:tc>
          <w:tcPr>
            <w:tcW w:w="0" w:type="dxa"/>
            <w:vAlign w:val="bottom"/>
          </w:tcPr>
          <w:p>
            <w:pPr>
              <w:spacing w:after="0"/>
              <w:rPr>
                <w:sz w:val="1"/>
                <w:szCs w:val="1"/>
                <w:color w:val="auto"/>
              </w:rPr>
            </w:pPr>
          </w:p>
        </w:tc>
      </w:tr>
      <w:tr>
        <w:trPr>
          <w:trHeight w:val="136"/>
        </w:trPr>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gridSpan w:val="3"/>
          </w:tcPr>
          <w:p>
            <w:pPr>
              <w:jc w:val="center"/>
              <w:spacing w:after="0" w:line="136" w:lineRule="exact"/>
              <w:rPr>
                <w:sz w:val="20"/>
                <w:szCs w:val="20"/>
                <w:color w:val="auto"/>
              </w:rPr>
            </w:pPr>
            <w:r>
              <w:rPr>
                <w:rFonts w:ascii="Arial" w:cs="Arial" w:eastAsia="Arial" w:hAnsi="Arial"/>
                <w:sz w:val="14"/>
                <w:szCs w:val="14"/>
                <w:b w:val="1"/>
                <w:bCs w:val="1"/>
                <w:color w:val="auto"/>
                <w:w w:val="85"/>
              </w:rPr>
              <w:t>Balance</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Borders>
              <w:top w:val="single" w:sz="8" w:color="auto"/>
            </w:tcBorders>
            <w:gridSpan w:val="3"/>
          </w:tcPr>
          <w:p>
            <w:pPr>
              <w:jc w:val="center"/>
              <w:ind w:right="20"/>
              <w:spacing w:after="0" w:line="136" w:lineRule="exact"/>
              <w:rPr>
                <w:sz w:val="20"/>
                <w:szCs w:val="20"/>
                <w:color w:val="auto"/>
              </w:rPr>
            </w:pPr>
            <w:r>
              <w:rPr>
                <w:rFonts w:ascii="Arial" w:cs="Arial" w:eastAsia="Arial" w:hAnsi="Arial"/>
                <w:sz w:val="14"/>
                <w:szCs w:val="14"/>
                <w:b w:val="1"/>
                <w:bCs w:val="1"/>
                <w:color w:val="auto"/>
                <w:w w:val="86"/>
              </w:rPr>
              <w:t>Additions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auto"/>
            </w:tcBorders>
            <w:gridSpan w:val="3"/>
          </w:tcPr>
          <w:p>
            <w:pPr>
              <w:jc w:val="center"/>
              <w:spacing w:after="0" w:line="136" w:lineRule="exact"/>
              <w:rPr>
                <w:sz w:val="20"/>
                <w:szCs w:val="20"/>
                <w:color w:val="auto"/>
              </w:rPr>
            </w:pPr>
            <w:r>
              <w:rPr>
                <w:rFonts w:ascii="Arial" w:cs="Arial" w:eastAsia="Arial" w:hAnsi="Arial"/>
                <w:sz w:val="14"/>
                <w:szCs w:val="14"/>
                <w:b w:val="1"/>
                <w:bCs w:val="1"/>
                <w:color w:val="auto"/>
                <w:w w:val="83"/>
              </w:rPr>
              <w:t>Deductions</w:t>
            </w:r>
          </w:p>
        </w:tc>
        <w:tc>
          <w:tcPr>
            <w:tcW w:w="6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at</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Charged</w:t>
            </w:r>
          </w:p>
        </w:tc>
        <w:tc>
          <w:tcPr>
            <w:tcW w:w="20" w:type="dxa"/>
            <w:vAlign w:val="bottom"/>
          </w:tcPr>
          <w:p>
            <w:pPr>
              <w:spacing w:after="0"/>
              <w:rPr>
                <w:sz w:val="12"/>
                <w:szCs w:val="12"/>
                <w:color w:val="auto"/>
              </w:rPr>
            </w:pPr>
          </w:p>
        </w:tc>
        <w:tc>
          <w:tcPr>
            <w:tcW w:w="130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Credited</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Reserves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to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0"/>
              </w:rPr>
              <w:t>and</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at End of</w:t>
            </w:r>
          </w:p>
        </w:tc>
        <w:tc>
          <w:tcPr>
            <w:tcW w:w="0" w:type="dxa"/>
            <w:vAlign w:val="bottom"/>
          </w:tcPr>
          <w:p>
            <w:pPr>
              <w:spacing w:after="0"/>
              <w:rPr>
                <w:sz w:val="1"/>
                <w:szCs w:val="1"/>
                <w:color w:val="auto"/>
              </w:rPr>
            </w:pPr>
          </w:p>
        </w:tc>
      </w:tr>
      <w:tr>
        <w:trPr>
          <w:trHeight w:val="155"/>
        </w:trPr>
        <w:tc>
          <w:tcPr>
            <w:tcW w:w="3160" w:type="dxa"/>
            <w:vAlign w:val="bottom"/>
            <w:gridSpan w:val="3"/>
            <w:vMerge w:val="continue"/>
          </w:tcPr>
          <w:p>
            <w:pPr>
              <w:spacing w:after="0"/>
              <w:rPr>
                <w:sz w:val="13"/>
                <w:szCs w:val="13"/>
                <w:color w:val="auto"/>
              </w:rPr>
            </w:pPr>
          </w:p>
        </w:tc>
        <w:tc>
          <w:tcPr>
            <w:tcW w:w="2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85"/>
              </w:rPr>
              <w:t>of Period</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4"/>
          </w:tcPr>
          <w:p>
            <w:pPr>
              <w:ind w:left="40"/>
              <w:spacing w:after="0" w:line="148" w:lineRule="exact"/>
              <w:rPr>
                <w:sz w:val="20"/>
                <w:szCs w:val="20"/>
                <w:color w:val="auto"/>
              </w:rPr>
            </w:pPr>
            <w:r>
              <w:rPr>
                <w:rFonts w:ascii="Arial" w:cs="Arial" w:eastAsia="Arial" w:hAnsi="Arial"/>
                <w:sz w:val="14"/>
                <w:szCs w:val="14"/>
                <w:b w:val="1"/>
                <w:bCs w:val="1"/>
                <w:color w:val="auto"/>
              </w:rPr>
              <w:t>Acquired</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Expense</w:t>
            </w:r>
          </w:p>
        </w:tc>
        <w:tc>
          <w:tcPr>
            <w:tcW w:w="20" w:type="dxa"/>
            <w:vAlign w:val="bottom"/>
          </w:tcPr>
          <w:p>
            <w:pPr>
              <w:spacing w:after="0"/>
              <w:rPr>
                <w:sz w:val="13"/>
                <w:szCs w:val="13"/>
                <w:color w:val="auto"/>
              </w:rPr>
            </w:pPr>
          </w:p>
        </w:tc>
        <w:tc>
          <w:tcPr>
            <w:tcW w:w="1300" w:type="dxa"/>
            <w:vAlign w:val="bottom"/>
            <w:gridSpan w:val="4"/>
          </w:tcPr>
          <w:p>
            <w:pPr>
              <w:jc w:val="center"/>
              <w:ind w:right="660"/>
              <w:spacing w:after="0" w:line="148" w:lineRule="exact"/>
              <w:rPr>
                <w:sz w:val="20"/>
                <w:szCs w:val="20"/>
                <w:color w:val="auto"/>
              </w:rPr>
            </w:pPr>
            <w:r>
              <w:rPr>
                <w:rFonts w:ascii="Arial" w:cs="Arial" w:eastAsia="Arial" w:hAnsi="Arial"/>
                <w:sz w:val="14"/>
                <w:szCs w:val="14"/>
                <w:b w:val="1"/>
                <w:bCs w:val="1"/>
                <w:color w:val="auto"/>
                <w:w w:val="94"/>
              </w:rPr>
              <w:t>Write-Offs</w:t>
            </w:r>
          </w:p>
        </w:tc>
        <w:tc>
          <w:tcPr>
            <w:tcW w:w="80" w:type="dxa"/>
            <w:vAlign w:val="bottom"/>
          </w:tcPr>
          <w:p>
            <w:pPr>
              <w:spacing w:after="0"/>
              <w:rPr>
                <w:sz w:val="13"/>
                <w:szCs w:val="13"/>
                <w:color w:val="auto"/>
              </w:rPr>
            </w:pPr>
          </w:p>
        </w:tc>
        <w:tc>
          <w:tcPr>
            <w:tcW w:w="6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6"/>
          </w:tcPr>
          <w:p>
            <w:pPr>
              <w:ind w:left="320"/>
              <w:spacing w:after="0" w:line="149" w:lineRule="exact"/>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Valuation and qualifying accounts deducted from the assets to which</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they apply:</w:t>
            </w:r>
          </w:p>
        </w:tc>
        <w:tc>
          <w:tcPr>
            <w:tcW w:w="2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Inventory reserve</w:t>
            </w:r>
          </w:p>
        </w:tc>
        <w:tc>
          <w:tcPr>
            <w:tcW w:w="27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84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reserve—product recalls</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ind w:left="18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valuation allowance</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680" w:type="dxa"/>
            <w:vAlign w:val="bottom"/>
            <w:gridSpan w:val="11"/>
          </w:tcPr>
          <w:p>
            <w:pPr>
              <w:jc w:val="center"/>
              <w:ind w:left="332"/>
              <w:spacing w:after="0"/>
              <w:rPr>
                <w:sz w:val="20"/>
                <w:szCs w:val="20"/>
                <w:color w:val="auto"/>
              </w:rPr>
            </w:pPr>
            <w:r>
              <w:rPr>
                <w:rFonts w:ascii="Arial" w:cs="Arial" w:eastAsia="Arial" w:hAnsi="Arial"/>
                <w:sz w:val="18"/>
                <w:szCs w:val="18"/>
                <w:b w:val="1"/>
                <w:bCs w:val="1"/>
                <w:color w:val="auto"/>
                <w:w w:val="89"/>
              </w:rPr>
              <w:t>Schedule II—Valuation and Qualifying Accounts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680" w:type="dxa"/>
            <w:vAlign w:val="bottom"/>
            <w:gridSpan w:val="11"/>
          </w:tcPr>
          <w:p>
            <w:pPr>
              <w:jc w:val="center"/>
              <w:ind w:left="352"/>
              <w:spacing w:after="0"/>
              <w:rPr>
                <w:sz w:val="20"/>
                <w:szCs w:val="20"/>
                <w:color w:val="auto"/>
              </w:rPr>
            </w:pPr>
            <w:r>
              <w:rPr>
                <w:rFonts w:ascii="Arial" w:cs="Arial" w:eastAsia="Arial" w:hAnsi="Arial"/>
                <w:sz w:val="18"/>
                <w:szCs w:val="18"/>
                <w:b w:val="1"/>
                <w:bCs w:val="1"/>
                <w:color w:val="auto"/>
                <w:w w:val="87"/>
              </w:rPr>
              <w:t>for the fiscal year ended September 30, 2010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Column A</w:t>
            </w:r>
          </w:p>
        </w:tc>
        <w:tc>
          <w:tcPr>
            <w:tcW w:w="2500" w:type="dxa"/>
            <w:vAlign w:val="bottom"/>
          </w:tcPr>
          <w:p>
            <w:pPr>
              <w:spacing w:after="0"/>
              <w:rPr>
                <w:sz w:val="24"/>
                <w:szCs w:val="24"/>
                <w:color w:val="auto"/>
              </w:rPr>
            </w:pPr>
          </w:p>
        </w:tc>
        <w:tc>
          <w:tcPr>
            <w:tcW w:w="6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Column B</w:t>
            </w:r>
          </w:p>
        </w:tc>
        <w:tc>
          <w:tcPr>
            <w:tcW w:w="600" w:type="dxa"/>
            <w:vAlign w:val="bottom"/>
          </w:tcPr>
          <w:p>
            <w:pPr>
              <w:spacing w:after="0"/>
              <w:rPr>
                <w:sz w:val="24"/>
                <w:szCs w:val="24"/>
                <w:color w:val="auto"/>
              </w:rPr>
            </w:pP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rPr>
              <w:t>Column C</w:t>
            </w:r>
          </w:p>
        </w:tc>
        <w:tc>
          <w:tcPr>
            <w:tcW w:w="320" w:type="dxa"/>
            <w:vAlign w:val="bottom"/>
          </w:tcPr>
          <w:p>
            <w:pPr>
              <w:spacing w:after="0"/>
              <w:rPr>
                <w:sz w:val="24"/>
                <w:szCs w:val="24"/>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rPr>
              <w:t>Column D</w:t>
            </w:r>
          </w:p>
        </w:tc>
        <w:tc>
          <w:tcPr>
            <w:tcW w:w="20" w:type="dxa"/>
            <w:vAlign w:val="bottom"/>
          </w:tcPr>
          <w:p>
            <w:pPr>
              <w:spacing w:after="0"/>
              <w:rPr>
                <w:sz w:val="24"/>
                <w:szCs w:val="24"/>
                <w:color w:val="auto"/>
              </w:rPr>
            </w:pPr>
          </w:p>
        </w:tc>
        <w:tc>
          <w:tcPr>
            <w:tcW w:w="130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Column E</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Column F</w:t>
            </w:r>
          </w:p>
        </w:tc>
        <w:tc>
          <w:tcPr>
            <w:tcW w:w="0" w:type="dxa"/>
            <w:vAlign w:val="bottom"/>
          </w:tcPr>
          <w:p>
            <w:pPr>
              <w:spacing w:after="0"/>
              <w:rPr>
                <w:sz w:val="1"/>
                <w:szCs w:val="1"/>
                <w:color w:val="auto"/>
              </w:rPr>
            </w:pPr>
          </w:p>
        </w:tc>
      </w:tr>
      <w:tr>
        <w:trPr>
          <w:trHeight w:val="136"/>
        </w:trPr>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36" w:lineRule="exact"/>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36" w:lineRule="exact"/>
              <w:rPr>
                <w:sz w:val="20"/>
                <w:szCs w:val="20"/>
                <w:color w:val="auto"/>
              </w:rPr>
            </w:pPr>
            <w:r>
              <w:rPr>
                <w:rFonts w:ascii="Arial" w:cs="Arial" w:eastAsia="Arial" w:hAnsi="Arial"/>
                <w:sz w:val="14"/>
                <w:szCs w:val="14"/>
                <w:b w:val="1"/>
                <w:bCs w:val="1"/>
                <w:color w:val="auto"/>
                <w:w w:val="89"/>
              </w:rPr>
              <w:t>Additions</w:t>
            </w:r>
          </w:p>
        </w:tc>
        <w:tc>
          <w:tcPr>
            <w:tcW w:w="640" w:type="dxa"/>
            <w:vAlign w:val="bottom"/>
            <w:gridSpan w:val="2"/>
          </w:tcPr>
          <w:p>
            <w:pPr>
              <w:spacing w:after="0"/>
              <w:rPr>
                <w:sz w:val="11"/>
                <w:szCs w:val="11"/>
                <w:color w:val="auto"/>
              </w:rPr>
            </w:pPr>
          </w:p>
        </w:tc>
        <w:tc>
          <w:tcPr>
            <w:tcW w:w="640" w:type="dxa"/>
            <w:vAlign w:val="bottom"/>
            <w:tcBorders>
              <w:top w:val="single" w:sz="8" w:color="auto"/>
            </w:tcBorders>
            <w:gridSpan w:val="3"/>
          </w:tcPr>
          <w:p>
            <w:pPr>
              <w:spacing w:after="0" w:line="136" w:lineRule="exact"/>
              <w:rPr>
                <w:sz w:val="20"/>
                <w:szCs w:val="20"/>
                <w:color w:val="auto"/>
              </w:rPr>
            </w:pPr>
            <w:r>
              <w:rPr>
                <w:rFonts w:ascii="Arial" w:cs="Arial" w:eastAsia="Arial" w:hAnsi="Arial"/>
                <w:sz w:val="14"/>
                <w:szCs w:val="14"/>
                <w:b w:val="1"/>
                <w:bCs w:val="1"/>
                <w:color w:val="auto"/>
                <w:w w:val="81"/>
              </w:rPr>
              <w:t>Deductions</w:t>
            </w:r>
          </w:p>
        </w:tc>
        <w:tc>
          <w:tcPr>
            <w:tcW w:w="680" w:type="dxa"/>
            <w:vAlign w:val="bottom"/>
            <w:gridSpan w:val="2"/>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at</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Charged</w:t>
            </w:r>
          </w:p>
        </w:tc>
        <w:tc>
          <w:tcPr>
            <w:tcW w:w="20" w:type="dxa"/>
            <w:vAlign w:val="bottom"/>
          </w:tcPr>
          <w:p>
            <w:pPr>
              <w:spacing w:after="0"/>
              <w:rPr>
                <w:sz w:val="12"/>
                <w:szCs w:val="12"/>
                <w:color w:val="auto"/>
              </w:rPr>
            </w:pPr>
          </w:p>
        </w:tc>
        <w:tc>
          <w:tcPr>
            <w:tcW w:w="130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Credited</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2500" w:type="dxa"/>
            <w:vAlign w:val="bottom"/>
          </w:tcPr>
          <w:p>
            <w:pPr>
              <w:spacing w:after="0"/>
              <w:rPr>
                <w:sz w:val="12"/>
                <w:szCs w:val="12"/>
                <w:color w:val="auto"/>
              </w:rPr>
            </w:pPr>
          </w:p>
        </w:tc>
        <w:tc>
          <w:tcPr>
            <w:tcW w:w="6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Beginning</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Reserves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75"/>
              </w:rPr>
              <w:t>to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and</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at End of</w:t>
            </w:r>
          </w:p>
        </w:tc>
        <w:tc>
          <w:tcPr>
            <w:tcW w:w="0" w:type="dxa"/>
            <w:vAlign w:val="bottom"/>
          </w:tcPr>
          <w:p>
            <w:pPr>
              <w:spacing w:after="0"/>
              <w:rPr>
                <w:sz w:val="1"/>
                <w:szCs w:val="1"/>
                <w:color w:val="auto"/>
              </w:rPr>
            </w:pPr>
          </w:p>
        </w:tc>
      </w:tr>
      <w:tr>
        <w:trPr>
          <w:trHeight w:val="155"/>
        </w:trPr>
        <w:tc>
          <w:tcPr>
            <w:tcW w:w="3160" w:type="dxa"/>
            <w:vAlign w:val="bottom"/>
            <w:gridSpan w:val="3"/>
            <w:vMerge w:val="continue"/>
          </w:tcPr>
          <w:p>
            <w:pPr>
              <w:spacing w:after="0"/>
              <w:rPr>
                <w:sz w:val="13"/>
                <w:szCs w:val="13"/>
                <w:color w:val="auto"/>
              </w:rPr>
            </w:pPr>
          </w:p>
        </w:tc>
        <w:tc>
          <w:tcPr>
            <w:tcW w:w="2500" w:type="dxa"/>
            <w:vAlign w:val="bottom"/>
          </w:tcPr>
          <w:p>
            <w:pPr>
              <w:spacing w:after="0"/>
              <w:rPr>
                <w:sz w:val="13"/>
                <w:szCs w:val="13"/>
                <w:color w:val="auto"/>
              </w:rPr>
            </w:pPr>
          </w:p>
        </w:tc>
        <w:tc>
          <w:tcPr>
            <w:tcW w:w="640" w:type="dxa"/>
            <w:vAlign w:val="bottom"/>
            <w:gridSpan w:val="4"/>
          </w:tcPr>
          <w:p>
            <w:pPr>
              <w:jc w:val="center"/>
              <w:ind w:right="40"/>
              <w:spacing w:after="0" w:line="148" w:lineRule="exact"/>
              <w:rPr>
                <w:sz w:val="20"/>
                <w:szCs w:val="20"/>
                <w:color w:val="auto"/>
              </w:rPr>
            </w:pPr>
            <w:r>
              <w:rPr>
                <w:rFonts w:ascii="Arial" w:cs="Arial" w:eastAsia="Arial" w:hAnsi="Arial"/>
                <w:sz w:val="14"/>
                <w:szCs w:val="14"/>
                <w:b w:val="1"/>
                <w:bCs w:val="1"/>
                <w:color w:val="auto"/>
                <w:w w:val="85"/>
              </w:rPr>
              <w:t>of Period</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Acquired</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Expense</w:t>
            </w:r>
          </w:p>
        </w:tc>
        <w:tc>
          <w:tcPr>
            <w:tcW w:w="1320" w:type="dxa"/>
            <w:vAlign w:val="bottom"/>
            <w:gridSpan w:val="5"/>
          </w:tcPr>
          <w:p>
            <w:pPr>
              <w:ind w:left="20"/>
              <w:spacing w:after="0" w:line="148" w:lineRule="exact"/>
              <w:rPr>
                <w:sz w:val="20"/>
                <w:szCs w:val="20"/>
                <w:color w:val="auto"/>
              </w:rPr>
            </w:pPr>
            <w:r>
              <w:rPr>
                <w:rFonts w:ascii="Arial" w:cs="Arial" w:eastAsia="Arial" w:hAnsi="Arial"/>
                <w:sz w:val="14"/>
                <w:szCs w:val="14"/>
                <w:b w:val="1"/>
                <w:bCs w:val="1"/>
                <w:color w:val="auto"/>
              </w:rPr>
              <w:t>Write-Offs</w:t>
            </w:r>
          </w:p>
        </w:tc>
        <w:tc>
          <w:tcPr>
            <w:tcW w:w="80" w:type="dxa"/>
            <w:vAlign w:val="bottom"/>
          </w:tcPr>
          <w:p>
            <w:pPr>
              <w:spacing w:after="0"/>
              <w:rPr>
                <w:sz w:val="13"/>
                <w:szCs w:val="13"/>
                <w:color w:val="auto"/>
              </w:rPr>
            </w:pPr>
          </w:p>
        </w:tc>
        <w:tc>
          <w:tcPr>
            <w:tcW w:w="6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6"/>
          </w:tcPr>
          <w:p>
            <w:pPr>
              <w:ind w:left="300"/>
              <w:spacing w:after="0" w:line="149" w:lineRule="exact"/>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Valuation and qualifying accounts deducted from the assets to which</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they apply:</w:t>
            </w:r>
          </w:p>
        </w:tc>
        <w:tc>
          <w:tcPr>
            <w:tcW w:w="2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Inventory reserve</w:t>
            </w:r>
          </w:p>
        </w:tc>
        <w:tc>
          <w:tcPr>
            <w:tcW w:w="2720" w:type="dxa"/>
            <w:vAlign w:val="bottom"/>
            <w:gridSpan w:val="3"/>
          </w:tcPr>
          <w:p>
            <w:pPr>
              <w:jc w:val="center"/>
              <w:ind w:left="2292"/>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8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6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reserve—product recalls</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valuation allowance</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680" w:type="dxa"/>
            <w:vAlign w:val="bottom"/>
            <w:gridSpan w:val="11"/>
          </w:tcPr>
          <w:p>
            <w:pPr>
              <w:jc w:val="center"/>
              <w:ind w:left="332"/>
              <w:spacing w:after="0"/>
              <w:rPr>
                <w:sz w:val="20"/>
                <w:szCs w:val="20"/>
                <w:color w:val="auto"/>
              </w:rPr>
            </w:pPr>
            <w:r>
              <w:rPr>
                <w:rFonts w:ascii="Arial" w:cs="Arial" w:eastAsia="Arial" w:hAnsi="Arial"/>
                <w:sz w:val="18"/>
                <w:szCs w:val="18"/>
                <w:b w:val="1"/>
                <w:bCs w:val="1"/>
                <w:color w:val="auto"/>
                <w:w w:val="89"/>
              </w:rPr>
              <w:t>Schedule II—Valuation and Qualifying Accounts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680" w:type="dxa"/>
            <w:vAlign w:val="bottom"/>
            <w:gridSpan w:val="11"/>
          </w:tcPr>
          <w:p>
            <w:pPr>
              <w:jc w:val="center"/>
              <w:ind w:left="352"/>
              <w:spacing w:after="0"/>
              <w:rPr>
                <w:sz w:val="20"/>
                <w:szCs w:val="20"/>
                <w:color w:val="auto"/>
              </w:rPr>
            </w:pPr>
            <w:r>
              <w:rPr>
                <w:rFonts w:ascii="Arial" w:cs="Arial" w:eastAsia="Arial" w:hAnsi="Arial"/>
                <w:sz w:val="18"/>
                <w:szCs w:val="18"/>
                <w:b w:val="1"/>
                <w:bCs w:val="1"/>
                <w:color w:val="auto"/>
                <w:w w:val="87"/>
              </w:rPr>
              <w:t>for the fiscal year ended September 30, 2009</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Column A</w:t>
            </w:r>
          </w:p>
        </w:tc>
        <w:tc>
          <w:tcPr>
            <w:tcW w:w="2500" w:type="dxa"/>
            <w:vAlign w:val="bottom"/>
          </w:tcPr>
          <w:p>
            <w:pPr>
              <w:spacing w:after="0"/>
              <w:rPr>
                <w:sz w:val="24"/>
                <w:szCs w:val="24"/>
                <w:color w:val="auto"/>
              </w:rPr>
            </w:pPr>
          </w:p>
        </w:tc>
        <w:tc>
          <w:tcPr>
            <w:tcW w:w="6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Column B</w:t>
            </w:r>
          </w:p>
        </w:tc>
        <w:tc>
          <w:tcPr>
            <w:tcW w:w="600" w:type="dxa"/>
            <w:vAlign w:val="bottom"/>
          </w:tcPr>
          <w:p>
            <w:pPr>
              <w:spacing w:after="0"/>
              <w:rPr>
                <w:sz w:val="24"/>
                <w:szCs w:val="24"/>
                <w:color w:val="auto"/>
              </w:rPr>
            </w:pP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rPr>
              <w:t>Column C</w:t>
            </w:r>
          </w:p>
        </w:tc>
        <w:tc>
          <w:tcPr>
            <w:tcW w:w="320" w:type="dxa"/>
            <w:vAlign w:val="bottom"/>
          </w:tcPr>
          <w:p>
            <w:pPr>
              <w:spacing w:after="0"/>
              <w:rPr>
                <w:sz w:val="24"/>
                <w:szCs w:val="24"/>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rPr>
              <w:t>Column D</w:t>
            </w:r>
          </w:p>
        </w:tc>
        <w:tc>
          <w:tcPr>
            <w:tcW w:w="20" w:type="dxa"/>
            <w:vAlign w:val="bottom"/>
          </w:tcPr>
          <w:p>
            <w:pPr>
              <w:spacing w:after="0"/>
              <w:rPr>
                <w:sz w:val="24"/>
                <w:szCs w:val="24"/>
                <w:color w:val="auto"/>
              </w:rPr>
            </w:pPr>
          </w:p>
        </w:tc>
        <w:tc>
          <w:tcPr>
            <w:tcW w:w="130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Column E</w:t>
            </w:r>
          </w:p>
        </w:tc>
        <w:tc>
          <w:tcPr>
            <w:tcW w:w="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Column F</w:t>
            </w:r>
          </w:p>
        </w:tc>
        <w:tc>
          <w:tcPr>
            <w:tcW w:w="0" w:type="dxa"/>
            <w:vAlign w:val="bottom"/>
          </w:tcPr>
          <w:p>
            <w:pPr>
              <w:spacing w:after="0"/>
              <w:rPr>
                <w:sz w:val="1"/>
                <w:szCs w:val="1"/>
                <w:color w:val="auto"/>
              </w:rPr>
            </w:pPr>
          </w:p>
        </w:tc>
      </w:tr>
      <w:tr>
        <w:trPr>
          <w:trHeight w:val="136"/>
        </w:trPr>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gridSpan w:val="2"/>
          </w:tcPr>
          <w:p>
            <w:pPr>
              <w:jc w:val="center"/>
              <w:spacing w:after="0" w:line="136" w:lineRule="exact"/>
              <w:rPr>
                <w:sz w:val="20"/>
                <w:szCs w:val="20"/>
                <w:color w:val="auto"/>
              </w:rPr>
            </w:pPr>
            <w:r>
              <w:rPr>
                <w:rFonts w:ascii="Arial" w:cs="Arial" w:eastAsia="Arial" w:hAnsi="Arial"/>
                <w:sz w:val="14"/>
                <w:szCs w:val="14"/>
                <w:b w:val="1"/>
                <w:bCs w:val="1"/>
                <w:color w:val="auto"/>
                <w:w w:val="85"/>
              </w:rPr>
              <w:t>Balance</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center"/>
              <w:spacing w:after="0" w:line="136" w:lineRule="exact"/>
              <w:rPr>
                <w:sz w:val="20"/>
                <w:szCs w:val="20"/>
                <w:color w:val="auto"/>
              </w:rPr>
            </w:pPr>
            <w:r>
              <w:rPr>
                <w:rFonts w:ascii="Arial" w:cs="Arial" w:eastAsia="Arial" w:hAnsi="Arial"/>
                <w:sz w:val="14"/>
                <w:szCs w:val="14"/>
                <w:b w:val="1"/>
                <w:bCs w:val="1"/>
                <w:color w:val="auto"/>
                <w:w w:val="89"/>
              </w:rPr>
              <w:t>Additions</w:t>
            </w:r>
          </w:p>
        </w:tc>
        <w:tc>
          <w:tcPr>
            <w:tcW w:w="640" w:type="dxa"/>
            <w:vAlign w:val="bottom"/>
            <w:gridSpan w:val="2"/>
          </w:tcPr>
          <w:p>
            <w:pPr>
              <w:spacing w:after="0"/>
              <w:rPr>
                <w:sz w:val="11"/>
                <w:szCs w:val="11"/>
                <w:color w:val="auto"/>
              </w:rPr>
            </w:pPr>
          </w:p>
        </w:tc>
        <w:tc>
          <w:tcPr>
            <w:tcW w:w="640" w:type="dxa"/>
            <w:vAlign w:val="bottom"/>
            <w:tcBorders>
              <w:top w:val="single" w:sz="8" w:color="auto"/>
            </w:tcBorders>
            <w:gridSpan w:val="3"/>
          </w:tcPr>
          <w:p>
            <w:pPr>
              <w:spacing w:after="0" w:line="136" w:lineRule="exact"/>
              <w:rPr>
                <w:sz w:val="20"/>
                <w:szCs w:val="20"/>
                <w:color w:val="auto"/>
              </w:rPr>
            </w:pPr>
            <w:r>
              <w:rPr>
                <w:rFonts w:ascii="Arial" w:cs="Arial" w:eastAsia="Arial" w:hAnsi="Arial"/>
                <w:sz w:val="14"/>
                <w:szCs w:val="14"/>
                <w:b w:val="1"/>
                <w:bCs w:val="1"/>
                <w:color w:val="auto"/>
                <w:w w:val="81"/>
              </w:rPr>
              <w:t>Deductions</w:t>
            </w:r>
          </w:p>
        </w:tc>
        <w:tc>
          <w:tcPr>
            <w:tcW w:w="680" w:type="dxa"/>
            <w:vAlign w:val="bottom"/>
            <w:gridSpan w:val="2"/>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at</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Charged</w:t>
            </w:r>
          </w:p>
        </w:tc>
        <w:tc>
          <w:tcPr>
            <w:tcW w:w="20" w:type="dxa"/>
            <w:vAlign w:val="bottom"/>
          </w:tcPr>
          <w:p>
            <w:pPr>
              <w:spacing w:after="0"/>
              <w:rPr>
                <w:sz w:val="12"/>
                <w:szCs w:val="12"/>
                <w:color w:val="auto"/>
              </w:rPr>
            </w:pPr>
          </w:p>
        </w:tc>
        <w:tc>
          <w:tcPr>
            <w:tcW w:w="130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Credited</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Classification</w:t>
            </w:r>
          </w:p>
        </w:tc>
        <w:tc>
          <w:tcPr>
            <w:tcW w:w="2500" w:type="dxa"/>
            <w:vAlign w:val="bottom"/>
          </w:tcPr>
          <w:p>
            <w:pPr>
              <w:spacing w:after="0"/>
              <w:rPr>
                <w:sz w:val="12"/>
                <w:szCs w:val="12"/>
                <w:color w:val="auto"/>
              </w:rPr>
            </w:pPr>
          </w:p>
        </w:tc>
        <w:tc>
          <w:tcPr>
            <w:tcW w:w="6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Beginning</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Reserves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75"/>
              </w:rPr>
              <w:t>to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and</w:t>
            </w: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at End of</w:t>
            </w:r>
          </w:p>
        </w:tc>
        <w:tc>
          <w:tcPr>
            <w:tcW w:w="0" w:type="dxa"/>
            <w:vAlign w:val="bottom"/>
          </w:tcPr>
          <w:p>
            <w:pPr>
              <w:spacing w:after="0"/>
              <w:rPr>
                <w:sz w:val="1"/>
                <w:szCs w:val="1"/>
                <w:color w:val="auto"/>
              </w:rPr>
            </w:pPr>
          </w:p>
        </w:tc>
      </w:tr>
      <w:tr>
        <w:trPr>
          <w:trHeight w:val="155"/>
        </w:trPr>
        <w:tc>
          <w:tcPr>
            <w:tcW w:w="3160" w:type="dxa"/>
            <w:vAlign w:val="bottom"/>
            <w:gridSpan w:val="3"/>
            <w:vMerge w:val="continue"/>
          </w:tcPr>
          <w:p>
            <w:pPr>
              <w:spacing w:after="0"/>
              <w:rPr>
                <w:sz w:val="13"/>
                <w:szCs w:val="13"/>
                <w:color w:val="auto"/>
              </w:rPr>
            </w:pPr>
          </w:p>
        </w:tc>
        <w:tc>
          <w:tcPr>
            <w:tcW w:w="2500" w:type="dxa"/>
            <w:vAlign w:val="bottom"/>
          </w:tcPr>
          <w:p>
            <w:pPr>
              <w:spacing w:after="0"/>
              <w:rPr>
                <w:sz w:val="13"/>
                <w:szCs w:val="13"/>
                <w:color w:val="auto"/>
              </w:rPr>
            </w:pPr>
          </w:p>
        </w:tc>
        <w:tc>
          <w:tcPr>
            <w:tcW w:w="640" w:type="dxa"/>
            <w:vAlign w:val="bottom"/>
            <w:gridSpan w:val="4"/>
          </w:tcPr>
          <w:p>
            <w:pPr>
              <w:jc w:val="center"/>
              <w:ind w:right="40"/>
              <w:spacing w:after="0" w:line="148" w:lineRule="exact"/>
              <w:rPr>
                <w:sz w:val="20"/>
                <w:szCs w:val="20"/>
                <w:color w:val="auto"/>
              </w:rPr>
            </w:pPr>
            <w:r>
              <w:rPr>
                <w:rFonts w:ascii="Arial" w:cs="Arial" w:eastAsia="Arial" w:hAnsi="Arial"/>
                <w:sz w:val="14"/>
                <w:szCs w:val="14"/>
                <w:b w:val="1"/>
                <w:bCs w:val="1"/>
                <w:color w:val="auto"/>
                <w:w w:val="85"/>
              </w:rPr>
              <w:t>of Period</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4"/>
          </w:tcPr>
          <w:p>
            <w:pPr>
              <w:spacing w:after="0" w:line="148" w:lineRule="exact"/>
              <w:rPr>
                <w:sz w:val="20"/>
                <w:szCs w:val="20"/>
                <w:color w:val="auto"/>
              </w:rPr>
            </w:pPr>
            <w:r>
              <w:rPr>
                <w:rFonts w:ascii="Arial" w:cs="Arial" w:eastAsia="Arial" w:hAnsi="Arial"/>
                <w:sz w:val="14"/>
                <w:szCs w:val="14"/>
                <w:b w:val="1"/>
                <w:bCs w:val="1"/>
                <w:color w:val="auto"/>
              </w:rPr>
              <w:t>Acquired</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4"/>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Expense</w:t>
            </w:r>
          </w:p>
        </w:tc>
        <w:tc>
          <w:tcPr>
            <w:tcW w:w="1320" w:type="dxa"/>
            <w:vAlign w:val="bottom"/>
            <w:gridSpan w:val="5"/>
          </w:tcPr>
          <w:p>
            <w:pPr>
              <w:ind w:left="20"/>
              <w:spacing w:after="0" w:line="148" w:lineRule="exact"/>
              <w:rPr>
                <w:sz w:val="20"/>
                <w:szCs w:val="20"/>
                <w:color w:val="auto"/>
              </w:rPr>
            </w:pPr>
            <w:r>
              <w:rPr>
                <w:rFonts w:ascii="Arial" w:cs="Arial" w:eastAsia="Arial" w:hAnsi="Arial"/>
                <w:sz w:val="14"/>
                <w:szCs w:val="14"/>
                <w:b w:val="1"/>
                <w:bCs w:val="1"/>
                <w:color w:val="auto"/>
              </w:rPr>
              <w:t>Write-Offs</w:t>
            </w:r>
          </w:p>
        </w:tc>
        <w:tc>
          <w:tcPr>
            <w:tcW w:w="80" w:type="dxa"/>
            <w:vAlign w:val="bottom"/>
          </w:tcPr>
          <w:p>
            <w:pPr>
              <w:spacing w:after="0"/>
              <w:rPr>
                <w:sz w:val="13"/>
                <w:szCs w:val="13"/>
                <w:color w:val="auto"/>
              </w:rPr>
            </w:pPr>
          </w:p>
        </w:tc>
        <w:tc>
          <w:tcPr>
            <w:tcW w:w="60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6"/>
          </w:tcPr>
          <w:p>
            <w:pPr>
              <w:ind w:left="300"/>
              <w:spacing w:after="0" w:line="149" w:lineRule="exact"/>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58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Valuation and qualifying accounts deducted from the assets to which</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they apply:</w:t>
            </w:r>
          </w:p>
        </w:tc>
        <w:tc>
          <w:tcPr>
            <w:tcW w:w="2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Inventory reserve</w:t>
            </w:r>
          </w:p>
        </w:tc>
        <w:tc>
          <w:tcPr>
            <w:tcW w:w="2720" w:type="dxa"/>
            <w:vAlign w:val="bottom"/>
            <w:gridSpan w:val="3"/>
          </w:tcPr>
          <w:p>
            <w:pPr>
              <w:jc w:val="center"/>
              <w:ind w:left="2292"/>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8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7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6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reserve—product recalls</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valuation allowance</w:t>
            </w:r>
          </w:p>
        </w:tc>
        <w:tc>
          <w:tcPr>
            <w:tcW w:w="2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20" w:type="dxa"/>
            <w:vAlign w:val="bottom"/>
            <w:gridSpan w:val="3"/>
          </w:tcPr>
          <w:p>
            <w:pPr>
              <w:jc w:val="center"/>
              <w:ind w:left="2292"/>
              <w:spacing w:after="0"/>
              <w:rPr>
                <w:sz w:val="20"/>
                <w:szCs w:val="20"/>
                <w:color w:val="auto"/>
              </w:rPr>
            </w:pPr>
            <w:r>
              <w:rPr>
                <w:rFonts w:ascii="Arial" w:cs="Arial" w:eastAsia="Arial" w:hAnsi="Arial"/>
                <w:sz w:val="18"/>
                <w:szCs w:val="18"/>
                <w:color w:val="auto"/>
                <w:w w:val="86"/>
              </w:rPr>
              <w:t>124</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Scotts Miracle-Gro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20"/>
          </w:cols>
          <w:pgMar w:left="240" w:top="459" w:right="239" w:bottom="1440" w:gutter="0" w:footer="0" w:header="0"/>
        </w:sectPr>
      </w:pPr>
    </w:p>
    <w:p>
      <w:pPr>
        <w:spacing w:after="0" w:line="213" w:lineRule="exact"/>
        <w:rPr>
          <w:sz w:val="20"/>
          <w:szCs w:val="20"/>
          <w:color w:val="auto"/>
        </w:rPr>
      </w:pPr>
    </w:p>
    <w:p>
      <w:pPr>
        <w:spacing w:after="0" w:line="285" w:lineRule="auto"/>
        <w:rPr>
          <w:sz w:val="20"/>
          <w:szCs w:val="20"/>
          <w:color w:val="auto"/>
        </w:rPr>
      </w:pPr>
      <w:r>
        <w:rPr>
          <w:rFonts w:ascii="Arial" w:cs="Arial" w:eastAsia="Arial" w:hAnsi="Arial"/>
          <w:sz w:val="12"/>
          <w:szCs w:val="12"/>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321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3.1(a)</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3.1(b)</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2340"/>
        <w:spacing w:after="0"/>
        <w:tabs>
          <w:tab w:leader="none" w:pos="780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8890</wp:posOffset>
            </wp:positionV>
            <wp:extent cx="7246620" cy="4286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Initial Articles of Incorporation of The Scotts Miracle-Gro Company as  Incorporated herein by reference to the Current Report on Form 8-K of</w:t>
      </w:r>
    </w:p>
    <w:p>
      <w:pPr>
        <w:spacing w:after="0" w:line="38" w:lineRule="exact"/>
        <w:rPr>
          <w:sz w:val="20"/>
          <w:szCs w:val="20"/>
          <w:color w:val="auto"/>
        </w:rPr>
      </w:pPr>
    </w:p>
    <w:p>
      <w:pPr>
        <w:ind w:left="5460" w:hanging="5469"/>
        <w:spacing w:after="0" w:line="261" w:lineRule="auto"/>
        <w:tabs>
          <w:tab w:leader="none" w:pos="5440" w:val="left"/>
        </w:tabs>
        <w:rPr>
          <w:sz w:val="20"/>
          <w:szCs w:val="20"/>
          <w:color w:val="auto"/>
        </w:rPr>
      </w:pPr>
      <w:r>
        <w:rPr>
          <w:rFonts w:ascii="Arial" w:cs="Arial" w:eastAsia="Arial" w:hAnsi="Arial"/>
          <w:sz w:val="18"/>
          <w:szCs w:val="18"/>
          <w:color w:val="auto"/>
        </w:rPr>
        <w:t>filed with the Ohio Secretary of State on November 22, 2004</w:t>
      </w:r>
      <w:r>
        <w:rPr>
          <w:sz w:val="20"/>
          <w:szCs w:val="20"/>
          <w:color w:val="auto"/>
        </w:rPr>
        <w:tab/>
      </w:r>
      <w:r>
        <w:rPr>
          <w:rFonts w:ascii="Arial" w:cs="Arial" w:eastAsia="Arial" w:hAnsi="Arial"/>
          <w:sz w:val="18"/>
          <w:szCs w:val="18"/>
          <w:color w:val="auto"/>
        </w:rPr>
        <w:t>The Scotts Miracle-Gro Company, (the “Registrant”) filed March 24, 2005 (File No. 1-11593) [Exhibit 3.1]</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Certificate of Amendment by Shareholders to Articles of Incorporation of Incorporated herein by reference to the Registrant’s Current Report on The Scotts Miracle-Gro Company as filed with the Ohio Secretary of State Form 8-K filed March 24, 2005 (File No. 1-11593) [Exhibit 3.2] on March 18, 2005</w:t>
      </w:r>
    </w:p>
    <w:p>
      <w:pPr>
        <w:spacing w:after="0" w:line="108" w:lineRule="exact"/>
        <w:rPr>
          <w:sz w:val="20"/>
          <w:szCs w:val="20"/>
          <w:color w:val="auto"/>
        </w:rPr>
      </w:pPr>
    </w:p>
    <w:p>
      <w:pPr>
        <w:sectPr>
          <w:pgSz w:w="11900" w:h="16838" w:orient="portrait"/>
          <w:cols w:equalWidth="0" w:num="2">
            <w:col w:w="440" w:space="280"/>
            <w:col w:w="107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3.2</w:t>
            </w:r>
          </w:p>
        </w:tc>
        <w:tc>
          <w:tcPr>
            <w:tcW w:w="5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Code of Regulations of The Scotts Miracle-Gro Company</w:t>
            </w:r>
          </w:p>
        </w:tc>
        <w:tc>
          <w:tcPr>
            <w:tcW w:w="36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Incorporated herein by reference to the</w:t>
            </w:r>
          </w:p>
        </w:tc>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Registrant’s Current Report on</w:t>
            </w:r>
          </w:p>
        </w:tc>
      </w:tr>
      <w:tr>
        <w:trPr>
          <w:trHeight w:val="238"/>
        </w:trPr>
        <w:tc>
          <w:tcPr>
            <w:tcW w:w="460" w:type="dxa"/>
            <w:vAlign w:val="bottom"/>
            <w:shd w:val="clear" w:color="auto" w:fill="CCEEFF"/>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59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Form 8-K filed March 24, 2005 (File No. 1-11593) [Exhibit 3.3]</w:t>
            </w:r>
          </w:p>
        </w:tc>
      </w:tr>
    </w:tbl>
    <w:p>
      <w:pPr>
        <w:spacing w:after="0" w:line="100" w:lineRule="exact"/>
        <w:rPr>
          <w:sz w:val="20"/>
          <w:szCs w:val="20"/>
          <w:color w:val="auto"/>
        </w:rPr>
      </w:pPr>
    </w:p>
    <w:p>
      <w:pPr>
        <w:ind w:left="720" w:hanging="701"/>
        <w:spacing w:after="0" w:line="259" w:lineRule="auto"/>
        <w:tabs>
          <w:tab w:leader="none" w:pos="700" w:val="left"/>
        </w:tabs>
        <w:rPr>
          <w:sz w:val="20"/>
          <w:szCs w:val="20"/>
          <w:color w:val="auto"/>
        </w:rPr>
      </w:pPr>
      <w:r>
        <w:rPr>
          <w:rFonts w:ascii="Arial" w:cs="Arial" w:eastAsia="Arial" w:hAnsi="Arial"/>
          <w:sz w:val="18"/>
          <w:szCs w:val="18"/>
          <w:color w:val="auto"/>
        </w:rPr>
        <w:t>4.1(a)</w:t>
      </w:r>
      <w:r>
        <w:rPr>
          <w:sz w:val="20"/>
          <w:szCs w:val="20"/>
          <w:color w:val="auto"/>
        </w:rPr>
        <w:tab/>
      </w:r>
      <w:r>
        <w:rPr>
          <w:rFonts w:ascii="Arial" w:cs="Arial" w:eastAsia="Arial" w:hAnsi="Arial"/>
          <w:sz w:val="18"/>
          <w:szCs w:val="18"/>
          <w:color w:val="auto"/>
        </w:rPr>
        <w:t>Indenture, dated January 14, 2010, among The Scotts Miracle-Gro Incorporated herein by reference to the Registrant’s Current Report on Company, the guarantors from time to time party thereto and U.S. Bank Form 8-K filed January 14, 2010 (File No. 1-11593) [Exhibit 4.1] National Association, as trustee</w:t>
      </w:r>
    </w:p>
    <w:p>
      <w:pPr>
        <w:sectPr>
          <w:pgSz w:w="11900" w:h="16838" w:orient="portrait"/>
          <w:cols w:equalWidth="0" w:num="1">
            <w:col w:w="11420"/>
          </w:cols>
          <w:pgMar w:left="240" w:top="459" w:right="239" w:bottom="1440" w:gutter="0" w:footer="0" w:header="0"/>
          <w:type w:val="continuous"/>
        </w:sectPr>
      </w:pPr>
    </w:p>
    <w:p>
      <w:pPr>
        <w:spacing w:after="0" w:line="100" w:lineRule="exact"/>
        <w:rPr>
          <w:sz w:val="20"/>
          <w:szCs w:val="20"/>
          <w:color w:val="auto"/>
        </w:rPr>
      </w:pPr>
    </w:p>
    <w:p>
      <w:pPr>
        <w:jc w:val="both"/>
        <w:ind w:left="720" w:hanging="701"/>
        <w:spacing w:after="0" w:line="259" w:lineRule="auto"/>
        <w:tabs>
          <w:tab w:leader="none" w:pos="700" w:val="left"/>
        </w:tabs>
        <w:rPr>
          <w:sz w:val="20"/>
          <w:szCs w:val="20"/>
          <w:color w:val="auto"/>
        </w:rPr>
      </w:pPr>
      <w:r>
        <w:rPr>
          <w:rFonts w:ascii="Arial" w:cs="Arial" w:eastAsia="Arial" w:hAnsi="Arial"/>
          <w:sz w:val="18"/>
          <w:szCs w:val="18"/>
          <w:color w:val="auto"/>
        </w:rPr>
        <w:t>4.1(b)</w:t>
      </w:r>
      <w:r>
        <w:rPr>
          <w:sz w:val="20"/>
          <w:szCs w:val="20"/>
          <w:color w:val="auto"/>
        </w:rPr>
        <w:tab/>
      </w:r>
      <w:r>
        <w:rPr>
          <w:rFonts w:ascii="Arial" w:cs="Arial" w:eastAsia="Arial" w:hAnsi="Arial"/>
          <w:sz w:val="18"/>
          <w:szCs w:val="18"/>
          <w:color w:val="auto"/>
        </w:rPr>
        <w:t>First Supplemental Indenture, dated January 14, 2010, among The Scotts Miracle-Gro Company, the subsidiary guarantors named therein and U.S. Bank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4203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Incorporated herein by reference to the Registrant’s Current Report on Form 8-K filed January 14, 2010 (File No. 1-11593) [Exhibit 4.2]</w:t>
      </w:r>
    </w:p>
    <w:p>
      <w:pPr>
        <w:spacing w:after="0" w:line="261" w:lineRule="exact"/>
        <w:rPr>
          <w:sz w:val="20"/>
          <w:szCs w:val="20"/>
          <w:color w:val="auto"/>
        </w:rPr>
      </w:pPr>
    </w:p>
    <w:p>
      <w:pPr>
        <w:sectPr>
          <w:pgSz w:w="11900" w:h="16838" w:orient="portrait"/>
          <w:cols w:equalWidth="0" w:num="2">
            <w:col w:w="6060" w:space="120"/>
            <w:col w:w="52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580" w:type="dxa"/>
            <w:vAlign w:val="bottom"/>
            <w:gridSpan w:val="2"/>
          </w:tcPr>
          <w:p>
            <w:pPr>
              <w:spacing w:after="0"/>
              <w:rPr>
                <w:sz w:val="20"/>
                <w:szCs w:val="20"/>
                <w:color w:val="auto"/>
              </w:rPr>
            </w:pPr>
            <w:r>
              <w:rPr>
                <w:rFonts w:ascii="Arial" w:cs="Arial" w:eastAsia="Arial" w:hAnsi="Arial"/>
                <w:sz w:val="18"/>
                <w:szCs w:val="18"/>
                <w:color w:val="auto"/>
              </w:rPr>
              <w:t>4.1(c)</w:t>
            </w:r>
          </w:p>
        </w:tc>
        <w:tc>
          <w:tcPr>
            <w:tcW w:w="5540" w:type="dxa"/>
            <w:vAlign w:val="bottom"/>
          </w:tcPr>
          <w:p>
            <w:pPr>
              <w:ind w:left="140"/>
              <w:spacing w:after="0"/>
              <w:rPr>
                <w:sz w:val="20"/>
                <w:szCs w:val="20"/>
                <w:color w:val="auto"/>
              </w:rPr>
            </w:pPr>
            <w:r>
              <w:rPr>
                <w:rFonts w:ascii="Arial" w:cs="Arial" w:eastAsia="Arial" w:hAnsi="Arial"/>
                <w:sz w:val="18"/>
                <w:szCs w:val="18"/>
                <w:color w:val="auto"/>
                <w:w w:val="92"/>
              </w:rPr>
              <w:t>Second Supplemental Indenture, dated September 28, 2011, among The</w:t>
            </w:r>
          </w:p>
        </w:tc>
        <w:tc>
          <w:tcPr>
            <w:tcW w:w="530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w w:val="89"/>
              </w:rPr>
              <w:t>Scotts Miracle-Gro Company, the subsidiary guarantors named therein and</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U.S. Bank National Association, as trustee</w:t>
            </w:r>
          </w:p>
        </w:tc>
        <w:tc>
          <w:tcPr>
            <w:tcW w:w="5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5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4.1(d)</w:t>
            </w:r>
          </w:p>
        </w:tc>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of 7.25% Senior Notes due 2018</w:t>
            </w:r>
          </w:p>
        </w:tc>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Incorporated herein by reference to the Registrant’s Current Report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Form 8-K filed January 14, 2010 (File No. 1-11593) [Included in Exhibit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p>
        </w:tc>
        <w:tc>
          <w:tcPr>
            <w:tcW w:w="5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6"/>
        </w:trPr>
        <w:tc>
          <w:tcPr>
            <w:tcW w:w="580" w:type="dxa"/>
            <w:vAlign w:val="bottom"/>
            <w:gridSpan w:val="2"/>
          </w:tcPr>
          <w:p>
            <w:pPr>
              <w:spacing w:after="0"/>
              <w:rPr>
                <w:sz w:val="20"/>
                <w:szCs w:val="20"/>
                <w:color w:val="auto"/>
              </w:rPr>
            </w:pPr>
            <w:r>
              <w:rPr>
                <w:rFonts w:ascii="Arial" w:cs="Arial" w:eastAsia="Arial" w:hAnsi="Arial"/>
                <w:sz w:val="18"/>
                <w:szCs w:val="18"/>
                <w:color w:val="auto"/>
              </w:rPr>
              <w:t>4.2(a)</w:t>
            </w:r>
          </w:p>
        </w:tc>
        <w:tc>
          <w:tcPr>
            <w:tcW w:w="5540" w:type="dxa"/>
            <w:vAlign w:val="bottom"/>
          </w:tcPr>
          <w:p>
            <w:pPr>
              <w:ind w:left="140"/>
              <w:spacing w:after="0"/>
              <w:rPr>
                <w:sz w:val="20"/>
                <w:szCs w:val="20"/>
                <w:color w:val="auto"/>
              </w:rPr>
            </w:pPr>
            <w:r>
              <w:rPr>
                <w:rFonts w:ascii="Arial" w:cs="Arial" w:eastAsia="Arial" w:hAnsi="Arial"/>
                <w:sz w:val="18"/>
                <w:szCs w:val="18"/>
                <w:color w:val="auto"/>
                <w:w w:val="97"/>
              </w:rPr>
              <w:t>Indenture, dated as of December 16, 2010, by and among The Scotts</w:t>
            </w:r>
          </w:p>
        </w:tc>
        <w:tc>
          <w:tcPr>
            <w:tcW w:w="5300" w:type="dxa"/>
            <w:vAlign w:val="bottom"/>
          </w:tcPr>
          <w:p>
            <w:pPr>
              <w:ind w:left="60"/>
              <w:spacing w:after="0"/>
              <w:rPr>
                <w:sz w:val="20"/>
                <w:szCs w:val="20"/>
                <w:color w:val="auto"/>
              </w:rPr>
            </w:pPr>
            <w:r>
              <w:rPr>
                <w:rFonts w:ascii="Arial" w:cs="Arial" w:eastAsia="Arial" w:hAnsi="Arial"/>
                <w:sz w:val="18"/>
                <w:szCs w:val="18"/>
                <w:color w:val="auto"/>
                <w:w w:val="93"/>
              </w:rPr>
              <w:t>Incorporated herein by reference to the Registrant’s Current Report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w w:val="91"/>
              </w:rPr>
              <w:t>Miracle-Gro Company, the Guarantors (as defined therein) and U.S. Bank</w:t>
            </w:r>
          </w:p>
        </w:tc>
        <w:tc>
          <w:tcPr>
            <w:tcW w:w="5300" w:type="dxa"/>
            <w:vAlign w:val="bottom"/>
          </w:tcPr>
          <w:p>
            <w:pPr>
              <w:ind w:left="60"/>
              <w:spacing w:after="0"/>
              <w:rPr>
                <w:sz w:val="20"/>
                <w:szCs w:val="20"/>
                <w:color w:val="auto"/>
              </w:rPr>
            </w:pPr>
            <w:r>
              <w:rPr>
                <w:rFonts w:ascii="Arial" w:cs="Arial" w:eastAsia="Arial" w:hAnsi="Arial"/>
                <w:sz w:val="18"/>
                <w:szCs w:val="18"/>
                <w:color w:val="auto"/>
                <w:w w:val="99"/>
              </w:rPr>
              <w:t>Form 8-K filed December 16, 2010 (File No. 1-11593) [Exhibit 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Arial" w:cs="Arial" w:eastAsia="Arial" w:hAnsi="Arial"/>
                <w:sz w:val="18"/>
                <w:szCs w:val="18"/>
                <w:color w:val="auto"/>
              </w:rPr>
              <w:t>National Association, as trustee</w:t>
            </w:r>
          </w:p>
        </w:tc>
        <w:tc>
          <w:tcPr>
            <w:tcW w:w="5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40" w:type="dxa"/>
            <w:vAlign w:val="bottom"/>
          </w:tcPr>
          <w:p>
            <w:pPr>
              <w:ind w:left="5000"/>
              <w:spacing w:after="0"/>
              <w:rPr>
                <w:sz w:val="20"/>
                <w:szCs w:val="20"/>
                <w:color w:val="auto"/>
              </w:rPr>
            </w:pPr>
            <w:r>
              <w:rPr>
                <w:rFonts w:ascii="Arial" w:cs="Arial" w:eastAsia="Arial" w:hAnsi="Arial"/>
                <w:sz w:val="18"/>
                <w:szCs w:val="18"/>
                <w:color w:val="auto"/>
              </w:rPr>
              <w:t>125</w:t>
            </w:r>
          </w:p>
        </w:tc>
        <w:tc>
          <w:tcPr>
            <w:tcW w:w="5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tabs>
          <w:tab w:leader="none" w:pos="31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832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jc w:val="both"/>
        <w:ind w:left="940" w:right="20" w:hanging="843"/>
        <w:spacing w:after="0" w:line="306" w:lineRule="auto"/>
        <w:tabs>
          <w:tab w:leader="none" w:pos="920" w:val="left"/>
        </w:tabs>
        <w:rPr>
          <w:sz w:val="20"/>
          <w:szCs w:val="20"/>
          <w:color w:val="auto"/>
        </w:rPr>
      </w:pPr>
      <w:r>
        <w:rPr>
          <w:rFonts w:ascii="Arial" w:cs="Arial" w:eastAsia="Arial" w:hAnsi="Arial"/>
          <w:sz w:val="18"/>
          <w:szCs w:val="18"/>
          <w:color w:val="auto"/>
        </w:rPr>
        <w:t>4.2(b)</w:t>
      </w:r>
      <w:r>
        <w:rPr>
          <w:sz w:val="20"/>
          <w:szCs w:val="20"/>
          <w:color w:val="auto"/>
        </w:rPr>
        <w:tab/>
      </w:r>
      <w:r>
        <w:rPr>
          <w:rFonts w:ascii="Arial" w:cs="Arial" w:eastAsia="Arial" w:hAnsi="Arial"/>
          <w:sz w:val="16"/>
          <w:szCs w:val="16"/>
          <w:color w:val="auto"/>
        </w:rPr>
        <w:t>First Supplemental Indenture, dated as of September 28, 2011, by and among The Scotts Miracle-Gro Company, the Guarantors (as defined therein) and U.S. Bank National Association,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4286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52" w:lineRule="exact"/>
        <w:rPr>
          <w:sz w:val="20"/>
          <w:szCs w:val="20"/>
          <w:color w:val="auto"/>
        </w:rPr>
      </w:pPr>
    </w:p>
    <w:p>
      <w:pPr>
        <w:ind w:left="100"/>
        <w:spacing w:after="0"/>
        <w:tabs>
          <w:tab w:leader="none" w:pos="920" w:val="left"/>
        </w:tabs>
        <w:rPr>
          <w:sz w:val="20"/>
          <w:szCs w:val="20"/>
          <w:color w:val="auto"/>
        </w:rPr>
      </w:pPr>
      <w:r>
        <w:rPr>
          <w:rFonts w:ascii="Arial" w:cs="Arial" w:eastAsia="Arial" w:hAnsi="Arial"/>
          <w:sz w:val="18"/>
          <w:szCs w:val="18"/>
          <w:color w:val="auto"/>
        </w:rPr>
        <w:t>4.2(c)</w:t>
      </w:r>
      <w:r>
        <w:rPr>
          <w:sz w:val="20"/>
          <w:szCs w:val="20"/>
          <w:color w:val="auto"/>
        </w:rPr>
        <w:tab/>
      </w:r>
      <w:r>
        <w:rPr>
          <w:rFonts w:ascii="Arial" w:cs="Arial" w:eastAsia="Arial" w:hAnsi="Arial"/>
          <w:sz w:val="15"/>
          <w:szCs w:val="15"/>
          <w:color w:val="auto"/>
        </w:rPr>
        <w:t>Form of 6.625% Senior Notes due 2020</w:t>
      </w:r>
    </w:p>
    <w:p>
      <w:pPr>
        <w:spacing w:after="0" w:line="200" w:lineRule="exact"/>
        <w:rPr>
          <w:sz w:val="20"/>
          <w:szCs w:val="20"/>
          <w:color w:val="auto"/>
        </w:rPr>
      </w:pPr>
    </w:p>
    <w:p>
      <w:pPr>
        <w:spacing w:after="0" w:line="349" w:lineRule="exact"/>
        <w:rPr>
          <w:sz w:val="20"/>
          <w:szCs w:val="20"/>
          <w:color w:val="auto"/>
        </w:rPr>
      </w:pPr>
    </w:p>
    <w:p>
      <w:pPr>
        <w:jc w:val="both"/>
        <w:ind w:left="940" w:right="20" w:hanging="843"/>
        <w:spacing w:after="0" w:line="298" w:lineRule="auto"/>
        <w:tabs>
          <w:tab w:leader="none" w:pos="920" w:val="left"/>
        </w:tabs>
        <w:rPr>
          <w:sz w:val="20"/>
          <w:szCs w:val="20"/>
          <w:color w:val="auto"/>
        </w:rPr>
      </w:pPr>
      <w:r>
        <w:rPr>
          <w:rFonts w:ascii="Arial" w:cs="Arial" w:eastAsia="Arial" w:hAnsi="Arial"/>
          <w:sz w:val="18"/>
          <w:szCs w:val="18"/>
          <w:color w:val="auto"/>
        </w:rPr>
        <w:t>4.2(d)</w:t>
      </w:r>
      <w:r>
        <w:rPr>
          <w:sz w:val="20"/>
          <w:szCs w:val="20"/>
          <w:color w:val="auto"/>
        </w:rPr>
        <w:tab/>
      </w:r>
      <w:r>
        <w:rPr>
          <w:rFonts w:ascii="Arial" w:cs="Arial" w:eastAsia="Arial" w:hAnsi="Arial"/>
          <w:sz w:val="16"/>
          <w:szCs w:val="16"/>
          <w:color w:val="auto"/>
        </w:rPr>
        <w:t>Registration Rights Agreement, dated as of December 16, 2010, by and among The Scotts Miracle-Gro Company, the guarantors named therein and Merrill Lynch, Pierce, Fenner &amp; Smith Incorporated, as representative of the several initial purchasers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7246620" cy="548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39" w:lineRule="exact"/>
        <w:rPr>
          <w:sz w:val="20"/>
          <w:szCs w:val="20"/>
          <w:color w:val="auto"/>
        </w:rPr>
      </w:pPr>
    </w:p>
    <w:p>
      <w:pPr>
        <w:jc w:val="both"/>
        <w:ind w:left="940" w:right="20" w:hanging="843"/>
        <w:spacing w:after="0" w:line="268" w:lineRule="auto"/>
        <w:tabs>
          <w:tab w:leader="none" w:pos="9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Agreement to furnish copies of instruments and agreements defining rights of holders of long-term debt</w:t>
      </w:r>
    </w:p>
    <w:p>
      <w:pPr>
        <w:spacing w:after="0" w:line="78" w:lineRule="exact"/>
        <w:rPr>
          <w:sz w:val="20"/>
          <w:szCs w:val="20"/>
          <w:color w:val="auto"/>
        </w:rPr>
      </w:pPr>
    </w:p>
    <w:p>
      <w:pPr>
        <w:jc w:val="both"/>
        <w:ind w:left="940" w:right="20" w:hanging="931"/>
        <w:spacing w:after="0" w:line="291" w:lineRule="auto"/>
        <w:tabs>
          <w:tab w:leader="none" w:pos="920" w:val="left"/>
        </w:tabs>
        <w:rPr>
          <w:sz w:val="20"/>
          <w:szCs w:val="20"/>
          <w:color w:val="auto"/>
        </w:rPr>
      </w:pPr>
      <w:r>
        <w:rPr>
          <w:rFonts w:ascii="Arial" w:cs="Arial" w:eastAsia="Arial" w:hAnsi="Arial"/>
          <w:sz w:val="18"/>
          <w:szCs w:val="18"/>
          <w:color w:val="auto"/>
        </w:rPr>
        <w:t>10.1(a)</w:t>
      </w:r>
      <w:r>
        <w:rPr>
          <w:sz w:val="20"/>
          <w:szCs w:val="20"/>
          <w:color w:val="auto"/>
        </w:rPr>
        <w:tab/>
      </w:r>
      <w:r>
        <w:rPr>
          <w:rFonts w:ascii="Arial" w:cs="Arial" w:eastAsia="Arial" w:hAnsi="Arial"/>
          <w:sz w:val="16"/>
          <w:szCs w:val="16"/>
          <w:color w:val="auto"/>
        </w:rPr>
        <w:t>Amended and Restated Agreement and Plan of Merger, dated as of May 19, 1995, among Stern’s Miracle-Gro Products, Inc., Stern’s Nurseries, Inc., Miracle-Gro Lawn Products Inc., Miracle-Gro Products Limited, Hagedorn Partnership, L.P., the general partners of Hagedorn Partnership, L.P., Horace Hagedorn, Community Funds, Inc., and John Kenlon, The Scotts Company and ZYX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-843915</wp:posOffset>
            </wp:positionV>
            <wp:extent cx="7246620" cy="823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46" w:lineRule="exact"/>
        <w:rPr>
          <w:sz w:val="20"/>
          <w:szCs w:val="20"/>
          <w:color w:val="auto"/>
        </w:rPr>
      </w:pPr>
    </w:p>
    <w:p>
      <w:pPr>
        <w:jc w:val="both"/>
        <w:ind w:left="940" w:hanging="931"/>
        <w:spacing w:after="0" w:line="289" w:lineRule="auto"/>
        <w:tabs>
          <w:tab w:leader="none" w:pos="920" w:val="left"/>
        </w:tabs>
        <w:rPr>
          <w:sz w:val="20"/>
          <w:szCs w:val="20"/>
          <w:color w:val="auto"/>
        </w:rPr>
      </w:pPr>
      <w:r>
        <w:rPr>
          <w:rFonts w:ascii="Arial" w:cs="Arial" w:eastAsia="Arial" w:hAnsi="Arial"/>
          <w:sz w:val="18"/>
          <w:szCs w:val="18"/>
          <w:color w:val="auto"/>
        </w:rPr>
        <w:t>10.1(b)</w:t>
      </w:r>
      <w:r>
        <w:rPr>
          <w:sz w:val="20"/>
          <w:szCs w:val="20"/>
          <w:color w:val="auto"/>
        </w:rPr>
        <w:tab/>
      </w:r>
      <w:r>
        <w:rPr>
          <w:rFonts w:ascii="Arial" w:cs="Arial" w:eastAsia="Arial" w:hAnsi="Arial"/>
          <w:sz w:val="16"/>
          <w:szCs w:val="16"/>
          <w:color w:val="auto"/>
        </w:rPr>
        <w:t>First Amendment to Amended and Restated Agreement and Plan of Merger, made and entered into as of October 1, 1999, among The Scotts Company, Scotts’ Miracle-Gro Products, Inc. (as successor to ZYX Corporation and Stern’s Miracle-Gro 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10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filed December 16, 2010 (File No. 1-11593) [Included in Exhibit 4.1]</w:t>
      </w:r>
    </w:p>
    <w:p>
      <w:pPr>
        <w:spacing w:after="0" w:line="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Incorporated herein by reference to the Registrant’s Current Report on Form 8-K filed December 16, 2010 (File No. 1-11593) [Exhibit 4.3]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Current Report on Form 8-K of The Scotts Company, a Delaware corporation, filed June 2, 1995 (File No. 0-19768) [Exhibit 2(b)]</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October 5, 1999 (File No. 1-13292) [Exhibit 2]</w:t>
      </w:r>
    </w:p>
    <w:p>
      <w:pPr>
        <w:sectPr>
          <w:pgSz w:w="11900" w:h="16838" w:orient="portrait"/>
          <w:cols w:equalWidth="0" w:num="2">
            <w:col w:w="6080" w:space="200"/>
            <w:col w:w="514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3340" w:val="left"/>
          <w:tab w:leader="none" w:pos="86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1"/>
          <w:szCs w:val="11"/>
          <w:b w:val="1"/>
          <w:bCs w:val="1"/>
          <w:color w:val="auto"/>
        </w:rPr>
        <w:t>Location</w:t>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85"/>
              </w:rPr>
              <w:t>10.2</w:t>
            </w:r>
          </w:p>
        </w:tc>
        <w:tc>
          <w:tcPr>
            <w:tcW w:w="720" w:type="dxa"/>
            <w:vAlign w:val="bottom"/>
          </w:tcPr>
          <w:p>
            <w:pPr>
              <w:spacing w:after="0"/>
              <w:rPr>
                <w:sz w:val="19"/>
                <w:szCs w:val="19"/>
                <w:color w:val="auto"/>
              </w:rPr>
            </w:pPr>
          </w:p>
        </w:tc>
        <w:tc>
          <w:tcPr>
            <w:tcW w:w="5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Second Amended and Restated Credit Agreement, dated as of June 30,</w:t>
            </w:r>
          </w:p>
        </w:tc>
      </w:tr>
      <w:tr>
        <w:trPr>
          <w:trHeight w:val="216"/>
        </w:trPr>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3"/>
              </w:rPr>
              <w:t>2011,  by  and  among  The  Scotts  Miracle-Gro  Company  as  the</w:t>
            </w:r>
          </w:p>
        </w:tc>
      </w:tr>
      <w:tr>
        <w:trPr>
          <w:trHeight w:val="222"/>
        </w:trPr>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9"/>
              </w:rPr>
              <w:t>“Borrower” the Subsidiary Borrowers (as defined in the Second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5176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517650"/>
                    </a:xfrm>
                    <a:prstGeom prst="rect">
                      <a:avLst/>
                    </a:prstGeom>
                    <a:noFill/>
                  </pic:spPr>
                </pic:pic>
              </a:graphicData>
            </a:graphic>
          </wp:anchor>
        </w:drawing>
      </w:r>
    </w:p>
    <w:p>
      <w:pPr>
        <w:jc w:val="both"/>
        <w:ind w:left="1180"/>
        <w:spacing w:after="0" w:line="287" w:lineRule="auto"/>
        <w:rPr>
          <w:sz w:val="20"/>
          <w:szCs w:val="20"/>
          <w:color w:val="auto"/>
        </w:rPr>
      </w:pPr>
      <w:r>
        <w:rPr>
          <w:rFonts w:ascii="Arial" w:cs="Arial" w:eastAsia="Arial" w:hAnsi="Arial"/>
          <w:sz w:val="16"/>
          <w:szCs w:val="16"/>
          <w:color w:val="auto"/>
        </w:rPr>
        <w:t>Amended and Restated Credit Agreement); the several banks and other financial institutions from time to time parties to the Second Amended and Restated Credit Agreement (the “Lenders”); Bank of America, N.A., as Syndication Agent; Cobank, ACB, BNP Paribas, Credit Agricole Corporate and Investment Bank, Rabobank Nederland, Citizens Bank of Pennsylvania, The Bank of Nova Scotia and Wells Fargo Bank, N.A., as Documentation Agents; and JPMorgan Chase Bank, N.A., as Administrative Agent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Incorporated herein by reference to the Registrant’s Current Report on Form 8-K filed July 1, 2011 (File No. 1-11593) [Exhibit 4.1]</w:t>
      </w:r>
    </w:p>
    <w:p>
      <w:pPr>
        <w:spacing w:after="0" w:line="1975" w:lineRule="exact"/>
        <w:rPr>
          <w:sz w:val="20"/>
          <w:szCs w:val="20"/>
          <w:color w:val="auto"/>
        </w:rPr>
      </w:pPr>
    </w:p>
    <w:p>
      <w:pPr>
        <w:sectPr>
          <w:pgSz w:w="11900" w:h="16838" w:orient="portrait"/>
          <w:cols w:equalWidth="0" w:num="2">
            <w:col w:w="6200" w:space="200"/>
            <w:col w:w="5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10.3</w:t>
            </w:r>
          </w:p>
        </w:tc>
        <w:tc>
          <w:tcPr>
            <w:tcW w:w="5440" w:type="dxa"/>
            <w:vAlign w:val="bottom"/>
          </w:tcPr>
          <w:p>
            <w:pPr>
              <w:ind w:left="440"/>
              <w:spacing w:after="0"/>
              <w:rPr>
                <w:sz w:val="20"/>
                <w:szCs w:val="20"/>
                <w:color w:val="auto"/>
              </w:rPr>
            </w:pPr>
            <w:r>
              <w:rPr>
                <w:rFonts w:ascii="Arial" w:cs="Arial" w:eastAsia="Arial" w:hAnsi="Arial"/>
                <w:sz w:val="18"/>
                <w:szCs w:val="18"/>
                <w:color w:val="auto"/>
                <w:w w:val="89"/>
              </w:rPr>
              <w:t>Second Amended and Restated Guarantee and Collateral Agreement,</w:t>
            </w:r>
          </w:p>
        </w:tc>
      </w:tr>
      <w:tr>
        <w:trPr>
          <w:trHeight w:val="216"/>
        </w:trPr>
        <w:tc>
          <w:tcPr>
            <w:tcW w:w="740" w:type="dxa"/>
            <w:vAlign w:val="bottom"/>
          </w:tcPr>
          <w:p>
            <w:pPr>
              <w:spacing w:after="0"/>
              <w:rPr>
                <w:sz w:val="18"/>
                <w:szCs w:val="18"/>
                <w:color w:val="auto"/>
              </w:rPr>
            </w:pPr>
          </w:p>
        </w:tc>
        <w:tc>
          <w:tcPr>
            <w:tcW w:w="5440" w:type="dxa"/>
            <w:vAlign w:val="bottom"/>
          </w:tcPr>
          <w:p>
            <w:pPr>
              <w:ind w:left="440"/>
              <w:spacing w:after="0"/>
              <w:rPr>
                <w:sz w:val="20"/>
                <w:szCs w:val="20"/>
                <w:color w:val="auto"/>
              </w:rPr>
            </w:pPr>
            <w:r>
              <w:rPr>
                <w:rFonts w:ascii="Arial" w:cs="Arial" w:eastAsia="Arial" w:hAnsi="Arial"/>
                <w:sz w:val="18"/>
                <w:szCs w:val="18"/>
                <w:color w:val="auto"/>
                <w:w w:val="88"/>
              </w:rPr>
              <w:t>dated as of June 30, 2011, made by The Scotts Miracle-Gro Company,</w:t>
            </w:r>
          </w:p>
        </w:tc>
      </w:tr>
      <w:tr>
        <w:trPr>
          <w:trHeight w:val="216"/>
        </w:trPr>
        <w:tc>
          <w:tcPr>
            <w:tcW w:w="740" w:type="dxa"/>
            <w:vAlign w:val="bottom"/>
          </w:tcPr>
          <w:p>
            <w:pPr>
              <w:spacing w:after="0"/>
              <w:rPr>
                <w:sz w:val="18"/>
                <w:szCs w:val="18"/>
                <w:color w:val="auto"/>
              </w:rPr>
            </w:pPr>
          </w:p>
        </w:tc>
        <w:tc>
          <w:tcPr>
            <w:tcW w:w="5440" w:type="dxa"/>
            <w:vAlign w:val="bottom"/>
          </w:tcPr>
          <w:p>
            <w:pPr>
              <w:ind w:left="440"/>
              <w:spacing w:after="0"/>
              <w:rPr>
                <w:sz w:val="20"/>
                <w:szCs w:val="20"/>
                <w:color w:val="auto"/>
              </w:rPr>
            </w:pPr>
            <w:r>
              <w:rPr>
                <w:rFonts w:ascii="Arial" w:cs="Arial" w:eastAsia="Arial" w:hAnsi="Arial"/>
                <w:sz w:val="18"/>
                <w:szCs w:val="18"/>
                <w:color w:val="auto"/>
                <w:w w:val="90"/>
              </w:rPr>
              <w:t>each domestic Subsidiary Borrower under the Second Amended and</w:t>
            </w:r>
          </w:p>
        </w:tc>
      </w:tr>
      <w:tr>
        <w:trPr>
          <w:trHeight w:val="222"/>
        </w:trPr>
        <w:tc>
          <w:tcPr>
            <w:tcW w:w="740" w:type="dxa"/>
            <w:vAlign w:val="bottom"/>
          </w:tcPr>
          <w:p>
            <w:pPr>
              <w:spacing w:after="0"/>
              <w:rPr>
                <w:sz w:val="19"/>
                <w:szCs w:val="19"/>
                <w:color w:val="auto"/>
              </w:rPr>
            </w:pPr>
          </w:p>
        </w:tc>
        <w:tc>
          <w:tcPr>
            <w:tcW w:w="5440" w:type="dxa"/>
            <w:vAlign w:val="bottom"/>
          </w:tcPr>
          <w:p>
            <w:pPr>
              <w:ind w:left="440"/>
              <w:spacing w:after="0"/>
              <w:rPr>
                <w:sz w:val="20"/>
                <w:szCs w:val="20"/>
                <w:color w:val="auto"/>
              </w:rPr>
            </w:pPr>
            <w:r>
              <w:rPr>
                <w:rFonts w:ascii="Arial" w:cs="Arial" w:eastAsia="Arial" w:hAnsi="Arial"/>
                <w:sz w:val="18"/>
                <w:szCs w:val="18"/>
                <w:color w:val="auto"/>
                <w:w w:val="97"/>
              </w:rPr>
              <w:t>Restated Credit Agreement, and certain of its and their domestic</w:t>
            </w:r>
          </w:p>
        </w:tc>
      </w:tr>
    </w:tbl>
    <w:p>
      <w:pPr>
        <w:ind w:left="1180"/>
        <w:spacing w:after="0" w:line="261" w:lineRule="auto"/>
        <w:rPr>
          <w:sz w:val="20"/>
          <w:szCs w:val="20"/>
          <w:color w:val="auto"/>
        </w:rPr>
      </w:pPr>
      <w:r>
        <w:rPr>
          <w:rFonts w:ascii="Arial" w:cs="Arial" w:eastAsia="Arial" w:hAnsi="Arial"/>
          <w:sz w:val="18"/>
          <w:szCs w:val="18"/>
          <w:color w:val="auto"/>
        </w:rPr>
        <w:t>subsidiaries, in favor of JPMorgan Chase Bank, N.A., as Administrative Agent</w:t>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6"/>
          <w:szCs w:val="16"/>
          <w:color w:val="auto"/>
        </w:rPr>
        <w:t>Incorporated herein by reference to the Registrant’s Current Report on Form 8-K filed July 1, 2011 (File No. 1-11593) [Exhibit 4.2]</w:t>
      </w:r>
    </w:p>
    <w:p>
      <w:pPr>
        <w:spacing w:after="0" w:line="903" w:lineRule="exact"/>
        <w:rPr>
          <w:sz w:val="20"/>
          <w:szCs w:val="20"/>
          <w:color w:val="auto"/>
        </w:rPr>
      </w:pPr>
    </w:p>
    <w:p>
      <w:pPr>
        <w:sectPr>
          <w:pgSz w:w="11900" w:h="16838" w:orient="portrait"/>
          <w:cols w:equalWidth="0" w:num="2">
            <w:col w:w="6180" w:space="220"/>
            <w:col w:w="5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10.4(a)</w:t>
            </w:r>
            <w:r>
              <w:rPr>
                <w:rFonts w:ascii="Arial" w:cs="Arial" w:eastAsia="Arial" w:hAnsi="Arial"/>
                <w:sz w:val="11"/>
                <w:szCs w:val="11"/>
                <w:color w:val="auto"/>
              </w:rPr>
              <w:t>†</w:t>
            </w: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The Scotts Miracle-Gro Company Amended and Restated 1996 Stock</w:t>
            </w: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Incorporated herein by reference to the Registrant’s Annual Report on</w:t>
            </w:r>
          </w:p>
        </w:tc>
      </w:tr>
      <w:tr>
        <w:trPr>
          <w:trHeight w:val="216"/>
        </w:trPr>
        <w:tc>
          <w:tcPr>
            <w:tcW w:w="880" w:type="dxa"/>
            <w:vAlign w:val="bottom"/>
            <w:shd w:val="clear" w:color="auto" w:fill="CCEEFF"/>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Option Plan (effective as of October 30, 2007)</w:t>
            </w: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Form 10-K for the fiscal year ended September 30, 2007 (File No. 1-</w:t>
            </w:r>
          </w:p>
        </w:tc>
      </w:tr>
      <w:tr>
        <w:trPr>
          <w:trHeight w:val="224"/>
        </w:trPr>
        <w:tc>
          <w:tcPr>
            <w:tcW w:w="88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19"/>
                <w:szCs w:val="19"/>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11593) [Exhibit 10(d)(4)]</w:t>
            </w:r>
          </w:p>
        </w:tc>
      </w:tr>
    </w:tbl>
    <w:p>
      <w:pPr>
        <w:spacing w:after="0" w:line="1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10.4(b)</w:t>
            </w:r>
            <w:r>
              <w:rPr>
                <w:rFonts w:ascii="Arial" w:cs="Arial" w:eastAsia="Arial" w:hAnsi="Arial"/>
                <w:sz w:val="11"/>
                <w:szCs w:val="11"/>
                <w:color w:val="auto"/>
              </w:rPr>
              <w:t>†</w:t>
            </w:r>
          </w:p>
        </w:tc>
        <w:tc>
          <w:tcPr>
            <w:tcW w:w="5320" w:type="dxa"/>
            <w:vAlign w:val="bottom"/>
          </w:tcPr>
          <w:p>
            <w:pPr>
              <w:ind w:left="300"/>
              <w:spacing w:after="0"/>
              <w:rPr>
                <w:sz w:val="20"/>
                <w:szCs w:val="20"/>
                <w:color w:val="auto"/>
              </w:rPr>
            </w:pPr>
            <w:r>
              <w:rPr>
                <w:rFonts w:ascii="Arial" w:cs="Arial" w:eastAsia="Arial" w:hAnsi="Arial"/>
                <w:sz w:val="18"/>
                <w:szCs w:val="18"/>
                <w:color w:val="auto"/>
                <w:w w:val="93"/>
              </w:rPr>
              <w:t>Specimen form of Stock Option Agreement for Non-Qualified Stock</w:t>
            </w:r>
          </w:p>
        </w:tc>
      </w:tr>
      <w:tr>
        <w:trPr>
          <w:trHeight w:val="216"/>
        </w:trPr>
        <w:tc>
          <w:tcPr>
            <w:tcW w:w="88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w w:val="89"/>
              </w:rPr>
              <w:t>Options granted to employees under The Scotts Company 1996 Stock</w:t>
            </w:r>
          </w:p>
        </w:tc>
      </w:tr>
      <w:tr>
        <w:trPr>
          <w:trHeight w:val="216"/>
        </w:trPr>
        <w:tc>
          <w:tcPr>
            <w:tcW w:w="880" w:type="dxa"/>
            <w:vAlign w:val="bottom"/>
          </w:tcPr>
          <w:p>
            <w:pPr>
              <w:spacing w:after="0"/>
              <w:rPr>
                <w:sz w:val="18"/>
                <w:szCs w:val="18"/>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w w:val="94"/>
              </w:rPr>
              <w:t>Option  Plan  (now  known  as  The  Scotts  Miracle-Gro  Company</w:t>
            </w:r>
          </w:p>
        </w:tc>
      </w:tr>
      <w:tr>
        <w:trPr>
          <w:trHeight w:val="222"/>
        </w:trPr>
        <w:tc>
          <w:tcPr>
            <w:tcW w:w="880" w:type="dxa"/>
            <w:vAlign w:val="bottom"/>
          </w:tcPr>
          <w:p>
            <w:pPr>
              <w:spacing w:after="0"/>
              <w:rPr>
                <w:sz w:val="19"/>
                <w:szCs w:val="19"/>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rPr>
              <w:t>Amended and Restated 1996 Stock Option Plan)</w:t>
            </w:r>
          </w:p>
        </w:tc>
      </w:tr>
    </w:tbl>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10.7]</w:t>
      </w:r>
    </w:p>
    <w:p>
      <w:pPr>
        <w:spacing w:after="0" w:line="310" w:lineRule="exact"/>
        <w:rPr>
          <w:sz w:val="20"/>
          <w:szCs w:val="20"/>
          <w:color w:val="auto"/>
        </w:rPr>
      </w:pPr>
    </w:p>
    <w:p>
      <w:pPr>
        <w:sectPr>
          <w:pgSz w:w="11900" w:h="16838" w:orient="portrait"/>
          <w:cols w:equalWidth="0" w:num="2">
            <w:col w:w="6200" w:space="200"/>
            <w:col w:w="5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10.5(a)</w:t>
            </w:r>
            <w:r>
              <w:rPr>
                <w:rFonts w:ascii="Arial" w:cs="Arial" w:eastAsia="Arial" w:hAnsi="Arial"/>
                <w:sz w:val="11"/>
                <w:szCs w:val="11"/>
                <w:color w:val="auto"/>
              </w:rPr>
              <w:t>†</w:t>
            </w: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The Scotts Miracle-Gro Company Amended and Restated 2003 Stock</w:t>
            </w: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Incorporated herein by reference to the Registrant’s Annual Report on</w:t>
            </w:r>
          </w:p>
        </w:tc>
      </w:tr>
      <w:tr>
        <w:trPr>
          <w:trHeight w:val="216"/>
        </w:trPr>
        <w:tc>
          <w:tcPr>
            <w:tcW w:w="880" w:type="dxa"/>
            <w:vAlign w:val="bottom"/>
            <w:shd w:val="clear" w:color="auto" w:fill="CCEEFF"/>
          </w:tcPr>
          <w:p>
            <w:pPr>
              <w:spacing w:after="0"/>
              <w:rPr>
                <w:sz w:val="18"/>
                <w:szCs w:val="18"/>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Option and Incentive Equity Plan (effective as of October 30, 2007)</w:t>
            </w: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Form 10-K for the fiscal year ended September 30, 2007 (File No. 1-</w:t>
            </w:r>
          </w:p>
        </w:tc>
      </w:tr>
      <w:tr>
        <w:trPr>
          <w:trHeight w:val="224"/>
        </w:trPr>
        <w:tc>
          <w:tcPr>
            <w:tcW w:w="88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19"/>
                <w:szCs w:val="19"/>
                <w:color w:val="auto"/>
              </w:rPr>
            </w:pPr>
          </w:p>
        </w:tc>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11593) [Exhibit 10(j)(3)]</w:t>
            </w:r>
          </w:p>
        </w:tc>
      </w:tr>
    </w:tbl>
    <w:p>
      <w:pPr>
        <w:spacing w:after="0" w:line="1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10.5(b)(i)</w:t>
            </w:r>
          </w:p>
        </w:tc>
        <w:tc>
          <w:tcPr>
            <w:tcW w:w="5240" w:type="dxa"/>
            <w:vAlign w:val="bottom"/>
          </w:tcPr>
          <w:p>
            <w:pPr>
              <w:ind w:left="240"/>
              <w:spacing w:after="0"/>
              <w:rPr>
                <w:sz w:val="20"/>
                <w:szCs w:val="20"/>
                <w:color w:val="auto"/>
              </w:rPr>
            </w:pPr>
            <w:r>
              <w:rPr>
                <w:rFonts w:ascii="Arial" w:cs="Arial" w:eastAsia="Arial" w:hAnsi="Arial"/>
                <w:sz w:val="18"/>
                <w:szCs w:val="18"/>
                <w:color w:val="auto"/>
                <w:w w:val="93"/>
              </w:rPr>
              <w:t>Specimen form of Award Agreement for Directors used to evidence</w:t>
            </w:r>
          </w:p>
        </w:tc>
      </w:tr>
      <w:tr>
        <w:trPr>
          <w:trHeight w:val="222"/>
        </w:trPr>
        <w:tc>
          <w:tcPr>
            <w:tcW w:w="940" w:type="dxa"/>
            <w:vAlign w:val="bottom"/>
          </w:tcPr>
          <w:p>
            <w:pPr>
              <w:spacing w:after="0"/>
              <w:rPr>
                <w:sz w:val="19"/>
                <w:szCs w:val="19"/>
                <w:color w:val="auto"/>
              </w:rPr>
            </w:pPr>
          </w:p>
        </w:tc>
        <w:tc>
          <w:tcPr>
            <w:tcW w:w="5240" w:type="dxa"/>
            <w:vAlign w:val="bottom"/>
          </w:tcPr>
          <w:p>
            <w:pPr>
              <w:ind w:left="240"/>
              <w:spacing w:after="0"/>
              <w:rPr>
                <w:sz w:val="20"/>
                <w:szCs w:val="20"/>
                <w:color w:val="auto"/>
              </w:rPr>
            </w:pPr>
            <w:r>
              <w:rPr>
                <w:rFonts w:ascii="Arial" w:cs="Arial" w:eastAsia="Arial" w:hAnsi="Arial"/>
                <w:sz w:val="18"/>
                <w:szCs w:val="18"/>
                <w:color w:val="auto"/>
                <w:w w:val="94"/>
              </w:rPr>
              <w:t>grants  of  Nonqualified  Stock  Options  made  under  The  Scotts</w:t>
            </w:r>
          </w:p>
        </w:tc>
      </w:tr>
    </w:tbl>
    <w:p>
      <w:pPr>
        <w:jc w:val="both"/>
        <w:ind w:left="1180"/>
        <w:spacing w:after="0" w:line="302" w:lineRule="auto"/>
        <w:rPr>
          <w:sz w:val="20"/>
          <w:szCs w:val="20"/>
          <w:color w:val="auto"/>
        </w:rPr>
      </w:pPr>
      <w:r>
        <w:rPr>
          <w:rFonts w:ascii="Arial" w:cs="Arial" w:eastAsia="Arial" w:hAnsi="Arial"/>
          <w:sz w:val="16"/>
          <w:szCs w:val="16"/>
          <w:color w:val="auto"/>
        </w:rPr>
        <w:t>Company 2003 Stock Option and Incentive Equity Plan (now known as The Scotts Miracle-Gro Company Amended and Restated 2003 Stock Option and Incentive Equity Plan) [2003 version]</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10.9]</w:t>
      </w:r>
    </w:p>
    <w:p>
      <w:pPr>
        <w:sectPr>
          <w:pgSz w:w="11900" w:h="16838" w:orient="portrait"/>
          <w:cols w:equalWidth="0" w:num="2">
            <w:col w:w="6180" w:space="220"/>
            <w:col w:w="5020"/>
          </w:cols>
          <w:pgMar w:left="240" w:top="459" w:right="239" w:bottom="1440" w:gutter="0" w:footer="0" w:header="0"/>
          <w:type w:val="continuous"/>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321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10.5(b)(ii)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10.5(c)(i)</w:t>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8890</wp:posOffset>
            </wp:positionV>
            <wp:extent cx="7246620" cy="694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jc w:val="both"/>
        <w:spacing w:after="0" w:line="294" w:lineRule="auto"/>
        <w:rPr>
          <w:sz w:val="20"/>
          <w:szCs w:val="20"/>
          <w:color w:val="auto"/>
        </w:rPr>
      </w:pPr>
      <w:r>
        <w:rPr>
          <w:rFonts w:ascii="Arial" w:cs="Arial" w:eastAsia="Arial" w:hAnsi="Arial"/>
          <w:sz w:val="16"/>
          <w:szCs w:val="16"/>
          <w:color w:val="auto"/>
        </w:rPr>
        <w:t>Specimen form of Award Agreement for Directors used to evidence grants of Nonqualified Stock Options made under The Scotts Miracle-Gro Company 2003 Stock Option and Incentive Equity Plan (now known as The Scotts Miracle-Gro Company Amended and Restated 2003 Stock Option and Incentive Equity Plan) [post-2003 version]</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Specimen form of Award Agreement for Nondirectors used to evidence grants of Incentive Stock Options, Nonqualified Stock Options, Stock Appreciation Rights, Restricted Stock and Performance Stock made under The Scotts Company 2003 Stock Option and Incentive Equity Plan (now known as The Scotts Miracle-Gro Company Amended and Restated 2003 Stock Option and Incentive Equity Plan) [pre-December 1, 2004 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10(v)]</w:t>
      </w:r>
    </w:p>
    <w:p>
      <w:pPr>
        <w:spacing w:after="0" w:line="200" w:lineRule="exact"/>
        <w:rPr>
          <w:sz w:val="20"/>
          <w:szCs w:val="20"/>
          <w:color w:val="auto"/>
        </w:rPr>
      </w:pPr>
    </w:p>
    <w:p>
      <w:pPr>
        <w:spacing w:after="0" w:line="3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Current Report on Form 8-K of The Scotts Company, an Ohio corporation, filed November 19, 2004 (File No. 1-11593) [Exhibit 10.8]</w:t>
      </w:r>
    </w:p>
    <w:p>
      <w:pPr>
        <w:spacing w:after="0" w:line="950" w:lineRule="exact"/>
        <w:rPr>
          <w:sz w:val="20"/>
          <w:szCs w:val="20"/>
          <w:color w:val="auto"/>
        </w:rPr>
      </w:pPr>
    </w:p>
    <w:p>
      <w:pPr>
        <w:sectPr>
          <w:pgSz w:w="11900" w:h="16838" w:orient="portrait"/>
          <w:cols w:equalWidth="0" w:num="3">
            <w:col w:w="740" w:space="560"/>
            <w:col w:w="5000" w:space="220"/>
            <w:col w:w="4900"/>
          </w:cols>
          <w:pgMar w:left="240" w:top="459" w:right="239" w:bottom="1440" w:gutter="0" w:footer="0" w:header="0"/>
          <w:type w:val="continuous"/>
        </w:sectPr>
      </w:pPr>
    </w:p>
    <w:p>
      <w:pPr>
        <w:spacing w:after="0"/>
        <w:tabs>
          <w:tab w:leader="none" w:pos="1280" w:val="left"/>
        </w:tabs>
        <w:rPr>
          <w:sz w:val="20"/>
          <w:szCs w:val="20"/>
          <w:color w:val="auto"/>
        </w:rPr>
      </w:pPr>
      <w:r>
        <w:rPr>
          <w:rFonts w:ascii="Arial" w:cs="Arial" w:eastAsia="Arial" w:hAnsi="Arial"/>
          <w:sz w:val="18"/>
          <w:szCs w:val="18"/>
          <w:color w:val="auto"/>
        </w:rPr>
        <w:t>10.5(c)(ii)</w:t>
      </w:r>
      <w:r>
        <w:rPr>
          <w:rFonts w:ascii="Arial" w:cs="Arial" w:eastAsia="Arial" w:hAnsi="Arial"/>
          <w:sz w:val="11"/>
          <w:szCs w:val="11"/>
          <w:color w:val="auto"/>
        </w:rPr>
        <w:t>†</w:t>
      </w:r>
      <w:r>
        <w:rPr>
          <w:sz w:val="20"/>
          <w:szCs w:val="20"/>
          <w:color w:val="auto"/>
        </w:rPr>
        <w:tab/>
      </w:r>
      <w:r>
        <w:rPr>
          <w:rFonts w:ascii="Arial" w:cs="Arial" w:eastAsia="Arial" w:hAnsi="Arial"/>
          <w:sz w:val="16"/>
          <w:szCs w:val="16"/>
          <w:color w:val="auto"/>
        </w:rPr>
        <w:t>Specimen  form  of  Award  Agreement  for  Nondirectors  used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9607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96075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6"/>
          <w:szCs w:val="16"/>
          <w:color w:val="auto"/>
        </w:rPr>
        <w:t>evidence  grants  of  Incentive  Stock  Options,  Nonqualified  Stock</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Options, Stock Appreciation Rights, Restricted Stock and Performance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Shares made under The Scotts Miracle-Gro Company 2003 Stock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Option and Incentive Equity Plan (now known as The Scotts Miracle-</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Gro  Company  Amended  and  Restated  2003  Stock  Option  and</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Incentive Equity Plan) [effective December 1, 2004]</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10(u)]</w:t>
      </w:r>
    </w:p>
    <w:p>
      <w:pPr>
        <w:spacing w:after="0" w:line="950" w:lineRule="exact"/>
        <w:rPr>
          <w:sz w:val="20"/>
          <w:szCs w:val="20"/>
          <w:color w:val="auto"/>
        </w:rPr>
      </w:pPr>
    </w:p>
    <w:p>
      <w:pPr>
        <w:sectPr>
          <w:pgSz w:w="11900" w:h="16838" w:orient="portrait"/>
          <w:cols w:equalWidth="0" w:num="2">
            <w:col w:w="6300" w:space="220"/>
            <w:col w:w="49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10.6(a)(i)</w:t>
            </w:r>
            <w:r>
              <w:rPr>
                <w:rFonts w:ascii="Arial" w:cs="Arial" w:eastAsia="Arial" w:hAnsi="Arial"/>
                <w:sz w:val="11"/>
                <w:szCs w:val="11"/>
                <w:color w:val="auto"/>
              </w:rPr>
              <w:t>†</w:t>
            </w:r>
          </w:p>
        </w:tc>
        <w:tc>
          <w:tcPr>
            <w:tcW w:w="5360" w:type="dxa"/>
            <w:vAlign w:val="bottom"/>
          </w:tcPr>
          <w:p>
            <w:pPr>
              <w:ind w:left="260"/>
              <w:spacing w:after="0"/>
              <w:rPr>
                <w:sz w:val="20"/>
                <w:szCs w:val="20"/>
                <w:color w:val="auto"/>
              </w:rPr>
            </w:pPr>
            <w:r>
              <w:rPr>
                <w:rFonts w:ascii="Arial" w:cs="Arial" w:eastAsia="Arial" w:hAnsi="Arial"/>
                <w:sz w:val="18"/>
                <w:szCs w:val="18"/>
                <w:color w:val="auto"/>
                <w:w w:val="91"/>
              </w:rPr>
              <w:t>The Scotts Miracle-Gro Company Amended and Restated 2006 Long-</w:t>
            </w:r>
          </w:p>
        </w:tc>
        <w:tc>
          <w:tcPr>
            <w:tcW w:w="5020" w:type="dxa"/>
            <w:vAlign w:val="bottom"/>
          </w:tcPr>
          <w:p>
            <w:pPr>
              <w:ind w:left="120"/>
              <w:spacing w:after="0"/>
              <w:rPr>
                <w:sz w:val="20"/>
                <w:szCs w:val="20"/>
                <w:color w:val="auto"/>
              </w:rPr>
            </w:pPr>
            <w:r>
              <w:rPr>
                <w:rFonts w:ascii="Arial" w:cs="Arial" w:eastAsia="Arial" w:hAnsi="Arial"/>
                <w:sz w:val="18"/>
                <w:szCs w:val="18"/>
                <w:color w:val="auto"/>
                <w:w w:val="91"/>
              </w:rPr>
              <w:t>Incorporated herein by reference to the Registrant’s Annual Report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60" w:type="dxa"/>
            <w:vAlign w:val="bottom"/>
          </w:tcPr>
          <w:p>
            <w:pPr>
              <w:ind w:left="260"/>
              <w:spacing w:after="0"/>
              <w:rPr>
                <w:sz w:val="20"/>
                <w:szCs w:val="20"/>
                <w:color w:val="auto"/>
              </w:rPr>
            </w:pPr>
            <w:r>
              <w:rPr>
                <w:rFonts w:ascii="Arial" w:cs="Arial" w:eastAsia="Arial" w:hAnsi="Arial"/>
                <w:sz w:val="18"/>
                <w:szCs w:val="18"/>
                <w:color w:val="auto"/>
              </w:rPr>
              <w:t>Term Incentive Plan (effective as of October 30, 2007)</w:t>
            </w:r>
          </w:p>
        </w:tc>
        <w:tc>
          <w:tcPr>
            <w:tcW w:w="5020" w:type="dxa"/>
            <w:vAlign w:val="bottom"/>
          </w:tcPr>
          <w:p>
            <w:pPr>
              <w:ind w:left="120"/>
              <w:spacing w:after="0"/>
              <w:rPr>
                <w:sz w:val="20"/>
                <w:szCs w:val="20"/>
                <w:color w:val="auto"/>
              </w:rPr>
            </w:pPr>
            <w:r>
              <w:rPr>
                <w:rFonts w:ascii="Arial" w:cs="Arial" w:eastAsia="Arial" w:hAnsi="Arial"/>
                <w:sz w:val="18"/>
                <w:szCs w:val="18"/>
                <w:color w:val="auto"/>
                <w:w w:val="89"/>
              </w:rPr>
              <w:t>on Form 10-K for the fiscal year ended September 30, 2007 (File No.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1-11593) [Exhibit 10(r)(2)]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10.6(a)(ii)</w:t>
            </w:r>
            <w:r>
              <w:rPr>
                <w:rFonts w:ascii="Arial" w:cs="Arial" w:eastAsia="Arial" w:hAnsi="Arial"/>
                <w:sz w:val="11"/>
                <w:szCs w:val="11"/>
                <w:color w:val="auto"/>
              </w:rPr>
              <w:t>†</w:t>
            </w:r>
          </w:p>
        </w:tc>
        <w:tc>
          <w:tcPr>
            <w:tcW w:w="5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First Amendment to The Scotts Miracle-Gro Company Amended and</w:t>
            </w: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Incorporated herein by reference to the Registrant’s Quarterly Report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Restated 2006 Long-Term Incentive Plan (effective as of January 20,</w:t>
            </w: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on Form 10-Q for the quarterly period ended April 3, 2010 (File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2010)</w:t>
            </w: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 1-11593) [Exhibit 10.1]</w:t>
            </w: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10.6(b)</w:t>
            </w:r>
          </w:p>
        </w:tc>
        <w:tc>
          <w:tcPr>
            <w:tcW w:w="5400" w:type="dxa"/>
            <w:vAlign w:val="bottom"/>
          </w:tcPr>
          <w:p>
            <w:pPr>
              <w:ind w:left="400"/>
              <w:spacing w:after="0"/>
              <w:rPr>
                <w:sz w:val="20"/>
                <w:szCs w:val="20"/>
                <w:color w:val="auto"/>
              </w:rPr>
            </w:pPr>
            <w:r>
              <w:rPr>
                <w:rFonts w:ascii="Arial" w:cs="Arial" w:eastAsia="Arial" w:hAnsi="Arial"/>
                <w:sz w:val="18"/>
                <w:szCs w:val="18"/>
                <w:color w:val="auto"/>
                <w:w w:val="90"/>
              </w:rPr>
              <w:t>Specimen form of Award Agreement for Nonemployee Directors used</w:t>
            </w:r>
          </w:p>
        </w:tc>
      </w:tr>
      <w:tr>
        <w:trPr>
          <w:trHeight w:val="216"/>
        </w:trPr>
        <w:tc>
          <w:tcPr>
            <w:tcW w:w="90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w w:val="91"/>
              </w:rPr>
              <w:t>to evidence grants of Time-Based Nonqualified Stock Options which</w:t>
            </w:r>
          </w:p>
        </w:tc>
      </w:tr>
      <w:tr>
        <w:trPr>
          <w:trHeight w:val="216"/>
        </w:trPr>
        <w:tc>
          <w:tcPr>
            <w:tcW w:w="90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w w:val="94"/>
              </w:rPr>
              <w:t>may be made under The Scotts Miracle-Gro Company 2006 Long-</w:t>
            </w:r>
          </w:p>
        </w:tc>
      </w:tr>
      <w:tr>
        <w:trPr>
          <w:trHeight w:val="216"/>
        </w:trPr>
        <w:tc>
          <w:tcPr>
            <w:tcW w:w="900" w:type="dxa"/>
            <w:vAlign w:val="bottom"/>
          </w:tcPr>
          <w:p>
            <w:pPr>
              <w:spacing w:after="0"/>
              <w:rPr>
                <w:sz w:val="18"/>
                <w:szCs w:val="18"/>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w w:val="89"/>
              </w:rPr>
              <w:t>Term Incentive Plan (now known as The Scotts Miracle-Gro Company</w:t>
            </w:r>
          </w:p>
        </w:tc>
      </w:tr>
      <w:tr>
        <w:trPr>
          <w:trHeight w:val="222"/>
        </w:trPr>
        <w:tc>
          <w:tcPr>
            <w:tcW w:w="900" w:type="dxa"/>
            <w:vAlign w:val="bottom"/>
          </w:tcPr>
          <w:p>
            <w:pPr>
              <w:spacing w:after="0"/>
              <w:rPr>
                <w:sz w:val="19"/>
                <w:szCs w:val="19"/>
                <w:color w:val="auto"/>
              </w:rPr>
            </w:pPr>
          </w:p>
        </w:tc>
        <w:tc>
          <w:tcPr>
            <w:tcW w:w="5400" w:type="dxa"/>
            <w:vAlign w:val="bottom"/>
          </w:tcPr>
          <w:p>
            <w:pPr>
              <w:ind w:left="400"/>
              <w:spacing w:after="0"/>
              <w:rPr>
                <w:sz w:val="20"/>
                <w:szCs w:val="20"/>
                <w:color w:val="auto"/>
              </w:rPr>
            </w:pPr>
            <w:r>
              <w:rPr>
                <w:rFonts w:ascii="Arial" w:cs="Arial" w:eastAsia="Arial" w:hAnsi="Arial"/>
                <w:sz w:val="18"/>
                <w:szCs w:val="18"/>
                <w:color w:val="auto"/>
              </w:rPr>
              <w:t>Amended and Restated 2006 Long-Term Incentive Plan)</w:t>
            </w:r>
          </w:p>
        </w:tc>
      </w:tr>
      <w:tr>
        <w:trPr>
          <w:trHeight w:val="365"/>
        </w:trPr>
        <w:tc>
          <w:tcPr>
            <w:tcW w:w="900" w:type="dxa"/>
            <w:vAlign w:val="bottom"/>
          </w:tcPr>
          <w:p>
            <w:pPr>
              <w:spacing w:after="0"/>
              <w:rPr>
                <w:sz w:val="24"/>
                <w:szCs w:val="24"/>
                <w:color w:val="auto"/>
              </w:rPr>
            </w:pPr>
          </w:p>
        </w:tc>
        <w:tc>
          <w:tcPr>
            <w:tcW w:w="5400" w:type="dxa"/>
            <w:vAlign w:val="bottom"/>
          </w:tcPr>
          <w:p>
            <w:pPr>
              <w:ind w:left="4680"/>
              <w:spacing w:after="0"/>
              <w:rPr>
                <w:sz w:val="20"/>
                <w:szCs w:val="20"/>
                <w:color w:val="auto"/>
              </w:rPr>
            </w:pPr>
            <w:r>
              <w:rPr>
                <w:rFonts w:ascii="Arial" w:cs="Arial" w:eastAsia="Arial" w:hAnsi="Arial"/>
                <w:sz w:val="18"/>
                <w:szCs w:val="18"/>
                <w:color w:val="auto"/>
              </w:rPr>
              <w:t>128</w:t>
            </w:r>
          </w:p>
        </w:tc>
      </w:tr>
    </w:tbl>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filed February 2, 2006 (File No. 1-11593) [Exhibit 10.3]</w:t>
      </w:r>
    </w:p>
    <w:p>
      <w:pPr>
        <w:sectPr>
          <w:pgSz w:w="11900" w:h="16838" w:orient="portrait"/>
          <w:cols w:equalWidth="0" w:num="2">
            <w:col w:w="6300" w:space="220"/>
            <w:col w:w="4900"/>
          </w:cols>
          <w:pgMar w:left="240" w:top="459" w:right="239" w:bottom="1440" w:gutter="0" w:footer="0" w:header="0"/>
          <w:type w:val="continuous"/>
        </w:sectPr>
      </w:pPr>
    </w:p>
    <w:bookmarkStart w:id="128" w:name="page129"/>
    <w:bookmarkEnd w:id="1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321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10.6(c)(i)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10.6(c)(ii)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2240"/>
        <w:spacing w:after="0"/>
        <w:tabs>
          <w:tab w:leader="none" w:pos="7480" w:val="left"/>
        </w:tabs>
        <w:rPr>
          <w:sz w:val="20"/>
          <w:szCs w:val="20"/>
          <w:color w:val="auto"/>
        </w:rPr>
      </w:pP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-730885</wp:posOffset>
            </wp:positionH>
            <wp:positionV relativeFrom="paragraph">
              <wp:posOffset>8890</wp:posOffset>
            </wp:positionV>
            <wp:extent cx="7246620" cy="6946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spacing w:after="0" w:line="252" w:lineRule="auto"/>
        <w:rPr>
          <w:sz w:val="20"/>
          <w:szCs w:val="20"/>
          <w:color w:val="auto"/>
        </w:rPr>
      </w:pPr>
      <w:r>
        <w:rPr>
          <w:rFonts w:ascii="Arial" w:cs="Arial" w:eastAsia="Arial" w:hAnsi="Arial"/>
          <w:sz w:val="18"/>
          <w:szCs w:val="18"/>
          <w:color w:val="auto"/>
        </w:rPr>
        <w:t>Specimen form of Deferred Stock Unit Award Agreement for Incorporated herein by reference to the Registrant’s Quarterly Report Nonemployee Directors (with Related Dividend Equivalents) used to on Form 10-Q for the quarterly period ended December 29, 2007 (File evidence grants of Deferred Stock Units made under The Scotts Miracle- No. 1-11593) [Exhibit 10(m)] Gro Company Amended and Restated 2006 Long-Term Incentive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(February 4, 2008 through January 22, 2009 version)</w:t>
      </w:r>
    </w:p>
    <w:p>
      <w:pPr>
        <w:spacing w:after="0" w:line="1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Specimen form of Deferred Stock Unit Award Agreement for Incorporated herein by reference to the Registrant’s Quarterly Report Nonemployee Directors (with Related Dividend Equivalents) used to on Form 10-Q for the quarterly period ended March 28, 2009 (File evidence grants of Deferred Stock Units which may be made under The No. 1-11593) [Exhibit 10.1] Scotts Miracle-Gro Company Amended and Restated 2006 Long-Term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Incentive Plan (post-January 22, 2009 version)</w:t>
      </w:r>
    </w:p>
    <w:p>
      <w:pPr>
        <w:spacing w:after="0" w:line="119" w:lineRule="exact"/>
        <w:rPr>
          <w:sz w:val="20"/>
          <w:szCs w:val="20"/>
          <w:color w:val="auto"/>
        </w:rPr>
      </w:pPr>
    </w:p>
    <w:p>
      <w:pPr>
        <w:sectPr>
          <w:pgSz w:w="11900" w:h="16838" w:orient="portrait"/>
          <w:cols w:equalWidth="0" w:num="2">
            <w:col w:w="720" w:space="440"/>
            <w:col w:w="102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10.6(d)(i)</w:t>
            </w: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Specimen  form  of  Deferred  Stock  Unit  Award  Agreement  for</w:t>
            </w:r>
          </w:p>
        </w:tc>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Incorporated herein by reference to the Registrant’s Quarterly Report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Nonemployee Directors (with Related Dividend Equivalents) used to</w:t>
            </w:r>
          </w:p>
        </w:tc>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on Form 10-Q for the quarterly period ended January 2, 2010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evidence grants of Deferred Stock Units made under The Scotts Miracle-</w:t>
            </w:r>
          </w:p>
        </w:tc>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 1-11593) [Exhibit 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Gro Company Amended and Restated 2006 Long-Term Incentive Plan</w:t>
            </w:r>
          </w:p>
        </w:tc>
        <w:tc>
          <w:tcPr>
            <w:tcW w:w="5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(Deferral of Cash Retainer — January 22, 2010 through January 20,</w:t>
            </w:r>
          </w:p>
        </w:tc>
        <w:tc>
          <w:tcPr>
            <w:tcW w:w="5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 version)</w:t>
            </w:r>
          </w:p>
        </w:tc>
        <w:tc>
          <w:tcPr>
            <w:tcW w:w="5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60" w:type="dxa"/>
            <w:vAlign w:val="bottom"/>
            <w:gridSpan w:val="2"/>
          </w:tcPr>
          <w:p>
            <w:pPr>
              <w:spacing w:after="0"/>
              <w:rPr>
                <w:sz w:val="20"/>
                <w:szCs w:val="20"/>
                <w:color w:val="auto"/>
              </w:rPr>
            </w:pPr>
            <w:r>
              <w:rPr>
                <w:rFonts w:ascii="Arial" w:cs="Arial" w:eastAsia="Arial" w:hAnsi="Arial"/>
                <w:sz w:val="18"/>
                <w:szCs w:val="18"/>
                <w:color w:val="auto"/>
              </w:rPr>
              <w:t>10.6(d)(ii)</w:t>
            </w:r>
          </w:p>
        </w:tc>
        <w:tc>
          <w:tcPr>
            <w:tcW w:w="5400" w:type="dxa"/>
            <w:vAlign w:val="bottom"/>
          </w:tcPr>
          <w:p>
            <w:pPr>
              <w:ind w:left="200"/>
              <w:spacing w:after="0"/>
              <w:rPr>
                <w:sz w:val="20"/>
                <w:szCs w:val="20"/>
                <w:color w:val="auto"/>
              </w:rPr>
            </w:pPr>
            <w:r>
              <w:rPr>
                <w:rFonts w:ascii="Arial" w:cs="Arial" w:eastAsia="Arial" w:hAnsi="Arial"/>
                <w:sz w:val="18"/>
                <w:szCs w:val="18"/>
                <w:color w:val="auto"/>
                <w:w w:val="99"/>
              </w:rPr>
              <w:t>Specimen  form  of  Deferred  Stock  Unit  Award  Agreement  for</w:t>
            </w:r>
          </w:p>
        </w:tc>
        <w:tc>
          <w:tcPr>
            <w:tcW w:w="5060" w:type="dxa"/>
            <w:vAlign w:val="bottom"/>
          </w:tcPr>
          <w:p>
            <w:pPr>
              <w:ind w:left="40"/>
              <w:spacing w:after="0"/>
              <w:rPr>
                <w:sz w:val="20"/>
                <w:szCs w:val="20"/>
                <w:color w:val="auto"/>
              </w:rPr>
            </w:pPr>
            <w:r>
              <w:rPr>
                <w:rFonts w:ascii="Arial" w:cs="Arial" w:eastAsia="Arial" w:hAnsi="Arial"/>
                <w:sz w:val="18"/>
                <w:szCs w:val="18"/>
                <w:color w:val="auto"/>
                <w:w w:val="91"/>
              </w:rPr>
              <w:t>Incorporated herein by reference to the Registrant’s Quarterly Report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w w:val="95"/>
              </w:rPr>
              <w:t>Nonemployee Directors (with Related Dividend Equivalents) used to</w:t>
            </w:r>
          </w:p>
        </w:tc>
        <w:tc>
          <w:tcPr>
            <w:tcW w:w="5060" w:type="dxa"/>
            <w:vAlign w:val="bottom"/>
          </w:tcPr>
          <w:p>
            <w:pPr>
              <w:ind w:left="40"/>
              <w:spacing w:after="0"/>
              <w:rPr>
                <w:sz w:val="20"/>
                <w:szCs w:val="20"/>
                <w:color w:val="auto"/>
              </w:rPr>
            </w:pPr>
            <w:r>
              <w:rPr>
                <w:rFonts w:ascii="Arial" w:cs="Arial" w:eastAsia="Arial" w:hAnsi="Arial"/>
                <w:sz w:val="18"/>
                <w:szCs w:val="18"/>
                <w:color w:val="auto"/>
                <w:w w:val="89"/>
              </w:rPr>
              <w:t>on Form 10-Q for the quarterly period ended January 1, 2011 (File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w w:val="90"/>
              </w:rPr>
              <w:t>evidence grants of Deferred Stock Units which may be made under The</w:t>
            </w:r>
          </w:p>
        </w:tc>
        <w:tc>
          <w:tcPr>
            <w:tcW w:w="5060" w:type="dxa"/>
            <w:vAlign w:val="bottom"/>
          </w:tcPr>
          <w:p>
            <w:pPr>
              <w:ind w:left="40"/>
              <w:spacing w:after="0"/>
              <w:rPr>
                <w:sz w:val="20"/>
                <w:szCs w:val="20"/>
                <w:color w:val="auto"/>
              </w:rPr>
            </w:pPr>
            <w:r>
              <w:rPr>
                <w:rFonts w:ascii="Arial" w:cs="Arial" w:eastAsia="Arial" w:hAnsi="Arial"/>
                <w:sz w:val="18"/>
                <w:szCs w:val="18"/>
                <w:color w:val="auto"/>
              </w:rPr>
              <w:t>1-11593) [Exhibit 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w w:val="91"/>
              </w:rPr>
              <w:t>Scotts Miracle-Gro Company Amended and Restated 2006 Long-Term</w:t>
            </w: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w w:val="96"/>
              </w:rPr>
              <w:t>Incentive Plan (Deferral of Cash Retainer — post-January 20, 2011</w:t>
            </w:r>
          </w:p>
        </w:tc>
        <w:tc>
          <w:tcPr>
            <w:tcW w:w="5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version)</w:t>
            </w:r>
          </w:p>
        </w:tc>
        <w:tc>
          <w:tcPr>
            <w:tcW w:w="5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400" w:type="dxa"/>
            <w:vAlign w:val="bottom"/>
          </w:tcPr>
          <w:p>
            <w:pPr>
              <w:spacing w:after="0"/>
              <w:rPr>
                <w:sz w:val="9"/>
                <w:szCs w:val="9"/>
                <w:color w:val="auto"/>
              </w:rPr>
            </w:pPr>
          </w:p>
        </w:tc>
        <w:tc>
          <w:tcPr>
            <w:tcW w:w="5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10.6(e)</w:t>
            </w:r>
            <w:r>
              <w:rPr>
                <w:rFonts w:ascii="Arial" w:cs="Arial" w:eastAsia="Arial" w:hAnsi="Arial"/>
                <w:sz w:val="11"/>
                <w:szCs w:val="11"/>
                <w:color w:val="auto"/>
              </w:rPr>
              <w:t>†</w:t>
            </w: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Specimen  form  of  Award  Agreement  used  to  evidence  grants  of</w:t>
            </w:r>
          </w:p>
        </w:tc>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Incorporated herein by reference to the Registrant’s Quarterly Report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Restricted  Stock  Units,  Performance  Shares,  Nonqualified  Stock</w:t>
            </w:r>
          </w:p>
        </w:tc>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on Form 10-Q for the quarterly period ended December 31, 2005 (File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Options,  Incentive  Stock  Options,  Restricted  Stock  and  Stock</w:t>
            </w:r>
          </w:p>
        </w:tc>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 1-11593) [Exhibit 10(b)]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Appreciation Rights made under The Scotts Miracle-Gro Company 2006</w:t>
            </w:r>
          </w:p>
        </w:tc>
        <w:tc>
          <w:tcPr>
            <w:tcW w:w="5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Long-Term Incentive Plan (now known as The Scotts Miracle-Gro</w:t>
            </w:r>
          </w:p>
        </w:tc>
        <w:tc>
          <w:tcPr>
            <w:tcW w:w="5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Company Amended and Restated 2006 Long-Term Incentive Plan) [pre-</w:t>
            </w:r>
          </w:p>
        </w:tc>
        <w:tc>
          <w:tcPr>
            <w:tcW w:w="5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30, 2007 version]</w:t>
            </w:r>
          </w:p>
        </w:tc>
        <w:tc>
          <w:tcPr>
            <w:tcW w:w="5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0" w:type="dxa"/>
            <w:vAlign w:val="bottom"/>
          </w:tcPr>
          <w:p>
            <w:pPr>
              <w:ind w:left="4620"/>
              <w:spacing w:after="0"/>
              <w:rPr>
                <w:sz w:val="20"/>
                <w:szCs w:val="20"/>
                <w:color w:val="auto"/>
              </w:rPr>
            </w:pPr>
            <w:r>
              <w:rPr>
                <w:rFonts w:ascii="Arial" w:cs="Arial" w:eastAsia="Arial" w:hAnsi="Arial"/>
                <w:sz w:val="18"/>
                <w:szCs w:val="18"/>
                <w:color w:val="auto"/>
              </w:rPr>
              <w:t>129</w:t>
            </w:r>
          </w:p>
        </w:tc>
        <w:tc>
          <w:tcPr>
            <w:tcW w:w="5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900" w:type="dxa"/>
            <w:vAlign w:val="bottom"/>
          </w:tcPr>
          <w:p>
            <w:pPr>
              <w:ind w:left="2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1120" w:type="dxa"/>
            <w:vAlign w:val="bottom"/>
            <w:gridSpan w:val="2"/>
            <w:vMerge w:val="restart"/>
          </w:tcPr>
          <w:p>
            <w:pPr>
              <w:spacing w:after="0"/>
              <w:rPr>
                <w:sz w:val="20"/>
                <w:szCs w:val="20"/>
                <w:color w:val="auto"/>
              </w:rPr>
            </w:pPr>
            <w:r>
              <w:rPr>
                <w:rFonts w:ascii="Arial" w:cs="Arial" w:eastAsia="Arial" w:hAnsi="Arial"/>
                <w:sz w:val="18"/>
                <w:szCs w:val="18"/>
                <w:color w:val="auto"/>
              </w:rPr>
              <w:t>10.6(f)</w:t>
            </w:r>
            <w:r>
              <w:rPr>
                <w:rFonts w:ascii="Arial" w:cs="Arial" w:eastAsia="Arial" w:hAnsi="Arial"/>
                <w:sz w:val="11"/>
                <w:szCs w:val="11"/>
                <w:color w:val="auto"/>
              </w:rPr>
              <w:t>†</w:t>
            </w:r>
          </w:p>
        </w:tc>
        <w:tc>
          <w:tcPr>
            <w:tcW w:w="5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9"/>
              </w:rPr>
              <w:t>Specimen form of Restricted Stock Unit Award Agreement for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3"/>
              </w:rPr>
              <w:t>Employees (with Related Dividend Equivalents) used to evidence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6"/>
              </w:rPr>
              <w:t>grants of Restricted Stock Units which may be made under The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3"/>
              </w:rPr>
              <w:t>Scotts Miracle-Gro Company Amended and Restated 2006 Long-</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Term Incentive Plan (effective January 20, 2010)</w:t>
            </w:r>
          </w:p>
        </w:tc>
        <w:tc>
          <w:tcPr>
            <w:tcW w:w="0" w:type="dxa"/>
            <w:vAlign w:val="bottom"/>
          </w:tcPr>
          <w:p>
            <w:pPr>
              <w:spacing w:after="0"/>
              <w:rPr>
                <w:sz w:val="1"/>
                <w:szCs w:val="1"/>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10.6(g)</w:t>
            </w:r>
            <w:r>
              <w:rPr>
                <w:rFonts w:ascii="Arial" w:cs="Arial" w:eastAsia="Arial" w:hAnsi="Arial"/>
                <w:sz w:val="11"/>
                <w:szCs w:val="11"/>
                <w:color w:val="auto"/>
              </w:rPr>
              <w:t>†</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8"/>
              </w:rPr>
              <w:t>Specimen  form  of  Performance  Unit  Award  Agreement  for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3"/>
              </w:rPr>
              <w:t>Employees (with Related Dividend Equivalents) used to evidence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1"/>
              </w:rPr>
              <w:t>grants of Performance Units which may be made under The Scotts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6"/>
              </w:rPr>
              <w:t>Miracle-Gro Company Amended and Restated 2006 Long-Term</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Incentive Plan (effective January 21, 2011)</w:t>
            </w:r>
          </w:p>
        </w:tc>
        <w:tc>
          <w:tcPr>
            <w:tcW w:w="0" w:type="dxa"/>
            <w:vAlign w:val="bottom"/>
          </w:tcPr>
          <w:p>
            <w:pPr>
              <w:spacing w:after="0"/>
              <w:rPr>
                <w:sz w:val="1"/>
                <w:szCs w:val="1"/>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10.6(h)(i)</w:t>
            </w:r>
            <w:r>
              <w:rPr>
                <w:rFonts w:ascii="Arial" w:cs="Arial" w:eastAsia="Arial" w:hAnsi="Arial"/>
                <w:sz w:val="11"/>
                <w:szCs w:val="11"/>
                <w:color w:val="auto"/>
              </w:rPr>
              <w:t>†</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2"/>
              </w:rPr>
              <w:t>Specimen form of Nonqualified Stock Option Award Agreement for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2"/>
              </w:rPr>
              <w:t>Employees used to evidence grants of Nonqualified Stock Options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6"/>
              </w:rPr>
              <w:t>made under The Scotts Miracle-Gro Company 2006 Long-Term</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5"/>
              </w:rPr>
              <w:t>Incentive Plan (now known as The Scotts Miracle-Gro Company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Amended  and  Restated  2006  Long-Term  Incentive  Plan)</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[October 30, 2007 through October 8, 2008 version]</w:t>
            </w:r>
          </w:p>
        </w:tc>
        <w:tc>
          <w:tcPr>
            <w:tcW w:w="0" w:type="dxa"/>
            <w:vAlign w:val="bottom"/>
          </w:tcPr>
          <w:p>
            <w:pPr>
              <w:spacing w:after="0"/>
              <w:rPr>
                <w:sz w:val="1"/>
                <w:szCs w:val="1"/>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10.6(h)(ii)</w:t>
            </w:r>
            <w:r>
              <w:rPr>
                <w:rFonts w:ascii="Arial" w:cs="Arial" w:eastAsia="Arial" w:hAnsi="Arial"/>
                <w:sz w:val="11"/>
                <w:szCs w:val="11"/>
                <w:color w:val="auto"/>
              </w:rPr>
              <w:t>†</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2"/>
              </w:rPr>
              <w:t>Specimen form of Nonqualified Stock Option Award Agreement for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2"/>
              </w:rPr>
              <w:t>Employees used to evidence grants of Nonqualified Stock Options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3"/>
              </w:rPr>
              <w:t>made  under  The  Scotts  Miracle-Gro  Company  Amended  and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1"/>
              </w:rPr>
              <w:t>Restated 2006 Long-Term Incentive Plan (October 9, 2008 through</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January 19, 2010 version)</w:t>
            </w:r>
          </w:p>
        </w:tc>
        <w:tc>
          <w:tcPr>
            <w:tcW w:w="0" w:type="dxa"/>
            <w:vAlign w:val="bottom"/>
          </w:tcPr>
          <w:p>
            <w:pPr>
              <w:spacing w:after="0"/>
              <w:rPr>
                <w:sz w:val="1"/>
                <w:szCs w:val="1"/>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10.6(h)(iii)</w:t>
            </w:r>
            <w:r>
              <w:rPr>
                <w:rFonts w:ascii="Arial" w:cs="Arial" w:eastAsia="Arial" w:hAnsi="Arial"/>
                <w:sz w:val="11"/>
                <w:szCs w:val="11"/>
                <w:color w:val="auto"/>
              </w:rPr>
              <w:t>†</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2"/>
              </w:rPr>
              <w:t>Specimen form of Nonqualified Stock Option Award Agreement for</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2"/>
              </w:rPr>
              <w:t>Employees used to evidence grants of Nonqualified Stock Options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3"/>
              </w:rPr>
              <w:t>which  may  be  made  under  The  Scotts  Miracle-Gro  Company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1"/>
              </w:rPr>
              <w:t>Amended  and  Restated  2006  Long-Term  Incentive  Plan  (post-</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January 19, 2010 version)</w:t>
            </w:r>
          </w:p>
        </w:tc>
        <w:tc>
          <w:tcPr>
            <w:tcW w:w="0" w:type="dxa"/>
            <w:vAlign w:val="bottom"/>
          </w:tcPr>
          <w:p>
            <w:pPr>
              <w:spacing w:after="0"/>
              <w:rPr>
                <w:sz w:val="1"/>
                <w:szCs w:val="1"/>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10.7(a)(i)</w:t>
            </w:r>
            <w:r>
              <w:rPr>
                <w:rFonts w:ascii="Arial" w:cs="Arial" w:eastAsia="Arial" w:hAnsi="Arial"/>
                <w:sz w:val="11"/>
                <w:szCs w:val="11"/>
                <w:color w:val="auto"/>
              </w:rPr>
              <w:t>†</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The   Scotts   Company   LLC   Amended   and   Restated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2"/>
              </w:rPr>
              <w:t>Executive/Management Incentive Plan (approved on November 7,</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2007 and effective as of October 30, 2007)</w:t>
            </w:r>
          </w:p>
        </w:tc>
        <w:tc>
          <w:tcPr>
            <w:tcW w:w="0" w:type="dxa"/>
            <w:vAlign w:val="bottom"/>
          </w:tcPr>
          <w:p>
            <w:pPr>
              <w:spacing w:after="0"/>
              <w:rPr>
                <w:sz w:val="1"/>
                <w:szCs w:val="1"/>
                <w:color w:val="auto"/>
              </w:rPr>
            </w:pPr>
          </w:p>
        </w:tc>
      </w:tr>
      <w:tr>
        <w:trPr>
          <w:trHeight w:val="318"/>
        </w:trPr>
        <w:tc>
          <w:tcPr>
            <w:tcW w:w="1120" w:type="dxa"/>
            <w:vAlign w:val="bottom"/>
            <w:gridSpan w:val="2"/>
          </w:tcPr>
          <w:p>
            <w:pPr>
              <w:spacing w:after="0"/>
              <w:rPr>
                <w:sz w:val="20"/>
                <w:szCs w:val="20"/>
                <w:color w:val="auto"/>
              </w:rPr>
            </w:pPr>
            <w:r>
              <w:rPr>
                <w:rFonts w:ascii="Arial" w:cs="Arial" w:eastAsia="Arial" w:hAnsi="Arial"/>
                <w:sz w:val="18"/>
                <w:szCs w:val="18"/>
                <w:color w:val="auto"/>
              </w:rPr>
              <w:t>10.7(a)(ii)</w:t>
            </w:r>
            <w:r>
              <w:rPr>
                <w:rFonts w:ascii="Arial" w:cs="Arial" w:eastAsia="Arial" w:hAnsi="Arial"/>
                <w:sz w:val="11"/>
                <w:szCs w:val="11"/>
                <w:color w:val="auto"/>
              </w:rPr>
              <w:t>†</w:t>
            </w: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3"/>
              </w:rPr>
              <w:t>Amendment to The Scotts Company LLC Amended and Restated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0"/>
              </w:rPr>
              <w:t>Executive/Management Incentive Plan (effective as of November 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w w:val="94"/>
              </w:rPr>
              <w:t>2008) [amended the name of the plan to be The Scotts Company</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gridSpan w:val="2"/>
          </w:tcPr>
          <w:p>
            <w:pPr>
              <w:ind w:left="280"/>
              <w:spacing w:after="0"/>
              <w:rPr>
                <w:sz w:val="20"/>
                <w:szCs w:val="20"/>
                <w:color w:val="auto"/>
              </w:rPr>
            </w:pPr>
            <w:r>
              <w:rPr>
                <w:rFonts w:ascii="Arial" w:cs="Arial" w:eastAsia="Arial" w:hAnsi="Arial"/>
                <w:sz w:val="18"/>
                <w:szCs w:val="18"/>
                <w:color w:val="auto"/>
              </w:rPr>
              <w:t>LLC Amended and Restated Executive Incentive Plan]</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2"/>
          </w:tcPr>
          <w:p>
            <w:pPr>
              <w:ind w:left="44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-3660140</wp:posOffset>
            </wp:positionV>
            <wp:extent cx="7246620" cy="8235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23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-2013585</wp:posOffset>
            </wp:positionV>
            <wp:extent cx="7246620" cy="685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246620" cy="548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-5177790</wp:posOffset>
            </wp:positionV>
            <wp:extent cx="7246620" cy="6946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10.2]</w:t>
      </w:r>
    </w:p>
    <w:p>
      <w:pPr>
        <w:spacing w:after="0" w:line="200" w:lineRule="exact"/>
        <w:rPr>
          <w:sz w:val="20"/>
          <w:szCs w:val="20"/>
          <w:color w:val="auto"/>
        </w:rPr>
      </w:pPr>
    </w:p>
    <w:p>
      <w:pPr>
        <w:spacing w:after="0" w:line="3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filed January 26, 2011 (File No. 1-11593) [Exhibit 10.1]</w:t>
      </w:r>
    </w:p>
    <w:p>
      <w:pPr>
        <w:spacing w:after="0" w:line="200" w:lineRule="exact"/>
        <w:rPr>
          <w:sz w:val="20"/>
          <w:szCs w:val="20"/>
          <w:color w:val="auto"/>
        </w:rPr>
      </w:pPr>
    </w:p>
    <w:p>
      <w:pPr>
        <w:spacing w:after="0" w:line="3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10(t)(3)]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10.7(f)(ii)]</w:t>
      </w:r>
    </w:p>
    <w:p>
      <w:pPr>
        <w:spacing w:after="0" w:line="200" w:lineRule="exact"/>
        <w:rPr>
          <w:sz w:val="20"/>
          <w:szCs w:val="20"/>
          <w:color w:val="auto"/>
        </w:rPr>
      </w:pPr>
    </w:p>
    <w:p>
      <w:pPr>
        <w:spacing w:after="0" w:line="3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January 2, 2010 (File No. 1-11593) [Exhibit 10.4]</w:t>
      </w:r>
    </w:p>
    <w:p>
      <w:pPr>
        <w:spacing w:after="0" w:line="200" w:lineRule="exact"/>
        <w:rPr>
          <w:sz w:val="20"/>
          <w:szCs w:val="20"/>
          <w:color w:val="auto"/>
        </w:rPr>
      </w:pPr>
    </w:p>
    <w:p>
      <w:pPr>
        <w:spacing w:after="0" w:line="3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2007 (File No. 1-11593) [Exhibit 10(b)(2)]</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filed November 12, 2008 (File No. 1-11593) [Exhibit 10.2]</w:t>
      </w:r>
    </w:p>
    <w:p>
      <w:pPr>
        <w:sectPr>
          <w:pgSz w:w="11900" w:h="16838" w:orient="portrait"/>
          <w:cols w:equalWidth="0" w:num="2">
            <w:col w:w="6300" w:space="220"/>
            <w:col w:w="4900"/>
          </w:cols>
          <w:pgMar w:left="240" w:top="459" w:right="23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32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10.7(b)(i)</w:t>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8890</wp:posOffset>
            </wp:positionV>
            <wp:extent cx="7246620" cy="6946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69469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Specimen form of Employee Confidentiality, Noncompetition, Nonsolicitation Agreement for employees participating in The Scotts Company Executive/Management Incentive Plan (now known as The Scotts Company LLC Amended and Restated Executive Incentive Plan) [2005 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10.2(b)(i)]</w:t>
      </w:r>
    </w:p>
    <w:p>
      <w:pPr>
        <w:spacing w:after="0" w:line="518" w:lineRule="exact"/>
        <w:rPr>
          <w:sz w:val="20"/>
          <w:szCs w:val="20"/>
          <w:color w:val="auto"/>
        </w:rPr>
      </w:pPr>
    </w:p>
    <w:p>
      <w:pPr>
        <w:sectPr>
          <w:pgSz w:w="11900" w:h="16838" w:orient="portrait"/>
          <w:cols w:equalWidth="0" w:num="3">
            <w:col w:w="740" w:space="560"/>
            <w:col w:w="5000" w:space="220"/>
            <w:col w:w="4900"/>
          </w:cols>
          <w:pgMar w:left="240" w:top="459" w:right="239" w:bottom="1440" w:gutter="0" w:footer="0" w:header="0"/>
          <w:type w:val="continuous"/>
        </w:sectPr>
      </w:pPr>
    </w:p>
    <w:p>
      <w:pPr>
        <w:spacing w:after="0"/>
        <w:tabs>
          <w:tab w:leader="none" w:pos="1280" w:val="left"/>
          <w:tab w:leader="none" w:pos="2120" w:val="left"/>
          <w:tab w:leader="none" w:pos="2640" w:val="left"/>
          <w:tab w:leader="none" w:pos="2940" w:val="left"/>
          <w:tab w:leader="none" w:pos="3820" w:val="left"/>
          <w:tab w:leader="none" w:pos="5080" w:val="left"/>
        </w:tabs>
        <w:rPr>
          <w:sz w:val="20"/>
          <w:szCs w:val="20"/>
          <w:color w:val="auto"/>
        </w:rPr>
      </w:pPr>
      <w:r>
        <w:rPr>
          <w:rFonts w:ascii="Arial" w:cs="Arial" w:eastAsia="Arial" w:hAnsi="Arial"/>
          <w:sz w:val="18"/>
          <w:szCs w:val="18"/>
          <w:color w:val="auto"/>
        </w:rPr>
        <w:t>10.7(b)(ii)</w:t>
      </w:r>
      <w:r>
        <w:rPr>
          <w:rFonts w:ascii="Arial" w:cs="Arial" w:eastAsia="Arial" w:hAnsi="Arial"/>
          <w:sz w:val="11"/>
          <w:szCs w:val="11"/>
          <w:color w:val="auto"/>
        </w:rPr>
        <w:t>†</w:t>
      </w:r>
      <w:r>
        <w:rPr>
          <w:sz w:val="20"/>
          <w:szCs w:val="20"/>
          <w:color w:val="auto"/>
        </w:rPr>
        <w:tab/>
      </w:r>
      <w:r>
        <w:rPr>
          <w:rFonts w:ascii="Arial" w:cs="Arial" w:eastAsia="Arial" w:hAnsi="Arial"/>
          <w:sz w:val="18"/>
          <w:szCs w:val="18"/>
          <w:color w:val="auto"/>
        </w:rPr>
        <w:t>Specimen</w:t>
        <w:tab/>
        <w:t>form</w:t>
        <w:tab/>
        <w:t>of</w:t>
        <w:tab/>
        <w:t>Employee</w:t>
        <w:tab/>
        <w:t>Confidentiality,</w:t>
      </w:r>
      <w:r>
        <w:rPr>
          <w:sz w:val="20"/>
          <w:szCs w:val="20"/>
          <w:color w:val="auto"/>
        </w:rPr>
        <w:tab/>
      </w:r>
      <w:r>
        <w:rPr>
          <w:rFonts w:ascii="Arial" w:cs="Arial" w:eastAsia="Arial" w:hAnsi="Arial"/>
          <w:sz w:val="16"/>
          <w:szCs w:val="16"/>
          <w:color w:val="auto"/>
        </w:rPr>
        <w:t>Noncompetition,</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Nonsolicitation Agreement for employees participating in The Scotts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Company LLC Executive/Management Incentive Plan (now known as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Scotts Company LLC Amended and Restated Executive Incentive</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Plan) [post-2005 version]</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July 1, 2006 (File No. 1-11593) [Exhibit 10.1]</w:t>
      </w:r>
    </w:p>
    <w:p>
      <w:pPr>
        <w:spacing w:after="0" w:line="526" w:lineRule="exact"/>
        <w:rPr>
          <w:sz w:val="20"/>
          <w:szCs w:val="20"/>
          <w:color w:val="auto"/>
        </w:rPr>
      </w:pPr>
    </w:p>
    <w:p>
      <w:pPr>
        <w:sectPr>
          <w:pgSz w:w="11900" w:h="16838" w:orient="portrait"/>
          <w:cols w:equalWidth="0" w:num="2">
            <w:col w:w="6300" w:space="220"/>
            <w:col w:w="49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10.7(c)</w:t>
            </w:r>
            <w:r>
              <w:rPr>
                <w:rFonts w:ascii="Arial" w:cs="Arial" w:eastAsia="Arial" w:hAnsi="Arial"/>
                <w:sz w:val="11"/>
                <w:szCs w:val="11"/>
                <w:color w:val="auto"/>
              </w:rPr>
              <w:t>†</w:t>
            </w: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Executive Officers of The Scotts Miracle-Gro Company who are</w:t>
            </w: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parties  to  form  of  Employee  Confidentiality,  Noncompetition,</w:t>
            </w:r>
          </w:p>
        </w:tc>
        <w:tc>
          <w:tcPr>
            <w:tcW w:w="5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Nonsolicitation Agreement for employees participating in The Scotts</w:t>
            </w:r>
          </w:p>
        </w:tc>
        <w:tc>
          <w:tcPr>
            <w:tcW w:w="5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Company LLC Amended and Restated Executive Incentive Plan</w:t>
            </w:r>
          </w:p>
        </w:tc>
        <w:tc>
          <w:tcPr>
            <w:tcW w:w="5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940" w:type="dxa"/>
            <w:vAlign w:val="bottom"/>
            <w:gridSpan w:val="2"/>
          </w:tcPr>
          <w:p>
            <w:pPr>
              <w:spacing w:after="0"/>
              <w:rPr>
                <w:sz w:val="20"/>
                <w:szCs w:val="20"/>
                <w:color w:val="auto"/>
              </w:rPr>
            </w:pPr>
            <w:r>
              <w:rPr>
                <w:rFonts w:ascii="Arial" w:cs="Arial" w:eastAsia="Arial" w:hAnsi="Arial"/>
                <w:sz w:val="18"/>
                <w:szCs w:val="18"/>
                <w:color w:val="auto"/>
              </w:rPr>
              <w:t>10.8(a)</w:t>
            </w:r>
            <w:r>
              <w:rPr>
                <w:rFonts w:ascii="Arial" w:cs="Arial" w:eastAsia="Arial" w:hAnsi="Arial"/>
                <w:sz w:val="11"/>
                <w:szCs w:val="11"/>
                <w:color w:val="auto"/>
              </w:rPr>
              <w:t>†</w:t>
            </w:r>
          </w:p>
        </w:tc>
        <w:tc>
          <w:tcPr>
            <w:tcW w:w="5460" w:type="dxa"/>
            <w:vAlign w:val="bottom"/>
          </w:tcPr>
          <w:p>
            <w:pPr>
              <w:ind w:left="360"/>
              <w:spacing w:after="0"/>
              <w:rPr>
                <w:sz w:val="20"/>
                <w:szCs w:val="20"/>
                <w:color w:val="auto"/>
              </w:rPr>
            </w:pPr>
            <w:r>
              <w:rPr>
                <w:rFonts w:ascii="Arial" w:cs="Arial" w:eastAsia="Arial" w:hAnsi="Arial"/>
                <w:sz w:val="18"/>
                <w:szCs w:val="18"/>
                <w:color w:val="auto"/>
                <w:w w:val="94"/>
              </w:rPr>
              <w:t>The Scotts Company LLC Executive Retirement Plan, As Amended</w:t>
            </w:r>
          </w:p>
        </w:tc>
        <w:tc>
          <w:tcPr>
            <w:tcW w:w="5020" w:type="dxa"/>
            <w:vAlign w:val="bottom"/>
          </w:tcPr>
          <w:p>
            <w:pPr>
              <w:ind w:left="120"/>
              <w:spacing w:after="0"/>
              <w:rPr>
                <w:sz w:val="20"/>
                <w:szCs w:val="20"/>
                <w:color w:val="auto"/>
              </w:rPr>
            </w:pPr>
            <w:r>
              <w:rPr>
                <w:rFonts w:ascii="Arial" w:cs="Arial" w:eastAsia="Arial" w:hAnsi="Arial"/>
                <w:sz w:val="18"/>
                <w:szCs w:val="18"/>
                <w:color w:val="auto"/>
                <w:w w:val="88"/>
              </w:rPr>
              <w:t>Incorporated herein by reference to the Registrant’s Quarterly Report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60" w:type="dxa"/>
            <w:vAlign w:val="bottom"/>
          </w:tcPr>
          <w:p>
            <w:pPr>
              <w:ind w:left="360"/>
              <w:spacing w:after="0"/>
              <w:rPr>
                <w:sz w:val="20"/>
                <w:szCs w:val="20"/>
                <w:color w:val="auto"/>
              </w:rPr>
            </w:pPr>
            <w:r>
              <w:rPr>
                <w:rFonts w:ascii="Arial" w:cs="Arial" w:eastAsia="Arial" w:hAnsi="Arial"/>
                <w:sz w:val="18"/>
                <w:szCs w:val="18"/>
                <w:color w:val="auto"/>
                <w:w w:val="94"/>
              </w:rPr>
              <w:t>and Restated as of January 1, 2011 (executed December 22, 2010)</w:t>
            </w:r>
          </w:p>
        </w:tc>
        <w:tc>
          <w:tcPr>
            <w:tcW w:w="5020" w:type="dxa"/>
            <w:vAlign w:val="bottom"/>
          </w:tcPr>
          <w:p>
            <w:pPr>
              <w:ind w:left="120"/>
              <w:spacing w:after="0"/>
              <w:rPr>
                <w:sz w:val="20"/>
                <w:szCs w:val="20"/>
                <w:color w:val="auto"/>
              </w:rPr>
            </w:pPr>
            <w:r>
              <w:rPr>
                <w:rFonts w:ascii="Arial" w:cs="Arial" w:eastAsia="Arial" w:hAnsi="Arial"/>
                <w:sz w:val="18"/>
                <w:szCs w:val="18"/>
                <w:color w:val="auto"/>
                <w:w w:val="92"/>
              </w:rPr>
              <w:t>on Form 10-Q for the quarterly period ended January 1, 2011 (File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No. 1-11593) [Exhibit 10.3]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5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10.8(b)</w:t>
            </w:r>
            <w:r>
              <w:rPr>
                <w:rFonts w:ascii="Arial" w:cs="Arial" w:eastAsia="Arial" w:hAnsi="Arial"/>
                <w:sz w:val="11"/>
                <w:szCs w:val="11"/>
                <w:color w:val="auto"/>
              </w:rPr>
              <w:t>†</w:t>
            </w: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Form of Executive Retirement Plan Retention Award Agreement</w:t>
            </w: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Incorporated herein by reference to the Registrant’s Current Report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between The Scotts Company LLC and each of David C. Evans, Barry</w:t>
            </w: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on Form 8-K filed October 15, 2008 (File No. 1-11593) [Exhibit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W. Sanders, Denise S. Stump and Vincent C. Brockman (entered into</w:t>
            </w: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on November 4, 2008)</w:t>
            </w:r>
          </w:p>
        </w:tc>
        <w:tc>
          <w:tcPr>
            <w:tcW w:w="5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right"/>
              <w:ind w:right="392"/>
              <w:spacing w:after="0"/>
              <w:rPr>
                <w:sz w:val="20"/>
                <w:szCs w:val="20"/>
                <w:color w:val="auto"/>
              </w:rPr>
            </w:pPr>
            <w:r>
              <w:rPr>
                <w:rFonts w:ascii="Arial" w:cs="Arial" w:eastAsia="Arial" w:hAnsi="Arial"/>
                <w:sz w:val="18"/>
                <w:szCs w:val="18"/>
                <w:color w:val="auto"/>
                <w:w w:val="85"/>
              </w:rPr>
              <w:t>10.9</w:t>
            </w:r>
          </w:p>
        </w:tc>
        <w:tc>
          <w:tcPr>
            <w:tcW w:w="5500" w:type="dxa"/>
            <w:vAlign w:val="bottom"/>
          </w:tcPr>
          <w:p>
            <w:pPr>
              <w:ind w:left="500"/>
              <w:spacing w:after="0"/>
              <w:rPr>
                <w:sz w:val="20"/>
                <w:szCs w:val="20"/>
                <w:color w:val="auto"/>
              </w:rPr>
            </w:pPr>
            <w:r>
              <w:rPr>
                <w:rFonts w:ascii="Arial" w:cs="Arial" w:eastAsia="Arial" w:hAnsi="Arial"/>
                <w:sz w:val="18"/>
                <w:szCs w:val="18"/>
                <w:color w:val="auto"/>
                <w:w w:val="90"/>
              </w:rPr>
              <w:t>Summary of Compensation for Nonemployee Directors of The Scotts</w:t>
            </w:r>
          </w:p>
        </w:tc>
      </w:tr>
      <w:tr>
        <w:trPr>
          <w:trHeight w:val="222"/>
        </w:trPr>
        <w:tc>
          <w:tcPr>
            <w:tcW w:w="800" w:type="dxa"/>
            <w:vAlign w:val="bottom"/>
          </w:tcPr>
          <w:p>
            <w:pPr>
              <w:spacing w:after="0"/>
              <w:rPr>
                <w:sz w:val="19"/>
                <w:szCs w:val="19"/>
                <w:color w:val="auto"/>
              </w:rPr>
            </w:pPr>
          </w:p>
        </w:tc>
        <w:tc>
          <w:tcPr>
            <w:tcW w:w="5500" w:type="dxa"/>
            <w:vAlign w:val="bottom"/>
          </w:tcPr>
          <w:p>
            <w:pPr>
              <w:ind w:left="500"/>
              <w:spacing w:after="0"/>
              <w:rPr>
                <w:sz w:val="20"/>
                <w:szCs w:val="20"/>
                <w:color w:val="auto"/>
              </w:rPr>
            </w:pPr>
            <w:r>
              <w:rPr>
                <w:rFonts w:ascii="Arial" w:cs="Arial" w:eastAsia="Arial" w:hAnsi="Arial"/>
                <w:sz w:val="18"/>
                <w:szCs w:val="18"/>
                <w:color w:val="auto"/>
              </w:rPr>
              <w:t>Miracle-Gro Company (effective as of January 22, 2010)</w:t>
            </w:r>
          </w:p>
        </w:tc>
      </w:tr>
    </w:tbl>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April 3, 2010 (File No. 1-11593) [Exhibit 10.7]</w:t>
      </w:r>
    </w:p>
    <w:p>
      <w:pPr>
        <w:spacing w:after="0" w:line="95" w:lineRule="exact"/>
        <w:rPr>
          <w:sz w:val="20"/>
          <w:szCs w:val="20"/>
          <w:color w:val="auto"/>
        </w:rPr>
      </w:pPr>
    </w:p>
    <w:p>
      <w:pPr>
        <w:sectPr>
          <w:pgSz w:w="11900" w:h="16838" w:orient="portrait"/>
          <w:cols w:equalWidth="0" w:num="2">
            <w:col w:w="6300" w:space="220"/>
            <w:col w:w="49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10.10(a)</w:t>
            </w:r>
            <w:r>
              <w:rPr>
                <w:rFonts w:ascii="Arial" w:cs="Arial" w:eastAsia="Arial" w:hAnsi="Arial"/>
                <w:sz w:val="11"/>
                <w:szCs w:val="11"/>
                <w:color w:val="auto"/>
              </w:rPr>
              <w:t>†</w:t>
            </w: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7"/>
              </w:rPr>
              <w:t>Employment Agreement, dated as of May 19, 1995, between The</w:t>
            </w: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Incorporated herein by reference to the Annual Report on Form 10-K</w:t>
            </w:r>
          </w:p>
        </w:tc>
      </w:tr>
      <w:tr>
        <w:trPr>
          <w:trHeight w:val="216"/>
        </w:trPr>
        <w:tc>
          <w:tcPr>
            <w:tcW w:w="980" w:type="dxa"/>
            <w:vAlign w:val="bottom"/>
            <w:shd w:val="clear" w:color="auto" w:fill="CCEEFF"/>
          </w:tcPr>
          <w:p>
            <w:pPr>
              <w:spacing w:after="0"/>
              <w:rPr>
                <w:sz w:val="18"/>
                <w:szCs w:val="18"/>
                <w:color w:val="auto"/>
              </w:rPr>
            </w:pPr>
          </w:p>
        </w:tc>
        <w:tc>
          <w:tcPr>
            <w:tcW w:w="5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Scotts Company and James Hagedorn</w:t>
            </w: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of The Scotts Company, an Ohio corporation, for the fiscal year</w:t>
            </w:r>
          </w:p>
        </w:tc>
      </w:tr>
      <w:tr>
        <w:trPr>
          <w:trHeight w:val="224"/>
        </w:trPr>
        <w:tc>
          <w:tcPr>
            <w:tcW w:w="980" w:type="dxa"/>
            <w:vAlign w:val="bottom"/>
            <w:shd w:val="clear" w:color="auto" w:fill="CCEEFF"/>
          </w:tcPr>
          <w:p>
            <w:pPr>
              <w:spacing w:after="0"/>
              <w:rPr>
                <w:sz w:val="19"/>
                <w:szCs w:val="19"/>
                <w:color w:val="auto"/>
              </w:rPr>
            </w:pPr>
          </w:p>
        </w:tc>
        <w:tc>
          <w:tcPr>
            <w:tcW w:w="5420" w:type="dxa"/>
            <w:vAlign w:val="bottom"/>
            <w:shd w:val="clear" w:color="auto" w:fill="CCEEFF"/>
          </w:tcPr>
          <w:p>
            <w:pPr>
              <w:spacing w:after="0"/>
              <w:rPr>
                <w:sz w:val="19"/>
                <w:szCs w:val="19"/>
                <w:color w:val="auto"/>
              </w:rPr>
            </w:pPr>
          </w:p>
        </w:tc>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ended September 30, 1995 (File No. 1-11593) [Exhibit 10(p)]</w:t>
            </w:r>
          </w:p>
        </w:tc>
      </w:tr>
      <w:tr>
        <w:trPr>
          <w:trHeight w:val="363"/>
        </w:trPr>
        <w:tc>
          <w:tcPr>
            <w:tcW w:w="980" w:type="dxa"/>
            <w:vAlign w:val="bottom"/>
          </w:tcPr>
          <w:p>
            <w:pPr>
              <w:spacing w:after="0"/>
              <w:rPr>
                <w:sz w:val="24"/>
                <w:szCs w:val="24"/>
                <w:color w:val="auto"/>
              </w:rPr>
            </w:pPr>
          </w:p>
        </w:tc>
        <w:tc>
          <w:tcPr>
            <w:tcW w:w="5420" w:type="dxa"/>
            <w:vAlign w:val="bottom"/>
          </w:tcPr>
          <w:p>
            <w:pPr>
              <w:jc w:val="right"/>
              <w:ind w:right="472"/>
              <w:spacing w:after="0"/>
              <w:rPr>
                <w:sz w:val="20"/>
                <w:szCs w:val="20"/>
                <w:color w:val="auto"/>
              </w:rPr>
            </w:pPr>
            <w:r>
              <w:rPr>
                <w:rFonts w:ascii="Arial" w:cs="Arial" w:eastAsia="Arial" w:hAnsi="Arial"/>
                <w:sz w:val="18"/>
                <w:szCs w:val="18"/>
                <w:color w:val="auto"/>
              </w:rPr>
              <w:t>131</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31" w:name="page132"/>
    <w:bookmarkEnd w:id="1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321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10.10(b)</w:t>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8890</wp:posOffset>
            </wp:positionV>
            <wp:extent cx="7246620" cy="831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31850"/>
                    </a:xfrm>
                    <a:prstGeom prst="rect">
                      <a:avLst/>
                    </a:prstGeom>
                    <a:noFill/>
                  </pic:spPr>
                </pic:pic>
              </a:graphicData>
            </a:graphic>
          </wp:anchor>
        </w:drawing>
      </w:r>
    </w:p>
    <w:p>
      <w:pPr>
        <w:jc w:val="both"/>
        <w:spacing w:after="0" w:line="291" w:lineRule="auto"/>
        <w:rPr>
          <w:sz w:val="20"/>
          <w:szCs w:val="20"/>
          <w:color w:val="auto"/>
        </w:rPr>
      </w:pPr>
      <w:r>
        <w:rPr>
          <w:rFonts w:ascii="Arial" w:cs="Arial" w:eastAsia="Arial" w:hAnsi="Arial"/>
          <w:sz w:val="16"/>
          <w:szCs w:val="16"/>
          <w:color w:val="auto"/>
        </w:rPr>
        <w:t>Amendments to Employment Agreement by and among The Scotts Miracle-Gro Company, The Scotts Company LLC and James Hagedorn, effective as of October 1, 2008 (executed by Mr. Hagedorn on December 22, 2008 and on behalf of The Scotts Miracle-Gro Company and The Scotts Company LLC by Denise Stump on December 22, 2008 and Vincent C. Brockman on December 30,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Location</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Quarterly Report on Form 10-Q for the quarterly period ended December 27, 2008 (File No. 1-11593) [Exhibit 10.16]</w:t>
      </w:r>
    </w:p>
    <w:p>
      <w:pPr>
        <w:spacing w:after="0" w:line="734" w:lineRule="exact"/>
        <w:rPr>
          <w:sz w:val="20"/>
          <w:szCs w:val="20"/>
          <w:color w:val="auto"/>
        </w:rPr>
      </w:pPr>
    </w:p>
    <w:p>
      <w:pPr>
        <w:sectPr>
          <w:pgSz w:w="11900" w:h="16838" w:orient="portrait"/>
          <w:cols w:equalWidth="0" w:num="3">
            <w:col w:w="660" w:space="520"/>
            <w:col w:w="5000" w:space="220"/>
            <w:col w:w="5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11"/>
                <w:szCs w:val="11"/>
                <w:color w:val="auto"/>
              </w:rPr>
              <w:t>†</w:t>
            </w:r>
          </w:p>
        </w:tc>
        <w:tc>
          <w:tcPr>
            <w:tcW w:w="5280" w:type="dxa"/>
            <w:vAlign w:val="bottom"/>
          </w:tcPr>
          <w:p>
            <w:pPr>
              <w:ind w:left="260"/>
              <w:spacing w:after="0"/>
              <w:rPr>
                <w:sz w:val="20"/>
                <w:szCs w:val="20"/>
                <w:color w:val="auto"/>
              </w:rPr>
            </w:pPr>
            <w:r>
              <w:rPr>
                <w:rFonts w:ascii="Arial" w:cs="Arial" w:eastAsia="Arial" w:hAnsi="Arial"/>
                <w:sz w:val="18"/>
                <w:szCs w:val="18"/>
                <w:color w:val="auto"/>
                <w:w w:val="97"/>
              </w:rPr>
              <w:t>Separation Agreement and Release of All Claims, effective as of</w:t>
            </w:r>
          </w:p>
        </w:tc>
      </w:tr>
      <w:tr>
        <w:trPr>
          <w:trHeight w:val="216"/>
        </w:trPr>
        <w:tc>
          <w:tcPr>
            <w:tcW w:w="92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94"/>
              </w:rPr>
              <w:t>November 3, 2010, by and between The Scotts Company LLC and</w:t>
            </w:r>
          </w:p>
        </w:tc>
      </w:tr>
      <w:tr>
        <w:trPr>
          <w:trHeight w:val="216"/>
        </w:trPr>
        <w:tc>
          <w:tcPr>
            <w:tcW w:w="92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90"/>
              </w:rPr>
              <w:t>Mark R. Baker (executed by Mr. Baker as of October 28, 2010 and on</w:t>
            </w:r>
          </w:p>
        </w:tc>
      </w:tr>
      <w:tr>
        <w:trPr>
          <w:trHeight w:val="222"/>
        </w:trPr>
        <w:tc>
          <w:tcPr>
            <w:tcW w:w="92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behalf of The Scotts Company LLC on November 3, 2010)</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10.12(a)</w:t>
            </w:r>
            <w:r>
              <w:rPr>
                <w:rFonts w:ascii="Arial" w:cs="Arial" w:eastAsia="Arial" w:hAnsi="Arial"/>
                <w:sz w:val="11"/>
                <w:szCs w:val="11"/>
                <w:color w:val="auto"/>
              </w:rPr>
              <w:t>†</w:t>
            </w:r>
          </w:p>
        </w:tc>
        <w:tc>
          <w:tcPr>
            <w:tcW w:w="5280" w:type="dxa"/>
            <w:vAlign w:val="bottom"/>
          </w:tcPr>
          <w:p>
            <w:pPr>
              <w:ind w:left="260"/>
              <w:spacing w:after="0"/>
              <w:rPr>
                <w:sz w:val="20"/>
                <w:szCs w:val="20"/>
                <w:color w:val="auto"/>
              </w:rPr>
            </w:pPr>
            <w:r>
              <w:rPr>
                <w:rFonts w:ascii="Arial" w:cs="Arial" w:eastAsia="Arial" w:hAnsi="Arial"/>
                <w:sz w:val="18"/>
                <w:szCs w:val="18"/>
                <w:color w:val="auto"/>
                <w:w w:val="89"/>
              </w:rPr>
              <w:t>The Scotts Company LLC Executive Severance Plan, adopted on May</w:t>
            </w:r>
          </w:p>
        </w:tc>
      </w:tr>
      <w:tr>
        <w:trPr>
          <w:trHeight w:val="222"/>
        </w:trPr>
        <w:tc>
          <w:tcPr>
            <w:tcW w:w="92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4, 2011</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10.12(b)</w:t>
            </w:r>
            <w:r>
              <w:rPr>
                <w:rFonts w:ascii="Arial" w:cs="Arial" w:eastAsia="Arial" w:hAnsi="Arial"/>
                <w:sz w:val="11"/>
                <w:szCs w:val="11"/>
                <w:color w:val="auto"/>
              </w:rPr>
              <w:t>†</w:t>
            </w:r>
          </w:p>
        </w:tc>
        <w:tc>
          <w:tcPr>
            <w:tcW w:w="5280" w:type="dxa"/>
            <w:vAlign w:val="bottom"/>
          </w:tcPr>
          <w:p>
            <w:pPr>
              <w:ind w:left="260"/>
              <w:spacing w:after="0"/>
              <w:rPr>
                <w:sz w:val="20"/>
                <w:szCs w:val="20"/>
                <w:color w:val="auto"/>
              </w:rPr>
            </w:pPr>
            <w:r>
              <w:rPr>
                <w:rFonts w:ascii="Arial" w:cs="Arial" w:eastAsia="Arial" w:hAnsi="Arial"/>
                <w:sz w:val="18"/>
                <w:szCs w:val="18"/>
                <w:color w:val="auto"/>
                <w:w w:val="93"/>
              </w:rPr>
              <w:t>Form of Tier 1 Participation Agreement under The Scotts Company</w:t>
            </w:r>
          </w:p>
        </w:tc>
      </w:tr>
      <w:tr>
        <w:trPr>
          <w:trHeight w:val="222"/>
        </w:trPr>
        <w:tc>
          <w:tcPr>
            <w:tcW w:w="92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LLC Executive Severance Plan</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10.12(c)</w:t>
            </w:r>
            <w:r>
              <w:rPr>
                <w:rFonts w:ascii="Arial" w:cs="Arial" w:eastAsia="Arial" w:hAnsi="Arial"/>
                <w:sz w:val="11"/>
                <w:szCs w:val="11"/>
                <w:color w:val="auto"/>
              </w:rPr>
              <w:t>†</w:t>
            </w:r>
          </w:p>
        </w:tc>
        <w:tc>
          <w:tcPr>
            <w:tcW w:w="5280" w:type="dxa"/>
            <w:vAlign w:val="bottom"/>
          </w:tcPr>
          <w:p>
            <w:pPr>
              <w:ind w:left="260"/>
              <w:spacing w:after="0"/>
              <w:rPr>
                <w:sz w:val="20"/>
                <w:szCs w:val="20"/>
                <w:color w:val="auto"/>
              </w:rPr>
            </w:pPr>
            <w:r>
              <w:rPr>
                <w:rFonts w:ascii="Arial" w:cs="Arial" w:eastAsia="Arial" w:hAnsi="Arial"/>
                <w:sz w:val="18"/>
                <w:szCs w:val="18"/>
                <w:color w:val="auto"/>
                <w:w w:val="98"/>
              </w:rPr>
              <w:t>Executive Officers of The Scotts Miracle-Gro Company who are</w:t>
            </w:r>
          </w:p>
        </w:tc>
      </w:tr>
      <w:tr>
        <w:trPr>
          <w:trHeight w:val="216"/>
        </w:trPr>
        <w:tc>
          <w:tcPr>
            <w:tcW w:w="92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95"/>
              </w:rPr>
              <w:t>parties to form of Tier 1 Participation Agreement under The Scotts</w:t>
            </w:r>
          </w:p>
        </w:tc>
      </w:tr>
      <w:tr>
        <w:trPr>
          <w:trHeight w:val="222"/>
        </w:trPr>
        <w:tc>
          <w:tcPr>
            <w:tcW w:w="92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Company LLC Executive Severance Plan</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10.13(a)</w:t>
            </w:r>
          </w:p>
        </w:tc>
        <w:tc>
          <w:tcPr>
            <w:tcW w:w="5280" w:type="dxa"/>
            <w:vAlign w:val="bottom"/>
          </w:tcPr>
          <w:p>
            <w:pPr>
              <w:ind w:left="260"/>
              <w:spacing w:after="0"/>
              <w:rPr>
                <w:sz w:val="20"/>
                <w:szCs w:val="20"/>
                <w:color w:val="auto"/>
              </w:rPr>
            </w:pPr>
            <w:r>
              <w:rPr>
                <w:rFonts w:ascii="Arial" w:cs="Arial" w:eastAsia="Arial" w:hAnsi="Arial"/>
                <w:sz w:val="18"/>
                <w:szCs w:val="18"/>
                <w:color w:val="auto"/>
                <w:w w:val="90"/>
              </w:rPr>
              <w:t>Amended and Restated Exclusive Agency and Marketing Agreement,</w:t>
            </w:r>
          </w:p>
        </w:tc>
      </w:tr>
      <w:tr>
        <w:trPr>
          <w:trHeight w:val="216"/>
        </w:trPr>
        <w:tc>
          <w:tcPr>
            <w:tcW w:w="92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89"/>
              </w:rPr>
              <w:t>effective as of September 30, 1998, between Monsanto Company and</w:t>
            </w:r>
          </w:p>
        </w:tc>
      </w:tr>
      <w:tr>
        <w:trPr>
          <w:trHeight w:val="222"/>
        </w:trPr>
        <w:tc>
          <w:tcPr>
            <w:tcW w:w="92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95"/>
              </w:rPr>
              <w:t>The Scotts Company LLC (as successor to The Scotts Company)</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10.13(b)</w:t>
            </w:r>
          </w:p>
        </w:tc>
        <w:tc>
          <w:tcPr>
            <w:tcW w:w="5280" w:type="dxa"/>
            <w:vAlign w:val="bottom"/>
          </w:tcPr>
          <w:p>
            <w:pPr>
              <w:ind w:left="260"/>
              <w:spacing w:after="0"/>
              <w:rPr>
                <w:sz w:val="20"/>
                <w:szCs w:val="20"/>
                <w:color w:val="auto"/>
              </w:rPr>
            </w:pPr>
            <w:r>
              <w:rPr>
                <w:rFonts w:ascii="Arial" w:cs="Arial" w:eastAsia="Arial" w:hAnsi="Arial"/>
                <w:sz w:val="18"/>
                <w:szCs w:val="18"/>
                <w:color w:val="auto"/>
                <w:w w:val="89"/>
              </w:rPr>
              <w:t>Letter Agreement, dated March 10, 2005, amending the Amended and</w:t>
            </w:r>
          </w:p>
        </w:tc>
      </w:tr>
      <w:tr>
        <w:trPr>
          <w:trHeight w:val="216"/>
        </w:trPr>
        <w:tc>
          <w:tcPr>
            <w:tcW w:w="92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94"/>
              </w:rPr>
              <w:t>Restated Exclusive Agency and Marketing Agreement, dated as of</w:t>
            </w:r>
          </w:p>
        </w:tc>
      </w:tr>
      <w:tr>
        <w:trPr>
          <w:trHeight w:val="216"/>
        </w:trPr>
        <w:tc>
          <w:tcPr>
            <w:tcW w:w="92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93"/>
              </w:rPr>
              <w:t>September 30, 1998, between Monsanto Company and The Scotts</w:t>
            </w:r>
          </w:p>
        </w:tc>
      </w:tr>
      <w:tr>
        <w:trPr>
          <w:trHeight w:val="222"/>
        </w:trPr>
        <w:tc>
          <w:tcPr>
            <w:tcW w:w="92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Company LLC (as successor to The Scotts Company)</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10.13(c)</w:t>
            </w:r>
          </w:p>
        </w:tc>
        <w:tc>
          <w:tcPr>
            <w:tcW w:w="5280" w:type="dxa"/>
            <w:vAlign w:val="bottom"/>
          </w:tcPr>
          <w:p>
            <w:pPr>
              <w:ind w:left="260"/>
              <w:spacing w:after="0"/>
              <w:rPr>
                <w:sz w:val="20"/>
                <w:szCs w:val="20"/>
                <w:color w:val="auto"/>
              </w:rPr>
            </w:pPr>
            <w:r>
              <w:rPr>
                <w:rFonts w:ascii="Arial" w:cs="Arial" w:eastAsia="Arial" w:hAnsi="Arial"/>
                <w:sz w:val="18"/>
                <w:szCs w:val="18"/>
                <w:color w:val="auto"/>
                <w:w w:val="89"/>
              </w:rPr>
              <w:t>Letter Agreement, dated March 28, 2008, amending the Amended and</w:t>
            </w:r>
          </w:p>
        </w:tc>
      </w:tr>
      <w:tr>
        <w:trPr>
          <w:trHeight w:val="216"/>
        </w:trPr>
        <w:tc>
          <w:tcPr>
            <w:tcW w:w="92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94"/>
              </w:rPr>
              <w:t>Restated Exclusive Agency and Marketing Agreement, dated as of</w:t>
            </w:r>
          </w:p>
        </w:tc>
      </w:tr>
      <w:tr>
        <w:trPr>
          <w:trHeight w:val="216"/>
        </w:trPr>
        <w:tc>
          <w:tcPr>
            <w:tcW w:w="92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93"/>
              </w:rPr>
              <w:t>September 30, 1998, between Monsanto Company and The Scotts</w:t>
            </w:r>
          </w:p>
        </w:tc>
      </w:tr>
      <w:tr>
        <w:trPr>
          <w:trHeight w:val="222"/>
        </w:trPr>
        <w:tc>
          <w:tcPr>
            <w:tcW w:w="92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Company LLC</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5280" w:type="dxa"/>
            <w:vAlign w:val="bottom"/>
          </w:tcPr>
          <w:p>
            <w:pPr>
              <w:ind w:left="260"/>
              <w:spacing w:after="0"/>
              <w:rPr>
                <w:sz w:val="20"/>
                <w:szCs w:val="20"/>
                <w:color w:val="auto"/>
              </w:rPr>
            </w:pPr>
            <w:r>
              <w:rPr>
                <w:rFonts w:ascii="Arial" w:cs="Arial" w:eastAsia="Arial" w:hAnsi="Arial"/>
                <w:sz w:val="18"/>
                <w:szCs w:val="18"/>
                <w:color w:val="auto"/>
                <w:w w:val="93"/>
              </w:rPr>
              <w:t>Purchase Agreement, dated as of December 13, 2010, among The</w:t>
            </w:r>
          </w:p>
        </w:tc>
      </w:tr>
      <w:tr>
        <w:trPr>
          <w:trHeight w:val="216"/>
        </w:trPr>
        <w:tc>
          <w:tcPr>
            <w:tcW w:w="92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88"/>
              </w:rPr>
              <w:t>Scotts Miracle-Gro Company, the subsidiary guarantors named therein</w:t>
            </w:r>
          </w:p>
        </w:tc>
      </w:tr>
      <w:tr>
        <w:trPr>
          <w:trHeight w:val="216"/>
        </w:trPr>
        <w:tc>
          <w:tcPr>
            <w:tcW w:w="920" w:type="dxa"/>
            <w:vAlign w:val="bottom"/>
          </w:tcPr>
          <w:p>
            <w:pPr>
              <w:spacing w:after="0"/>
              <w:rPr>
                <w:sz w:val="18"/>
                <w:szCs w:val="18"/>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w w:val="98"/>
              </w:rPr>
              <w:t>and  Merrill  Lynch,  Pierce,  Fenner  &amp;  Smith  Incorporated,  as</w:t>
            </w:r>
          </w:p>
        </w:tc>
      </w:tr>
      <w:tr>
        <w:trPr>
          <w:trHeight w:val="222"/>
        </w:trPr>
        <w:tc>
          <w:tcPr>
            <w:tcW w:w="92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representative of the several initial purchasers named therein</w:t>
            </w:r>
          </w:p>
        </w:tc>
      </w:tr>
      <w:tr>
        <w:trPr>
          <w:trHeight w:val="365"/>
        </w:trPr>
        <w:tc>
          <w:tcPr>
            <w:tcW w:w="920" w:type="dxa"/>
            <w:vAlign w:val="bottom"/>
          </w:tcPr>
          <w:p>
            <w:pPr>
              <w:spacing w:after="0"/>
              <w:rPr>
                <w:sz w:val="24"/>
                <w:szCs w:val="24"/>
                <w:color w:val="auto"/>
              </w:rPr>
            </w:pPr>
          </w:p>
        </w:tc>
        <w:tc>
          <w:tcPr>
            <w:tcW w:w="5280" w:type="dxa"/>
            <w:vAlign w:val="bottom"/>
          </w:tcPr>
          <w:p>
            <w:pPr>
              <w:ind w:left="4660"/>
              <w:spacing w:after="0"/>
              <w:rPr>
                <w:sz w:val="20"/>
                <w:szCs w:val="20"/>
                <w:color w:val="auto"/>
              </w:rPr>
            </w:pPr>
            <w:r>
              <w:rPr>
                <w:rFonts w:ascii="Arial" w:cs="Arial" w:eastAsia="Arial" w:hAnsi="Arial"/>
                <w:sz w:val="18"/>
                <w:szCs w:val="18"/>
                <w:color w:val="auto"/>
              </w:rPr>
              <w:t>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-3660140</wp:posOffset>
            </wp:positionV>
            <wp:extent cx="7246620" cy="274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-2973705</wp:posOffset>
            </wp:positionV>
            <wp:extent cx="7246620" cy="411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-2013585</wp:posOffset>
            </wp:positionV>
            <wp:extent cx="7246620" cy="548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7246620" cy="548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32" w:lineRule="auto"/>
        <w:rPr>
          <w:sz w:val="20"/>
          <w:szCs w:val="20"/>
          <w:color w:val="auto"/>
        </w:rPr>
      </w:pPr>
      <w:r>
        <w:rPr>
          <w:rFonts w:ascii="Arial" w:cs="Arial" w:eastAsia="Arial" w:hAnsi="Arial"/>
          <w:sz w:val="16"/>
          <w:szCs w:val="16"/>
          <w:color w:val="auto"/>
        </w:rPr>
        <w:t>Incorporated herein by reference to the Registrant’s Current Report on Form 8-K filed November 5, 2010 (File No. 1-11593) [Exhibit 10.1]</w:t>
      </w:r>
    </w:p>
    <w:p>
      <w:pPr>
        <w:spacing w:after="0" w:line="200" w:lineRule="exact"/>
        <w:rPr>
          <w:sz w:val="20"/>
          <w:szCs w:val="20"/>
          <w:color w:val="auto"/>
        </w:rPr>
      </w:pPr>
    </w:p>
    <w:p>
      <w:pPr>
        <w:spacing w:after="0" w:line="263"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Incorporated herein by reference to the Registrant’s Current Report on Form 8-K filed May 10, 2011 (File No. 1-11593) [Exhibit 10.1]</w:t>
      </w:r>
    </w:p>
    <w:p>
      <w:pPr>
        <w:spacing w:after="0" w:line="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Incorporated herein by reference to the Registrant’s Current Report on Form 8-K filed May 10, 2011 (File No. 1-11593) [Exhibit 10.2]</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2005 (File No. 1-11593) [Exhibit 10(x)]</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2009 (File No. 1-11593) [Exhibit 10.17(b)]</w:t>
      </w:r>
    </w:p>
    <w:p>
      <w:pPr>
        <w:spacing w:after="0" w:line="3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Annual Report on Form 10-K for the fiscal year ended September 30, 2008 (File No. 1-11593) [Exhibit 10.18(b)]</w:t>
      </w:r>
    </w:p>
    <w:p>
      <w:pPr>
        <w:spacing w:after="0" w:line="30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Incorporated herein by reference to the Registrant’s Current Report on Form 8-K filed December 16, 2010 (File No. 1-11593) [Exhibit 10.1]</w:t>
      </w:r>
    </w:p>
    <w:p>
      <w:pPr>
        <w:sectPr>
          <w:pgSz w:w="11900" w:h="16838" w:orient="portrait"/>
          <w:cols w:equalWidth="0" w:num="2">
            <w:col w:w="6200" w:space="200"/>
            <w:col w:w="5020"/>
          </w:cols>
          <w:pgMar w:left="240" w:top="459" w:right="23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00" w:type="dxa"/>
            <w:vAlign w:val="bottom"/>
          </w:tcPr>
          <w:p>
            <w:pPr>
              <w:ind w:left="2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940" w:type="dxa"/>
            <w:vAlign w:val="bottom"/>
            <w:gridSpan w:val="2"/>
            <w:vMerge w:val="restart"/>
          </w:tcPr>
          <w:p>
            <w:pPr>
              <w:ind w:left="100"/>
              <w:spacing w:after="0"/>
              <w:rPr>
                <w:sz w:val="20"/>
                <w:szCs w:val="20"/>
                <w:color w:val="auto"/>
              </w:rPr>
            </w:pPr>
            <w:r>
              <w:rPr>
                <w:rFonts w:ascii="Arial" w:cs="Arial" w:eastAsia="Arial" w:hAnsi="Arial"/>
                <w:sz w:val="18"/>
                <w:szCs w:val="18"/>
                <w:color w:val="auto"/>
              </w:rPr>
              <w:t>10.15</w:t>
            </w:r>
          </w:p>
        </w:tc>
        <w:tc>
          <w:tcPr>
            <w:tcW w:w="5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94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4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8"/>
              </w:rPr>
              <w:t>Share and Business Sale Agreement, dated as of February 23, 2011,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w w:val="87"/>
              </w:rPr>
              <w:t>by and among The Scotts Company LLC, as Seller, each of the Share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w w:val="91"/>
              </w:rPr>
              <w:t>Sellers and Business Sellers (as defined therein), Israel Chemicals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w w:val="96"/>
              </w:rPr>
              <w:t>Ltd., as Purchaser, each of the Share Purchasers and Business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w w:val="95"/>
              </w:rPr>
              <w:t>Purchasers  (as  defined  therein)  and  The  Scotts  Miracle-Gro</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rPr>
              <w:t>Company, as Seller Guarantor</w:t>
            </w:r>
          </w:p>
        </w:tc>
        <w:tc>
          <w:tcPr>
            <w:tcW w:w="0" w:type="dxa"/>
            <w:vAlign w:val="bottom"/>
          </w:tcPr>
          <w:p>
            <w:pPr>
              <w:spacing w:after="0"/>
              <w:rPr>
                <w:sz w:val="1"/>
                <w:szCs w:val="1"/>
                <w:color w:val="auto"/>
              </w:rPr>
            </w:pPr>
          </w:p>
        </w:tc>
      </w:tr>
      <w:tr>
        <w:trPr>
          <w:trHeight w:val="318"/>
        </w:trPr>
        <w:tc>
          <w:tcPr>
            <w:tcW w:w="940" w:type="dxa"/>
            <w:vAlign w:val="bottom"/>
            <w:gridSpan w:val="2"/>
          </w:tcPr>
          <w:p>
            <w:pPr>
              <w:ind w:left="100"/>
              <w:spacing w:after="0"/>
              <w:rPr>
                <w:sz w:val="20"/>
                <w:szCs w:val="20"/>
                <w:color w:val="auto"/>
              </w:rPr>
            </w:pPr>
            <w:r>
              <w:rPr>
                <w:rFonts w:ascii="Arial" w:cs="Arial" w:eastAsia="Arial" w:hAnsi="Arial"/>
                <w:sz w:val="18"/>
                <w:szCs w:val="18"/>
                <w:color w:val="auto"/>
              </w:rPr>
              <w:t>10.16</w:t>
            </w: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w w:val="90"/>
              </w:rPr>
              <w:t>Master  Accounts  Receivable  Purchase  Agreement,  dated  as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w w:val="94"/>
              </w:rPr>
              <w:t>September  21,  2011,  by  and  among  The  Scotts  Miracle-Gro</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w w:val="96"/>
              </w:rPr>
              <w:t>Company, The Scotts Company LLC, The Bank of Nova Scotia,</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w w:val="95"/>
              </w:rPr>
              <w:t>Suntrust Bank, Mizuho Corporate Bank, Ltd. and Crédit Agricole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w w:val="95"/>
              </w:rPr>
              <w:t>Corporate &amp; Investment Bank, as Administrative Agent and as a</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rPr>
              <w:t>Bank</w:t>
            </w:r>
          </w:p>
        </w:tc>
        <w:tc>
          <w:tcPr>
            <w:tcW w:w="0" w:type="dxa"/>
            <w:vAlign w:val="bottom"/>
          </w:tcPr>
          <w:p>
            <w:pPr>
              <w:spacing w:after="0"/>
              <w:rPr>
                <w:sz w:val="1"/>
                <w:szCs w:val="1"/>
                <w:color w:val="auto"/>
              </w:rPr>
            </w:pPr>
          </w:p>
        </w:tc>
      </w:tr>
      <w:tr>
        <w:trPr>
          <w:trHeight w:val="324"/>
        </w:trPr>
        <w:tc>
          <w:tcPr>
            <w:tcW w:w="460" w:type="dxa"/>
            <w:vAlign w:val="bottom"/>
          </w:tcPr>
          <w:p>
            <w:pPr>
              <w:ind w:left="10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4"/>
                <w:szCs w:val="24"/>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-1927860</wp:posOffset>
            </wp:positionV>
            <wp:extent cx="7246620" cy="831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31850"/>
                    </a:xfrm>
                    <a:prstGeom prst="rect">
                      <a:avLst/>
                    </a:prstGeom>
                    <a:noFill/>
                  </pic:spPr>
                </pic:pic>
              </a:graphicData>
            </a:graphic>
          </wp:anchor>
        </w:drawing>
      </w:r>
    </w:p>
    <w:p>
      <w:pPr>
        <w:spacing w:after="0" w:line="82" w:lineRule="exact"/>
        <w:rPr>
          <w:sz w:val="20"/>
          <w:szCs w:val="20"/>
          <w:color w:val="auto"/>
        </w:rPr>
      </w:pPr>
    </w:p>
    <w:p>
      <w:pPr>
        <w:ind w:left="1400" w:hanging="1304"/>
        <w:spacing w:after="0" w:line="268" w:lineRule="auto"/>
        <w:tabs>
          <w:tab w:leader="none" w:pos="14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Code of Business Conduct and Ethics of The Scotts Miracle-Gro Company, as amended on November 2, 2006</w:t>
      </w:r>
    </w:p>
    <w:p>
      <w:pPr>
        <w:spacing w:after="0" w:line="78" w:lineRule="exact"/>
        <w:rPr>
          <w:sz w:val="20"/>
          <w:szCs w:val="20"/>
          <w:color w:val="auto"/>
        </w:rPr>
      </w:pPr>
    </w:p>
    <w:p>
      <w:pPr>
        <w:ind w:left="100"/>
        <w:spacing w:after="0"/>
        <w:tabs>
          <w:tab w:leader="none" w:pos="1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ind w:left="1400" w:hanging="1304"/>
        <w:spacing w:after="0" w:line="268"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 — Deloitte &amp; Touche LLP</w:t>
      </w:r>
    </w:p>
    <w:p>
      <w:pPr>
        <w:spacing w:after="0" w:line="77" w:lineRule="exact"/>
        <w:rPr>
          <w:rFonts w:ascii="Arial" w:cs="Arial" w:eastAsia="Arial" w:hAnsi="Arial"/>
          <w:sz w:val="18"/>
          <w:szCs w:val="18"/>
          <w:color w:val="auto"/>
        </w:rPr>
      </w:pPr>
    </w:p>
    <w:p>
      <w:pPr>
        <w:ind w:left="1400" w:hanging="1304"/>
        <w:spacing w:after="0" w:line="268" w:lineRule="auto"/>
        <w:tabs>
          <w:tab w:leader="none" w:pos="14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Powers of Attorney of Executive Officers and Directors of 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58"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31.1</w:t>
            </w:r>
          </w:p>
        </w:tc>
        <w:tc>
          <w:tcPr>
            <w:tcW w:w="2320" w:type="dxa"/>
            <w:vAlign w:val="bottom"/>
          </w:tcPr>
          <w:p>
            <w:pPr>
              <w:ind w:left="500"/>
              <w:spacing w:after="0"/>
              <w:rPr>
                <w:sz w:val="20"/>
                <w:szCs w:val="20"/>
                <w:color w:val="auto"/>
              </w:rPr>
            </w:pPr>
            <w:r>
              <w:rPr>
                <w:rFonts w:ascii="Arial" w:cs="Arial" w:eastAsia="Arial" w:hAnsi="Arial"/>
                <w:sz w:val="18"/>
                <w:szCs w:val="18"/>
                <w:color w:val="auto"/>
                <w:w w:val="88"/>
              </w:rPr>
              <w:t>Rule 13a-14(a)/15d-14(a)</w:t>
            </w:r>
          </w:p>
        </w:tc>
        <w:tc>
          <w:tcPr>
            <w:tcW w:w="3060" w:type="dxa"/>
            <w:vAlign w:val="bottom"/>
          </w:tcPr>
          <w:p>
            <w:pPr>
              <w:ind w:left="20"/>
              <w:spacing w:after="0"/>
              <w:rPr>
                <w:sz w:val="20"/>
                <w:szCs w:val="20"/>
                <w:color w:val="auto"/>
              </w:rPr>
            </w:pPr>
            <w:r>
              <w:rPr>
                <w:rFonts w:ascii="Arial" w:cs="Arial" w:eastAsia="Arial" w:hAnsi="Arial"/>
                <w:sz w:val="18"/>
                <w:szCs w:val="18"/>
                <w:color w:val="auto"/>
                <w:w w:val="91"/>
              </w:rPr>
              <w:t>Certifications (Principal Executive Officer)</w:t>
            </w:r>
          </w:p>
        </w:tc>
      </w:tr>
      <w:tr>
        <w:trPr>
          <w:trHeight w:val="324"/>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31.2</w:t>
            </w:r>
          </w:p>
        </w:tc>
        <w:tc>
          <w:tcPr>
            <w:tcW w:w="2320" w:type="dxa"/>
            <w:vAlign w:val="bottom"/>
          </w:tcPr>
          <w:p>
            <w:pPr>
              <w:ind w:left="500"/>
              <w:spacing w:after="0"/>
              <w:rPr>
                <w:sz w:val="20"/>
                <w:szCs w:val="20"/>
                <w:color w:val="auto"/>
              </w:rPr>
            </w:pPr>
            <w:r>
              <w:rPr>
                <w:rFonts w:ascii="Arial" w:cs="Arial" w:eastAsia="Arial" w:hAnsi="Arial"/>
                <w:sz w:val="18"/>
                <w:szCs w:val="18"/>
                <w:color w:val="auto"/>
                <w:w w:val="88"/>
              </w:rPr>
              <w:t>Rule 13a-14(a)/15d-14(a)</w:t>
            </w:r>
          </w:p>
        </w:tc>
        <w:tc>
          <w:tcPr>
            <w:tcW w:w="3060" w:type="dxa"/>
            <w:vAlign w:val="bottom"/>
          </w:tcPr>
          <w:p>
            <w:pPr>
              <w:ind w:left="20"/>
              <w:spacing w:after="0"/>
              <w:rPr>
                <w:sz w:val="20"/>
                <w:szCs w:val="20"/>
                <w:color w:val="auto"/>
              </w:rPr>
            </w:pPr>
            <w:r>
              <w:rPr>
                <w:rFonts w:ascii="Arial" w:cs="Arial" w:eastAsia="Arial" w:hAnsi="Arial"/>
                <w:sz w:val="18"/>
                <w:szCs w:val="18"/>
                <w:color w:val="auto"/>
                <w:w w:val="92"/>
              </w:rPr>
              <w:t>Certifications (Principal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82" w:lineRule="exact"/>
        <w:rPr>
          <w:sz w:val="20"/>
          <w:szCs w:val="20"/>
          <w:color w:val="auto"/>
        </w:rPr>
      </w:pPr>
    </w:p>
    <w:p>
      <w:pPr>
        <w:ind w:left="1400" w:hanging="1304"/>
        <w:spacing w:after="0" w:line="268" w:lineRule="auto"/>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Section 1350 Certifications (Principal Executive Officer and Principal Financial Officer)</w:t>
      </w:r>
    </w:p>
    <w:p>
      <w:pPr>
        <w:spacing w:after="0" w:line="7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XBRL Taxonomy Extension Schema</w:t>
      </w:r>
    </w:p>
    <w:p>
      <w:pPr>
        <w:spacing w:after="0" w:line="11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XBRL Taxonomy Extension Calculation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XBRL Taxonomy Extension Definition Linkbase</w:t>
      </w:r>
    </w:p>
    <w:p>
      <w:pPr>
        <w:spacing w:after="0" w:line="11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XBRL Taxonomy Extension Label Linkbase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Location</w:t>
      </w:r>
    </w:p>
    <w:p>
      <w:pPr>
        <w:spacing w:after="0" w:line="1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Incorporated herein by reference to the Registrant’s Current Report on Form 8-K filed March 1, 2011 (File No. 1-11593)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herein by reference to the Registrant’s Current Report on Form 8-K filed September 21, 2011 (File No. 1-11593) [Exhibit 10.1]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Incorporated herein by reference to the Registrant’s Current Report on Form 8-K filed November 8, 2006 (File No. 1-11593) [Exhibit 14]</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300" w:space="220"/>
            <w:col w:w="490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7">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00" w:type="dxa"/>
            <w:vAlign w:val="bottom"/>
          </w:tcPr>
          <w:p>
            <w:pPr>
              <w:spacing w:after="0"/>
              <w:rPr>
                <w:sz w:val="14"/>
                <w:szCs w:val="14"/>
                <w:color w:val="auto"/>
              </w:rPr>
            </w:pPr>
          </w:p>
        </w:tc>
      </w:tr>
      <w:tr>
        <w:trPr>
          <w:trHeight w:val="161"/>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512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c>
          <w:tcPr>
            <w:tcW w:w="4900" w:type="dxa"/>
            <w:vAlign w:val="bottom"/>
          </w:tcPr>
          <w:p>
            <w:pPr>
              <w:jc w:val="right"/>
              <w:ind w:right="2122"/>
              <w:spacing w:after="0"/>
              <w:rPr>
                <w:sz w:val="20"/>
                <w:szCs w:val="20"/>
                <w:color w:val="auto"/>
              </w:rPr>
            </w:pPr>
            <w:r>
              <w:rPr>
                <w:rFonts w:ascii="Arial" w:cs="Arial" w:eastAsia="Arial" w:hAnsi="Arial"/>
                <w:sz w:val="14"/>
                <w:szCs w:val="14"/>
                <w:b w:val="1"/>
                <w:bCs w:val="1"/>
                <w:color w:val="auto"/>
              </w:rPr>
              <w:t>Location</w:t>
            </w:r>
          </w:p>
        </w:tc>
      </w:tr>
      <w:tr>
        <w:trPr>
          <w:trHeight w:val="20"/>
        </w:trPr>
        <w:tc>
          <w:tcPr>
            <w:tcW w:w="46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r>
      <w:tr>
        <w:trPr>
          <w:trHeight w:val="197"/>
        </w:trPr>
        <w:tc>
          <w:tcPr>
            <w:tcW w:w="1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101.PRE**</w:t>
            </w: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XBRL Taxonomy Extension Presentation Linkbase</w:t>
            </w:r>
          </w:p>
        </w:tc>
        <w:tc>
          <w:tcPr>
            <w:tcW w:w="220" w:type="dxa"/>
            <w:vAlign w:val="bottom"/>
            <w:shd w:val="clear" w:color="auto" w:fill="CCEEFF"/>
          </w:tcPr>
          <w:p>
            <w:pPr>
              <w:spacing w:after="0"/>
              <w:rPr>
                <w:sz w:val="17"/>
                <w:szCs w:val="17"/>
                <w:color w:val="auto"/>
              </w:rPr>
            </w:pPr>
          </w:p>
        </w:tc>
        <w:tc>
          <w:tcPr>
            <w:tcW w:w="4900" w:type="dxa"/>
            <w:vAlign w:val="bottom"/>
            <w:shd w:val="clear" w:color="auto" w:fill="CCEEFF"/>
          </w:tcPr>
          <w:p>
            <w:pPr>
              <w:jc w:val="right"/>
              <w:ind w:right="4742"/>
              <w:spacing w:after="0" w:line="196" w:lineRule="exact"/>
              <w:rPr>
                <w:sz w:val="20"/>
                <w:szCs w:val="20"/>
                <w:color w:val="auto"/>
              </w:rPr>
            </w:pPr>
            <w:r>
              <w:rPr>
                <w:rFonts w:ascii="Arial" w:cs="Arial" w:eastAsia="Arial" w:hAnsi="Arial"/>
                <w:sz w:val="18"/>
                <w:szCs w:val="18"/>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15" w:lineRule="exact"/>
        <w:rPr>
          <w:sz w:val="20"/>
          <w:szCs w:val="20"/>
          <w:color w:val="auto"/>
        </w:rPr>
      </w:pPr>
    </w:p>
    <w:p>
      <w:pPr>
        <w:ind w:left="460" w:right="20" w:hanging="452"/>
        <w:spacing w:after="0" w:line="270"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ind w:left="460" w:hanging="452"/>
        <w:spacing w:after="0" w:line="222" w:lineRule="auto"/>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8"/>
          <w:szCs w:val="18"/>
          <w:color w:val="auto"/>
        </w:rPr>
        <w:t>Management contract, compensatory plan or arrangement.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4.1(c)</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SCOTTS MIRACLE-GRO COMPANY, as Issuer</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GUARANTORS PARTY HERETO, as Guarantors</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7.25% Senior Notes due 2018</w:t>
      </w:r>
    </w:p>
    <w:p>
      <w:pPr>
        <w:spacing w:after="0" w:line="374"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SECOND SUPPLEMENTAL INDENTURE DATED AS OF</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September 28, 2011</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TO THE INDENTURE DATED AS OF</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January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448310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525780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SUPPLEMENTAL INDENTURE</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SECOND SUPPLEMENTAL INDENTURE, dated as of September 28, 2011 (this “</w:t>
      </w:r>
      <w:r>
        <w:rPr>
          <w:rFonts w:ascii="Arial" w:cs="Arial" w:eastAsia="Arial" w:hAnsi="Arial"/>
          <w:sz w:val="16"/>
          <w:szCs w:val="16"/>
          <w:b w:val="1"/>
          <w:bCs w:val="1"/>
          <w:i w:val="1"/>
          <w:iCs w:val="1"/>
          <w:color w:val="auto"/>
        </w:rPr>
        <w:t>Second Supplemental Indenture</w:t>
      </w:r>
      <w:r>
        <w:rPr>
          <w:rFonts w:ascii="Arial" w:cs="Arial" w:eastAsia="Arial" w:hAnsi="Arial"/>
          <w:sz w:val="16"/>
          <w:szCs w:val="16"/>
          <w:color w:val="auto"/>
        </w:rPr>
        <w:t>”), is by and among The Scotts Miracle-Gro Company, an Ohio corporation (such corporation and any successor,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the existing Guarantors (as defined in the Indenture referred to herein) (the “</w:t>
      </w:r>
      <w:r>
        <w:rPr>
          <w:rFonts w:ascii="Arial" w:cs="Arial" w:eastAsia="Arial" w:hAnsi="Arial"/>
          <w:sz w:val="16"/>
          <w:szCs w:val="16"/>
          <w:b w:val="1"/>
          <w:bCs w:val="1"/>
          <w:i w:val="1"/>
          <w:iCs w:val="1"/>
          <w:color w:val="auto"/>
        </w:rPr>
        <w:t>Existing Guarantors</w:t>
      </w:r>
      <w:r>
        <w:rPr>
          <w:rFonts w:ascii="Arial" w:cs="Arial" w:eastAsia="Arial" w:hAnsi="Arial"/>
          <w:sz w:val="16"/>
          <w:szCs w:val="16"/>
          <w:color w:val="auto"/>
        </w:rPr>
        <w:t>”), SMG Brands, Inc., a Delaware corporation (the “</w:t>
      </w:r>
      <w:r>
        <w:rPr>
          <w:rFonts w:ascii="Arial" w:cs="Arial" w:eastAsia="Arial" w:hAnsi="Arial"/>
          <w:sz w:val="16"/>
          <w:szCs w:val="16"/>
          <w:b w:val="1"/>
          <w:bCs w:val="1"/>
          <w:i w:val="1"/>
          <w:iCs w:val="1"/>
          <w:color w:val="auto"/>
        </w:rPr>
        <w:t>New Guarantor</w:t>
      </w:r>
      <w:r>
        <w:rPr>
          <w:rFonts w:ascii="Arial" w:cs="Arial" w:eastAsia="Arial" w:hAnsi="Arial"/>
          <w:sz w:val="16"/>
          <w:szCs w:val="16"/>
          <w:color w:val="auto"/>
        </w:rPr>
        <w:t>”), and U.S. Bank National Association, a national banking association, as trustee under the Indenture referred to herein (such corporation and any successor,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The New Guarantor and the Existing Guarantors are sometimes referred to collectively herein as the “</w:t>
      </w:r>
      <w:r>
        <w:rPr>
          <w:rFonts w:ascii="Arial" w:cs="Arial" w:eastAsia="Arial" w:hAnsi="Arial"/>
          <w:sz w:val="16"/>
          <w:szCs w:val="16"/>
          <w:b w:val="1"/>
          <w:bCs w:val="1"/>
          <w:i w:val="1"/>
          <w:iCs w:val="1"/>
          <w:color w:val="auto"/>
        </w:rPr>
        <w:t>Guarantors</w:t>
      </w:r>
      <w:r>
        <w:rPr>
          <w:rFonts w:ascii="Arial" w:cs="Arial" w:eastAsia="Arial" w:hAnsi="Arial"/>
          <w:sz w:val="16"/>
          <w:szCs w:val="16"/>
          <w:color w:val="auto"/>
        </w:rPr>
        <w:t>,” or individually as a “</w:t>
      </w:r>
      <w:r>
        <w:rPr>
          <w:rFonts w:ascii="Arial" w:cs="Arial" w:eastAsia="Arial" w:hAnsi="Arial"/>
          <w:sz w:val="16"/>
          <w:szCs w:val="16"/>
          <w:b w:val="1"/>
          <w:bCs w:val="1"/>
          <w:i w:val="1"/>
          <w:iCs w:val="1"/>
          <w:color w:val="auto"/>
        </w:rPr>
        <w:t>Guarantor</w:t>
      </w:r>
      <w:r>
        <w:rPr>
          <w:rFonts w:ascii="Arial" w:cs="Arial" w:eastAsia="Arial" w:hAnsi="Arial"/>
          <w:sz w:val="16"/>
          <w:szCs w:val="16"/>
          <w:color w:val="auto"/>
        </w:rPr>
        <w: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17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WHEREAS, the Company, the Existing Guarantors and the Trustee are parties to an indenture, dated as of January 14, 2010, as supplemented by the First Supplemental Indenture, dated as of January 14, 2010 (the “</w:t>
      </w:r>
      <w:r>
        <w:rPr>
          <w:rFonts w:ascii="Arial" w:cs="Arial" w:eastAsia="Arial" w:hAnsi="Arial"/>
          <w:sz w:val="16"/>
          <w:szCs w:val="16"/>
          <w:b w:val="1"/>
          <w:bCs w:val="1"/>
          <w:i w:val="1"/>
          <w:iCs w:val="1"/>
          <w:color w:val="auto"/>
        </w:rPr>
        <w:t>First Supplemental Indenture</w:t>
      </w:r>
      <w:r>
        <w:rPr>
          <w:rFonts w:ascii="Arial" w:cs="Arial" w:eastAsia="Arial" w:hAnsi="Arial"/>
          <w:sz w:val="16"/>
          <w:szCs w:val="16"/>
          <w:color w:val="auto"/>
        </w:rPr>
        <w:t>”), by and among the Company, the Existing Guarantees and the Trustee (as so supplemented, the “</w:t>
      </w:r>
      <w:r>
        <w:rPr>
          <w:rFonts w:ascii="Arial" w:cs="Arial" w:eastAsia="Arial" w:hAnsi="Arial"/>
          <w:sz w:val="16"/>
          <w:szCs w:val="16"/>
          <w:b w:val="1"/>
          <w:bCs w:val="1"/>
          <w:i w:val="1"/>
          <w:iCs w:val="1"/>
          <w:color w:val="auto"/>
        </w:rPr>
        <w:t>Indenture</w:t>
      </w:r>
      <w:r>
        <w:rPr>
          <w:rFonts w:ascii="Arial" w:cs="Arial" w:eastAsia="Arial" w:hAnsi="Arial"/>
          <w:sz w:val="16"/>
          <w:szCs w:val="16"/>
          <w:color w:val="auto"/>
        </w:rPr>
        <w:t>”) relating to the Company’s 7.25% Senior Notes due 2018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WHEREAS, pursuant to Section 11.01(5)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all conditions precedent provided for in the Indenture relating to this Second Supplemental Indenture have been complied with.</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59"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 meanings assigned to them in the Indenture.</w:t>
      </w:r>
    </w:p>
    <w:p>
      <w:pPr>
        <w:spacing w:after="0" w:line="171" w:lineRule="exact"/>
        <w:rPr>
          <w:rFonts w:ascii="Arial" w:cs="Arial" w:eastAsia="Arial" w:hAnsi="Arial"/>
          <w:sz w:val="18"/>
          <w:szCs w:val="18"/>
          <w:color w:val="auto"/>
        </w:rPr>
      </w:pPr>
    </w:p>
    <w:p>
      <w:pPr>
        <w:jc w:val="both"/>
        <w:ind w:firstLine="464"/>
        <w:spacing w:after="0" w:line="294" w:lineRule="auto"/>
        <w:tabs>
          <w:tab w:leader="none" w:pos="632"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Joinder of New Guarantor</w:t>
      </w:r>
      <w:r>
        <w:rPr>
          <w:rFonts w:ascii="Arial" w:cs="Arial" w:eastAsia="Arial" w:hAnsi="Arial"/>
          <w:sz w:val="16"/>
          <w:szCs w:val="16"/>
          <w:color w:val="auto"/>
        </w:rPr>
        <w:t>. The New Guarantor hereby joins in the Indenture as a “Guarantor” thereunder. The New Guarantor hereby assumes the duties and obligations of a Guarantor under the Indenture. The New Guarantor agrees to keep and perform all of the covenants, obligations and conditions of a Guarantor under the Indenture, on the terms and subject to the conditions set forth in Article Seventeen of the Indenture, and to be bound by all other applicable provisions of the Indenture. Upon request from time to time by the Trustee, the New Guarantor shall execute and deliver to the Trustee a notation relating to the New Guarantor’s Guarantee, substantially in the form attached to the supplemental indenture for the applicable Debt Securities.</w:t>
      </w:r>
    </w:p>
    <w:p>
      <w:pPr>
        <w:spacing w:after="0" w:line="115" w:lineRule="exact"/>
        <w:rPr>
          <w:rFonts w:ascii="Arial" w:cs="Arial" w:eastAsia="Arial" w:hAnsi="Arial"/>
          <w:sz w:val="16"/>
          <w:szCs w:val="16"/>
          <w:color w:val="auto"/>
        </w:rPr>
      </w:pPr>
    </w:p>
    <w:p>
      <w:pPr>
        <w:ind w:right="20" w:firstLine="464"/>
        <w:spacing w:after="0" w:line="268"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Effect of Second Supplemental Indenture</w:t>
      </w:r>
      <w:r>
        <w:rPr>
          <w:rFonts w:ascii="Arial" w:cs="Arial" w:eastAsia="Arial" w:hAnsi="Arial"/>
          <w:sz w:val="18"/>
          <w:szCs w:val="18"/>
          <w:color w:val="auto"/>
        </w:rPr>
        <w:t>. Except as amended by this Second Supplemental Indenture, the terms and provisions of the Indenture shall remain in full force and effect.</w:t>
      </w:r>
    </w:p>
    <w:p>
      <w:pPr>
        <w:spacing w:after="0" w:line="131" w:lineRule="exact"/>
        <w:rPr>
          <w:rFonts w:ascii="Arial" w:cs="Arial" w:eastAsia="Arial" w:hAnsi="Arial"/>
          <w:sz w:val="18"/>
          <w:szCs w:val="18"/>
          <w:color w:val="auto"/>
        </w:rPr>
      </w:pPr>
    </w:p>
    <w:p>
      <w:pPr>
        <w:ind w:firstLine="464"/>
        <w:spacing w:after="0" w:line="268" w:lineRule="auto"/>
        <w:tabs>
          <w:tab w:leader="none" w:pos="6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INTERNAL LAW OF THE STATE OF NEW YORK SHALL GOVERN AND BE USED TO CONSTRUE THIS SECOND SUPPLEMENTAL INDENTURE WITHOUT GIVING EFFECT TO APPLICABLE PRINCIPLES OF CONFLICTS OF LAW TO THE</w:t>
      </w:r>
    </w:p>
    <w:p>
      <w:pPr>
        <w:sectPr>
          <w:pgSz w:w="11900" w:h="16838" w:orient="portrait"/>
          <w:cols w:equalWidth="0" w:num="1">
            <w:col w:w="11420"/>
          </w:cols>
          <w:pgMar w:left="240" w:top="274"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THAT THE APPLICATION OF THE LAWS OF ANOTHER JURISDICTION WOULD BE REQUIRED THEREBY.</w:t>
      </w:r>
    </w:p>
    <w:p>
      <w:pPr>
        <w:spacing w:after="0" w:line="171" w:lineRule="exact"/>
        <w:rPr>
          <w:sz w:val="20"/>
          <w:szCs w:val="20"/>
          <w:color w:val="auto"/>
        </w:rPr>
      </w:pPr>
    </w:p>
    <w:p>
      <w:pPr>
        <w:jc w:val="both"/>
        <w:ind w:firstLine="464"/>
        <w:spacing w:after="0" w:line="259"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Second Supplemental Indenture. Each signed copy shall be an original, but all of them together represent the same agreement. This Second Supplemental Indenture may be executed in multiple counterparts which, when taken together, shall constitute one instrument.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71" w:lineRule="exact"/>
        <w:rPr>
          <w:rFonts w:ascii="Arial" w:cs="Arial" w:eastAsia="Arial" w:hAnsi="Arial"/>
          <w:sz w:val="18"/>
          <w:szCs w:val="18"/>
          <w:color w:val="auto"/>
        </w:rPr>
      </w:pPr>
    </w:p>
    <w:p>
      <w:pPr>
        <w:jc w:val="both"/>
        <w:ind w:firstLine="464"/>
        <w:spacing w:after="0" w:line="259"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Except as otherwise expressly provided herein, no duties, responsibilities or liabilities are assumed, or shall be construed to be assumed, by the Trustee by reason of this Second Supplemental Indenture. This Second Supplemental Indenture is executed and accepted by the Trustee subject to all the terms and conditions set forth in the Indenture.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 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7" w:name="page138"/>
    <w:bookmarkEnd w:id="13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Second Supplemental Indenture to be duly executed and delivered all as of the day and year first above written.</w:t>
      </w:r>
    </w:p>
    <w:p>
      <w:pPr>
        <w:spacing w:after="0" w:line="166"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COMPANY:</w:t>
      </w:r>
    </w:p>
    <w:p>
      <w:pPr>
        <w:spacing w:after="0" w:line="23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tbl>
      <w:tblPr>
        <w:tblLayout w:type="fixed"/>
        <w:tblInd w:w="65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w w:val="93"/>
              </w:rPr>
              <w:t>Chief  Financial  Officer  and  Executive  Vice  President,</w:t>
            </w:r>
          </w:p>
        </w:tc>
      </w:tr>
      <w:tr>
        <w:trPr>
          <w:trHeight w:val="222"/>
        </w:trPr>
        <w:tc>
          <w:tcPr>
            <w:tcW w:w="64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Strategy and Business Development</w:t>
            </w:r>
          </w:p>
        </w:tc>
      </w:tr>
      <w:tr>
        <w:trPr>
          <w:trHeight w:val="419"/>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NEW GUARANTOR:</w:t>
            </w: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SMG BRANDS,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Aimee M. DeLuca</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Aimee M. DeLuca</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190"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EXISTING GUARANTORS:</w:t>
      </w:r>
    </w:p>
    <w:p>
      <w:pPr>
        <w:spacing w:after="0" w:line="23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EG SYSTEMS, INC., DBA SCOTTS LAWNSERVICE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GUTWEIN &amp; CO., INC.</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HYPONEX CORPORATION</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MIRACLE-GRO LAWN PRODUCTS, INC.</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ROD MCLELLAN COMPANY</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SANFORD SCIENTIFIC, INC.</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SCOTTS TEMECULA OPERATIONS, LLC</w:t>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SCOTTS MANUFACTURING COMPANY</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SCOTTS PRODUCTS CO.</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SCOTTS PROFESSIONAL PRODUCTS CO.</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SCOTTS-SIERRA INVESTMENTS, INC.</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SMG GROWING MEDIA, INC.</w:t>
      </w:r>
    </w:p>
    <w:p>
      <w:pPr>
        <w:spacing w:after="0" w:line="219" w:lineRule="exact"/>
        <w:rPr>
          <w:sz w:val="20"/>
          <w:szCs w:val="20"/>
          <w:color w:val="auto"/>
        </w:rPr>
      </w:pPr>
    </w:p>
    <w:tbl>
      <w:tblPr>
        <w:tblLayout w:type="fixed"/>
        <w:tblInd w:w="65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SECOND SUPPLEMENTAL INDENTURE SIGNATURE PAGE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280" w:right="239" w:bottom="1440" w:gutter="0" w:footer="0" w:header="0"/>
        </w:sectPr>
      </w:pPr>
    </w:p>
    <w:bookmarkStart w:id="138" w:name="page139"/>
    <w:bookmarkEnd w:id="138"/>
    <w:p>
      <w:pPr>
        <w:ind w:left="6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SCOTTS COMPANY LLC</w:t>
      </w:r>
    </w:p>
    <w:p>
      <w:pPr>
        <w:spacing w:after="0" w:line="225" w:lineRule="exact"/>
        <w:rPr>
          <w:sz w:val="20"/>
          <w:szCs w:val="20"/>
          <w:color w:val="auto"/>
        </w:rPr>
      </w:pPr>
    </w:p>
    <w:tbl>
      <w:tblPr>
        <w:tblLayout w:type="fixed"/>
        <w:tblInd w:w="65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w w:val="93"/>
              </w:rPr>
              <w:t>Chief  Financial  Officer  and  Executive  Vice  President,</w:t>
            </w:r>
          </w:p>
        </w:tc>
      </w:tr>
      <w:tr>
        <w:trPr>
          <w:trHeight w:val="222"/>
        </w:trPr>
        <w:tc>
          <w:tcPr>
            <w:tcW w:w="64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Strategy and Business Development</w:t>
            </w:r>
          </w:p>
        </w:tc>
      </w:tr>
    </w:tbl>
    <w:p>
      <w:pPr>
        <w:spacing w:after="0" w:line="21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OMS INVESTMENTS, INC.</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SWISS FARMS PRODUCTS, INC.</w:t>
      </w:r>
    </w:p>
    <w:p>
      <w:pPr>
        <w:spacing w:after="0" w:line="219" w:lineRule="exact"/>
        <w:rPr>
          <w:sz w:val="20"/>
          <w:szCs w:val="20"/>
          <w:color w:val="auto"/>
        </w:rPr>
      </w:pPr>
    </w:p>
    <w:tbl>
      <w:tblPr>
        <w:tblLayout w:type="fixed"/>
        <w:tblInd w:w="65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Aimee M. DeLuca</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Aimee M. DeLuca</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204"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TRUSTEE:</w:t>
      </w:r>
    </w:p>
    <w:p>
      <w:pPr>
        <w:spacing w:after="0" w:line="231" w:lineRule="exact"/>
        <w:rPr>
          <w:sz w:val="20"/>
          <w:szCs w:val="20"/>
          <w:color w:val="auto"/>
        </w:rPr>
      </w:pPr>
    </w:p>
    <w:p>
      <w:pPr>
        <w:jc w:val="right"/>
        <w:ind w:right="1920"/>
        <w:spacing w:after="0"/>
        <w:rPr>
          <w:sz w:val="20"/>
          <w:szCs w:val="20"/>
          <w:color w:val="auto"/>
        </w:rPr>
      </w:pPr>
      <w:r>
        <w:rPr>
          <w:rFonts w:ascii="Arial" w:cs="Arial" w:eastAsia="Arial" w:hAnsi="Arial"/>
          <w:sz w:val="18"/>
          <w:szCs w:val="18"/>
          <w:color w:val="auto"/>
        </w:rPr>
        <w:t>U.S. BANK NATIONAL ASSOCIATION</w:t>
      </w:r>
    </w:p>
    <w:p>
      <w:pPr>
        <w:spacing w:after="0" w:line="225" w:lineRule="exact"/>
        <w:rPr>
          <w:sz w:val="20"/>
          <w:szCs w:val="20"/>
          <w:color w:val="auto"/>
        </w:rPr>
      </w:pPr>
    </w:p>
    <w:tbl>
      <w:tblPr>
        <w:tblLayout w:type="fixed"/>
        <w:tblInd w:w="65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Miller</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Scott Miller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SECOND SUPPLEMENTAL INDENTURE SIGNATURE PAGE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80"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4.2(b)</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SCOTTS MIRACLE-GRO COMPANY, as Issuer</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GUARANTORS PARTY HERETO, as Guarantors</w:t>
      </w:r>
    </w:p>
    <w:p>
      <w:pPr>
        <w:spacing w:after="0" w:line="17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195580</wp:posOffset>
            </wp:positionV>
            <wp:extent cx="15176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6.625% Senior Notes due 2020</w:t>
      </w:r>
    </w:p>
    <w:p>
      <w:pPr>
        <w:spacing w:after="0" w:line="33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FIRST SUPPLEMENTAL INDENTURE DATED AS OF</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September 28, 2011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 THE INDENTURE DATED AS OF</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December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345440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422910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SUPPLEMENTAL INDENTURE</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This FIRST SUPPLEMENTAL INDENTURE, dated as of September 28, 2011 (this “</w:t>
      </w:r>
      <w:r>
        <w:rPr>
          <w:rFonts w:ascii="Arial" w:cs="Arial" w:eastAsia="Arial" w:hAnsi="Arial"/>
          <w:sz w:val="16"/>
          <w:szCs w:val="16"/>
          <w:b w:val="1"/>
          <w:bCs w:val="1"/>
          <w:i w:val="1"/>
          <w:iCs w:val="1"/>
          <w:color w:val="auto"/>
        </w:rPr>
        <w:t>First Supplemental Indenture</w:t>
      </w:r>
      <w:r>
        <w:rPr>
          <w:rFonts w:ascii="Arial" w:cs="Arial" w:eastAsia="Arial" w:hAnsi="Arial"/>
          <w:sz w:val="16"/>
          <w:szCs w:val="16"/>
          <w:color w:val="auto"/>
        </w:rPr>
        <w:t>”), is by and among The Scotts Miracle-Gro Company, an Ohio corporation (such corporation and any successor,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the existing Guarantors (as defined in the Indenture referred to herein) (the “</w:t>
      </w:r>
      <w:r>
        <w:rPr>
          <w:rFonts w:ascii="Arial" w:cs="Arial" w:eastAsia="Arial" w:hAnsi="Arial"/>
          <w:sz w:val="16"/>
          <w:szCs w:val="16"/>
          <w:b w:val="1"/>
          <w:bCs w:val="1"/>
          <w:i w:val="1"/>
          <w:iCs w:val="1"/>
          <w:color w:val="auto"/>
        </w:rPr>
        <w:t>Existing Guarantors</w:t>
      </w:r>
      <w:r>
        <w:rPr>
          <w:rFonts w:ascii="Arial" w:cs="Arial" w:eastAsia="Arial" w:hAnsi="Arial"/>
          <w:sz w:val="16"/>
          <w:szCs w:val="16"/>
          <w:color w:val="auto"/>
        </w:rPr>
        <w:t>”), SMG Brands, Inc., a Delaware corporation (the “</w:t>
      </w:r>
      <w:r>
        <w:rPr>
          <w:rFonts w:ascii="Arial" w:cs="Arial" w:eastAsia="Arial" w:hAnsi="Arial"/>
          <w:sz w:val="16"/>
          <w:szCs w:val="16"/>
          <w:b w:val="1"/>
          <w:bCs w:val="1"/>
          <w:i w:val="1"/>
          <w:iCs w:val="1"/>
          <w:color w:val="auto"/>
        </w:rPr>
        <w:t>New Guarantor</w:t>
      </w:r>
      <w:r>
        <w:rPr>
          <w:rFonts w:ascii="Arial" w:cs="Arial" w:eastAsia="Arial" w:hAnsi="Arial"/>
          <w:sz w:val="16"/>
          <w:szCs w:val="16"/>
          <w:color w:val="auto"/>
        </w:rPr>
        <w:t>”), and U.S. Bank National Association, a national banking association, as trustee under the Indenture referred to herein (such corporation and any successor,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 The New Guarantor and the Existing Guarantors are sometimes referred to collectively herein as the “</w:t>
      </w:r>
      <w:r>
        <w:rPr>
          <w:rFonts w:ascii="Arial" w:cs="Arial" w:eastAsia="Arial" w:hAnsi="Arial"/>
          <w:sz w:val="16"/>
          <w:szCs w:val="16"/>
          <w:b w:val="1"/>
          <w:bCs w:val="1"/>
          <w:i w:val="1"/>
          <w:iCs w:val="1"/>
          <w:color w:val="auto"/>
        </w:rPr>
        <w:t>Guarantors</w:t>
      </w:r>
      <w:r>
        <w:rPr>
          <w:rFonts w:ascii="Arial" w:cs="Arial" w:eastAsia="Arial" w:hAnsi="Arial"/>
          <w:sz w:val="16"/>
          <w:szCs w:val="16"/>
          <w:color w:val="auto"/>
        </w:rPr>
        <w:t>,” or individually as a “</w:t>
      </w:r>
      <w:r>
        <w:rPr>
          <w:rFonts w:ascii="Arial" w:cs="Arial" w:eastAsia="Arial" w:hAnsi="Arial"/>
          <w:sz w:val="16"/>
          <w:szCs w:val="16"/>
          <w:b w:val="1"/>
          <w:bCs w:val="1"/>
          <w:i w:val="1"/>
          <w:iCs w:val="1"/>
          <w:color w:val="auto"/>
        </w:rPr>
        <w:t>Guarantor</w:t>
      </w:r>
      <w:r>
        <w:rPr>
          <w:rFonts w:ascii="Arial" w:cs="Arial" w:eastAsia="Arial" w:hAnsi="Arial"/>
          <w:sz w:val="16"/>
          <w:szCs w:val="16"/>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7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WHEREAS, the Company, the Existing Guarantors and the Trustee are parties to an indenture, dated as of December 16, 2010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relating to the Company’s 6.625% Senior Notes due 2020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conditions precedent provided for in the Indenture relating to this First Supplemental Indenture have been complied with.</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40"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without definition shall have the meanings assigned to them in the Indenture.</w:t>
      </w:r>
    </w:p>
    <w:p>
      <w:pPr>
        <w:spacing w:after="0" w:line="171" w:lineRule="exact"/>
        <w:rPr>
          <w:rFonts w:ascii="Arial" w:cs="Arial" w:eastAsia="Arial" w:hAnsi="Arial"/>
          <w:sz w:val="18"/>
          <w:szCs w:val="18"/>
          <w:color w:val="auto"/>
        </w:rPr>
      </w:pPr>
    </w:p>
    <w:p>
      <w:pPr>
        <w:jc w:val="both"/>
        <w:ind w:firstLine="464"/>
        <w:spacing w:after="0" w:line="294"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Joinder of New Guarantor</w:t>
      </w:r>
      <w:r>
        <w:rPr>
          <w:rFonts w:ascii="Arial" w:cs="Arial" w:eastAsia="Arial" w:hAnsi="Arial"/>
          <w:sz w:val="16"/>
          <w:szCs w:val="16"/>
          <w:color w:val="auto"/>
        </w:rPr>
        <w:t>. The New Guarantor hereby joins in the Indenture as a “Guarantor” thereunder. The New Guarantor hereby assumes the duties and obligations of a Guarantor under the Indenture. The New Guarantor agrees to keep and perform all of the covenants, obligations and conditions of a Guarantor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pacing w:after="0" w:line="115" w:lineRule="exact"/>
        <w:rPr>
          <w:rFonts w:ascii="Arial" w:cs="Arial" w:eastAsia="Arial" w:hAnsi="Arial"/>
          <w:sz w:val="16"/>
          <w:szCs w:val="16"/>
          <w:color w:val="auto"/>
        </w:rPr>
      </w:pPr>
    </w:p>
    <w:p>
      <w:pPr>
        <w:ind w:firstLine="464"/>
        <w:spacing w:after="0" w:line="268"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Effect of First Supplemental Indenture</w:t>
      </w:r>
      <w:r>
        <w:rPr>
          <w:rFonts w:ascii="Arial" w:cs="Arial" w:eastAsia="Arial" w:hAnsi="Arial"/>
          <w:sz w:val="18"/>
          <w:szCs w:val="18"/>
          <w:color w:val="auto"/>
        </w:rPr>
        <w:t>. Except as amended by this First Supplemental Indenture, the terms and provisions of the Indenture shall remain in full force and effect.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5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INTERNAL LAW OF THE STATE OF NEW YORK SHALL GOVERN AND BE USED TO CONSTRUE THIS FIRST SUPPLEMENTAL INDENTURE WITHOUT GIVING EFFECT TO APPLICABLE PRINCIPLES OF CONFLICTS OF LAW TO THE EXTENT THAT THE APPLICATION OF THE LAWS OF ANOTHER JURISDICTION WOULD BE REQUIRED THEREBY.</w:t>
      </w:r>
    </w:p>
    <w:p>
      <w:pPr>
        <w:sectPr>
          <w:pgSz w:w="11900" w:h="16838" w:orient="portrait"/>
          <w:cols w:equalWidth="0" w:num="1">
            <w:col w:w="11420"/>
          </w:cols>
          <w:pgMar w:left="240" w:top="274" w:right="239" w:bottom="1440" w:gutter="0" w:footer="0" w:header="0"/>
        </w:sectPr>
      </w:pPr>
    </w:p>
    <w:bookmarkStart w:id="141" w:name="page142"/>
    <w:bookmarkEnd w:id="141"/>
    <w:p>
      <w:pPr>
        <w:jc w:val="both"/>
        <w:ind w:left="-20" w:firstLine="464"/>
        <w:spacing w:after="0" w:line="259" w:lineRule="auto"/>
        <w:tabs>
          <w:tab w:leader="none" w:pos="62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r>
        <w:rPr>
          <w:rFonts w:ascii="Arial" w:cs="Arial" w:eastAsia="Arial" w:hAnsi="Arial"/>
          <w:sz w:val="18"/>
          <w:szCs w:val="18"/>
          <w:color w:val="auto"/>
        </w:rPr>
        <w:t>. The parties may sign any number of copies of this First Supplemental Indenture. Each signed copy shall be an original, but all of them together represent the same agreement. This First Supplemental Indenture may be executed in multiple counterparts which, when taken together, shall constitute one instrument.</w:t>
      </w:r>
    </w:p>
    <w:p>
      <w:pPr>
        <w:spacing w:after="0" w:line="140" w:lineRule="exact"/>
        <w:rPr>
          <w:rFonts w:ascii="Arial" w:cs="Arial" w:eastAsia="Arial" w:hAnsi="Arial"/>
          <w:sz w:val="18"/>
          <w:szCs w:val="18"/>
          <w:color w:val="auto"/>
        </w:rPr>
      </w:pPr>
    </w:p>
    <w:p>
      <w:pPr>
        <w:ind w:left="620" w:hanging="176"/>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71" w:lineRule="exact"/>
        <w:rPr>
          <w:rFonts w:ascii="Arial" w:cs="Arial" w:eastAsia="Arial" w:hAnsi="Arial"/>
          <w:sz w:val="18"/>
          <w:szCs w:val="18"/>
          <w:color w:val="auto"/>
        </w:rPr>
      </w:pPr>
    </w:p>
    <w:p>
      <w:pPr>
        <w:jc w:val="both"/>
        <w:ind w:left="-20" w:firstLine="464"/>
        <w:spacing w:after="0" w:line="259" w:lineRule="auto"/>
        <w:tabs>
          <w:tab w:leader="none" w:pos="61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Trustee</w:t>
      </w:r>
      <w:r>
        <w:rPr>
          <w:rFonts w:ascii="Arial" w:cs="Arial" w:eastAsia="Arial" w:hAnsi="Arial"/>
          <w:sz w:val="18"/>
          <w:szCs w:val="18"/>
          <w:color w:val="auto"/>
        </w:rPr>
        <w:t>. Except as otherwise expressly provided herein, no duties, responsibilities or liabilities are assumed, or shall be construed to be assumed, by the Trustee by reason of this First Supplemental Indenture. This First Supplemental Indenture is executed and accepted by the Trustee subject to all the terms and conditions set forth in the Indenture.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 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80" w:right="239" w:bottom="1440" w:gutter="0" w:footer="0" w:header="0"/>
        </w:sectPr>
      </w:pPr>
    </w:p>
    <w:bookmarkStart w:id="142" w:name="page143"/>
    <w:bookmarkEnd w:id="14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First Supplemental Indenture to be duly executed and delivered all as of the day and year first above written.</w:t>
      </w:r>
    </w:p>
    <w:p>
      <w:pPr>
        <w:spacing w:after="0" w:line="166"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COMPANY:</w:t>
      </w:r>
    </w:p>
    <w:p>
      <w:pPr>
        <w:spacing w:after="0" w:line="23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tbl>
      <w:tblPr>
        <w:tblLayout w:type="fixed"/>
        <w:tblInd w:w="65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w w:val="93"/>
              </w:rPr>
              <w:t>Chief  Financial  Officer  and  Executive  Vice  President,</w:t>
            </w:r>
          </w:p>
        </w:tc>
      </w:tr>
      <w:tr>
        <w:trPr>
          <w:trHeight w:val="222"/>
        </w:trPr>
        <w:tc>
          <w:tcPr>
            <w:tcW w:w="64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Strategy and Business Development</w:t>
            </w:r>
          </w:p>
        </w:tc>
      </w:tr>
      <w:tr>
        <w:trPr>
          <w:trHeight w:val="419"/>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NEW GUARANTOR:</w:t>
            </w: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SMG BRANDS,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Aimee M. DeLuca</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Aimee M. DeLuca</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190"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EXISTING GUARANTORS:</w:t>
      </w:r>
    </w:p>
    <w:p>
      <w:pPr>
        <w:spacing w:after="0" w:line="23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EG SYSTEMS, INC., DBA SCOTTS LAWNSERVICE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GUTWEIN &amp; CO., INC.</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HYPONEX CORPORATION</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MIRACLE-GRO LAWN PRODUCTS, INC.</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ROD MCLELLAN COMPANY</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SANFORD SCIENTIFIC, INC.</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SCOTTS TEMECULA OPERATIONS, LLC</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SCOTTS MANUFACTURING COMPANY</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SCOTTS PRODUCTS CO.</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SCOTTS PROFESSIONAL PRODUCTS CO.</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SCOTTS-SIERRA INVESTMENTS, INC.</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SMG GROWING MEDIA, INC.</w:t>
      </w:r>
    </w:p>
    <w:p>
      <w:pPr>
        <w:spacing w:after="0" w:line="205" w:lineRule="exact"/>
        <w:rPr>
          <w:sz w:val="20"/>
          <w:szCs w:val="20"/>
          <w:color w:val="auto"/>
        </w:rPr>
      </w:pPr>
    </w:p>
    <w:tbl>
      <w:tblPr>
        <w:tblLayout w:type="fixed"/>
        <w:tblInd w:w="65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Executive Vice President and Chief Financial</w:t>
            </w:r>
          </w:p>
        </w:tc>
      </w:tr>
      <w:tr>
        <w:trPr>
          <w:trHeight w:val="222"/>
        </w:trPr>
        <w:tc>
          <w:tcPr>
            <w:tcW w:w="64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Officer</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FIRST SUPPLEMENTAL INDENTURE SIGNATURE PAGE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20"/>
          </w:cols>
          <w:pgMar w:left="240" w:top="280" w:right="239" w:bottom="1440" w:gutter="0" w:footer="0" w:header="0"/>
        </w:sectPr>
      </w:pPr>
    </w:p>
    <w:bookmarkStart w:id="143" w:name="page144"/>
    <w:bookmarkEnd w:id="143"/>
    <w:p>
      <w:pPr>
        <w:ind w:left="65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SCOTTS COMPANY LLC</w:t>
      </w:r>
    </w:p>
    <w:p>
      <w:pPr>
        <w:spacing w:after="0" w:line="225" w:lineRule="exact"/>
        <w:rPr>
          <w:sz w:val="20"/>
          <w:szCs w:val="20"/>
          <w:color w:val="auto"/>
        </w:rPr>
      </w:pPr>
    </w:p>
    <w:tbl>
      <w:tblPr>
        <w:tblLayout w:type="fixed"/>
        <w:tblInd w:w="65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Evans</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David C. Evans</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Chief Financial Officer and Executive Vice</w:t>
            </w:r>
          </w:p>
        </w:tc>
      </w:tr>
      <w:tr>
        <w:trPr>
          <w:trHeight w:val="222"/>
        </w:trPr>
        <w:tc>
          <w:tcPr>
            <w:tcW w:w="64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President, Strategy and Business Development</w:t>
            </w:r>
          </w:p>
        </w:tc>
      </w:tr>
    </w:tbl>
    <w:p>
      <w:pPr>
        <w:spacing w:after="0" w:line="21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OMS INVESTMENTS, INC.</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SWISS FARMS PRODUCTS, INC.</w:t>
      </w:r>
    </w:p>
    <w:p>
      <w:pPr>
        <w:spacing w:after="0" w:line="232" w:lineRule="exact"/>
        <w:rPr>
          <w:sz w:val="20"/>
          <w:szCs w:val="20"/>
          <w:color w:val="auto"/>
        </w:rPr>
      </w:pPr>
    </w:p>
    <w:tbl>
      <w:tblPr>
        <w:tblLayout w:type="fixed"/>
        <w:tblInd w:w="652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Aimee M. DeLuca</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Aimee M. DeLuca</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TRUSTEE:</w:t>
            </w:r>
          </w:p>
        </w:tc>
      </w:tr>
      <w:tr>
        <w:trPr>
          <w:trHeight w:val="432"/>
        </w:trPr>
        <w:tc>
          <w:tcPr>
            <w:tcW w:w="4900" w:type="dxa"/>
            <w:vAlign w:val="bottom"/>
            <w:gridSpan w:val="2"/>
          </w:tcPr>
          <w:p>
            <w:pPr>
              <w:spacing w:after="0"/>
              <w:rPr>
                <w:sz w:val="20"/>
                <w:szCs w:val="20"/>
                <w:color w:val="auto"/>
              </w:rPr>
            </w:pPr>
            <w:r>
              <w:rPr>
                <w:rFonts w:ascii="Arial" w:cs="Arial" w:eastAsia="Arial" w:hAnsi="Arial"/>
                <w:sz w:val="18"/>
                <w:szCs w:val="18"/>
                <w:color w:val="auto"/>
              </w:rPr>
              <w:t>U.S. BANK NATIONAL ASSOCIATION</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Miller</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260" w:type="dxa"/>
            <w:vAlign w:val="bottom"/>
          </w:tcPr>
          <w:p>
            <w:pPr>
              <w:spacing w:after="0"/>
              <w:rPr>
                <w:sz w:val="20"/>
                <w:szCs w:val="20"/>
                <w:color w:val="auto"/>
              </w:rPr>
            </w:pPr>
            <w:r>
              <w:rPr>
                <w:rFonts w:ascii="Arial" w:cs="Arial" w:eastAsia="Arial" w:hAnsi="Arial"/>
                <w:sz w:val="18"/>
                <w:szCs w:val="18"/>
                <w:color w:val="auto"/>
              </w:rPr>
              <w:t>Scott Miller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FIRST SUPPLEMENTAL INDENTURE SIGNATURE PAGE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538730" cy="6172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3873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23,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The Scotts Miracle-Gro Company – Annual Report on Form 10-K for the fiscal year ended September 30,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The Scotts Miracle-Gro Company, an Ohio corporation (“Scotts Miracle-Gro”), is today filing its Annual Report on Form 10-K for the fiscal year ended September 30, 2011 (the “Form 10-K”).</w:t>
      </w:r>
    </w:p>
    <w:p>
      <w:pPr>
        <w:spacing w:after="0" w:line="13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16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THE SCOTTS MIRACLE-GRO COMPANY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C. Evans</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and Executive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Strategy and Business Development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14111 Scottslawn Road Marysville, OH 43041 937-644-0011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www.scotts.com</w:t>
      </w:r>
    </w:p>
    <w:p>
      <w:pPr>
        <w:sectPr>
          <w:pgSz w:w="11900" w:h="16838" w:orient="portrait"/>
          <w:cols w:equalWidth="0" w:num="1">
            <w:col w:w="11420"/>
          </w:cols>
          <w:pgMar w:left="240" w:top="125" w:right="2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tcPr>
          <w:p>
            <w:pPr>
              <w:ind w:left="1740"/>
              <w:spacing w:after="0"/>
              <w:rPr>
                <w:sz w:val="20"/>
                <w:szCs w:val="20"/>
                <w:color w:val="auto"/>
              </w:rPr>
            </w:pPr>
            <w:r>
              <w:rPr>
                <w:rFonts w:ascii="Arial" w:cs="Arial" w:eastAsia="Arial" w:hAnsi="Arial"/>
                <w:sz w:val="18"/>
                <w:szCs w:val="18"/>
                <w:b w:val="1"/>
                <w:bCs w:val="1"/>
                <w:color w:val="auto"/>
                <w:w w:val="88"/>
              </w:rPr>
              <w:t>Exhibit 10.7(c)</w:t>
            </w:r>
          </w:p>
        </w:tc>
      </w:tr>
      <w:tr>
        <w:trPr>
          <w:trHeight w:val="372"/>
        </w:trPr>
        <w:tc>
          <w:tcPr>
            <w:tcW w:w="4000" w:type="dxa"/>
            <w:vAlign w:val="bottom"/>
          </w:tcPr>
          <w:p>
            <w:pPr>
              <w:spacing w:after="0"/>
              <w:rPr>
                <w:sz w:val="24"/>
                <w:szCs w:val="24"/>
                <w:color w:val="auto"/>
              </w:rPr>
            </w:pPr>
          </w:p>
        </w:tc>
        <w:tc>
          <w:tcPr>
            <w:tcW w:w="4580" w:type="dxa"/>
            <w:vAlign w:val="bottom"/>
            <w:gridSpan w:val="3"/>
          </w:tcPr>
          <w:p>
            <w:pPr>
              <w:jc w:val="center"/>
              <w:ind w:right="1160"/>
              <w:spacing w:after="0"/>
              <w:rPr>
                <w:sz w:val="20"/>
                <w:szCs w:val="20"/>
                <w:color w:val="auto"/>
              </w:rPr>
            </w:pPr>
            <w:r>
              <w:rPr>
                <w:rFonts w:ascii="Arial" w:cs="Arial" w:eastAsia="Arial" w:hAnsi="Arial"/>
                <w:sz w:val="18"/>
                <w:szCs w:val="18"/>
                <w:color w:val="auto"/>
                <w:w w:val="90"/>
              </w:rPr>
              <w:t>Executive Officers of</w:t>
            </w:r>
          </w:p>
        </w:tc>
        <w:tc>
          <w:tcPr>
            <w:tcW w:w="2840" w:type="dxa"/>
            <w:vAlign w:val="bottom"/>
          </w:tcPr>
          <w:p>
            <w:pPr>
              <w:spacing w:after="0"/>
              <w:rPr>
                <w:sz w:val="24"/>
                <w:szCs w:val="24"/>
                <w:color w:val="auto"/>
              </w:rPr>
            </w:pPr>
          </w:p>
        </w:tc>
      </w:tr>
      <w:tr>
        <w:trPr>
          <w:trHeight w:val="216"/>
        </w:trPr>
        <w:tc>
          <w:tcPr>
            <w:tcW w:w="4000" w:type="dxa"/>
            <w:vAlign w:val="bottom"/>
          </w:tcPr>
          <w:p>
            <w:pPr>
              <w:spacing w:after="0"/>
              <w:rPr>
                <w:sz w:val="18"/>
                <w:szCs w:val="18"/>
                <w:color w:val="auto"/>
              </w:rPr>
            </w:pPr>
          </w:p>
        </w:tc>
        <w:tc>
          <w:tcPr>
            <w:tcW w:w="4580" w:type="dxa"/>
            <w:vAlign w:val="bottom"/>
            <w:gridSpan w:val="3"/>
          </w:tcPr>
          <w:p>
            <w:pPr>
              <w:jc w:val="center"/>
              <w:ind w:right="1140"/>
              <w:spacing w:after="0"/>
              <w:rPr>
                <w:sz w:val="20"/>
                <w:szCs w:val="20"/>
                <w:color w:val="auto"/>
              </w:rPr>
            </w:pPr>
            <w:r>
              <w:rPr>
                <w:rFonts w:ascii="Arial" w:cs="Arial" w:eastAsia="Arial" w:hAnsi="Arial"/>
                <w:sz w:val="18"/>
                <w:szCs w:val="18"/>
                <w:color w:val="auto"/>
                <w:w w:val="89"/>
              </w:rPr>
              <w:t>The Scotts Miracle-Gro Company</w:t>
            </w:r>
          </w:p>
        </w:tc>
        <w:tc>
          <w:tcPr>
            <w:tcW w:w="28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580" w:type="dxa"/>
            <w:vAlign w:val="bottom"/>
            <w:gridSpan w:val="3"/>
          </w:tcPr>
          <w:p>
            <w:pPr>
              <w:jc w:val="center"/>
              <w:ind w:right="1160"/>
              <w:spacing w:after="0"/>
              <w:rPr>
                <w:sz w:val="20"/>
                <w:szCs w:val="20"/>
                <w:color w:val="auto"/>
              </w:rPr>
            </w:pPr>
            <w:r>
              <w:rPr>
                <w:rFonts w:ascii="Arial" w:cs="Arial" w:eastAsia="Arial" w:hAnsi="Arial"/>
                <w:sz w:val="18"/>
                <w:szCs w:val="18"/>
                <w:color w:val="auto"/>
                <w:w w:val="89"/>
              </w:rPr>
              <w:t>who are parties to form of</w:t>
            </w:r>
          </w:p>
        </w:tc>
        <w:tc>
          <w:tcPr>
            <w:tcW w:w="28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580" w:type="dxa"/>
            <w:vAlign w:val="bottom"/>
            <w:gridSpan w:val="3"/>
          </w:tcPr>
          <w:p>
            <w:pPr>
              <w:jc w:val="center"/>
              <w:ind w:right="1140"/>
              <w:spacing w:after="0"/>
              <w:rPr>
                <w:sz w:val="20"/>
                <w:szCs w:val="20"/>
                <w:color w:val="auto"/>
              </w:rPr>
            </w:pPr>
            <w:r>
              <w:rPr>
                <w:rFonts w:ascii="Arial" w:cs="Arial" w:eastAsia="Arial" w:hAnsi="Arial"/>
                <w:sz w:val="18"/>
                <w:szCs w:val="18"/>
                <w:color w:val="auto"/>
                <w:w w:val="91"/>
              </w:rPr>
              <w:t>Employee Confidentiality, Noncompetition,</w:t>
            </w:r>
          </w:p>
        </w:tc>
        <w:tc>
          <w:tcPr>
            <w:tcW w:w="28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580" w:type="dxa"/>
            <w:vAlign w:val="bottom"/>
            <w:gridSpan w:val="3"/>
          </w:tcPr>
          <w:p>
            <w:pPr>
              <w:jc w:val="center"/>
              <w:ind w:right="1160"/>
              <w:spacing w:after="0"/>
              <w:rPr>
                <w:sz w:val="20"/>
                <w:szCs w:val="20"/>
                <w:color w:val="auto"/>
              </w:rPr>
            </w:pPr>
            <w:r>
              <w:rPr>
                <w:rFonts w:ascii="Arial" w:cs="Arial" w:eastAsia="Arial" w:hAnsi="Arial"/>
                <w:sz w:val="18"/>
                <w:szCs w:val="18"/>
                <w:color w:val="auto"/>
                <w:w w:val="89"/>
              </w:rPr>
              <w:t>Nonsolicitation Agreement for employees</w:t>
            </w:r>
          </w:p>
        </w:tc>
        <w:tc>
          <w:tcPr>
            <w:tcW w:w="284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4580" w:type="dxa"/>
            <w:vAlign w:val="bottom"/>
            <w:gridSpan w:val="3"/>
          </w:tcPr>
          <w:p>
            <w:pPr>
              <w:jc w:val="center"/>
              <w:ind w:right="1140"/>
              <w:spacing w:after="0"/>
              <w:rPr>
                <w:sz w:val="20"/>
                <w:szCs w:val="20"/>
                <w:color w:val="auto"/>
              </w:rPr>
            </w:pPr>
            <w:r>
              <w:rPr>
                <w:rFonts w:ascii="Arial" w:cs="Arial" w:eastAsia="Arial" w:hAnsi="Arial"/>
                <w:sz w:val="18"/>
                <w:szCs w:val="18"/>
                <w:color w:val="auto"/>
                <w:w w:val="90"/>
              </w:rPr>
              <w:t>participating in The Scotts Company LLC</w:t>
            </w:r>
          </w:p>
        </w:tc>
        <w:tc>
          <w:tcPr>
            <w:tcW w:w="2840" w:type="dxa"/>
            <w:vAlign w:val="bottom"/>
          </w:tcPr>
          <w:p>
            <w:pPr>
              <w:spacing w:after="0"/>
              <w:rPr>
                <w:sz w:val="18"/>
                <w:szCs w:val="18"/>
                <w:color w:val="auto"/>
              </w:rPr>
            </w:pPr>
          </w:p>
        </w:tc>
      </w:tr>
      <w:tr>
        <w:trPr>
          <w:trHeight w:val="184"/>
        </w:trPr>
        <w:tc>
          <w:tcPr>
            <w:tcW w:w="4000" w:type="dxa"/>
            <w:vAlign w:val="bottom"/>
          </w:tcPr>
          <w:p>
            <w:pPr>
              <w:spacing w:after="0"/>
              <w:rPr>
                <w:sz w:val="15"/>
                <w:szCs w:val="15"/>
                <w:color w:val="auto"/>
              </w:rPr>
            </w:pPr>
          </w:p>
        </w:tc>
        <w:tc>
          <w:tcPr>
            <w:tcW w:w="4580" w:type="dxa"/>
            <w:vAlign w:val="bottom"/>
            <w:gridSpan w:val="3"/>
          </w:tcPr>
          <w:p>
            <w:pPr>
              <w:jc w:val="center"/>
              <w:ind w:right="1160"/>
              <w:spacing w:after="0" w:line="184" w:lineRule="exact"/>
              <w:rPr>
                <w:sz w:val="20"/>
                <w:szCs w:val="20"/>
                <w:color w:val="auto"/>
              </w:rPr>
            </w:pPr>
            <w:r>
              <w:rPr>
                <w:rFonts w:ascii="Arial" w:cs="Arial" w:eastAsia="Arial" w:hAnsi="Arial"/>
                <w:sz w:val="18"/>
                <w:szCs w:val="18"/>
                <w:color w:val="auto"/>
                <w:w w:val="87"/>
              </w:rPr>
              <w:t>Amended and Restated Executive Incentive Plan</w:t>
            </w:r>
          </w:p>
        </w:tc>
        <w:tc>
          <w:tcPr>
            <w:tcW w:w="2840" w:type="dxa"/>
            <w:vAlign w:val="bottom"/>
          </w:tcPr>
          <w:p>
            <w:pPr>
              <w:spacing w:after="0"/>
              <w:rPr>
                <w:sz w:val="15"/>
                <w:szCs w:val="15"/>
                <w:color w:val="auto"/>
              </w:rPr>
            </w:pPr>
          </w:p>
        </w:tc>
      </w:tr>
      <w:tr>
        <w:trPr>
          <w:trHeight w:val="431"/>
        </w:trPr>
        <w:tc>
          <w:tcPr>
            <w:tcW w:w="4000" w:type="dxa"/>
            <w:vAlign w:val="bottom"/>
          </w:tcPr>
          <w:p>
            <w:pPr>
              <w:spacing w:after="0"/>
              <w:rPr>
                <w:sz w:val="24"/>
                <w:szCs w:val="24"/>
                <w:color w:val="auto"/>
              </w:rPr>
            </w:pPr>
          </w:p>
        </w:tc>
        <w:tc>
          <w:tcPr>
            <w:tcW w:w="34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Date of Employee Confidentiality,</w:t>
            </w:r>
          </w:p>
        </w:tc>
      </w:tr>
      <w:tr>
        <w:trPr>
          <w:trHeight w:val="216"/>
        </w:trPr>
        <w:tc>
          <w:tcPr>
            <w:tcW w:w="8580" w:type="dxa"/>
            <w:vAlign w:val="bottom"/>
            <w:gridSpan w:val="4"/>
          </w:tcPr>
          <w:p>
            <w:pPr>
              <w:spacing w:after="0"/>
              <w:rPr>
                <w:sz w:val="20"/>
                <w:szCs w:val="20"/>
                <w:color w:val="auto"/>
              </w:rPr>
            </w:pPr>
            <w:r>
              <w:rPr>
                <w:rFonts w:ascii="Arial" w:cs="Arial" w:eastAsia="Arial" w:hAnsi="Arial"/>
                <w:sz w:val="18"/>
                <w:szCs w:val="18"/>
                <w:color w:val="auto"/>
              </w:rPr>
              <w:t>Name and Principal Position</w:t>
            </w:r>
          </w:p>
        </w:tc>
        <w:tc>
          <w:tcPr>
            <w:tcW w:w="2840" w:type="dxa"/>
            <w:vAlign w:val="bottom"/>
          </w:tcPr>
          <w:p>
            <w:pPr>
              <w:spacing w:after="0"/>
              <w:rPr>
                <w:sz w:val="20"/>
                <w:szCs w:val="20"/>
                <w:color w:val="auto"/>
              </w:rPr>
            </w:pPr>
            <w:r>
              <w:rPr>
                <w:rFonts w:ascii="Arial" w:cs="Arial" w:eastAsia="Arial" w:hAnsi="Arial"/>
                <w:sz w:val="18"/>
                <w:szCs w:val="18"/>
                <w:color w:val="auto"/>
              </w:rPr>
              <w:t>Noncompetition, Nonsolicitation</w:t>
            </w:r>
          </w:p>
        </w:tc>
      </w:tr>
      <w:tr>
        <w:trPr>
          <w:trHeight w:val="231"/>
        </w:trPr>
        <w:tc>
          <w:tcPr>
            <w:tcW w:w="83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with The Scotts Miracle-Gro Company</w:t>
            </w:r>
          </w:p>
        </w:tc>
        <w:tc>
          <w:tcPr>
            <w:tcW w:w="24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Agreement</w:t>
            </w:r>
          </w:p>
        </w:tc>
      </w:tr>
      <w:tr>
        <w:trPr>
          <w:trHeight w:val="309"/>
        </w:trPr>
        <w:tc>
          <w:tcPr>
            <w:tcW w:w="8580" w:type="dxa"/>
            <w:vAlign w:val="bottom"/>
            <w:gridSpan w:val="4"/>
          </w:tcPr>
          <w:p>
            <w:pPr>
              <w:spacing w:after="0"/>
              <w:rPr>
                <w:sz w:val="20"/>
                <w:szCs w:val="20"/>
                <w:color w:val="auto"/>
              </w:rPr>
            </w:pPr>
            <w:r>
              <w:rPr>
                <w:rFonts w:ascii="Arial" w:cs="Arial" w:eastAsia="Arial" w:hAnsi="Arial"/>
                <w:sz w:val="18"/>
                <w:szCs w:val="18"/>
                <w:color w:val="auto"/>
              </w:rPr>
              <w:t>Barry W. Sanders, President</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April 22, 2005</w:t>
            </w:r>
          </w:p>
        </w:tc>
      </w:tr>
      <w:tr>
        <w:trPr>
          <w:trHeight w:val="318"/>
        </w:trPr>
        <w:tc>
          <w:tcPr>
            <w:tcW w:w="8580" w:type="dxa"/>
            <w:vAlign w:val="bottom"/>
            <w:gridSpan w:val="4"/>
          </w:tcPr>
          <w:p>
            <w:pPr>
              <w:spacing w:after="0"/>
              <w:rPr>
                <w:sz w:val="20"/>
                <w:szCs w:val="20"/>
                <w:color w:val="auto"/>
              </w:rPr>
            </w:pPr>
            <w:r>
              <w:rPr>
                <w:rFonts w:ascii="Arial" w:cs="Arial" w:eastAsia="Arial" w:hAnsi="Arial"/>
                <w:sz w:val="18"/>
                <w:szCs w:val="18"/>
                <w:color w:val="auto"/>
              </w:rPr>
              <w:t>Vincent C. Brockman, Executive Vice President, General Counsel, Corporate</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May 11, 2006</w:t>
            </w:r>
          </w:p>
        </w:tc>
      </w:tr>
      <w:tr>
        <w:trPr>
          <w:trHeight w:val="222"/>
        </w:trPr>
        <w:tc>
          <w:tcPr>
            <w:tcW w:w="8580" w:type="dxa"/>
            <w:vAlign w:val="bottom"/>
            <w:gridSpan w:val="4"/>
          </w:tcPr>
          <w:p>
            <w:pPr>
              <w:spacing w:after="0"/>
              <w:rPr>
                <w:sz w:val="20"/>
                <w:szCs w:val="20"/>
                <w:color w:val="auto"/>
              </w:rPr>
            </w:pPr>
            <w:r>
              <w:rPr>
                <w:rFonts w:ascii="Arial" w:cs="Arial" w:eastAsia="Arial" w:hAnsi="Arial"/>
                <w:sz w:val="18"/>
                <w:szCs w:val="18"/>
                <w:color w:val="auto"/>
              </w:rPr>
              <w:t>Secretary and Chief Ethics &amp; Compliance Officer</w:t>
            </w:r>
          </w:p>
        </w:tc>
        <w:tc>
          <w:tcPr>
            <w:tcW w:w="2840" w:type="dxa"/>
            <w:vAlign w:val="bottom"/>
          </w:tcPr>
          <w:p>
            <w:pPr>
              <w:spacing w:after="0"/>
              <w:rPr>
                <w:sz w:val="19"/>
                <w:szCs w:val="19"/>
                <w:color w:val="auto"/>
              </w:rPr>
            </w:pPr>
          </w:p>
        </w:tc>
      </w:tr>
      <w:tr>
        <w:trPr>
          <w:trHeight w:val="331"/>
        </w:trPr>
        <w:tc>
          <w:tcPr>
            <w:tcW w:w="8580" w:type="dxa"/>
            <w:vAlign w:val="bottom"/>
            <w:gridSpan w:val="4"/>
          </w:tcPr>
          <w:p>
            <w:pPr>
              <w:spacing w:after="0"/>
              <w:rPr>
                <w:sz w:val="20"/>
                <w:szCs w:val="20"/>
                <w:color w:val="auto"/>
              </w:rPr>
            </w:pPr>
            <w:r>
              <w:rPr>
                <w:rFonts w:ascii="Arial" w:cs="Arial" w:eastAsia="Arial" w:hAnsi="Arial"/>
                <w:sz w:val="18"/>
                <w:szCs w:val="18"/>
                <w:color w:val="auto"/>
              </w:rPr>
              <w:t>David C. Evans, Chief Financial Officer and Executive Vice President, Strategy</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May 20, 2006</w:t>
            </w:r>
          </w:p>
        </w:tc>
      </w:tr>
      <w:tr>
        <w:trPr>
          <w:trHeight w:val="222"/>
        </w:trPr>
        <w:tc>
          <w:tcPr>
            <w:tcW w:w="8580" w:type="dxa"/>
            <w:vAlign w:val="bottom"/>
            <w:gridSpan w:val="4"/>
          </w:tcPr>
          <w:p>
            <w:pPr>
              <w:spacing w:after="0"/>
              <w:rPr>
                <w:sz w:val="20"/>
                <w:szCs w:val="20"/>
                <w:color w:val="auto"/>
              </w:rPr>
            </w:pPr>
            <w:r>
              <w:rPr>
                <w:rFonts w:ascii="Arial" w:cs="Arial" w:eastAsia="Arial" w:hAnsi="Arial"/>
                <w:sz w:val="18"/>
                <w:szCs w:val="18"/>
                <w:color w:val="auto"/>
              </w:rPr>
              <w:t>and Business Development</w:t>
            </w:r>
          </w:p>
        </w:tc>
        <w:tc>
          <w:tcPr>
            <w:tcW w:w="2840" w:type="dxa"/>
            <w:vAlign w:val="bottom"/>
          </w:tcPr>
          <w:p>
            <w:pPr>
              <w:spacing w:after="0"/>
              <w:rPr>
                <w:sz w:val="19"/>
                <w:szCs w:val="19"/>
                <w:color w:val="auto"/>
              </w:rPr>
            </w:pPr>
          </w:p>
        </w:tc>
      </w:tr>
      <w:tr>
        <w:trPr>
          <w:trHeight w:val="338"/>
        </w:trPr>
        <w:tc>
          <w:tcPr>
            <w:tcW w:w="8580" w:type="dxa"/>
            <w:vAlign w:val="bottom"/>
            <w:gridSpan w:val="4"/>
          </w:tcPr>
          <w:p>
            <w:pPr>
              <w:spacing w:after="0"/>
              <w:rPr>
                <w:sz w:val="20"/>
                <w:szCs w:val="20"/>
                <w:color w:val="auto"/>
              </w:rPr>
            </w:pPr>
            <w:r>
              <w:rPr>
                <w:rFonts w:ascii="Arial" w:cs="Arial" w:eastAsia="Arial" w:hAnsi="Arial"/>
                <w:sz w:val="18"/>
                <w:szCs w:val="18"/>
                <w:color w:val="auto"/>
              </w:rPr>
              <w:t>Denise S. Stump, Executive Vice President, Global Human Resources</w:t>
            </w:r>
          </w:p>
        </w:tc>
        <w:tc>
          <w:tcPr>
            <w:tcW w:w="2840" w:type="dxa"/>
            <w:vAlign w:val="bottom"/>
          </w:tcPr>
          <w:p>
            <w:pPr>
              <w:jc w:val="center"/>
              <w:spacing w:after="0"/>
              <w:rPr>
                <w:sz w:val="20"/>
                <w:szCs w:val="20"/>
                <w:color w:val="auto"/>
              </w:rPr>
            </w:pPr>
            <w:r>
              <w:rPr>
                <w:rFonts w:ascii="Arial" w:cs="Arial" w:eastAsia="Arial" w:hAnsi="Arial"/>
                <w:sz w:val="18"/>
                <w:szCs w:val="18"/>
                <w:color w:val="auto"/>
                <w:w w:val="89"/>
              </w:rPr>
              <w:t>August 8, 2006</w:t>
            </w:r>
          </w:p>
        </w:tc>
      </w:tr>
      <w:tr>
        <w:trPr>
          <w:trHeight w:val="324"/>
        </w:trPr>
        <w:tc>
          <w:tcPr>
            <w:tcW w:w="8580" w:type="dxa"/>
            <w:vAlign w:val="bottom"/>
            <w:gridSpan w:val="4"/>
          </w:tcPr>
          <w:p>
            <w:pPr>
              <w:spacing w:after="0"/>
              <w:rPr>
                <w:sz w:val="20"/>
                <w:szCs w:val="20"/>
                <w:color w:val="auto"/>
              </w:rPr>
            </w:pPr>
            <w:r>
              <w:rPr>
                <w:rFonts w:ascii="Arial" w:cs="Arial" w:eastAsia="Arial" w:hAnsi="Arial"/>
                <w:sz w:val="18"/>
                <w:szCs w:val="18"/>
                <w:color w:val="auto"/>
              </w:rPr>
              <w:t>James R. Lyski, Executive Vice President, Chief Marketing Officer</w:t>
            </w:r>
          </w:p>
        </w:tc>
        <w:tc>
          <w:tcPr>
            <w:tcW w:w="2840" w:type="dxa"/>
            <w:vAlign w:val="bottom"/>
          </w:tcPr>
          <w:p>
            <w:pPr>
              <w:jc w:val="center"/>
              <w:spacing w:after="0"/>
              <w:rPr>
                <w:sz w:val="20"/>
                <w:szCs w:val="20"/>
                <w:color w:val="auto"/>
              </w:rPr>
            </w:pPr>
            <w:r>
              <w:rPr>
                <w:rFonts w:ascii="Arial" w:cs="Arial" w:eastAsia="Arial" w:hAnsi="Arial"/>
                <w:sz w:val="18"/>
                <w:szCs w:val="18"/>
                <w:color w:val="auto"/>
                <w:w w:val="92"/>
              </w:rPr>
              <w:t>April 6, 2011</w:t>
            </w:r>
          </w:p>
        </w:tc>
      </w:tr>
    </w:tbl>
    <w:p>
      <w:pPr>
        <w:sectPr>
          <w:pgSz w:w="11900" w:h="16838" w:orient="portrait"/>
          <w:cols w:equalWidth="0" w:num="1">
            <w:col w:w="11420"/>
          </w:cols>
          <w:pgMar w:left="240" w:top="125" w:right="2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Pr>
          <w:p>
            <w:pPr>
              <w:ind w:left="1440"/>
              <w:spacing w:after="0"/>
              <w:rPr>
                <w:sz w:val="20"/>
                <w:szCs w:val="20"/>
                <w:color w:val="auto"/>
              </w:rPr>
            </w:pPr>
            <w:r>
              <w:rPr>
                <w:rFonts w:ascii="Arial" w:cs="Arial" w:eastAsia="Arial" w:hAnsi="Arial"/>
                <w:sz w:val="18"/>
                <w:szCs w:val="18"/>
                <w:b w:val="1"/>
                <w:bCs w:val="1"/>
                <w:color w:val="auto"/>
                <w:w w:val="87"/>
              </w:rPr>
              <w:t>Exhibit 10.12(c)</w:t>
            </w:r>
          </w:p>
        </w:tc>
      </w:tr>
      <w:tr>
        <w:trPr>
          <w:trHeight w:val="372"/>
        </w:trPr>
        <w:tc>
          <w:tcPr>
            <w:tcW w:w="3860" w:type="dxa"/>
            <w:vAlign w:val="bottom"/>
          </w:tcPr>
          <w:p>
            <w:pPr>
              <w:spacing w:after="0"/>
              <w:rPr>
                <w:sz w:val="24"/>
                <w:szCs w:val="24"/>
                <w:color w:val="auto"/>
              </w:rPr>
            </w:pPr>
          </w:p>
        </w:tc>
        <w:tc>
          <w:tcPr>
            <w:tcW w:w="494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Executive Officers of</w:t>
            </w:r>
          </w:p>
        </w:tc>
        <w:tc>
          <w:tcPr>
            <w:tcW w:w="2620" w:type="dxa"/>
            <w:vAlign w:val="bottom"/>
          </w:tcPr>
          <w:p>
            <w:pPr>
              <w:spacing w:after="0"/>
              <w:rPr>
                <w:sz w:val="24"/>
                <w:szCs w:val="24"/>
                <w:color w:val="auto"/>
              </w:rPr>
            </w:pPr>
          </w:p>
        </w:tc>
      </w:tr>
      <w:tr>
        <w:trPr>
          <w:trHeight w:val="216"/>
        </w:trPr>
        <w:tc>
          <w:tcPr>
            <w:tcW w:w="3860" w:type="dxa"/>
            <w:vAlign w:val="bottom"/>
          </w:tcPr>
          <w:p>
            <w:pPr>
              <w:spacing w:after="0"/>
              <w:rPr>
                <w:sz w:val="18"/>
                <w:szCs w:val="18"/>
                <w:color w:val="auto"/>
              </w:rPr>
            </w:pPr>
          </w:p>
        </w:tc>
        <w:tc>
          <w:tcPr>
            <w:tcW w:w="4940" w:type="dxa"/>
            <w:vAlign w:val="bottom"/>
            <w:gridSpan w:val="3"/>
          </w:tcPr>
          <w:p>
            <w:pPr>
              <w:jc w:val="center"/>
              <w:ind w:right="1220"/>
              <w:spacing w:after="0"/>
              <w:rPr>
                <w:sz w:val="20"/>
                <w:szCs w:val="20"/>
                <w:color w:val="auto"/>
              </w:rPr>
            </w:pPr>
            <w:r>
              <w:rPr>
                <w:rFonts w:ascii="Arial" w:cs="Arial" w:eastAsia="Arial" w:hAnsi="Arial"/>
                <w:sz w:val="18"/>
                <w:szCs w:val="18"/>
                <w:color w:val="auto"/>
                <w:w w:val="89"/>
              </w:rPr>
              <w:t>The Scotts Miracle-Gro Company</w:t>
            </w:r>
          </w:p>
        </w:tc>
        <w:tc>
          <w:tcPr>
            <w:tcW w:w="26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4940" w:type="dxa"/>
            <w:vAlign w:val="bottom"/>
            <w:gridSpan w:val="3"/>
          </w:tcPr>
          <w:p>
            <w:pPr>
              <w:jc w:val="center"/>
              <w:ind w:right="1240"/>
              <w:spacing w:after="0"/>
              <w:rPr>
                <w:sz w:val="20"/>
                <w:szCs w:val="20"/>
                <w:color w:val="auto"/>
              </w:rPr>
            </w:pPr>
            <w:r>
              <w:rPr>
                <w:rFonts w:ascii="Arial" w:cs="Arial" w:eastAsia="Arial" w:hAnsi="Arial"/>
                <w:sz w:val="18"/>
                <w:szCs w:val="18"/>
                <w:color w:val="auto"/>
                <w:w w:val="89"/>
              </w:rPr>
              <w:t>who are parties to form of</w:t>
            </w:r>
          </w:p>
        </w:tc>
        <w:tc>
          <w:tcPr>
            <w:tcW w:w="26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4940" w:type="dxa"/>
            <w:vAlign w:val="bottom"/>
            <w:gridSpan w:val="3"/>
          </w:tcPr>
          <w:p>
            <w:pPr>
              <w:jc w:val="center"/>
              <w:ind w:right="1240"/>
              <w:spacing w:after="0"/>
              <w:rPr>
                <w:sz w:val="20"/>
                <w:szCs w:val="20"/>
                <w:color w:val="auto"/>
              </w:rPr>
            </w:pPr>
            <w:r>
              <w:rPr>
                <w:rFonts w:ascii="Arial" w:cs="Arial" w:eastAsia="Arial" w:hAnsi="Arial"/>
                <w:sz w:val="18"/>
                <w:szCs w:val="18"/>
                <w:color w:val="auto"/>
                <w:w w:val="89"/>
              </w:rPr>
              <w:t>Tier 1 Participation Agreement under</w:t>
            </w:r>
          </w:p>
        </w:tc>
        <w:tc>
          <w:tcPr>
            <w:tcW w:w="2620" w:type="dxa"/>
            <w:vAlign w:val="bottom"/>
          </w:tcPr>
          <w:p>
            <w:pPr>
              <w:spacing w:after="0"/>
              <w:rPr>
                <w:sz w:val="18"/>
                <w:szCs w:val="18"/>
                <w:color w:val="auto"/>
              </w:rPr>
            </w:pPr>
          </w:p>
        </w:tc>
      </w:tr>
      <w:tr>
        <w:trPr>
          <w:trHeight w:val="184"/>
        </w:trPr>
        <w:tc>
          <w:tcPr>
            <w:tcW w:w="3860" w:type="dxa"/>
            <w:vAlign w:val="bottom"/>
          </w:tcPr>
          <w:p>
            <w:pPr>
              <w:spacing w:after="0"/>
              <w:rPr>
                <w:sz w:val="15"/>
                <w:szCs w:val="15"/>
                <w:color w:val="auto"/>
              </w:rPr>
            </w:pPr>
          </w:p>
        </w:tc>
        <w:tc>
          <w:tcPr>
            <w:tcW w:w="372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color w:val="auto"/>
                <w:w w:val="88"/>
              </w:rPr>
              <w:t>The Scotts Company LLC Executive Severance Plan</w:t>
            </w:r>
          </w:p>
        </w:tc>
        <w:tc>
          <w:tcPr>
            <w:tcW w:w="1220" w:type="dxa"/>
            <w:vAlign w:val="bottom"/>
            <w:gridSpan w:val="2"/>
          </w:tcPr>
          <w:p>
            <w:pPr>
              <w:spacing w:after="0"/>
              <w:rPr>
                <w:sz w:val="15"/>
                <w:szCs w:val="15"/>
                <w:color w:val="auto"/>
              </w:rPr>
            </w:pPr>
          </w:p>
        </w:tc>
        <w:tc>
          <w:tcPr>
            <w:tcW w:w="2620" w:type="dxa"/>
            <w:vAlign w:val="bottom"/>
          </w:tcPr>
          <w:p>
            <w:pPr>
              <w:spacing w:after="0"/>
              <w:rPr>
                <w:sz w:val="15"/>
                <w:szCs w:val="15"/>
                <w:color w:val="auto"/>
              </w:rPr>
            </w:pPr>
          </w:p>
        </w:tc>
      </w:tr>
      <w:tr>
        <w:trPr>
          <w:trHeight w:val="431"/>
        </w:trPr>
        <w:tc>
          <w:tcPr>
            <w:tcW w:w="8800" w:type="dxa"/>
            <w:vAlign w:val="bottom"/>
            <w:gridSpan w:val="4"/>
          </w:tcPr>
          <w:p>
            <w:pPr>
              <w:spacing w:after="0"/>
              <w:rPr>
                <w:sz w:val="20"/>
                <w:szCs w:val="20"/>
                <w:color w:val="auto"/>
              </w:rPr>
            </w:pPr>
            <w:r>
              <w:rPr>
                <w:rFonts w:ascii="Arial" w:cs="Arial" w:eastAsia="Arial" w:hAnsi="Arial"/>
                <w:sz w:val="18"/>
                <w:szCs w:val="18"/>
                <w:color w:val="auto"/>
              </w:rPr>
              <w:t>Name and Principal Position</w:t>
            </w:r>
          </w:p>
        </w:tc>
        <w:tc>
          <w:tcPr>
            <w:tcW w:w="2620" w:type="dxa"/>
            <w:vAlign w:val="bottom"/>
          </w:tcPr>
          <w:p>
            <w:pPr>
              <w:spacing w:after="0"/>
              <w:rPr>
                <w:sz w:val="20"/>
                <w:szCs w:val="20"/>
                <w:color w:val="auto"/>
              </w:rPr>
            </w:pPr>
            <w:r>
              <w:rPr>
                <w:rFonts w:ascii="Arial" w:cs="Arial" w:eastAsia="Arial" w:hAnsi="Arial"/>
                <w:sz w:val="18"/>
                <w:szCs w:val="18"/>
                <w:color w:val="auto"/>
              </w:rPr>
              <w:t>Effective Date of</w:t>
            </w:r>
          </w:p>
        </w:tc>
      </w:tr>
      <w:tr>
        <w:trPr>
          <w:trHeight w:val="231"/>
        </w:trPr>
        <w:tc>
          <w:tcPr>
            <w:tcW w:w="8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with The Scotts Miracle-Gro Company</w:t>
            </w:r>
          </w:p>
        </w:tc>
        <w:tc>
          <w:tcPr>
            <w:tcW w:w="100" w:type="dxa"/>
            <w:vAlign w:val="bottom"/>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Tier 1 Participation Agreement</w:t>
            </w:r>
          </w:p>
        </w:tc>
      </w:tr>
      <w:tr>
        <w:trPr>
          <w:trHeight w:val="309"/>
        </w:trPr>
        <w:tc>
          <w:tcPr>
            <w:tcW w:w="8800" w:type="dxa"/>
            <w:vAlign w:val="bottom"/>
            <w:gridSpan w:val="4"/>
          </w:tcPr>
          <w:p>
            <w:pPr>
              <w:spacing w:after="0"/>
              <w:rPr>
                <w:sz w:val="20"/>
                <w:szCs w:val="20"/>
                <w:color w:val="auto"/>
              </w:rPr>
            </w:pPr>
            <w:r>
              <w:rPr>
                <w:rFonts w:ascii="Arial" w:cs="Arial" w:eastAsia="Arial" w:hAnsi="Arial"/>
                <w:sz w:val="18"/>
                <w:szCs w:val="18"/>
                <w:color w:val="auto"/>
              </w:rPr>
              <w:t>Barry W. Sanders, President</w:t>
            </w:r>
          </w:p>
        </w:tc>
        <w:tc>
          <w:tcPr>
            <w:tcW w:w="2620" w:type="dxa"/>
            <w:vAlign w:val="bottom"/>
          </w:tcPr>
          <w:p>
            <w:pPr>
              <w:ind w:left="660"/>
              <w:spacing w:after="0"/>
              <w:rPr>
                <w:sz w:val="20"/>
                <w:szCs w:val="20"/>
                <w:color w:val="auto"/>
              </w:rPr>
            </w:pPr>
            <w:r>
              <w:rPr>
                <w:rFonts w:ascii="Arial" w:cs="Arial" w:eastAsia="Arial" w:hAnsi="Arial"/>
                <w:sz w:val="18"/>
                <w:szCs w:val="18"/>
                <w:color w:val="auto"/>
              </w:rPr>
              <w:t>November 5, 2011</w:t>
            </w:r>
          </w:p>
        </w:tc>
      </w:tr>
      <w:tr>
        <w:trPr>
          <w:trHeight w:val="318"/>
        </w:trPr>
        <w:tc>
          <w:tcPr>
            <w:tcW w:w="8800" w:type="dxa"/>
            <w:vAlign w:val="bottom"/>
            <w:gridSpan w:val="4"/>
          </w:tcPr>
          <w:p>
            <w:pPr>
              <w:spacing w:after="0"/>
              <w:rPr>
                <w:sz w:val="20"/>
                <w:szCs w:val="20"/>
                <w:color w:val="auto"/>
              </w:rPr>
            </w:pPr>
            <w:r>
              <w:rPr>
                <w:rFonts w:ascii="Arial" w:cs="Arial" w:eastAsia="Arial" w:hAnsi="Arial"/>
                <w:sz w:val="18"/>
                <w:szCs w:val="18"/>
                <w:color w:val="auto"/>
              </w:rPr>
              <w:t>Vincent C. Brockman, Executive Vice President, General Counsel, Corporate</w:t>
            </w:r>
          </w:p>
        </w:tc>
        <w:tc>
          <w:tcPr>
            <w:tcW w:w="2620" w:type="dxa"/>
            <w:vAlign w:val="bottom"/>
          </w:tcPr>
          <w:p>
            <w:pPr>
              <w:ind w:left="660"/>
              <w:spacing w:after="0"/>
              <w:rPr>
                <w:sz w:val="20"/>
                <w:szCs w:val="20"/>
                <w:color w:val="auto"/>
              </w:rPr>
            </w:pPr>
            <w:r>
              <w:rPr>
                <w:rFonts w:ascii="Arial" w:cs="Arial" w:eastAsia="Arial" w:hAnsi="Arial"/>
                <w:sz w:val="18"/>
                <w:szCs w:val="18"/>
                <w:color w:val="auto"/>
              </w:rPr>
              <w:t>November 5, 2011</w:t>
            </w:r>
          </w:p>
        </w:tc>
      </w:tr>
      <w:tr>
        <w:trPr>
          <w:trHeight w:val="222"/>
        </w:trPr>
        <w:tc>
          <w:tcPr>
            <w:tcW w:w="8800" w:type="dxa"/>
            <w:vAlign w:val="bottom"/>
            <w:gridSpan w:val="4"/>
          </w:tcPr>
          <w:p>
            <w:pPr>
              <w:spacing w:after="0"/>
              <w:rPr>
                <w:sz w:val="20"/>
                <w:szCs w:val="20"/>
                <w:color w:val="auto"/>
              </w:rPr>
            </w:pPr>
            <w:r>
              <w:rPr>
                <w:rFonts w:ascii="Arial" w:cs="Arial" w:eastAsia="Arial" w:hAnsi="Arial"/>
                <w:sz w:val="18"/>
                <w:szCs w:val="18"/>
                <w:color w:val="auto"/>
              </w:rPr>
              <w:t>Secretary and Chief Ethics &amp; Compliance Officer</w:t>
            </w:r>
          </w:p>
        </w:tc>
        <w:tc>
          <w:tcPr>
            <w:tcW w:w="2620" w:type="dxa"/>
            <w:vAlign w:val="bottom"/>
          </w:tcPr>
          <w:p>
            <w:pPr>
              <w:spacing w:after="0"/>
              <w:rPr>
                <w:sz w:val="19"/>
                <w:szCs w:val="19"/>
                <w:color w:val="auto"/>
              </w:rPr>
            </w:pPr>
          </w:p>
        </w:tc>
      </w:tr>
      <w:tr>
        <w:trPr>
          <w:trHeight w:val="331"/>
        </w:trPr>
        <w:tc>
          <w:tcPr>
            <w:tcW w:w="8800" w:type="dxa"/>
            <w:vAlign w:val="bottom"/>
            <w:gridSpan w:val="4"/>
          </w:tcPr>
          <w:p>
            <w:pPr>
              <w:spacing w:after="0"/>
              <w:rPr>
                <w:sz w:val="20"/>
                <w:szCs w:val="20"/>
                <w:color w:val="auto"/>
              </w:rPr>
            </w:pPr>
            <w:r>
              <w:rPr>
                <w:rFonts w:ascii="Arial" w:cs="Arial" w:eastAsia="Arial" w:hAnsi="Arial"/>
                <w:sz w:val="18"/>
                <w:szCs w:val="18"/>
                <w:color w:val="auto"/>
              </w:rPr>
              <w:t>David C. Evans, Chief Financial Officer and Executive Vice President, Strategy</w:t>
            </w:r>
          </w:p>
        </w:tc>
        <w:tc>
          <w:tcPr>
            <w:tcW w:w="2620" w:type="dxa"/>
            <w:vAlign w:val="bottom"/>
          </w:tcPr>
          <w:p>
            <w:pPr>
              <w:ind w:left="660"/>
              <w:spacing w:after="0"/>
              <w:rPr>
                <w:sz w:val="20"/>
                <w:szCs w:val="20"/>
                <w:color w:val="auto"/>
              </w:rPr>
            </w:pPr>
            <w:r>
              <w:rPr>
                <w:rFonts w:ascii="Arial" w:cs="Arial" w:eastAsia="Arial" w:hAnsi="Arial"/>
                <w:sz w:val="18"/>
                <w:szCs w:val="18"/>
                <w:color w:val="auto"/>
              </w:rPr>
              <w:t>November 5, 2011</w:t>
            </w:r>
          </w:p>
        </w:tc>
      </w:tr>
      <w:tr>
        <w:trPr>
          <w:trHeight w:val="222"/>
        </w:trPr>
        <w:tc>
          <w:tcPr>
            <w:tcW w:w="8800" w:type="dxa"/>
            <w:vAlign w:val="bottom"/>
            <w:gridSpan w:val="4"/>
          </w:tcPr>
          <w:p>
            <w:pPr>
              <w:spacing w:after="0"/>
              <w:rPr>
                <w:sz w:val="20"/>
                <w:szCs w:val="20"/>
                <w:color w:val="auto"/>
              </w:rPr>
            </w:pPr>
            <w:r>
              <w:rPr>
                <w:rFonts w:ascii="Arial" w:cs="Arial" w:eastAsia="Arial" w:hAnsi="Arial"/>
                <w:sz w:val="18"/>
                <w:szCs w:val="18"/>
                <w:color w:val="auto"/>
              </w:rPr>
              <w:t>and Business Development</w:t>
            </w:r>
          </w:p>
        </w:tc>
        <w:tc>
          <w:tcPr>
            <w:tcW w:w="2620" w:type="dxa"/>
            <w:vAlign w:val="bottom"/>
          </w:tcPr>
          <w:p>
            <w:pPr>
              <w:spacing w:after="0"/>
              <w:rPr>
                <w:sz w:val="19"/>
                <w:szCs w:val="19"/>
                <w:color w:val="auto"/>
              </w:rPr>
            </w:pPr>
          </w:p>
        </w:tc>
      </w:tr>
      <w:tr>
        <w:trPr>
          <w:trHeight w:val="338"/>
        </w:trPr>
        <w:tc>
          <w:tcPr>
            <w:tcW w:w="8800" w:type="dxa"/>
            <w:vAlign w:val="bottom"/>
            <w:gridSpan w:val="4"/>
          </w:tcPr>
          <w:p>
            <w:pPr>
              <w:spacing w:after="0"/>
              <w:rPr>
                <w:sz w:val="20"/>
                <w:szCs w:val="20"/>
                <w:color w:val="auto"/>
              </w:rPr>
            </w:pPr>
            <w:r>
              <w:rPr>
                <w:rFonts w:ascii="Arial" w:cs="Arial" w:eastAsia="Arial" w:hAnsi="Arial"/>
                <w:sz w:val="18"/>
                <w:szCs w:val="18"/>
                <w:color w:val="auto"/>
              </w:rPr>
              <w:t>Denise S. Stump, Executive Vice President, Global Human Resources</w:t>
            </w:r>
          </w:p>
        </w:tc>
        <w:tc>
          <w:tcPr>
            <w:tcW w:w="2620" w:type="dxa"/>
            <w:vAlign w:val="bottom"/>
          </w:tcPr>
          <w:p>
            <w:pPr>
              <w:ind w:left="660"/>
              <w:spacing w:after="0"/>
              <w:rPr>
                <w:sz w:val="20"/>
                <w:szCs w:val="20"/>
                <w:color w:val="auto"/>
              </w:rPr>
            </w:pPr>
            <w:r>
              <w:rPr>
                <w:rFonts w:ascii="Arial" w:cs="Arial" w:eastAsia="Arial" w:hAnsi="Arial"/>
                <w:sz w:val="18"/>
                <w:szCs w:val="18"/>
                <w:color w:val="auto"/>
              </w:rPr>
              <w:t>November 5, 2011</w:t>
            </w:r>
          </w:p>
        </w:tc>
      </w:tr>
      <w:tr>
        <w:trPr>
          <w:trHeight w:val="324"/>
        </w:trPr>
        <w:tc>
          <w:tcPr>
            <w:tcW w:w="8800" w:type="dxa"/>
            <w:vAlign w:val="bottom"/>
            <w:gridSpan w:val="4"/>
          </w:tcPr>
          <w:p>
            <w:pPr>
              <w:spacing w:after="0"/>
              <w:rPr>
                <w:sz w:val="20"/>
                <w:szCs w:val="20"/>
                <w:color w:val="auto"/>
              </w:rPr>
            </w:pPr>
            <w:r>
              <w:rPr>
                <w:rFonts w:ascii="Arial" w:cs="Arial" w:eastAsia="Arial" w:hAnsi="Arial"/>
                <w:sz w:val="18"/>
                <w:szCs w:val="18"/>
                <w:color w:val="auto"/>
              </w:rPr>
              <w:t>James R. Lyski, Executive Vice President, Chief Marketing Officer</w:t>
            </w:r>
          </w:p>
        </w:tc>
        <w:tc>
          <w:tcPr>
            <w:tcW w:w="2620" w:type="dxa"/>
            <w:vAlign w:val="bottom"/>
          </w:tcPr>
          <w:p>
            <w:pPr>
              <w:ind w:left="660"/>
              <w:spacing w:after="0"/>
              <w:rPr>
                <w:sz w:val="20"/>
                <w:szCs w:val="20"/>
                <w:color w:val="auto"/>
              </w:rPr>
            </w:pPr>
            <w:r>
              <w:rPr>
                <w:rFonts w:ascii="Arial" w:cs="Arial" w:eastAsia="Arial" w:hAnsi="Arial"/>
                <w:sz w:val="18"/>
                <w:szCs w:val="18"/>
                <w:color w:val="auto"/>
              </w:rPr>
              <w:t>November 5, 2011</w:t>
            </w:r>
          </w:p>
        </w:tc>
      </w:tr>
    </w:tbl>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Scotts Miracle-Gro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580" w:type="dxa"/>
            <w:vAlign w:val="bottom"/>
            <w:gridSpan w:val="3"/>
          </w:tcPr>
          <w:p>
            <w:pPr>
              <w:spacing w:after="0"/>
              <w:rPr>
                <w:sz w:val="20"/>
                <w:szCs w:val="20"/>
                <w:color w:val="auto"/>
              </w:rPr>
            </w:pPr>
            <w:r>
              <w:rPr>
                <w:rFonts w:ascii="Arial" w:cs="Arial" w:eastAsia="Arial" w:hAnsi="Arial"/>
                <w:sz w:val="14"/>
                <w:szCs w:val="14"/>
                <w:color w:val="auto"/>
              </w:rPr>
              <w:t>($ IN MILLIONS)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10"/>
          </w:tcPr>
          <w:p>
            <w:pPr>
              <w:jc w:val="right"/>
              <w:ind w:right="100"/>
              <w:spacing w:after="0"/>
              <w:rPr>
                <w:sz w:val="20"/>
                <w:szCs w:val="20"/>
                <w:color w:val="auto"/>
              </w:rPr>
            </w:pPr>
            <w:r>
              <w:rPr>
                <w:rFonts w:ascii="Arial" w:cs="Arial" w:eastAsia="Arial" w:hAnsi="Arial"/>
                <w:sz w:val="14"/>
                <w:szCs w:val="14"/>
                <w:b w:val="1"/>
                <w:bCs w:val="1"/>
                <w:color w:val="auto"/>
                <w:w w:val="88"/>
              </w:rPr>
              <w:t>For the Fiscal Year Ended September 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Borders>
              <w:top w:val="single" w:sz="8" w:color="auto"/>
              <w:bottom w:val="single" w:sz="8" w:color="CCEEFF"/>
            </w:tcBorders>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9" w:lineRule="exact"/>
              <w:rPr>
                <w:sz w:val="20"/>
                <w:szCs w:val="20"/>
                <w:color w:val="auto"/>
              </w:rPr>
            </w:pPr>
            <w:r>
              <w:rPr>
                <w:rFonts w:ascii="Arial" w:cs="Arial" w:eastAsia="Arial" w:hAnsi="Arial"/>
                <w:sz w:val="14"/>
                <w:szCs w:val="14"/>
                <w:b w:val="1"/>
                <w:bCs w:val="1"/>
                <w:color w:val="auto"/>
                <w:w w:val="89"/>
              </w:rPr>
              <w:t>2011</w:t>
            </w: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9" w:lineRule="exact"/>
              <w:rPr>
                <w:sz w:val="20"/>
                <w:szCs w:val="20"/>
                <w:color w:val="auto"/>
              </w:rPr>
            </w:pPr>
            <w:r>
              <w:rPr>
                <w:rFonts w:ascii="Arial" w:cs="Arial" w:eastAsia="Arial" w:hAnsi="Arial"/>
                <w:sz w:val="14"/>
                <w:szCs w:val="14"/>
                <w:b w:val="1"/>
                <w:bCs w:val="1"/>
                <w:color w:val="auto"/>
                <w:w w:val="83"/>
              </w:rPr>
              <w:t>2010</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9" w:lineRule="exact"/>
              <w:rPr>
                <w:sz w:val="20"/>
                <w:szCs w:val="20"/>
                <w:color w:val="auto"/>
              </w:rPr>
            </w:pPr>
            <w:r>
              <w:rPr>
                <w:rFonts w:ascii="Arial" w:cs="Arial" w:eastAsia="Arial" w:hAnsi="Arial"/>
                <w:sz w:val="14"/>
                <w:szCs w:val="14"/>
                <w:b w:val="1"/>
                <w:bCs w:val="1"/>
                <w:color w:val="auto"/>
                <w:w w:val="89"/>
              </w:rPr>
              <w:t>2009</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9"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9" w:lineRule="exact"/>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319.9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Interest Capitalized</w:t>
            </w: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adjusted earnings available for payment of fixed charges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389.0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152.1</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294.7</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ind w:left="420"/>
              <w:spacing w:after="0"/>
              <w:rPr>
                <w:sz w:val="20"/>
                <w:szCs w:val="20"/>
                <w:color w:val="auto"/>
              </w:rPr>
            </w:pPr>
            <w:r>
              <w:rPr>
                <w:rFonts w:ascii="Arial" w:cs="Arial" w:eastAsia="Arial" w:hAnsi="Arial"/>
                <w:sz w:val="18"/>
                <w:szCs w:val="18"/>
                <w:color w:val="auto"/>
              </w:rPr>
              <w:t>Interest Capitalized</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Rental expense representative of interest factor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color w:val="auto"/>
              </w:rPr>
              <w:t>Total Fixed Charges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77.7</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104.2</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amortization of capitalized interest, adjustments for minority interests in consolidated subsidiaries and distributed earnings of equity investees.</w:t>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SUBSIDIARIES OF THE SCOTTS MIRACLE-GRO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30,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Gutwein &amp; Co., Inc., an Indiana corporation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Scotts Global Investments, Inc., a Delaware corporation</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Scotts Switzerland Holdings, SA (Switzerland)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SMG Brands, Inc., a Delaware corporation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SMG Growing Media, Inc., an Ohio corporation</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Rod McLellan Company, a California corporation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SMGM LLC, an Ohio limited liability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Scotts Company LLC, an Ohio limited liability company</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EG Systems, Inc., dba Scotts LawnService, an Indiana corporation</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Hyponex Corporation, a Delaware corporation</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OMS Investments, Inc., a Delaware corporation</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Temecula Operations, LLC, a Delaware limited liability company</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Sanford Scientific, Inc., a New York corporation</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Scotts Global Services, Inc., an Ohio corporation</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Scotts Manufacturing Company, a Delaware corporation</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Miracle-Gro Lawn Products, Inc., a New York corporation</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Scotts Products Co., an Ohio corporation</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Servicios, S.A. de C.V. (Mexico)</w:t>
      </w:r>
      <w:r>
        <w:rPr>
          <w:rFonts w:ascii="Arial" w:cs="Arial" w:eastAsia="Arial" w:hAnsi="Arial"/>
          <w:sz w:val="11"/>
          <w:szCs w:val="11"/>
          <w:color w:val="auto"/>
        </w:rPr>
        <w:t>1</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Scotts Professional Products Co., an Ohio corporation</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Servicios, S.A. de C.V. (Mexico)</w:t>
      </w:r>
      <w:r>
        <w:rPr>
          <w:rFonts w:ascii="Arial" w:cs="Arial" w:eastAsia="Arial" w:hAnsi="Arial"/>
          <w:sz w:val="11"/>
          <w:szCs w:val="11"/>
          <w:color w:val="auto"/>
        </w:rPr>
        <w:t>2</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Scotts-Sierra Investments, Inc., a Delaware corporation</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ASEF BV (Netherlands)</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Australia Pty Limited (Australia)</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Scotts Gardening Fertilizer (Wuhan) Co., Ltd. (China)</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Benelux BVBA (Belgium)</w:t>
      </w:r>
      <w:r>
        <w:rPr>
          <w:rFonts w:ascii="Arial" w:cs="Arial" w:eastAsia="Arial" w:hAnsi="Arial"/>
          <w:sz w:val="11"/>
          <w:szCs w:val="11"/>
          <w:color w:val="auto"/>
        </w:rPr>
        <w:t>3</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Canada Ltd. (Canada)</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Czech s.r.o. (Czech Republic)</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de Mexico SA de CV (Mexico)</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France Holdings SARL (France)</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Scotts France SAS (France)</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Celaflor GmbH (Germany)</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Scotts Celaflor HGmbH (Austria)</w:t>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Scotts Holdings Limited (United Kingdom)</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Levington Group Limited (United Kingdom)</w:t>
      </w:r>
    </w:p>
    <w:p>
      <w:pPr>
        <w:spacing w:after="0" w:line="3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The Scotts Company (UK) Limited (United Kingdom)</w:t>
      </w:r>
    </w:p>
    <w:p>
      <w:pPr>
        <w:spacing w:after="0" w:line="3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Scotts Company (Manufacturing) Limited (United Kingdom)</w:t>
      </w:r>
    </w:p>
    <w:p>
      <w:pPr>
        <w:spacing w:after="0" w:line="36"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Humax Horticulture Limited (UK)</w:t>
      </w:r>
    </w:p>
    <w:p>
      <w:pPr>
        <w:spacing w:after="0" w:line="3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 M Scott International Investments Limited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89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39"/>
        </w:numPr>
        <w:rPr>
          <w:rFonts w:ascii="Arial" w:cs="Arial" w:eastAsia="Arial" w:hAnsi="Arial"/>
          <w:sz w:val="22"/>
          <w:szCs w:val="22"/>
          <w:color w:val="auto"/>
          <w:vertAlign w:val="superscript"/>
        </w:rPr>
      </w:pPr>
      <w:r>
        <w:rPr>
          <w:rFonts w:ascii="Arial" w:cs="Arial" w:eastAsia="Arial" w:hAnsi="Arial"/>
          <w:sz w:val="18"/>
          <w:szCs w:val="18"/>
          <w:color w:val="auto"/>
        </w:rPr>
        <w:t>Scotts Professional Products Co. owns 50%</w:t>
      </w:r>
    </w:p>
    <w:p>
      <w:pPr>
        <w:ind w:left="220" w:hanging="212"/>
        <w:spacing w:after="0" w:line="205" w:lineRule="auto"/>
        <w:tabs>
          <w:tab w:leader="none" w:pos="220" w:val="left"/>
        </w:tabs>
        <w:numPr>
          <w:ilvl w:val="0"/>
          <w:numId w:val="40"/>
        </w:numPr>
        <w:rPr>
          <w:rFonts w:ascii="Arial" w:cs="Arial" w:eastAsia="Arial" w:hAnsi="Arial"/>
          <w:sz w:val="22"/>
          <w:szCs w:val="22"/>
          <w:color w:val="auto"/>
          <w:vertAlign w:val="superscript"/>
        </w:rPr>
      </w:pPr>
      <w:r>
        <w:rPr>
          <w:rFonts w:ascii="Arial" w:cs="Arial" w:eastAsia="Arial" w:hAnsi="Arial"/>
          <w:sz w:val="18"/>
          <w:szCs w:val="18"/>
          <w:color w:val="auto"/>
        </w:rPr>
        <w:t>Scotts Products Co. owns 50%</w:t>
      </w:r>
    </w:p>
    <w:p>
      <w:pPr>
        <w:ind w:left="220" w:hanging="212"/>
        <w:spacing w:after="0" w:line="221" w:lineRule="auto"/>
        <w:tabs>
          <w:tab w:leader="none" w:pos="220" w:val="left"/>
        </w:tabs>
        <w:numPr>
          <w:ilvl w:val="0"/>
          <w:numId w:val="41"/>
        </w:numPr>
        <w:rPr>
          <w:rFonts w:ascii="Arial" w:cs="Arial" w:eastAsia="Arial" w:hAnsi="Arial"/>
          <w:sz w:val="22"/>
          <w:szCs w:val="22"/>
          <w:color w:val="auto"/>
          <w:vertAlign w:val="superscript"/>
        </w:rPr>
      </w:pPr>
      <w:r>
        <w:rPr>
          <w:rFonts w:ascii="Arial" w:cs="Arial" w:eastAsia="Arial" w:hAnsi="Arial"/>
          <w:sz w:val="18"/>
          <w:szCs w:val="18"/>
          <w:color w:val="auto"/>
        </w:rPr>
        <w:t>OMS Investments, Inc. owns .01%</w:t>
      </w:r>
    </w:p>
    <w:p>
      <w:pPr>
        <w:sectPr>
          <w:pgSz w:w="11900" w:h="16838" w:orient="portrait"/>
          <w:cols w:equalWidth="0" w:num="1">
            <w:col w:w="11420"/>
          </w:cols>
          <w:pgMar w:left="240" w:top="125" w:right="239" w:bottom="1440" w:gutter="0" w:footer="0" w:header="0"/>
        </w:sectPr>
      </w:pPr>
    </w:p>
    <w:bookmarkStart w:id="149" w:name="page150"/>
    <w:bookmarkEnd w:id="149"/>
    <w:p>
      <w:pPr>
        <w:ind w:left="193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Scotts Horticulture Ltd. (Ireland)</w:t>
      </w:r>
    </w:p>
    <w:p>
      <w:pPr>
        <w:spacing w:after="0" w:line="36"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Scotts Hungary KFT (Hungary)</w:t>
      </w:r>
      <w:r>
        <w:rPr>
          <w:rFonts w:ascii="Arial" w:cs="Arial" w:eastAsia="Arial" w:hAnsi="Arial"/>
          <w:sz w:val="11"/>
          <w:szCs w:val="11"/>
          <w:color w:val="auto"/>
        </w:rPr>
        <w:t>4</w:t>
      </w:r>
    </w:p>
    <w:p>
      <w:pPr>
        <w:spacing w:after="0" w:line="36"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Scotts Poland Sp.z.o.o. (Poland)</w:t>
      </w:r>
    </w:p>
    <w:p>
      <w:pPr>
        <w:spacing w:after="0" w:line="36" w:lineRule="exact"/>
        <w:rPr>
          <w:sz w:val="20"/>
          <w:szCs w:val="20"/>
          <w:color w:val="auto"/>
        </w:rPr>
      </w:pPr>
    </w:p>
    <w:p>
      <w:pPr>
        <w:ind w:left="1492"/>
        <w:spacing w:after="0"/>
        <w:rPr>
          <w:sz w:val="20"/>
          <w:szCs w:val="20"/>
          <w:color w:val="auto"/>
        </w:rPr>
      </w:pPr>
      <w:r>
        <w:rPr>
          <w:rFonts w:ascii="Arial" w:cs="Arial" w:eastAsia="Arial" w:hAnsi="Arial"/>
          <w:sz w:val="16"/>
          <w:szCs w:val="16"/>
          <w:color w:val="auto"/>
        </w:rPr>
        <w:t>The Scotts Company (Nordic) A/S (Denmark)</w:t>
      </w:r>
    </w:p>
    <w:p>
      <w:pPr>
        <w:spacing w:after="0" w:line="59"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Turf-Seed (Europe) Limited (Ireland)</w:t>
      </w:r>
      <w:r>
        <w:rPr>
          <w:rFonts w:ascii="Arial" w:cs="Arial" w:eastAsia="Arial" w:hAnsi="Arial"/>
          <w:sz w:val="11"/>
          <w:szCs w:val="11"/>
          <w:color w:val="auto"/>
        </w:rPr>
        <w:t>5</w:t>
      </w:r>
    </w:p>
    <w:p>
      <w:pPr>
        <w:spacing w:after="0" w:line="3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Teak 2, Ltd., a Delaware corporation</w:t>
      </w:r>
    </w:p>
    <w:p>
      <w:pPr>
        <w:spacing w:after="0" w:line="36" w:lineRule="exact"/>
        <w:rPr>
          <w:sz w:val="20"/>
          <w:szCs w:val="20"/>
          <w:color w:val="auto"/>
        </w:rPr>
      </w:pPr>
    </w:p>
    <w:p>
      <w:pPr>
        <w:ind w:left="912"/>
        <w:spacing w:after="0"/>
        <w:rPr>
          <w:sz w:val="20"/>
          <w:szCs w:val="20"/>
          <w:color w:val="auto"/>
        </w:rPr>
      </w:pPr>
      <w:r>
        <w:rPr>
          <w:rFonts w:ascii="Arial" w:cs="Arial" w:eastAsia="Arial" w:hAnsi="Arial"/>
          <w:sz w:val="16"/>
          <w:szCs w:val="16"/>
          <w:color w:val="auto"/>
        </w:rPr>
        <w:t>Swiss Farms Products,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89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12" w:hanging="212"/>
        <w:spacing w:after="0"/>
        <w:tabs>
          <w:tab w:leader="none" w:pos="212" w:val="left"/>
        </w:tabs>
        <w:numPr>
          <w:ilvl w:val="0"/>
          <w:numId w:val="42"/>
        </w:numPr>
        <w:rPr>
          <w:rFonts w:ascii="Arial" w:cs="Arial" w:eastAsia="Arial" w:hAnsi="Arial"/>
          <w:sz w:val="22"/>
          <w:szCs w:val="22"/>
          <w:color w:val="auto"/>
          <w:vertAlign w:val="superscript"/>
        </w:rPr>
      </w:pPr>
      <w:r>
        <w:rPr>
          <w:rFonts w:ascii="Arial" w:cs="Arial" w:eastAsia="Arial" w:hAnsi="Arial"/>
          <w:sz w:val="18"/>
          <w:szCs w:val="18"/>
          <w:color w:val="auto"/>
        </w:rPr>
        <w:t>OMS Investments, Inc. owns 3%</w:t>
      </w:r>
    </w:p>
    <w:p>
      <w:pPr>
        <w:ind w:left="212" w:hanging="212"/>
        <w:spacing w:after="0" w:line="221" w:lineRule="auto"/>
        <w:tabs>
          <w:tab w:leader="none" w:pos="212" w:val="left"/>
        </w:tabs>
        <w:numPr>
          <w:ilvl w:val="0"/>
          <w:numId w:val="43"/>
        </w:numPr>
        <w:rPr>
          <w:rFonts w:ascii="Arial" w:cs="Arial" w:eastAsia="Arial" w:hAnsi="Arial"/>
          <w:sz w:val="22"/>
          <w:szCs w:val="22"/>
          <w:color w:val="auto"/>
          <w:vertAlign w:val="superscript"/>
        </w:rPr>
      </w:pPr>
      <w:r>
        <w:rPr>
          <w:rFonts w:ascii="Arial" w:cs="Arial" w:eastAsia="Arial" w:hAnsi="Arial"/>
          <w:sz w:val="18"/>
          <w:szCs w:val="18"/>
          <w:color w:val="auto"/>
        </w:rPr>
        <w:t>Not wholly-owned, owned 51% by Tempoverde, Srl.</w:t>
      </w:r>
    </w:p>
    <w:p>
      <w:pPr>
        <w:sectPr>
          <w:pgSz w:w="11900" w:h="16838" w:orient="portrait"/>
          <w:cols w:equalWidth="0" w:num="1">
            <w:col w:w="10211"/>
          </w:cols>
          <w:pgMar w:left="248" w:top="280" w:right="1440"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consent to the incorporation by reference in Registration Statement Nos. 033-47073, 333-06061, 333-27561, 333-72715, 333-76697, 333-104490, 333-124503, 333-131466, 333-147397, 333-153925 and 333-154364 on Form S-8 and Registration Statement No. 333-163330 on Form S-3 of our reports dated November 23, 2011, relating to the consolidated financial statements and consolidated financial statement schedules of The Scotts Miracle-Gro Company and subsidiaries (the “Company”) and the effectiveness of the Company’s internal control over financial reporting appearing in the Company’s Annual Report on Form 10-K for the year ended September 30,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Columbus, Ohio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2011</w:t>
      </w:r>
    </w:p>
    <w:p>
      <w:pPr>
        <w:sectPr>
          <w:pgSz w:w="11900" w:h="16838" w:orient="portrait"/>
          <w:cols w:equalWidth="0" w:num="1">
            <w:col w:w="11420"/>
          </w:cols>
          <w:pgMar w:left="240" w:top="125"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Alan H.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Alan H. Barry</w:t>
      </w:r>
    </w:p>
    <w:p>
      <w:pPr>
        <w:sectPr>
          <w:pgSz w:w="11900" w:h="16838" w:orient="portrait"/>
          <w:cols w:equalWidth="0" w:num="1">
            <w:col w:w="11420"/>
          </w:cols>
          <w:pgMar w:left="240" w:top="125"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P. Flannery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P. Flannery</w:t>
      </w:r>
    </w:p>
    <w:p>
      <w:pPr>
        <w:sectPr>
          <w:pgSz w:w="11900" w:h="16838" w:orient="portrait"/>
          <w:cols w:equalWidth="0" w:num="1">
            <w:col w:w="11420"/>
          </w:cols>
          <w:pgMar w:left="240" w:top="274"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Hagedorn</w:t>
      </w:r>
    </w:p>
    <w:p>
      <w:pPr>
        <w:sectPr>
          <w:pgSz w:w="11900" w:h="16838" w:orient="portrait"/>
          <w:cols w:equalWidth="0" w:num="1">
            <w:col w:w="11420"/>
          </w:cols>
          <w:pgMar w:left="240" w:top="274"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9th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Hanft</w:t>
      </w:r>
    </w:p>
    <w:p>
      <w:pPr>
        <w:sectPr>
          <w:pgSz w:w="11900" w:h="16838" w:orient="portrait"/>
          <w:cols w:equalWidth="0" w:num="1">
            <w:col w:w="11420"/>
          </w:cols>
          <w:pgMar w:left="240" w:top="274"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L. Johnson</w:t>
      </w:r>
    </w:p>
    <w:p>
      <w:pPr>
        <w:sectPr>
          <w:pgSz w:w="11900" w:h="16838" w:orient="portrait"/>
          <w:cols w:equalWidth="0" w:num="1">
            <w:col w:w="11420"/>
          </w:cols>
          <w:pgMar w:left="240" w:top="274"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G. Jurgensen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G. Jurgensen</w:t>
      </w:r>
    </w:p>
    <w:p>
      <w:pPr>
        <w:sectPr>
          <w:pgSz w:w="11900" w:h="16838" w:orient="portrait"/>
          <w:cols w:equalWidth="0" w:num="1">
            <w:col w:w="11420"/>
          </w:cols>
          <w:pgMar w:left="240" w:top="274"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Thomas N. Kelly Jr.</w:t>
      </w:r>
    </w:p>
    <w:p>
      <w:pPr>
        <w:sectPr>
          <w:pgSz w:w="11900" w:h="16838" w:orient="portrait"/>
          <w:cols w:equalWidth="0" w:num="1">
            <w:col w:w="11420"/>
          </w:cols>
          <w:pgMar w:left="240" w:top="274"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9th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Carl F. Kohrt,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 F. Kohrt, Ph.D.</w:t>
      </w:r>
    </w:p>
    <w:p>
      <w:pPr>
        <w:sectPr>
          <w:pgSz w:w="11900" w:h="16838" w:orient="portrait"/>
          <w:cols w:equalWidth="0" w:num="1">
            <w:col w:w="11420"/>
          </w:cols>
          <w:pgMar w:left="240" w:top="274"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Katherine 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Katherine Hagedorn Littlefield</w:t>
      </w:r>
    </w:p>
    <w:p>
      <w:pPr>
        <w:sectPr>
          <w:pgSz w:w="11900" w:h="16838" w:orient="portrait"/>
          <w:cols w:equalWidth="0" w:num="1">
            <w:col w:w="11420"/>
          </w:cols>
          <w:pgMar w:left="240" w:top="274"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Nancy G. Mistretta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Nancy G. Mistretta</w:t>
      </w:r>
    </w:p>
    <w:p>
      <w:pPr>
        <w:sectPr>
          <w:pgSz w:w="11900" w:h="16838" w:orient="portrait"/>
          <w:cols w:equalWidth="0" w:num="1">
            <w:col w:w="11420"/>
          </w:cols>
          <w:pgMar w:left="240" w:top="274"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Stephanie M. Shern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Stephanie M. Shern</w:t>
      </w:r>
    </w:p>
    <w:p>
      <w:pPr>
        <w:sectPr>
          <w:pgSz w:w="11900" w:h="16838" w:orient="portrait"/>
          <w:cols w:equalWidth="0" w:num="1">
            <w:col w:w="11420"/>
          </w:cols>
          <w:pgMar w:left="240" w:top="274"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David C. Evans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S. Shiely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S. Shiely</w:t>
      </w:r>
    </w:p>
    <w:p>
      <w:pPr>
        <w:sectPr>
          <w:pgSz w:w="11900" w:h="16838" w:orient="portrait"/>
          <w:cols w:equalWidth="0" w:num="1">
            <w:col w:w="11420"/>
          </w:cols>
          <w:pgMar w:left="240" w:top="274"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undersigned officer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2011, hereby constitutes and appoints James Hagedorn and Vincent C. Brockman, and each of them, with full power of substitution and resubstitution, as attorney-in-fact and agent to sign for the undersigned, in any and all capacities, such Annual Report on Form 10-K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he could do if personally present. The undersigned hereby ratifies and confirms all that each said attorney-in-fact and agent or his substitute or substitutes may lawfully do or cause to be done by virtue hereof.</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Power of Attorney this 23rd day of November,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C. Evans</w:t>
      </w:r>
    </w:p>
    <w:p>
      <w:pPr>
        <w:sectPr>
          <w:pgSz w:w="11900" w:h="16838" w:orient="portrait"/>
          <w:cols w:equalWidth="0" w:num="1">
            <w:col w:w="11420"/>
          </w:cols>
          <w:pgMar w:left="240" w:top="274"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71" w:lineRule="exact"/>
        <w:rPr>
          <w:sz w:val="20"/>
          <w:szCs w:val="20"/>
          <w:color w:val="auto"/>
        </w:rPr>
      </w:pPr>
    </w:p>
    <w:p>
      <w:pPr>
        <w:ind w:left="640" w:hanging="17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2011;</w:t>
      </w:r>
    </w:p>
    <w:p>
      <w:pPr>
        <w:spacing w:after="0" w:line="171" w:lineRule="exact"/>
        <w:rPr>
          <w:rFonts w:ascii="Arial" w:cs="Arial" w:eastAsia="Arial" w:hAnsi="Arial"/>
          <w:sz w:val="18"/>
          <w:szCs w:val="18"/>
          <w:color w:val="auto"/>
        </w:rPr>
      </w:pPr>
    </w:p>
    <w:p>
      <w:pPr>
        <w:ind w:right="20" w:firstLine="464"/>
        <w:spacing w:after="0" w:line="332" w:lineRule="auto"/>
        <w:tabs>
          <w:tab w:leader="none" w:pos="653"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firstLine="464"/>
        <w:spacing w:after="0" w:line="268" w:lineRule="auto"/>
        <w:tabs>
          <w:tab w:leader="none" w:pos="656"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2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6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6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13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4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Hagedorn</w:t>
            </w: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Printed Name:</w:t>
            </w:r>
          </w:p>
        </w:tc>
        <w:tc>
          <w:tcPr>
            <w:tcW w:w="3380" w:type="dxa"/>
            <w:vAlign w:val="bottom"/>
          </w:tcPr>
          <w:p>
            <w:pPr>
              <w:ind w:left="100"/>
              <w:spacing w:after="0" w:line="203" w:lineRule="exact"/>
              <w:rPr>
                <w:sz w:val="20"/>
                <w:szCs w:val="20"/>
                <w:color w:val="auto"/>
              </w:rPr>
            </w:pPr>
            <w:r>
              <w:rPr>
                <w:rFonts w:ascii="Arial" w:cs="Arial" w:eastAsia="Arial" w:hAnsi="Arial"/>
                <w:sz w:val="18"/>
                <w:szCs w:val="18"/>
                <w:color w:val="auto"/>
              </w:rPr>
              <w:t>James Hagedorn</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100"/>
              <w:spacing w:after="0"/>
              <w:rPr>
                <w:sz w:val="20"/>
                <w:szCs w:val="20"/>
                <w:color w:val="auto"/>
              </w:rPr>
            </w:pPr>
            <w:r>
              <w:rPr>
                <w:rFonts w:ascii="Arial" w:cs="Arial" w:eastAsia="Arial" w:hAnsi="Arial"/>
                <w:sz w:val="18"/>
                <w:szCs w:val="18"/>
                <w:color w:val="auto"/>
              </w:rPr>
              <w:t>Chief Executive Officer and</w:t>
            </w:r>
          </w:p>
        </w:tc>
      </w:tr>
      <w:tr>
        <w:trPr>
          <w:trHeight w:val="222"/>
        </w:trPr>
        <w:tc>
          <w:tcPr>
            <w:tcW w:w="1180" w:type="dxa"/>
            <w:vAlign w:val="bottom"/>
          </w:tcPr>
          <w:p>
            <w:pPr>
              <w:spacing w:after="0"/>
              <w:rPr>
                <w:sz w:val="19"/>
                <w:szCs w:val="19"/>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Chairman of the Board</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23, 2011</w:t>
      </w:r>
    </w:p>
    <w:p>
      <w:pPr>
        <w:sectPr>
          <w:pgSz w:w="11900" w:h="16838" w:orient="portrait"/>
          <w:cols w:equalWidth="0" w:num="1">
            <w:col w:w="11420"/>
          </w:cols>
          <w:pgMar w:left="240" w:top="125"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C. Evans, certify that:</w:t>
      </w:r>
    </w:p>
    <w:p>
      <w:pPr>
        <w:spacing w:after="0" w:line="171" w:lineRule="exact"/>
        <w:rPr>
          <w:sz w:val="20"/>
          <w:szCs w:val="20"/>
          <w:color w:val="auto"/>
        </w:rPr>
      </w:pPr>
    </w:p>
    <w:p>
      <w:pPr>
        <w:ind w:left="640" w:hanging="17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Scotts Miracle-Gro Company for the fiscal year ended September 30, 2011;</w:t>
      </w:r>
    </w:p>
    <w:p>
      <w:pPr>
        <w:spacing w:after="0" w:line="171" w:lineRule="exact"/>
        <w:rPr>
          <w:rFonts w:ascii="Arial" w:cs="Arial" w:eastAsia="Arial" w:hAnsi="Arial"/>
          <w:sz w:val="18"/>
          <w:szCs w:val="18"/>
          <w:color w:val="auto"/>
        </w:rPr>
      </w:pPr>
    </w:p>
    <w:p>
      <w:pPr>
        <w:ind w:right="20" w:firstLine="464"/>
        <w:spacing w:after="0" w:line="332" w:lineRule="auto"/>
        <w:tabs>
          <w:tab w:leader="none" w:pos="653"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firstLine="464"/>
        <w:spacing w:after="0" w:line="268" w:lineRule="auto"/>
        <w:tabs>
          <w:tab w:leader="none" w:pos="6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3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52"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firstLine="443"/>
        <w:spacing w:after="0" w:line="259" w:lineRule="auto"/>
        <w:tabs>
          <w:tab w:leader="none" w:pos="118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firstLine="443"/>
        <w:spacing w:after="0" w:line="332" w:lineRule="auto"/>
        <w:tabs>
          <w:tab w:leader="none" w:pos="11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firstLine="443"/>
        <w:spacing w:after="0" w:line="259" w:lineRule="auto"/>
        <w:tabs>
          <w:tab w:leader="none" w:pos="1161"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firstLine="464"/>
        <w:spacing w:after="0" w:line="332" w:lineRule="auto"/>
        <w:tabs>
          <w:tab w:leader="none" w:pos="64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firstLine="443"/>
        <w:spacing w:after="0" w:line="268" w:lineRule="auto"/>
        <w:tabs>
          <w:tab w:leader="none" w:pos="113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firstLine="443"/>
        <w:spacing w:after="0" w:line="268" w:lineRule="auto"/>
        <w:tabs>
          <w:tab w:leader="none" w:pos="114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gridSpan w:val="2"/>
          </w:tcPr>
          <w:p>
            <w:pPr>
              <w:ind w:left="100"/>
              <w:spacing w:after="0"/>
              <w:rPr>
                <w:sz w:val="20"/>
                <w:szCs w:val="20"/>
                <w:color w:val="auto"/>
              </w:rPr>
            </w:pPr>
            <w:r>
              <w:rPr>
                <w:rFonts w:ascii="Arial" w:cs="Arial" w:eastAsia="Arial" w:hAnsi="Arial"/>
                <w:sz w:val="18"/>
                <w:szCs w:val="18"/>
                <w:color w:val="auto"/>
              </w:rPr>
              <w:t>/s/ David C. Evans</w:t>
            </w: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Printed Name:</w:t>
            </w:r>
          </w:p>
        </w:tc>
        <w:tc>
          <w:tcPr>
            <w:tcW w:w="3380" w:type="dxa"/>
            <w:vAlign w:val="bottom"/>
            <w:tcBorders>
              <w:top w:val="single" w:sz="8" w:color="auto"/>
            </w:tcBorders>
          </w:tcPr>
          <w:p>
            <w:pPr>
              <w:ind w:left="100"/>
              <w:spacing w:after="0" w:line="203" w:lineRule="exact"/>
              <w:rPr>
                <w:sz w:val="20"/>
                <w:szCs w:val="20"/>
                <w:color w:val="auto"/>
              </w:rPr>
            </w:pPr>
            <w:r>
              <w:rPr>
                <w:rFonts w:ascii="Arial" w:cs="Arial" w:eastAsia="Arial" w:hAnsi="Arial"/>
                <w:sz w:val="18"/>
                <w:szCs w:val="18"/>
                <w:color w:val="auto"/>
              </w:rPr>
              <w:t>David C. Evans</w:t>
            </w:r>
          </w:p>
        </w:tc>
        <w:tc>
          <w:tcPr>
            <w:tcW w:w="20" w:type="dxa"/>
            <w:vAlign w:val="bottom"/>
          </w:tcPr>
          <w:p>
            <w:pPr>
              <w:spacing w:after="0"/>
              <w:rPr>
                <w:sz w:val="17"/>
                <w:szCs w:val="17"/>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Title:</w:t>
            </w:r>
          </w:p>
        </w:tc>
        <w:tc>
          <w:tcPr>
            <w:tcW w:w="3400" w:type="dxa"/>
            <w:vAlign w:val="bottom"/>
            <w:gridSpan w:val="2"/>
          </w:tcPr>
          <w:p>
            <w:pPr>
              <w:ind w:left="100"/>
              <w:spacing w:after="0"/>
              <w:rPr>
                <w:sz w:val="20"/>
                <w:szCs w:val="20"/>
                <w:color w:val="auto"/>
              </w:rPr>
            </w:pPr>
            <w:r>
              <w:rPr>
                <w:rFonts w:ascii="Arial" w:cs="Arial" w:eastAsia="Arial" w:hAnsi="Arial"/>
                <w:sz w:val="18"/>
                <w:szCs w:val="18"/>
                <w:color w:val="auto"/>
                <w:w w:val="97"/>
              </w:rPr>
              <w:t>Chief Financial Officer and Executive Vice</w:t>
            </w:r>
          </w:p>
        </w:tc>
      </w:tr>
      <w:tr>
        <w:trPr>
          <w:trHeight w:val="222"/>
        </w:trPr>
        <w:tc>
          <w:tcPr>
            <w:tcW w:w="1180" w:type="dxa"/>
            <w:vAlign w:val="bottom"/>
          </w:tcPr>
          <w:p>
            <w:pPr>
              <w:spacing w:after="0"/>
              <w:rPr>
                <w:sz w:val="19"/>
                <w:szCs w:val="19"/>
                <w:color w:val="auto"/>
              </w:rPr>
            </w:pPr>
          </w:p>
        </w:tc>
        <w:tc>
          <w:tcPr>
            <w:tcW w:w="3400" w:type="dxa"/>
            <w:vAlign w:val="bottom"/>
            <w:gridSpan w:val="2"/>
          </w:tcPr>
          <w:p>
            <w:pPr>
              <w:ind w:left="100"/>
              <w:spacing w:after="0"/>
              <w:rPr>
                <w:sz w:val="20"/>
                <w:szCs w:val="20"/>
                <w:color w:val="auto"/>
              </w:rPr>
            </w:pPr>
            <w:r>
              <w:rPr>
                <w:rFonts w:ascii="Arial" w:cs="Arial" w:eastAsia="Arial" w:hAnsi="Arial"/>
                <w:sz w:val="18"/>
                <w:szCs w:val="18"/>
                <w:color w:val="auto"/>
                <w:w w:val="86"/>
              </w:rPr>
              <w:t>President, Strategy and Business Development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23, 2011</w:t>
      </w:r>
    </w:p>
    <w:p>
      <w:pPr>
        <w:sectPr>
          <w:pgSz w:w="11900" w:h="16838" w:orient="portrait"/>
          <w:cols w:equalWidth="0" w:num="1">
            <w:col w:w="11420"/>
          </w:cols>
          <w:pgMar w:left="240" w:top="125"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on Form 10-K of The Scotts Miracle-Gro Company (the “Company”) for the fiscal year ended September 30, 2011 as filed with the Securities and Exchange Commission on the date hereof (the “Report”), the undersigned, James Hagedorn, Chief Executive Officer and Chairman of the Board of the Company, and David C. Evans, Chief Financial Officer and Executive Vice President, Strategy and Business Development of the Company, certify, pursuant to Section 1350 of Chapter 63 of Title 18 of the United States Code, as adopted pursuant to Section 906 of the Sarbanes-Oxley Act of 2002, that, to the best of their knowledge:</w:t>
      </w:r>
    </w:p>
    <w:p>
      <w:pPr>
        <w:spacing w:after="0" w:line="62" w:lineRule="exact"/>
        <w:rPr>
          <w:sz w:val="20"/>
          <w:szCs w:val="20"/>
          <w:color w:val="auto"/>
        </w:rPr>
      </w:pPr>
    </w:p>
    <w:p>
      <w:pPr>
        <w:ind w:left="1080" w:hanging="177"/>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as amended; and</w:t>
      </w:r>
    </w:p>
    <w:p>
      <w:pPr>
        <w:spacing w:after="0" w:line="90" w:lineRule="exact"/>
        <w:rPr>
          <w:rFonts w:ascii="Arial" w:cs="Arial" w:eastAsia="Arial" w:hAnsi="Arial"/>
          <w:sz w:val="18"/>
          <w:szCs w:val="18"/>
          <w:color w:val="auto"/>
        </w:rPr>
      </w:pPr>
    </w:p>
    <w:p>
      <w:pPr>
        <w:ind w:left="460" w:right="20" w:firstLine="443"/>
        <w:spacing w:after="0" w:line="268" w:lineRule="auto"/>
        <w:tabs>
          <w:tab w:leader="none" w:pos="10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gridSpan w:val="3"/>
          </w:tcPr>
          <w:p>
            <w:pPr>
              <w:spacing w:after="0"/>
              <w:rPr>
                <w:sz w:val="20"/>
                <w:szCs w:val="20"/>
                <w:color w:val="auto"/>
              </w:rPr>
            </w:pPr>
            <w:r>
              <w:rPr>
                <w:rFonts w:ascii="Arial" w:cs="Arial" w:eastAsia="Arial" w:hAnsi="Arial"/>
                <w:sz w:val="18"/>
                <w:szCs w:val="18"/>
                <w:color w:val="auto"/>
              </w:rPr>
              <w:t>/s/ James Hagedorn</w:t>
            </w:r>
          </w:p>
        </w:tc>
        <w:tc>
          <w:tcPr>
            <w:tcW w:w="5460" w:type="dxa"/>
            <w:vAlign w:val="bottom"/>
          </w:tcPr>
          <w:p>
            <w:pPr>
              <w:ind w:left="100"/>
              <w:spacing w:after="0"/>
              <w:rPr>
                <w:sz w:val="20"/>
                <w:szCs w:val="20"/>
                <w:color w:val="auto"/>
              </w:rPr>
            </w:pPr>
            <w:r>
              <w:rPr>
                <w:rFonts w:ascii="Arial" w:cs="Arial" w:eastAsia="Arial" w:hAnsi="Arial"/>
                <w:sz w:val="18"/>
                <w:szCs w:val="18"/>
                <w:color w:val="auto"/>
              </w:rPr>
              <w:t>/s/ David C. Evans</w:t>
            </w:r>
          </w:p>
        </w:tc>
      </w:tr>
      <w:tr>
        <w:trPr>
          <w:trHeight w:val="202"/>
        </w:trPr>
        <w:tc>
          <w:tcPr>
            <w:tcW w:w="20" w:type="dxa"/>
            <w:vAlign w:val="bottom"/>
          </w:tcPr>
          <w:p>
            <w:pPr>
              <w:spacing w:after="0"/>
              <w:rPr>
                <w:sz w:val="17"/>
                <w:szCs w:val="17"/>
                <w:color w:val="auto"/>
              </w:rPr>
            </w:pPr>
          </w:p>
        </w:tc>
        <w:tc>
          <w:tcPr>
            <w:tcW w:w="52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James Hagedorn</w:t>
            </w:r>
          </w:p>
        </w:tc>
        <w:tc>
          <w:tcPr>
            <w:tcW w:w="700" w:type="dxa"/>
            <w:vAlign w:val="bottom"/>
          </w:tcPr>
          <w:p>
            <w:pPr>
              <w:spacing w:after="0"/>
              <w:rPr>
                <w:sz w:val="17"/>
                <w:szCs w:val="17"/>
                <w:color w:val="auto"/>
              </w:rPr>
            </w:pPr>
          </w:p>
        </w:tc>
        <w:tc>
          <w:tcPr>
            <w:tcW w:w="546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David C. Evans</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Chief Executive Officer and</w:t>
            </w:r>
          </w:p>
        </w:tc>
        <w:tc>
          <w:tcPr>
            <w:tcW w:w="5460" w:type="dxa"/>
            <w:vAlign w:val="bottom"/>
          </w:tcPr>
          <w:p>
            <w:pPr>
              <w:ind w:left="100"/>
              <w:spacing w:after="0"/>
              <w:rPr>
                <w:sz w:val="20"/>
                <w:szCs w:val="20"/>
                <w:color w:val="auto"/>
              </w:rPr>
            </w:pPr>
            <w:r>
              <w:rPr>
                <w:rFonts w:ascii="Arial" w:cs="Arial" w:eastAsia="Arial" w:hAnsi="Arial"/>
                <w:sz w:val="18"/>
                <w:szCs w:val="18"/>
                <w:color w:val="auto"/>
                <w:w w:val="93"/>
              </w:rPr>
              <w:t>Chief  Financial  Officer  and  Executive  Vice  President,  Strategy  and</w:t>
            </w:r>
          </w:p>
        </w:tc>
      </w:tr>
      <w:tr>
        <w:trPr>
          <w:trHeight w:val="222"/>
        </w:trPr>
        <w:tc>
          <w:tcPr>
            <w:tcW w:w="5960" w:type="dxa"/>
            <w:vAlign w:val="bottom"/>
            <w:gridSpan w:val="3"/>
          </w:tcPr>
          <w:p>
            <w:pPr>
              <w:spacing w:after="0"/>
              <w:rPr>
                <w:sz w:val="20"/>
                <w:szCs w:val="20"/>
                <w:color w:val="auto"/>
              </w:rPr>
            </w:pPr>
            <w:r>
              <w:rPr>
                <w:rFonts w:ascii="Arial" w:cs="Arial" w:eastAsia="Arial" w:hAnsi="Arial"/>
                <w:sz w:val="18"/>
                <w:szCs w:val="18"/>
                <w:color w:val="auto"/>
              </w:rPr>
              <w:t>Chairman of the Board</w:t>
            </w:r>
          </w:p>
        </w:tc>
        <w:tc>
          <w:tcPr>
            <w:tcW w:w="5460" w:type="dxa"/>
            <w:vAlign w:val="bottom"/>
          </w:tcPr>
          <w:p>
            <w:pPr>
              <w:ind w:left="100"/>
              <w:spacing w:after="0"/>
              <w:rPr>
                <w:sz w:val="20"/>
                <w:szCs w:val="20"/>
                <w:color w:val="auto"/>
              </w:rPr>
            </w:pPr>
            <w:r>
              <w:rPr>
                <w:rFonts w:ascii="Arial" w:cs="Arial" w:eastAsia="Arial" w:hAnsi="Arial"/>
                <w:sz w:val="18"/>
                <w:szCs w:val="18"/>
                <w:color w:val="auto"/>
              </w:rPr>
              <w:t>Business Development</w:t>
            </w:r>
          </w:p>
        </w:tc>
      </w:tr>
      <w:tr>
        <w:trPr>
          <w:trHeight w:val="446"/>
        </w:trPr>
        <w:tc>
          <w:tcPr>
            <w:tcW w:w="5960" w:type="dxa"/>
            <w:vAlign w:val="bottom"/>
            <w:gridSpan w:val="3"/>
          </w:tcPr>
          <w:p>
            <w:pPr>
              <w:spacing w:after="0"/>
              <w:rPr>
                <w:sz w:val="20"/>
                <w:szCs w:val="20"/>
                <w:color w:val="auto"/>
              </w:rPr>
            </w:pPr>
            <w:r>
              <w:rPr>
                <w:rFonts w:ascii="Arial" w:cs="Arial" w:eastAsia="Arial" w:hAnsi="Arial"/>
                <w:sz w:val="18"/>
                <w:szCs w:val="18"/>
                <w:color w:val="auto"/>
              </w:rPr>
              <w:t>November 23, 2011</w:t>
            </w:r>
          </w:p>
        </w:tc>
        <w:tc>
          <w:tcPr>
            <w:tcW w:w="5460" w:type="dxa"/>
            <w:vAlign w:val="bottom"/>
          </w:tcPr>
          <w:p>
            <w:pPr>
              <w:ind w:left="100"/>
              <w:spacing w:after="0"/>
              <w:rPr>
                <w:sz w:val="20"/>
                <w:szCs w:val="20"/>
                <w:color w:val="auto"/>
              </w:rPr>
            </w:pPr>
            <w:r>
              <w:rPr>
                <w:rFonts w:ascii="Arial" w:cs="Arial" w:eastAsia="Arial" w:hAnsi="Arial"/>
                <w:sz w:val="18"/>
                <w:szCs w:val="18"/>
                <w:color w:val="auto"/>
              </w:rPr>
              <w:t>November 23,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both"/>
        <w:ind w:left="220" w:hanging="212"/>
        <w:spacing w:after="0" w:line="254" w:lineRule="auto"/>
        <w:tabs>
          <w:tab w:leader="none" w:pos="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CERTIFICATIONS ARE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AS AMENDED, OR THE EXCHANGE ACT, EXCEPT TO THE EXTENT THAT THE COMPANY SPECIFICALLY INCORPORATES THESE CERTIFICATIONS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3"/>
      <w:numFmt w:val="bullet"/>
      <w:start w:val="1"/>
    </w:lvl>
  </w:abstractNum>
  <w:abstractNum w:abstractNumId="4">
    <w:nsid w:val="B03E0C6"/>
    <w:multiLevelType w:val="hybridMultilevel"/>
    <w:lvl w:ilvl="0">
      <w:lvlJc w:val="left"/>
      <w:lvlText w:val="•"/>
      <w:numFmt w:val="bullet"/>
      <w:start w:val="1"/>
    </w:lvl>
    <w:lvl w:ilvl="1">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2"/>
    </w:lvl>
  </w:abstractNum>
  <w:abstractNum w:abstractNumId="13">
    <w:nsid w:val="1E7FF521"/>
    <w:multiLevelType w:val="hybridMultilevel"/>
    <w:lvl w:ilvl="0">
      <w:lvlJc w:val="left"/>
      <w:lvlText w:val="(%1)"/>
      <w:numFmt w:val="decimal"/>
      <w:start w:val="3"/>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Roman"/>
      <w:start w:val="3"/>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2"/>
    </w:lvl>
  </w:abstractNum>
  <w:abstractNum w:abstractNumId="20">
    <w:nsid w:val="614FD4A1"/>
    <w:multiLevelType w:val="hybridMultilevel"/>
    <w:lvl w:ilvl="0">
      <w:lvlJc w:val="left"/>
      <w:lvlText w:val="(%1)"/>
      <w:numFmt w:val="lowerLetter"/>
      <w:start w:val="3"/>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4"/>
    </w:lvl>
  </w:abstractNum>
  <w:abstractNum w:abstractNumId="28">
    <w:nsid w:val="5C482A97"/>
    <w:multiLevelType w:val="hybridMultilevel"/>
    <w:lvl w:ilvl="0">
      <w:lvlJc w:val="left"/>
      <w:lvlText w:val="%1"/>
      <w:numFmt w:val="decimal"/>
      <w:start w:val="23"/>
    </w:lvl>
  </w:abstractNum>
  <w:abstractNum w:abstractNumId="29">
    <w:nsid w:val="2463B9EA"/>
    <w:multiLevelType w:val="hybridMultilevel"/>
    <w:lvl w:ilvl="0">
      <w:lvlJc w:val="left"/>
      <w:lvlText w:val="%1"/>
      <w:numFmt w:val="decimal"/>
      <w:start w:val="32"/>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5"/>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5"/>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bullet"/>
      <w:start w:val="1"/>
    </w:lvl>
  </w:abstractNum>
  <w:abstractNum w:abstractNumId="39">
    <w:nsid w:val="1D4ED43B"/>
    <w:multiLevelType w:val="hybridMultilevel"/>
    <w:lvl w:ilvl="0">
      <w:lvlJc w:val="left"/>
      <w:lvlText w:val="2"/>
      <w:numFmt w:val="bullet"/>
      <w:start w:val="1"/>
    </w:lvl>
  </w:abstractNum>
  <w:abstractNum w:abstractNumId="40">
    <w:nsid w:val="725A06FB"/>
    <w:multiLevelType w:val="hybridMultilevel"/>
    <w:lvl w:ilvl="0">
      <w:lvlJc w:val="left"/>
      <w:lvlText w:val="3"/>
      <w:numFmt w:val="bullet"/>
      <w:start w:val="1"/>
    </w:lvl>
  </w:abstractNum>
  <w:abstractNum w:abstractNumId="41">
    <w:nsid w:val="2CD89A32"/>
    <w:multiLevelType w:val="hybridMultilevel"/>
    <w:lvl w:ilvl="0">
      <w:lvlJc w:val="left"/>
      <w:lvlText w:val="4"/>
      <w:numFmt w:val="bullet"/>
      <w:start w:val="1"/>
    </w:lvl>
  </w:abstractNum>
  <w:abstractNum w:abstractNumId="42">
    <w:nsid w:val="57E4CCAF"/>
    <w:multiLevelType w:val="hybridMultilevel"/>
    <w:lvl w:ilvl="0">
      <w:lvlJc w:val="left"/>
      <w:lvlText w:val="5"/>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2019-12-10T08:16:36Z</dcterms:created>
  <dcterms:modified xsi:type="dcterms:W3CDTF">2019-12-10T08:16:36Z</dcterms:modified>
</cp:coreProperties>
</file>