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1800" w:hanging="423"/>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March 30, 1996</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580" w:hanging="203"/>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Commission file number 1-11593</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380" w:space="640"/>
            <w:col w:w="6199"/>
          </w:cols>
          <w:pgMar w:left="240" w:top="447" w:right="1440" w:bottom="0" w:gutter="0" w:footer="0" w:header="0"/>
          <w:type w:val="continuous"/>
        </w:sectPr>
      </w:pPr>
    </w:p>
    <w:p>
      <w:pPr>
        <w:spacing w:after="0" w:line="1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14111 Scottslawn Road</w:t>
      </w:r>
    </w:p>
    <w:p>
      <w:pPr>
        <w:ind w:left="2960"/>
        <w:spacing w:after="0" w:line="238" w:lineRule="auto"/>
        <w:rPr>
          <w:sz w:val="20"/>
          <w:szCs w:val="20"/>
          <w:color w:val="auto"/>
        </w:rPr>
      </w:pPr>
      <w:r>
        <w:rPr>
          <w:rFonts w:ascii="Courier New" w:cs="Courier New" w:eastAsia="Courier New" w:hAnsi="Courier New"/>
          <w:sz w:val="18"/>
          <w:szCs w:val="18"/>
          <w:color w:val="auto"/>
        </w:rPr>
        <w:t>Marysville, Ohio 43041</w:t>
      </w:r>
    </w:p>
    <w:p>
      <w:pPr>
        <w:ind w:left="2120"/>
        <w:spacing w:after="0"/>
        <w:rPr>
          <w:sz w:val="20"/>
          <w:szCs w:val="20"/>
          <w:color w:val="auto"/>
        </w:rPr>
      </w:pPr>
      <w:r>
        <w:rPr>
          <w:rFonts w:ascii="Courier New" w:cs="Courier New" w:eastAsia="Courier New" w:hAnsi="Courier New"/>
          <w:sz w:val="18"/>
          <w:szCs w:val="18"/>
          <w:color w:val="auto"/>
        </w:rPr>
        <w:t>--------------------------------------</w:t>
      </w:r>
    </w:p>
    <w:p>
      <w:pPr>
        <w:ind w:left="200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ind w:left="3580"/>
        <w:spacing w:after="0" w:line="238"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(513) 644-0011</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No change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(Former name, former address and former fiscal year,</w:t>
      </w:r>
    </w:p>
    <w:p>
      <w:pPr>
        <w:ind w:left="2540"/>
        <w:spacing w:after="0" w:line="237" w:lineRule="auto"/>
        <w:rPr>
          <w:sz w:val="20"/>
          <w:szCs w:val="20"/>
          <w:color w:val="auto"/>
        </w:rPr>
      </w:pPr>
      <w:r>
        <w:rPr>
          <w:rFonts w:ascii="Courier New" w:cs="Courier New" w:eastAsia="Courier New" w:hAnsi="Courier New"/>
          <w:sz w:val="18"/>
          <w:szCs w:val="18"/>
          <w:color w:val="auto"/>
        </w:rPr>
        <w:t>if changed since last report.)</w:t>
      </w:r>
    </w:p>
    <w:p>
      <w:pPr>
        <w:spacing w:after="0" w:line="207"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47" w:right="1440" w:bottom="0" w:gutter="0" w:footer="0" w:header="0"/>
          <w:type w:val="continuous"/>
        </w:sectPr>
      </w:pPr>
    </w:p>
    <w:p>
      <w:pPr>
        <w:spacing w:after="0" w:line="209" w:lineRule="exact"/>
        <w:rPr>
          <w:sz w:val="24"/>
          <w:szCs w:val="24"/>
          <w:color w:val="auto"/>
        </w:rPr>
      </w:pPr>
    </w:p>
    <w:p>
      <w:pPr>
        <w:ind w:left="4440"/>
        <w:spacing w:after="0"/>
        <w:rPr>
          <w:sz w:val="20"/>
          <w:szCs w:val="20"/>
          <w:color w:val="auto"/>
        </w:rPr>
      </w:pPr>
      <w:r>
        <w:rPr>
          <w:rFonts w:ascii="Courier New" w:cs="Courier New" w:eastAsia="Courier New" w:hAnsi="Courier New"/>
          <w:sz w:val="16"/>
          <w:szCs w:val="16"/>
          <w:color w:val="auto"/>
        </w:rPr>
        <w:t>Yes X</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No____</w:t>
      </w:r>
    </w:p>
    <w:p>
      <w:pPr>
        <w:spacing w:after="0" w:line="200" w:lineRule="exact"/>
        <w:rPr>
          <w:sz w:val="24"/>
          <w:szCs w:val="24"/>
          <w:color w:val="auto"/>
        </w:rPr>
      </w:pPr>
    </w:p>
    <w:p>
      <w:pPr>
        <w:sectPr>
          <w:pgSz w:w="11900" w:h="16838" w:orient="portrait"/>
          <w:cols w:equalWidth="0" w:num="2">
            <w:col w:w="5080" w:space="720"/>
            <w:col w:w="4419"/>
          </w:cols>
          <w:pgMar w:left="240" w:top="447" w:right="1440" w:bottom="0" w:gutter="0" w:footer="0" w:header="0"/>
          <w:type w:val="continuous"/>
        </w:sectPr>
      </w:pPr>
    </w:p>
    <w:p>
      <w:pPr>
        <w:spacing w:after="0" w:line="24"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18,980,553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Shares, voting, no par value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May 6, 1996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419" w:lineRule="exact"/>
        <w:rPr>
          <w:sz w:val="24"/>
          <w:szCs w:val="24"/>
          <w:color w:val="auto"/>
        </w:rPr>
      </w:pPr>
    </w:p>
    <w:p>
      <w:pPr>
        <w:sectPr>
          <w:pgSz w:w="11900" w:h="16838" w:orient="portrait"/>
          <w:cols w:equalWidth="0" w:num="2">
            <w:col w:w="4120" w:space="200"/>
            <w:col w:w="5899"/>
          </w:cols>
          <w:pgMar w:left="240" w:top="447"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Page 1 of 27 pages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Exhibit Index at page 17</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18"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7380"/>
        <w:spacing w:after="0"/>
        <w:rPr>
          <w:sz w:val="20"/>
          <w:szCs w:val="20"/>
          <w:color w:val="auto"/>
        </w:rPr>
      </w:pPr>
      <w:r>
        <w:rPr>
          <w:rFonts w:ascii="Courier New" w:cs="Courier New" w:eastAsia="Courier New" w:hAnsi="Courier New"/>
          <w:sz w:val="16"/>
          <w:szCs w:val="16"/>
          <w:color w:val="auto"/>
        </w:rPr>
        <w:t>Page No.</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Part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4"/>
          <w:szCs w:val="24"/>
          <w:color w:val="auto"/>
        </w:rPr>
      </w:pPr>
    </w:p>
    <w:p>
      <w:pPr>
        <w:sectPr>
          <w:pgSz w:w="11900" w:h="16838" w:orient="portrait"/>
          <w:cols w:equalWidth="0" w:num="2">
            <w:col w:w="420" w:space="220"/>
            <w:col w:w="9579"/>
          </w:cols>
          <w:pgMar w:left="240" w:top="447"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ind w:left="860"/>
        <w:spacing w:after="0" w:line="238" w:lineRule="auto"/>
        <w:rPr>
          <w:sz w:val="20"/>
          <w:szCs w:val="20"/>
          <w:color w:val="auto"/>
        </w:rPr>
      </w:pPr>
      <w:r>
        <w:rPr>
          <w:rFonts w:ascii="Courier New" w:cs="Courier New" w:eastAsia="Courier New" w:hAnsi="Courier New"/>
          <w:sz w:val="18"/>
          <w:szCs w:val="18"/>
          <w:color w:val="auto"/>
        </w:rPr>
        <w:t>Consolidated Statements of Income - Three month and</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six month periods ended April 1, 1995 and March 30, 1996 ....... 3</w:t>
      </w: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Consolidated Statements of Cash Flows - Six month periods</w:t>
      </w:r>
    </w:p>
    <w:p>
      <w:pPr>
        <w:sectPr>
          <w:pgSz w:w="11900" w:h="16838" w:orient="portrait"/>
          <w:cols w:equalWidth="0" w:num="1">
            <w:col w:w="102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ended</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April 1, 1995 and March 30, 1996 .........................</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86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Courier New" w:cs="Courier New" w:eastAsia="Courier New" w:hAnsi="Courier New"/>
                <w:sz w:val="18"/>
                <w:szCs w:val="18"/>
                <w:color w:val="auto"/>
              </w:rPr>
              <w:t>Consolidated Balance Sheets - April 1, 1995,</w:t>
            </w:r>
          </w:p>
        </w:tc>
        <w:tc>
          <w:tcPr>
            <w:tcW w:w="58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30,</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1996 and September 30, 1995 ..........................</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8"/>
                <w:szCs w:val="18"/>
                <w:color w:val="auto"/>
              </w:rPr>
              <w:t>Notes</w:t>
            </w:r>
          </w:p>
        </w:tc>
        <w:tc>
          <w:tcPr>
            <w:tcW w:w="6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to Consolidated Financial Statements .....................</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6-10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780" w:type="dxa"/>
            <w:vAlign w:val="bottom"/>
            <w:gridSpan w:val="3"/>
          </w:tcPr>
          <w:p>
            <w:pPr>
              <w:spacing w:after="0"/>
              <w:rPr>
                <w:sz w:val="20"/>
                <w:szCs w:val="20"/>
                <w:color w:val="auto"/>
              </w:rPr>
            </w:pPr>
            <w:r>
              <w:rPr>
                <w:rFonts w:ascii="Courier New" w:cs="Courier New" w:eastAsia="Courier New" w:hAnsi="Courier New"/>
                <w:sz w:val="18"/>
                <w:szCs w:val="18"/>
                <w:color w:val="auto"/>
              </w:rPr>
              <w:t>Management's Discussion and Analysis of</w:t>
            </w:r>
          </w:p>
        </w:tc>
        <w:tc>
          <w:tcPr>
            <w:tcW w:w="58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Financial</w:t>
            </w:r>
          </w:p>
        </w:tc>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Condition and Results of Operations ..................</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11-14</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Part II.</w:t>
            </w:r>
          </w:p>
        </w:tc>
        <w:tc>
          <w:tcPr>
            <w:tcW w:w="67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Other Information:</w:t>
            </w:r>
          </w:p>
        </w:tc>
        <w:tc>
          <w:tcPr>
            <w:tcW w:w="58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Item</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Legal Proceedings ....................................</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15</w:t>
            </w:r>
          </w:p>
        </w:tc>
      </w:tr>
      <w:tr>
        <w:trPr>
          <w:trHeight w:val="405"/>
        </w:trPr>
        <w:tc>
          <w:tcPr>
            <w:tcW w:w="8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Item</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320" w:type="dxa"/>
            <w:vAlign w:val="bottom"/>
            <w:gridSpan w:val="2"/>
          </w:tcPr>
          <w:p>
            <w:pPr>
              <w:spacing w:after="0"/>
              <w:rPr>
                <w:sz w:val="20"/>
                <w:szCs w:val="20"/>
                <w:color w:val="auto"/>
              </w:rPr>
            </w:pPr>
            <w:r>
              <w:rPr>
                <w:rFonts w:ascii="Courier New" w:cs="Courier New" w:eastAsia="Courier New" w:hAnsi="Courier New"/>
                <w:sz w:val="18"/>
                <w:szCs w:val="18"/>
                <w:color w:val="auto"/>
              </w:rPr>
              <w:t>Submission of Matters to a Vote of Security Holders .. 15</w:t>
            </w:r>
          </w:p>
        </w:tc>
      </w:tr>
      <w:tr>
        <w:trPr>
          <w:trHeight w:val="405"/>
        </w:trPr>
        <w:tc>
          <w:tcPr>
            <w:tcW w:w="8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Item</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7"/>
              </w:rPr>
              <w:t>Exhibits and Reports on Form 8-K .....................</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15</w:t>
            </w:r>
          </w:p>
        </w:tc>
      </w:tr>
      <w:tr>
        <w:trPr>
          <w:trHeight w:val="608"/>
        </w:trPr>
        <w:tc>
          <w:tcPr>
            <w:tcW w:w="1900" w:type="dxa"/>
            <w:vAlign w:val="bottom"/>
            <w:gridSpan w:val="3"/>
          </w:tcPr>
          <w:p>
            <w:pPr>
              <w:spacing w:after="0"/>
              <w:rPr>
                <w:sz w:val="20"/>
                <w:szCs w:val="20"/>
                <w:color w:val="auto"/>
              </w:rPr>
            </w:pPr>
            <w:r>
              <w:rPr>
                <w:rFonts w:ascii="Courier New" w:cs="Courier New" w:eastAsia="Courier New" w:hAnsi="Courier New"/>
                <w:sz w:val="5"/>
                <w:szCs w:val="5"/>
                <w:color w:val="auto"/>
                <w:w w:val="87"/>
              </w:rPr>
              <w:t>Signatures .............................................................</w:t>
            </w:r>
          </w:p>
        </w:tc>
        <w:tc>
          <w:tcPr>
            <w:tcW w:w="574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16</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Index</w:t>
            </w:r>
          </w:p>
        </w:tc>
        <w:tc>
          <w:tcPr>
            <w:tcW w:w="6160" w:type="dxa"/>
            <w:vAlign w:val="bottom"/>
            <w:gridSpan w:val="2"/>
          </w:tcPr>
          <w:p>
            <w:pPr>
              <w:spacing w:after="0"/>
              <w:rPr>
                <w:sz w:val="20"/>
                <w:szCs w:val="20"/>
                <w:color w:val="auto"/>
              </w:rPr>
            </w:pPr>
            <w:r>
              <w:rPr>
                <w:rFonts w:ascii="Courier New" w:cs="Courier New" w:eastAsia="Courier New" w:hAnsi="Courier New"/>
                <w:sz w:val="18"/>
                <w:szCs w:val="18"/>
                <w:color w:val="auto"/>
                <w:w w:val="98"/>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PART I - FINANCIAL INFORMATION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ITEM 1. FINANCIAL STATEMENTS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2220"/>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3"/>
          </w:tcPr>
          <w:p>
            <w:pPr>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540" w:type="dxa"/>
            <w:vAlign w:val="bottom"/>
          </w:tcPr>
          <w:p>
            <w:pPr>
              <w:spacing w:after="0"/>
              <w:rPr>
                <w:sz w:val="17"/>
                <w:szCs w:val="17"/>
                <w:color w:val="auto"/>
              </w:rPr>
            </w:pP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April 1</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March 30</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April 1</w:t>
            </w:r>
          </w:p>
        </w:tc>
        <w:tc>
          <w:tcPr>
            <w:tcW w:w="3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30</w:t>
            </w:r>
          </w:p>
        </w:tc>
      </w:tr>
      <w:tr>
        <w:trPr>
          <w:trHeight w:val="203"/>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sales ......................</w:t>
            </w:r>
          </w:p>
        </w:tc>
        <w:tc>
          <w:tcPr>
            <w:tcW w:w="1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$236,092</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$ 251,224</w:t>
            </w:r>
          </w:p>
        </w:tc>
        <w:tc>
          <w:tcPr>
            <w:tcW w:w="1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$334,111</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$ 369,152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 ..................</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123,890</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134,835</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177,410</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199,549</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Gross profit ...................</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112,202</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116,389</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156,701</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169,603</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Marketing ......................</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38,513</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44,135</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60,910</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71,725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30,479</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28,726</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45,019</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45,191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6,997</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8,969</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12,964</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17,026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2,963</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2,905</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5,728</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5,568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goodwill .......</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1,374</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2,236</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2,227</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other intangibles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 ....</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(837)</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326</w:t>
            </w:r>
          </w:p>
        </w:tc>
        <w:tc>
          <w:tcPr>
            <w:tcW w:w="3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Unusual items ..................</w:t>
            </w: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3,176</w:t>
            </w:r>
          </w:p>
        </w:tc>
        <w:tc>
          <w:tcPr>
            <w:tcW w:w="2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5,231</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Income from operations .........</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31,692</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27,079</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29,527</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21,049</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Interest expense ...............</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8,114</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8,118</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13,808</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14,719</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Income before income taxes .....</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23,578</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18,961</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15,719</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6,330</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Income taxes ...................</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9,785</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8,331</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6,523</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2,874</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income .....................</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13,793</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10,630</w:t>
            </w:r>
          </w:p>
        </w:tc>
        <w:tc>
          <w:tcPr>
            <w:tcW w:w="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9,196</w:t>
            </w:r>
          </w:p>
        </w:tc>
        <w:tc>
          <w:tcPr>
            <w:tcW w:w="3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3,456</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income (loss) per common ...</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 (note 7)</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40" w:type="dxa"/>
            <w:vAlign w:val="bottom"/>
          </w:tcPr>
          <w:p>
            <w:pPr>
              <w:spacing w:after="0"/>
              <w:rPr>
                <w:sz w:val="20"/>
                <w:szCs w:val="20"/>
                <w:color w:val="auto"/>
              </w:rPr>
            </w:pPr>
            <w:r>
              <w:rPr>
                <w:rFonts w:ascii="Courier New" w:cs="Courier New" w:eastAsia="Courier New" w:hAnsi="Courier New"/>
                <w:sz w:val="18"/>
                <w:szCs w:val="18"/>
                <w:color w:val="auto"/>
              </w:rPr>
              <w:t>Common shares used in net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(loss) per common .....</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18,820</w:t>
            </w:r>
          </w:p>
        </w:tc>
        <w:tc>
          <w:tcPr>
            <w:tcW w:w="2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29,350</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18,762</w:t>
            </w:r>
          </w:p>
        </w:tc>
        <w:tc>
          <w:tcPr>
            <w:tcW w:w="3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18,778</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 computation</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2"/>
        </w:trPr>
        <w:tc>
          <w:tcPr>
            <w:tcW w:w="55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(in thousands)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5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April 1</w:t>
            </w: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March 30</w:t>
            </w:r>
          </w:p>
        </w:tc>
      </w:tr>
      <w:tr>
        <w:trPr>
          <w:trHeight w:val="203"/>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1995</w:t>
            </w:r>
          </w:p>
        </w:tc>
        <w:tc>
          <w:tcPr>
            <w:tcW w:w="3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9,196</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3,456</w:t>
            </w:r>
          </w:p>
        </w:tc>
      </w:tr>
      <w:tr>
        <w:trPr>
          <w:trHeight w:val="203"/>
        </w:trPr>
        <w:tc>
          <w:tcPr>
            <w:tcW w:w="55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11,908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14,320</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Equity in income of unconsolidated .........</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r>
        <w:trPr>
          <w:trHeight w:val="203"/>
        </w:trPr>
        <w:tc>
          <w:tcPr>
            <w:tcW w:w="5540" w:type="dxa"/>
            <w:vAlign w:val="bottom"/>
          </w:tcPr>
          <w:p>
            <w:pPr>
              <w:jc w:val="right"/>
              <w:ind w:right="3752"/>
              <w:spacing w:after="0" w:line="203" w:lineRule="exact"/>
              <w:rPr>
                <w:sz w:val="20"/>
                <w:szCs w:val="20"/>
                <w:color w:val="auto"/>
              </w:rPr>
            </w:pPr>
            <w:r>
              <w:rPr>
                <w:rFonts w:ascii="Courier New" w:cs="Courier New" w:eastAsia="Courier New" w:hAnsi="Courier New"/>
                <w:sz w:val="18"/>
                <w:szCs w:val="18"/>
                <w:color w:val="auto"/>
              </w:rPr>
              <w:t>business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Postretirement benefits ....................</w:t>
            </w: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Unusual charges ............................</w:t>
            </w:r>
          </w:p>
        </w:tc>
        <w:tc>
          <w:tcPr>
            <w:tcW w:w="36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4,476</w:t>
            </w: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increase in certain components of</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working capital ........................</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(130,838)</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(167,245)</w:t>
            </w: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change in other assets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liabilities and other adjustments ......</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(504)</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2,019</w:t>
            </w:r>
          </w:p>
        </w:tc>
      </w:tr>
      <w:tr>
        <w:trPr>
          <w:trHeight w:val="203"/>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Net cash used in operating</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(110,034)</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(143,266)</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activities .........................</w:t>
            </w: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 plant and equipment, net .........</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(10,891)</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(8,355)</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 software .........................</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(483)</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 Affiliate ........................</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1280"/>
              <w:spacing w:after="0"/>
              <w:rPr>
                <w:sz w:val="20"/>
                <w:szCs w:val="20"/>
                <w:color w:val="auto"/>
              </w:rPr>
            </w:pPr>
            <w:r>
              <w:rPr>
                <w:rFonts w:ascii="Courier New" w:cs="Courier New" w:eastAsia="Courier New" w:hAnsi="Courier New"/>
                <w:sz w:val="18"/>
                <w:szCs w:val="18"/>
                <w:color w:val="auto"/>
              </w:rPr>
              <w:t>Net cash used in investing</w:t>
            </w:r>
          </w:p>
        </w:tc>
        <w:tc>
          <w:tcPr>
            <w:tcW w:w="3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(11,624)</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(8,355)</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activities .........................</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Payments on term and other debt ................</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(1,197)</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Revolving lines of credit and bank line ........</w:t>
            </w: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118,378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153,318</w:t>
            </w:r>
          </w:p>
        </w:tc>
      </w:tr>
      <w:tr>
        <w:trPr>
          <w:trHeight w:val="203"/>
        </w:trPr>
        <w:tc>
          <w:tcPr>
            <w:tcW w:w="5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credit, net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Issuance of Common Shares ......................</w:t>
            </w:r>
          </w:p>
        </w:tc>
        <w:tc>
          <w:tcPr>
            <w:tcW w:w="36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5,055</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Deferred financing costs incurred ..............</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w:t>
            </w:r>
          </w:p>
        </w:tc>
        <w:tc>
          <w:tcPr>
            <w:tcW w:w="3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Dividends on preferred stock ...................</w:t>
            </w:r>
          </w:p>
        </w:tc>
        <w:tc>
          <w:tcPr>
            <w:tcW w:w="36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(4,874)</w:t>
            </w:r>
          </w:p>
        </w:tc>
      </w:tr>
      <w:tr>
        <w:trPr>
          <w:trHeight w:val="203"/>
        </w:trPr>
        <w:tc>
          <w:tcPr>
            <w:tcW w:w="5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Net cash provided by financing</w:t>
            </w: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116,906</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153,235</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activities .........................</w:t>
            </w:r>
          </w:p>
        </w:tc>
        <w:tc>
          <w:tcPr>
            <w:tcW w:w="3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Effect of exchange rate changes on cash ..........</w:t>
            </w:r>
          </w:p>
        </w:tc>
        <w:tc>
          <w:tcPr>
            <w:tcW w:w="36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676</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(155)</w:t>
            </w:r>
          </w:p>
        </w:tc>
      </w:tr>
      <w:tr>
        <w:trPr>
          <w:trHeight w:val="203"/>
        </w:trPr>
        <w:tc>
          <w:tcPr>
            <w:tcW w:w="5540" w:type="dxa"/>
            <w:vAlign w:val="bottom"/>
          </w:tcPr>
          <w:p>
            <w:pPr>
              <w:spacing w:after="0"/>
              <w:rPr>
                <w:sz w:val="17"/>
                <w:szCs w:val="17"/>
                <w:color w:val="auto"/>
              </w:rPr>
            </w:pP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increase (decrease) in cash ..................</w:t>
            </w:r>
          </w:p>
        </w:tc>
        <w:tc>
          <w:tcPr>
            <w:tcW w:w="3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(4,076)</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1,459</w:t>
            </w:r>
          </w:p>
        </w:tc>
      </w:tr>
      <w:tr>
        <w:trPr>
          <w:trHeight w:val="405"/>
        </w:trPr>
        <w:tc>
          <w:tcPr>
            <w:tcW w:w="5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at beginning of period ......................</w:t>
            </w:r>
          </w:p>
        </w:tc>
        <w:tc>
          <w:tcPr>
            <w:tcW w:w="36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10,695</w:t>
            </w:r>
          </w:p>
        </w:tc>
        <w:tc>
          <w:tcPr>
            <w:tcW w:w="3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7,028</w:t>
            </w:r>
          </w:p>
        </w:tc>
      </w:tr>
      <w:tr>
        <w:trPr>
          <w:trHeight w:val="203"/>
        </w:trPr>
        <w:tc>
          <w:tcPr>
            <w:tcW w:w="5540" w:type="dxa"/>
            <w:vAlign w:val="bottom"/>
          </w:tcPr>
          <w:p>
            <w:pPr>
              <w:spacing w:after="0"/>
              <w:rPr>
                <w:sz w:val="17"/>
                <w:szCs w:val="17"/>
                <w:color w:val="auto"/>
              </w:rPr>
            </w:pP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at end of period ............................</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6,619</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8,487</w:t>
            </w:r>
          </w:p>
        </w:tc>
      </w:tr>
      <w:tr>
        <w:trPr>
          <w:trHeight w:val="203"/>
        </w:trPr>
        <w:tc>
          <w:tcPr>
            <w:tcW w:w="5540" w:type="dxa"/>
            <w:vAlign w:val="bottom"/>
          </w:tcPr>
          <w:p>
            <w:pPr>
              <w:spacing w:after="0"/>
              <w:rPr>
                <w:sz w:val="17"/>
                <w:szCs w:val="17"/>
                <w:color w:val="auto"/>
              </w:rPr>
            </w:pP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CASH FLOW INFORMATION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paid, net of amount capitalized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14,007</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12,171</w:t>
            </w:r>
          </w:p>
        </w:tc>
      </w:tr>
      <w:tr>
        <w:trPr>
          <w:trHeight w:val="203"/>
        </w:trPr>
        <w:tc>
          <w:tcPr>
            <w:tcW w:w="5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996</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6020" w:type="dxa"/>
            <w:vAlign w:val="bottom"/>
            <w:gridSpan w:val="3"/>
          </w:tcPr>
          <w:p>
            <w:pPr>
              <w:jc w:val="center"/>
              <w:ind w:left="2132"/>
              <w:spacing w:after="0"/>
              <w:rPr>
                <w:sz w:val="20"/>
                <w:szCs w:val="20"/>
                <w:color w:val="auto"/>
              </w:rPr>
            </w:pPr>
            <w:r>
              <w:rPr>
                <w:rFonts w:ascii="Courier New" w:cs="Courier New" w:eastAsia="Courier New" w:hAnsi="Courier New"/>
                <w:sz w:val="18"/>
                <w:szCs w:val="18"/>
                <w:color w:val="auto"/>
                <w:w w:val="97"/>
              </w:rPr>
              <w:t>(in thousands)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540" w:type="dxa"/>
            <w:vAlign w:val="bottom"/>
          </w:tcPr>
          <w:p>
            <w:pPr>
              <w:jc w:val="center"/>
              <w:ind w:left="3612"/>
              <w:spacing w:after="0"/>
              <w:rPr>
                <w:sz w:val="20"/>
                <w:szCs w:val="20"/>
                <w:color w:val="auto"/>
              </w:rPr>
            </w:pPr>
            <w:r>
              <w:rPr>
                <w:rFonts w:ascii="Courier New" w:cs="Courier New" w:eastAsia="Courier New" w:hAnsi="Courier New"/>
                <w:sz w:val="18"/>
                <w:szCs w:val="18"/>
                <w:color w:val="auto"/>
                <w:w w:val="98"/>
              </w:rPr>
              <w:t>ASSETS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April 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March 30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_________</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_________</w:t>
            </w:r>
          </w:p>
        </w:tc>
        <w:tc>
          <w:tcPr>
            <w:tcW w:w="1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6,619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8,487</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$3,395, $3,908 and $3,406,</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respectively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252,509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315,392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176,525</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Inventories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143,574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187,370</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143,953</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Prepaid and other assets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18,601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21,907</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23,354</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421,303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533,156</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350,860</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Property, plant and equipment, net ......</w:t>
            </w:r>
          </w:p>
        </w:tc>
        <w:tc>
          <w:tcPr>
            <w:tcW w:w="2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143,791</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147,382</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148,754</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Trademarks, net .........................</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88,125</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89,250</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intangibles, net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26,529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22,096</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24,421</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Goodwill, net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103,224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181,600</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179,988</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9,755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15,818</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15,772</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Assets .........................</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$ 704,602</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$ 988,177</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$ 809,045</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020" w:type="dxa"/>
            <w:vAlign w:val="bottom"/>
            <w:gridSpan w:val="3"/>
          </w:tcPr>
          <w:p>
            <w:pPr>
              <w:jc w:val="center"/>
              <w:ind w:left="2132"/>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Revolving credit line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39,852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$ 100,915</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portion of term debt ..........</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79,591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78,639</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63,207</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liabilities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24,258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46,682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41,409</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taxes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20,572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21,125</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18,728</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164,273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247,582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123,862</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Term debt, less current portions ........</w:t>
            </w:r>
          </w:p>
        </w:tc>
        <w:tc>
          <w:tcPr>
            <w:tcW w:w="2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324,630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324,500</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272,025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 other than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pensions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27,218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27,249</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27,159</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7,622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5,103</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5,209</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Liabilities ....................</w:t>
            </w:r>
          </w:p>
        </w:tc>
        <w:tc>
          <w:tcPr>
            <w:tcW w:w="200" w:type="dxa"/>
            <w:vAlign w:val="bottom"/>
          </w:tcPr>
          <w:p>
            <w:pPr>
              <w:spacing w:after="0"/>
              <w:rPr>
                <w:sz w:val="24"/>
                <w:szCs w:val="24"/>
                <w:color w:val="auto"/>
              </w:rPr>
            </w:pP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523,743</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600,434</w:t>
            </w:r>
          </w:p>
        </w:tc>
        <w:tc>
          <w:tcPr>
            <w:tcW w:w="42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428,255</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Convertible Preferred Stock,</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no par value .........................</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177,255</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177,255</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 Shares, no par value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Capital in excess of par value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193,155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207,695</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207,551</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23,071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31,254</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32,672</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Cumulative translation gain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5,863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2,415 shares 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April 1, 1995, 2,102 shares 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March 30, 1996 and 2,388 shares .....</w:t>
            </w:r>
          </w:p>
        </w:tc>
        <w:tc>
          <w:tcPr>
            <w:tcW w:w="20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(41,441)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(36,063)</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(40,981)</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on September 30, 1995 at cost</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Shareholders' Equity ..........</w:t>
            </w:r>
          </w:p>
        </w:tc>
        <w:tc>
          <w:tcPr>
            <w:tcW w:w="20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180,859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383,743</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380,790</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ind w:left="320"/>
              <w:spacing w:after="0"/>
              <w:rPr>
                <w:sz w:val="20"/>
                <w:szCs w:val="20"/>
                <w:color w:val="auto"/>
              </w:rPr>
            </w:pPr>
            <w:r>
              <w:rPr>
                <w:rFonts w:ascii="Courier New" w:cs="Courier New" w:eastAsia="Courier New" w:hAnsi="Courier New"/>
                <w:sz w:val="18"/>
                <w:szCs w:val="18"/>
                <w:color w:val="auto"/>
              </w:rPr>
              <w:t>Total Liabilities and Shareholders'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Equity .............................</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$ 704,602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$ 988,177</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$ 809,045</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1122" w:right="1440" w:bottom="0" w:gutter="0" w:footer="0" w:header="0"/>
        </w:sectPr>
      </w:pPr>
    </w:p>
    <w:bookmarkStart w:id="5" w:name="page6"/>
    <w:bookmarkEnd w:id="5"/>
    <w:p>
      <w:pPr>
        <w:ind w:left="2320"/>
        <w:spacing w:after="0"/>
        <w:rPr>
          <w:sz w:val="20"/>
          <w:szCs w:val="20"/>
          <w:color w:val="auto"/>
        </w:rPr>
      </w:pPr>
      <w:r>
        <w:rPr>
          <w:rFonts w:ascii="Courier New" w:cs="Courier New" w:eastAsia="Courier New" w:hAnsi="Courier New"/>
          <w:sz w:val="18"/>
          <w:szCs w:val="18"/>
          <w:color w:val="auto"/>
        </w:rPr>
        <w:t>THE SCOTTS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6" w:lineRule="exact"/>
        <w:rPr>
          <w:rFonts w:ascii="Courier New" w:cs="Courier New" w:eastAsia="Courier New" w:hAnsi="Courier New"/>
          <w:sz w:val="18"/>
          <w:szCs w:val="18"/>
          <w:color w:val="auto"/>
        </w:rPr>
      </w:pPr>
    </w:p>
    <w:p>
      <w:pPr>
        <w:jc w:val="both"/>
        <w:ind w:left="4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Scotts Company ("Scotts") and its wholly owned subsidiaries, Hyponex Corporation ("Hyponex"), Republic Tool and Manufacturing Corp. ("Republic"), Scotts-Sierra Horticultural Products Company ("Sierra") and Scotts' Miracle-Gro Products, Inc. ("Miracle-Gro"), (collectively, the "Company"), are engaged in the manufacture and sale of lawn care and garden products. All material intercompany transactions have been eliminated.</w:t>
      </w:r>
    </w:p>
    <w:p>
      <w:pPr>
        <w:spacing w:after="0" w:line="211" w:lineRule="exact"/>
        <w:rPr>
          <w:rFonts w:ascii="Courier New" w:cs="Courier New" w:eastAsia="Courier New" w:hAnsi="Courier New"/>
          <w:sz w:val="18"/>
          <w:szCs w:val="18"/>
          <w:color w:val="auto"/>
        </w:rPr>
      </w:pPr>
    </w:p>
    <w:p>
      <w:pPr>
        <w:jc w:val="both"/>
        <w:ind w:left="420" w:right="1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consolidated balance sheets as of April 1, 1995 and March 30, 1996, the related consolidated statements of income for the three and six month periods ended April 1, 1995 and March 30, 1996 and the related consolidated statements of cash flows for the six month periods ended April 1, 1995 and March 30, 1996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1995 Annual Report on Form 10-K/A.</w:t>
      </w:r>
    </w:p>
    <w:p>
      <w:pPr>
        <w:spacing w:after="0" w:line="389" w:lineRule="exact"/>
        <w:rPr>
          <w:rFonts w:ascii="Courier New" w:cs="Courier New" w:eastAsia="Courier New" w:hAnsi="Courier New"/>
          <w:sz w:val="18"/>
          <w:szCs w:val="18"/>
          <w:color w:val="auto"/>
        </w:rPr>
      </w:pPr>
    </w:p>
    <w:p>
      <w:pPr>
        <w:ind w:left="420" w:right="8319" w:hanging="412"/>
        <w:spacing w:after="0" w:line="290"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69"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allowances of $6,118, $6,916 and $6,711, consisted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April 1</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March 30</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3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Raw material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56,326</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$ 64,563</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$ 71,431</w:t>
            </w:r>
          </w:p>
        </w:tc>
      </w:tr>
      <w:tr>
        <w:trPr>
          <w:trHeight w:val="203"/>
        </w:trPr>
        <w:tc>
          <w:tcPr>
            <w:tcW w:w="3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Finished products .................</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87,248</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122,807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72,522</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Inventories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143,574</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$187,370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$143,953</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Exchange Instruments</w:t>
      </w:r>
    </w:p>
    <w:p>
      <w:pPr>
        <w:spacing w:after="0" w:line="206" w:lineRule="exact"/>
        <w:rPr>
          <w:rFonts w:ascii="Courier New" w:cs="Courier New" w:eastAsia="Courier New" w:hAnsi="Courier New"/>
          <w:sz w:val="18"/>
          <w:szCs w:val="18"/>
          <w:color w:val="auto"/>
        </w:rPr>
      </w:pPr>
    </w:p>
    <w:p>
      <w:pPr>
        <w:jc w:val="both"/>
        <w:ind w:left="4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enters into forward foreign exchange and currency options contracts to hedge its exposure to fluctuations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211" w:lineRule="exact"/>
        <w:rPr>
          <w:rFonts w:ascii="Courier New" w:cs="Courier New" w:eastAsia="Courier New" w:hAnsi="Courier New"/>
          <w:sz w:val="18"/>
          <w:szCs w:val="18"/>
          <w:color w:val="auto"/>
        </w:rPr>
      </w:pPr>
    </w:p>
    <w:p>
      <w:pPr>
        <w:jc w:val="both"/>
        <w:ind w:left="4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Realized and unrealized foreign exchange gains and losses are recognized and offset foreign exchange gains or losses on the underlying exposure. Unrealized gains and losses that are designated and effective as hedges on such transactions are deferred and recognized in income in the same period as the hedged transactions. The net unrealized gain deferred totaled $49,379 at March 30, 1996.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1325" w:right="1440" w:bottom="1440" w:gutter="0" w:footer="0" w:header="0"/>
        </w:sectPr>
      </w:pPr>
    </w:p>
    <w:bookmarkStart w:id="6" w:name="page7"/>
    <w:bookmarkEnd w:id="6"/>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ind w:left="1892"/>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12" w:right="1999"/>
        <w:spacing w:after="0" w:line="268" w:lineRule="auto"/>
        <w:rPr>
          <w:sz w:val="20"/>
          <w:szCs w:val="20"/>
          <w:color w:val="auto"/>
        </w:rPr>
      </w:pPr>
      <w:r>
        <w:rPr>
          <w:rFonts w:ascii="Courier New" w:cs="Courier New" w:eastAsia="Courier New" w:hAnsi="Courier New"/>
          <w:sz w:val="16"/>
          <w:szCs w:val="16"/>
          <w:color w:val="auto"/>
        </w:rPr>
        <w:t>At March 30, 1996, the Company's European operations had foreign exchange risk in various currencies tied to the Dutch guilder. These currencies are: the Australian Dollar, Belgian Franc, German Mark, Spanish Peseta, Italian Lira, French Franc, British Pound and the U. S. Dollar. The Company's U. S. operations have foreign exchange rate risk in the Canadian Dollar, the Dutch Guilder and the British Pound which are tied to the U.</w:t>
      </w:r>
    </w:p>
    <w:p>
      <w:pPr>
        <w:spacing w:after="0" w:line="1" w:lineRule="exact"/>
        <w:rPr>
          <w:sz w:val="20"/>
          <w:szCs w:val="20"/>
          <w:color w:val="auto"/>
        </w:rPr>
      </w:pPr>
    </w:p>
    <w:p>
      <w:pPr>
        <w:jc w:val="both"/>
        <w:ind w:left="412" w:right="1999"/>
        <w:spacing w:after="0" w:line="237" w:lineRule="auto"/>
        <w:rPr>
          <w:sz w:val="20"/>
          <w:szCs w:val="20"/>
          <w:color w:val="auto"/>
        </w:rPr>
      </w:pPr>
      <w:r>
        <w:rPr>
          <w:rFonts w:ascii="Courier New" w:cs="Courier New" w:eastAsia="Courier New" w:hAnsi="Courier New"/>
          <w:sz w:val="18"/>
          <w:szCs w:val="18"/>
          <w:color w:val="auto"/>
        </w:rPr>
        <w:t>S. Dollar. As of March 30, 1996, the Company had outstanding forward foreign exchange contracts with a contract value of approximately $24.1 million and outstanding purchased currency options with a contract value of approximately $4.7 million. These contracts have maturity dates ranging from April 3, 1996 to October 2, 1996.</w:t>
      </w:r>
    </w:p>
    <w:p>
      <w:pPr>
        <w:spacing w:after="0" w:line="203" w:lineRule="exact"/>
        <w:rPr>
          <w:sz w:val="20"/>
          <w:szCs w:val="20"/>
          <w:color w:val="auto"/>
        </w:rPr>
      </w:pPr>
    </w:p>
    <w:p>
      <w:pPr>
        <w:ind w:left="412" w:hanging="412"/>
        <w:spacing w:after="0"/>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May 19, 1995, the Company completed the merger transactions with Stern's Miracle-Gro Products, Inc. and affiliated companies (the "Miracle-Gro Companies"). The ultimate surviving corporation is now known as Scotts' Miracle-Gro Products, Inc. ("Miracle-Gro"). Miracle-Gro is engaged in the marketing and distribution of plant foods and lawn and garden products primarily in the United States, Canada and Europe.</w:t>
      </w:r>
    </w:p>
    <w:p>
      <w:pPr>
        <w:spacing w:after="0" w:line="209" w:lineRule="exact"/>
        <w:rPr>
          <w:rFonts w:ascii="Courier New" w:cs="Courier New" w:eastAsia="Courier New" w:hAnsi="Courier New"/>
          <w:sz w:val="18"/>
          <w:szCs w:val="18"/>
          <w:color w:val="auto"/>
        </w:rPr>
      </w:pPr>
    </w:p>
    <w:p>
      <w:pPr>
        <w:jc w:val="both"/>
        <w:ind w:left="41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 forma results of operations give effect to the Miracle-Gro Companies acquisition as if it had occurred on October 1, 1994.</w:t>
      </w:r>
    </w:p>
    <w:p>
      <w:pPr>
        <w:spacing w:after="0" w:line="203" w:lineRule="exact"/>
        <w:rPr>
          <w:rFonts w:ascii="Courier New" w:cs="Courier New" w:eastAsia="Courier New" w:hAnsi="Courier New"/>
          <w:sz w:val="18"/>
          <w:szCs w:val="18"/>
          <w:color w:val="auto"/>
        </w:rPr>
      </w:pPr>
    </w:p>
    <w:p>
      <w:pPr>
        <w:ind w:left="41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thousands, except per share amounts)</w:t>
      </w:r>
    </w:p>
    <w:tbl>
      <w:tblPr>
        <w:tblLayout w:type="fixed"/>
        <w:tblInd w:w="732"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Three Months Ended Six</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Months Ended</w:t>
            </w:r>
          </w:p>
        </w:tc>
      </w:tr>
      <w:tr>
        <w:trPr>
          <w:trHeight w:val="203"/>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April 1,</w:t>
            </w:r>
          </w:p>
        </w:tc>
        <w:tc>
          <w:tcPr>
            <w:tcW w:w="580" w:type="dxa"/>
            <w:vAlign w:val="bottom"/>
          </w:tcPr>
          <w:p>
            <w:pPr>
              <w:spacing w:after="0"/>
              <w:rPr>
                <w:sz w:val="17"/>
                <w:szCs w:val="17"/>
                <w:color w:val="auto"/>
              </w:rPr>
            </w:pP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April 1,</w:t>
            </w:r>
          </w:p>
        </w:tc>
      </w:tr>
      <w:tr>
        <w:trPr>
          <w:trHeight w:val="203"/>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spacing w:after="0"/>
              <w:rPr>
                <w:sz w:val="17"/>
                <w:szCs w:val="17"/>
                <w:color w:val="auto"/>
              </w:rPr>
            </w:pPr>
          </w:p>
        </w:tc>
        <w:tc>
          <w:tcPr>
            <w:tcW w:w="13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w w:val="97"/>
              </w:rPr>
              <w:t>Net sales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283,711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393,617</w:t>
            </w:r>
          </w:p>
        </w:tc>
      </w:tr>
      <w:tr>
        <w:trPr>
          <w:trHeight w:val="203"/>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w w:val="97"/>
              </w:rPr>
              <w:t>Net income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21,585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17,817</w:t>
            </w:r>
          </w:p>
        </w:tc>
      </w:tr>
      <w:tr>
        <w:trPr>
          <w:trHeight w:val="203"/>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w:t>
            </w:r>
          </w:p>
        </w:tc>
        <w:tc>
          <w:tcPr>
            <w:tcW w:w="58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w w:val="97"/>
              </w:rPr>
              <w:t>Net income per common share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w:t>
            </w:r>
          </w:p>
        </w:tc>
      </w:tr>
      <w:tr>
        <w:trPr>
          <w:trHeight w:val="203"/>
        </w:trPr>
        <w:tc>
          <w:tcPr>
            <w:tcW w:w="3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w:t>
            </w:r>
          </w:p>
        </w:tc>
        <w:tc>
          <w:tcPr>
            <w:tcW w:w="58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9" w:lineRule="exact"/>
        <w:rPr>
          <w:sz w:val="20"/>
          <w:szCs w:val="20"/>
          <w:color w:val="auto"/>
        </w:rPr>
      </w:pPr>
    </w:p>
    <w:p>
      <w:pPr>
        <w:jc w:val="both"/>
        <w:ind w:left="412" w:right="1999"/>
        <w:spacing w:after="0" w:line="237" w:lineRule="auto"/>
        <w:rPr>
          <w:sz w:val="20"/>
          <w:szCs w:val="20"/>
          <w:color w:val="auto"/>
        </w:rPr>
      </w:pPr>
      <w:r>
        <w:rPr>
          <w:rFonts w:ascii="Courier New" w:cs="Courier New" w:eastAsia="Courier New" w:hAnsi="Courier New"/>
          <w:sz w:val="18"/>
          <w:szCs w:val="18"/>
          <w:color w:val="auto"/>
        </w:rPr>
        <w:t>For purposes of computing net income per common share, Scotts' Class A Convertible Preferred Stock is considered a common stock equivalent. Pro forma primary net income per common share for the three months and six months ended April 1, 1995 are calculated using the weighted average common shares outstanding of 29,153,000 and 29,083,000, respectively.</w:t>
      </w:r>
    </w:p>
    <w:p>
      <w:pPr>
        <w:spacing w:after="0" w:line="209" w:lineRule="exact"/>
        <w:rPr>
          <w:sz w:val="20"/>
          <w:szCs w:val="20"/>
          <w:color w:val="auto"/>
        </w:rPr>
      </w:pPr>
    </w:p>
    <w:p>
      <w:pPr>
        <w:jc w:val="both"/>
        <w:ind w:left="412" w:right="1999"/>
        <w:spacing w:after="0" w:line="237"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if the merger transactions with the Miracle-Gro Companies had occurred as of October 1, 1994, and is not intended to be indicative of future results or trends.</w:t>
      </w:r>
    </w:p>
    <w:p>
      <w:pPr>
        <w:spacing w:after="0" w:line="202" w:lineRule="exact"/>
        <w:rPr>
          <w:sz w:val="20"/>
          <w:szCs w:val="20"/>
          <w:color w:val="auto"/>
        </w:rPr>
      </w:pPr>
    </w:p>
    <w:p>
      <w:pPr>
        <w:ind w:left="412" w:hanging="412"/>
        <w:spacing w:after="0"/>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Issues</w:t>
      </w:r>
    </w:p>
    <w:p>
      <w:pPr>
        <w:spacing w:after="0" w:line="206" w:lineRule="exact"/>
        <w:rPr>
          <w:rFonts w:ascii="Courier New" w:cs="Courier New" w:eastAsia="Courier New" w:hAnsi="Courier New"/>
          <w:sz w:val="18"/>
          <w:szCs w:val="18"/>
          <w:color w:val="auto"/>
        </w:rPr>
      </w:pPr>
    </w:p>
    <w:p>
      <w:pPr>
        <w:jc w:val="both"/>
        <w:ind w:left="41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1995, the Financial Accounting Standards Board issued SFAS No. 123, "Accounting for Stock-Based Compensation" which changes the measurement, recognition and disclosure standards for stock-based compensation. Management is currently evaluating the provisions of SFAS No. 123 and at this time, the effect of adoption of SFAS No. 123 and the related disclosures have not been decided.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1"/>
          </w:cols>
          <w:pgMar w:left="248" w:top="919" w:right="1440" w:bottom="1440" w:gutter="0" w:footer="0" w:header="0"/>
        </w:sectPr>
      </w:pPr>
    </w:p>
    <w:bookmarkStart w:id="7" w:name="page8"/>
    <w:bookmarkEnd w:id="7"/>
    <w:p>
      <w:pPr>
        <w:ind w:left="2320"/>
        <w:spacing w:after="0"/>
        <w:rPr>
          <w:sz w:val="20"/>
          <w:szCs w:val="20"/>
          <w:color w:val="auto"/>
        </w:rPr>
      </w:pPr>
      <w:r>
        <w:rPr>
          <w:rFonts w:ascii="Courier New" w:cs="Courier New" w:eastAsia="Courier New" w:hAnsi="Courier New"/>
          <w:sz w:val="18"/>
          <w:szCs w:val="18"/>
          <w:color w:val="auto"/>
        </w:rPr>
        <w:t>THE SCOTTS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Unusual Items</w:t>
      </w:r>
    </w:p>
    <w:p>
      <w:pPr>
        <w:spacing w:after="0" w:line="206" w:lineRule="exact"/>
        <w:rPr>
          <w:rFonts w:ascii="Courier New" w:cs="Courier New" w:eastAsia="Courier New" w:hAnsi="Courier New"/>
          <w:sz w:val="18"/>
          <w:szCs w:val="18"/>
          <w:color w:val="auto"/>
        </w:rPr>
      </w:pPr>
    </w:p>
    <w:p>
      <w:pPr>
        <w:jc w:val="both"/>
        <w:ind w:left="4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six months ended March 30, 1996, the Company recorded unusual charges of $5.2 million related to site closings and the personnel reduction. These non-recurring charges arose as a direct result of management's commitment to reduce costs and achieve more profitable growth. As of March 30, 1996 approximately $3.3 million has been accrued related to these charges. It is currently anticipated the remaining balance will be expended by the end of fiscal 1996.</w:t>
      </w: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Computation</w:t>
      </w:r>
    </w:p>
    <w:p>
      <w:pPr>
        <w:spacing w:after="0" w:line="206" w:lineRule="exact"/>
        <w:rPr>
          <w:rFonts w:ascii="Courier New" w:cs="Courier New" w:eastAsia="Courier New" w:hAnsi="Courier New"/>
          <w:sz w:val="18"/>
          <w:szCs w:val="18"/>
          <w:color w:val="auto"/>
        </w:rPr>
      </w:pPr>
    </w:p>
    <w:p>
      <w:pPr>
        <w:jc w:val="both"/>
        <w:ind w:left="420" w:right="19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earnings per share computation is based on the weighted average number of common shares and common share equivalents (stock options, convertible preferred stock and warrants) outstanding each period. The shares of Class A Convertible Preferred Stock were issued in connection with the Miracle-Gro merger transactions on May 19, 1995. These shares were not considered in the earnings per share computation for the six months ended March 30, 1996 because they were antidilutive for such period.</w:t>
      </w:r>
    </w:p>
    <w:p>
      <w:pPr>
        <w:spacing w:after="0" w:line="188" w:lineRule="exact"/>
        <w:rPr>
          <w:sz w:val="20"/>
          <w:szCs w:val="20"/>
          <w:color w:val="auto"/>
        </w:rPr>
      </w:pPr>
    </w:p>
    <w:p>
      <w:pPr>
        <w:jc w:val="both"/>
        <w:ind w:left="420" w:right="1999"/>
        <w:spacing w:after="0" w:line="235" w:lineRule="auto"/>
        <w:rPr>
          <w:sz w:val="20"/>
          <w:szCs w:val="20"/>
          <w:color w:val="auto"/>
        </w:rPr>
      </w:pPr>
      <w:r>
        <w:rPr>
          <w:rFonts w:ascii="Courier New" w:cs="Courier New" w:eastAsia="Courier New" w:hAnsi="Courier New"/>
          <w:sz w:val="18"/>
          <w:szCs w:val="18"/>
          <w:color w:val="auto"/>
        </w:rPr>
        <w:t>The following table presents information necessary to calculate net income (loss) per common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23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(in thousands)</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April 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March 30,</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April 1,</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30,</w:t>
            </w:r>
          </w:p>
        </w:tc>
      </w:tr>
      <w:tr>
        <w:trPr>
          <w:trHeight w:val="203"/>
        </w:trPr>
        <w:tc>
          <w:tcPr>
            <w:tcW w:w="370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3700" w:type="dxa"/>
            <w:vAlign w:val="bottom"/>
          </w:tcPr>
          <w:p>
            <w:pPr>
              <w:spacing w:after="0"/>
              <w:rPr>
                <w:sz w:val="17"/>
                <w:szCs w:val="17"/>
                <w:color w:val="auto"/>
              </w:rPr>
            </w:pPr>
          </w:p>
        </w:tc>
        <w:tc>
          <w:tcPr>
            <w:tcW w:w="2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Net income ......................</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$13,793</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$10,630</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9,196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3,456</w:t>
            </w:r>
          </w:p>
        </w:tc>
      </w:tr>
      <w:tr>
        <w:trPr>
          <w:trHeight w:val="203"/>
        </w:trPr>
        <w:tc>
          <w:tcPr>
            <w:tcW w:w="3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Preferred stock dividend ........</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4,874</w:t>
            </w:r>
          </w:p>
        </w:tc>
      </w:tr>
      <w:tr>
        <w:trPr>
          <w:trHeight w:val="203"/>
        </w:trPr>
        <w:tc>
          <w:tcPr>
            <w:tcW w:w="37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applicable</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 common shares ..............</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$13,793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$10,630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9,196</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(1,418)</w:t>
            </w:r>
          </w:p>
        </w:tc>
      </w:tr>
      <w:tr>
        <w:trPr>
          <w:trHeight w:val="203"/>
        </w:trPr>
        <w:tc>
          <w:tcPr>
            <w:tcW w:w="37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used in net</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income (loss) per</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 share calculation ......</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18,820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29,350</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18,762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18,778</w:t>
            </w:r>
          </w:p>
        </w:tc>
      </w:tr>
      <w:tr>
        <w:trPr>
          <w:trHeight w:val="203"/>
        </w:trPr>
        <w:tc>
          <w:tcPr>
            <w:tcW w:w="37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Income (loss) per common ........</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.73</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(.08)</w:t>
            </w:r>
          </w:p>
        </w:tc>
      </w:tr>
      <w:tr>
        <w:trPr>
          <w:trHeight w:val="203"/>
        </w:trPr>
        <w:tc>
          <w:tcPr>
            <w:tcW w:w="3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 .........................</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left="420" w:right="1999"/>
        <w:spacing w:after="0" w:line="236" w:lineRule="auto"/>
        <w:rPr>
          <w:sz w:val="20"/>
          <w:szCs w:val="20"/>
          <w:color w:val="auto"/>
        </w:rPr>
      </w:pPr>
      <w:r>
        <w:rPr>
          <w:rFonts w:ascii="Courier New" w:cs="Courier New" w:eastAsia="Courier New" w:hAnsi="Courier New"/>
          <w:sz w:val="18"/>
          <w:szCs w:val="18"/>
          <w:color w:val="auto"/>
        </w:rPr>
        <w:t>Fully diluted net income (loss) per common share is considered to be the same as primary net income (loss) per common share as it was not materially different from primary net income (loss) per common share.</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Contingencies</w:t>
      </w:r>
    </w:p>
    <w:p>
      <w:pPr>
        <w:spacing w:after="0" w:line="206" w:lineRule="exact"/>
        <w:rPr>
          <w:rFonts w:ascii="Courier New" w:cs="Courier New" w:eastAsia="Courier New" w:hAnsi="Courier New"/>
          <w:sz w:val="18"/>
          <w:szCs w:val="18"/>
          <w:color w:val="auto"/>
        </w:rPr>
      </w:pPr>
    </w:p>
    <w:p>
      <w:pPr>
        <w:jc w:val="both"/>
        <w:ind w:left="42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management continually evaluates the Company's contingencies, including various lawsuits and claims which arise in the normal course of business. In the opinion of management, its assessment of contingencies is reasonable and that related reserves, in the aggregate, are adequate; however, there can be no assurance that future quarterly or annual operating results will not be materially affected by final resolution of these matters. The following details the more significant of the Company's identified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919" w:right="1440" w:bottom="1440" w:gutter="0" w:footer="0" w:header="0"/>
        </w:sectPr>
      </w:pPr>
    </w:p>
    <w:bookmarkStart w:id="8" w:name="page9"/>
    <w:bookmarkEnd w:id="8"/>
    <w:p>
      <w:pPr>
        <w:ind w:left="1900"/>
        <w:spacing w:after="0"/>
        <w:rPr>
          <w:sz w:val="20"/>
          <w:szCs w:val="20"/>
          <w:color w:val="auto"/>
        </w:rPr>
      </w:pPr>
      <w:r>
        <w:rPr>
          <w:rFonts w:ascii="Courier New" w:cs="Courier New" w:eastAsia="Courier New" w:hAnsi="Courier New"/>
          <w:sz w:val="18"/>
          <w:szCs w:val="18"/>
          <w:color w:val="auto"/>
        </w:rPr>
        <w:t>THE SCOTTS COMPANY AND SUBSIDIARIES</w:t>
      </w:r>
    </w:p>
    <w:p>
      <w:pPr>
        <w:ind w:left="148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As a result of the joint and several liability of PRP's, the Company may be subject to financial participation in the costs of the remediation plan, if any. However, management does not believe any such obligations would have a significant adverse effect on the Company's results of operations or financial condition.</w:t>
      </w:r>
    </w:p>
    <w:p>
      <w:pPr>
        <w:spacing w:after="0" w:line="20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In July 1990, the Philadelphia district of the Army Corps of Engineers directed that peat harvesting operations be discontinued at Hyponex's Lafayette, New Jersey facility, and the Company complied. In May 1992, the Department of Justice in the U. 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209" w:lineRule="exact"/>
        <w:rPr>
          <w:sz w:val="20"/>
          <w:szCs w:val="20"/>
          <w:color w:val="auto"/>
        </w:rPr>
      </w:pPr>
    </w:p>
    <w:p>
      <w:pPr>
        <w:jc w:val="both"/>
        <w:ind w:right="1999"/>
        <w:spacing w:after="0" w:line="272" w:lineRule="auto"/>
        <w:rPr>
          <w:sz w:val="20"/>
          <w:szCs w:val="20"/>
          <w:color w:val="auto"/>
        </w:rPr>
      </w:pPr>
      <w:r>
        <w:rPr>
          <w:rFonts w:ascii="Courier New" w:cs="Courier New" w:eastAsia="Courier New" w:hAnsi="Courier New"/>
          <w:sz w:val="16"/>
          <w:szCs w:val="16"/>
          <w:color w:val="auto"/>
        </w:rPr>
        <w:t>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this proceeding will have a material adverse effect on its financial condition or results of operations.</w:t>
      </w:r>
    </w:p>
    <w:p>
      <w:pPr>
        <w:spacing w:after="0" w:line="186" w:lineRule="exact"/>
        <w:rPr>
          <w:sz w:val="20"/>
          <w:szCs w:val="20"/>
          <w:color w:val="auto"/>
        </w:rPr>
      </w:pPr>
    </w:p>
    <w:p>
      <w:pPr>
        <w:jc w:val="both"/>
        <w:ind w:right="1999"/>
        <w:spacing w:after="0" w:line="270" w:lineRule="auto"/>
        <w:rPr>
          <w:sz w:val="20"/>
          <w:szCs w:val="20"/>
          <w:color w:val="auto"/>
        </w:rPr>
      </w:pPr>
      <w:r>
        <w:rPr>
          <w:rFonts w:ascii="Courier New" w:cs="Courier New" w:eastAsia="Courier New" w:hAnsi="Courier New"/>
          <w:sz w:val="16"/>
          <w:szCs w:val="16"/>
          <w:color w:val="auto"/>
        </w:rPr>
        <w:t>On January 30, 1996, the United States Environmental Protection Agency (the "U. S. EPA") served a Complaint and Notice of Opportunity for Hearing upon Sierra's wholly-owned subsidiary, Scotts-Sierra Crop Protection Company ("Crop Protection"). The Complaint alleges labeling violations under the Federal Insecticide, Fungicide and Rodenticide Act ("FIFRA") during 1992 and 1993 and proposed penalties totaling $785,000, the maximum allowable under FIFRA according to management's calculations. On April 18, 1996, an EPA Administrative Law judge dismissed the EPA's complaint without prejudice, due to mistakes in the pleadings. If an amended complaint is filed, based upon Crop Protection's good faith compliance actions and FIFRA's provisions for "gravity-based" penalty reductions, management believes Crop Protection's maximum liability to be $200,000, which has been accrued in the financial statements. The Company does not believe that the outcome of this proceeding will have a material adverse effect 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9799"/>
          </w:cols>
          <w:pgMar w:left="660" w:top="919" w:right="1440" w:bottom="1440" w:gutter="0" w:footer="0" w:header="0"/>
        </w:sectPr>
      </w:pPr>
    </w:p>
    <w:bookmarkStart w:id="9" w:name="page10"/>
    <w:bookmarkEnd w:id="9"/>
    <w:p>
      <w:pPr>
        <w:ind w:left="1900"/>
        <w:spacing w:after="0"/>
        <w:rPr>
          <w:sz w:val="20"/>
          <w:szCs w:val="20"/>
          <w:color w:val="auto"/>
        </w:rPr>
      </w:pPr>
      <w:r>
        <w:rPr>
          <w:rFonts w:ascii="Courier New" w:cs="Courier New" w:eastAsia="Courier New" w:hAnsi="Courier New"/>
          <w:sz w:val="18"/>
          <w:szCs w:val="18"/>
          <w:color w:val="auto"/>
        </w:rPr>
        <w:t>THE SCOTTS COMPANY AND SUBSIDIARIES</w:t>
      </w:r>
    </w:p>
    <w:p>
      <w:pPr>
        <w:ind w:left="148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During 1993 and 1994, Stern's Miracle-Gro Products, Inc. ("Miracle-Gro Products") discussed with Pursell Industries, Inc. ("Pursell") the feasibility of forming a joint venture to produce and market a line of slow-release lawn food, and in October 1993, signed a non-binding "heads of agreement." After the merger transactions between the Company and the Miracle-Gro Companies were announced, Pursell demanded that Miracle-Gro Products reimburse it for monies allegedly spent by Pursell in connection with the proposed project. Because Miracle-Gro Products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Products owed no monies to Pursell relating to the proposed project and that no joint venture was formed. Pursell moved to dismiss the New York Action in favor of the Alabama action described below, which motion was granted August 7, 1995.</w:t>
      </w:r>
    </w:p>
    <w:p>
      <w:pPr>
        <w:spacing w:after="0" w:line="209"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March 2, 1995, Pursell instituted an action in the United States District Court for the Northern District of Alabama, Pursell Industries, Inc. v. Stern's Miracle-Gro Products, Inc., CV-95-C-0524-S (the "Alabama Action"), alleging, among other things, that a joint venture was formed, that Miracle-Gro Products breached an alleged joint venture contract, committed fraud, and breached an alleged fiduciary duty owed Pursell by not informing Pursell of negotiations concerning the merger transactions. On December 18, 1995, Pursell filed an amended complaint in the Alabama Action in which Scotts was named as an additional party defendant. The amended complaint contains a number of allegations and seeks compensatory damages in excess of $10 million, punitive damages of $20 million, treble damages as allowed by law and injunctive relief with respect to the advertising and trade dress allegations. The Company does not believe that the amended complaint has any merit and intends to vigorously defend that action.</w:t>
      </w:r>
    </w:p>
    <w:p>
      <w:pPr>
        <w:spacing w:after="0" w:line="208"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On April 14, 1996, in response to discussions with Scotts regarding the possible infringement upon certain Scotts' patents by one or several of Pursell's controlled-release fertilizers, Pursell instituted a second action in the United States District Court for the Northern District of Alabama, Pursell Industries, Inc. v. The Scotts Company, CV-96-AR-931-S (the "Patent Action"). Pursell has alleged, among other things, that Scotts' marking of its Poly-S fertilizers with its patents constitutes false marking under 35 U.S.C. Sec. 292 and that Scotts' conduct constitutes unfair competition. The complaint seeks declarations that, among other things, Scotts' patents are invalid and that Pursell has not infringed any of Scotts' patents. It further seeks that Scotts be enjoined from bringing a patent infringement suit against Pursell and requests that Pursell be awarded its costs of this action and such other relief as deemed proper. The Company does not believe that this action has merit and intends to vigorously defend it and to possibly bring counterclaims against Pursell.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9799"/>
          </w:cols>
          <w:pgMar w:left="660" w:top="1325"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ITEM 2. 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included elsewhere in this report.</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840" w:type="dxa"/>
            <w:vAlign w:val="bottom"/>
          </w:tcPr>
          <w:p>
            <w:pPr>
              <w:spacing w:after="0"/>
              <w:rPr>
                <w:sz w:val="17"/>
                <w:szCs w:val="17"/>
                <w:color w:val="auto"/>
              </w:rPr>
            </w:pPr>
          </w:p>
        </w:tc>
        <w:tc>
          <w:tcPr>
            <w:tcW w:w="34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NET SALES BY BUSINESS UNIT</w:t>
            </w:r>
          </w:p>
        </w:tc>
        <w:tc>
          <w:tcPr>
            <w:tcW w:w="1100" w:type="dxa"/>
            <w:vAlign w:val="bottom"/>
          </w:tcPr>
          <w:p>
            <w:pPr>
              <w:spacing w:after="0"/>
              <w:rPr>
                <w:sz w:val="17"/>
                <w:szCs w:val="17"/>
                <w:color w:val="auto"/>
              </w:rPr>
            </w:pP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348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Three Months Ended</w:t>
            </w:r>
          </w:p>
        </w:tc>
        <w:tc>
          <w:tcPr>
            <w:tcW w:w="110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April 1, 1995</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30, 1996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Consumer Lawn</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$174,560</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$147,336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(15.6)%</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 Garden</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6,811</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47,235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593.5 %</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Professional</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34,073</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34,984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2.7 %</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20,648</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21,669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4.9 %</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$236,092</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$251,224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6.4 %</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r>
        <w:trPr>
          <w:trHeight w:val="405"/>
        </w:trPr>
        <w:tc>
          <w:tcPr>
            <w:tcW w:w="1840" w:type="dxa"/>
            <w:vAlign w:val="bottom"/>
          </w:tcPr>
          <w:p>
            <w:pPr>
              <w:spacing w:after="0"/>
              <w:rPr>
                <w:sz w:val="24"/>
                <w:szCs w:val="24"/>
                <w:color w:val="auto"/>
              </w:rPr>
            </w:pPr>
          </w:p>
        </w:tc>
        <w:tc>
          <w:tcPr>
            <w:tcW w:w="348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Six Months Ended</w:t>
            </w:r>
          </w:p>
        </w:tc>
        <w:tc>
          <w:tcPr>
            <w:tcW w:w="110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April 1, 1995</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30, 1996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Consumer Lawn</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$227,813</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$211,164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Consumer Garden</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9,130</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59,850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555.5 %</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Professional</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61,979</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61,115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35,189</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37,023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5.2 %</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r>
        <w:trPr>
          <w:trHeight w:val="405"/>
        </w:trPr>
        <w:tc>
          <w:tcPr>
            <w:tcW w:w="184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$334,111</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$369,152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10.5 %</w:t>
            </w:r>
          </w:p>
        </w:tc>
      </w:tr>
      <w:tr>
        <w:trPr>
          <w:trHeight w:val="203"/>
        </w:trPr>
        <w:tc>
          <w:tcPr>
            <w:tcW w:w="184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March 30, 1996, versus Three Months Ended April 1, 1995</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sales increased 6.4% to $251.2 million. The increase is primarily attributed to the inclusion of Miracle-Gro, partially offset by decreases in sales due to the marketing program incentivizing retailers to purchase their spring requirements early, the divestiture of the Peters U.S. consumer water soluble fertilizer business and the late-breaking spring. On a pro forma basis, assuming the Miracle-Gro merger occurred October 1, 1994, net sales decreased by $32.5 million or 11.5%</w:t>
      </w:r>
    </w:p>
    <w:p>
      <w:pPr>
        <w:spacing w:after="0" w:line="211" w:lineRule="exact"/>
        <w:rPr>
          <w:sz w:val="20"/>
          <w:szCs w:val="20"/>
          <w:color w:val="auto"/>
        </w:rPr>
      </w:pPr>
    </w:p>
    <w:p>
      <w:pPr>
        <w:jc w:val="both"/>
        <w:ind w:right="1999"/>
        <w:spacing w:after="0" w:line="270" w:lineRule="auto"/>
        <w:rPr>
          <w:sz w:val="20"/>
          <w:szCs w:val="20"/>
          <w:color w:val="auto"/>
        </w:rPr>
      </w:pPr>
      <w:r>
        <w:rPr>
          <w:rFonts w:ascii="Courier New" w:cs="Courier New" w:eastAsia="Courier New" w:hAnsi="Courier New"/>
          <w:sz w:val="16"/>
          <w:szCs w:val="16"/>
          <w:color w:val="auto"/>
        </w:rPr>
        <w:t>The Consumer Lawn Business Group had net sales of $147.3 million, a de-crease of 15.6%. The decrease is attributable to the impact of the marketing program incentivizing retailers to purchase their spring requirements early and the late-breaking spring in most parts of the country. The marketing program resulted in large trade inventories entering the 1996 selling season. Sales decreases in fertilizers, spreaders and organics were partially offset by increased seed sales. The Consumer Garden Business Group had net sales of $47.2 million, an increase of 593.5%, due to the inclusion of Miracle-Gro, partially offset by the divestiture of the Peters U.S. consumer water soluble fertilizer business. Professional Business Group net sales increased 2.7% to $35.0 million principally due to volume. International sales increased 4.9% to $21.7 million. The increase resulted primarily from increased sales volume.</w:t>
      </w:r>
    </w:p>
    <w:p>
      <w:pPr>
        <w:spacing w:after="0" w:line="200" w:lineRule="exact"/>
        <w:rPr>
          <w:sz w:val="20"/>
          <w:szCs w:val="20"/>
          <w:color w:val="auto"/>
        </w:rPr>
      </w:pPr>
    </w:p>
    <w:p>
      <w:pPr>
        <w:spacing w:after="0" w:line="38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919" w:right="1440" w:bottom="1440" w:gutter="0" w:footer="0" w:header="0"/>
        </w:sectPr>
      </w:pPr>
    </w:p>
    <w:bookmarkStart w:id="11" w:name="page12"/>
    <w:bookmarkEnd w:id="11"/>
    <w:p>
      <w:pPr>
        <w:jc w:val="both"/>
        <w:ind w:right="1999"/>
        <w:spacing w:after="0" w:line="237" w:lineRule="auto"/>
        <w:rPr>
          <w:sz w:val="20"/>
          <w:szCs w:val="20"/>
          <w:color w:val="auto"/>
        </w:rPr>
      </w:pPr>
      <w:r>
        <w:rPr>
          <w:rFonts w:ascii="Courier New" w:cs="Courier New" w:eastAsia="Courier New" w:hAnsi="Courier New"/>
          <w:sz w:val="18"/>
          <w:szCs w:val="18"/>
          <w:color w:val="auto"/>
        </w:rPr>
        <w:t>Cost of sales represented 53.7% of net sales, up 1.2% compared to 52.5% of net sales last year. The increase was partially attributable to higher raw materials costs and to a lesser extent, sales mix which reflected increased volume in lower margin products.</w:t>
      </w:r>
    </w:p>
    <w:p>
      <w:pPr>
        <w:spacing w:after="0" w:line="207"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Operating expenses increased approximately 10.9% due partially to the inclusion of Miracle-Gro. Marketing expenses increased 14.6% due to increased promotional allowances to retailers and increased national advertising. Distribution expenses decreased 5.8% principally as a result of a sales mix which includes Miracle-Gro, which has a proportionately lower distribution cost. General and administrative expenses increased 28.2% due to the inclusion of Miracle-Gro, and increased outside services. Other expenses, net decreased by 554.9% due to lower foreign exchange losses and an increase in income of unconsolidated businesses. Amortization of goodwill and other intangibles increased as a result of the merger with Miracle-Gro. Unusual expenses of $3.2 million were recorded for restructuring charges related to personnel reductions and facilities closings.</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Company's effective tax rate increased from 41.5% to 43.9%. This increase results primarily from an increase in nondeductible amortization of goodwill and intangible assets.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income of $10.6 million decreased by $3.2 million from 1995. Among the significant items impacting 1996 results were the inclusion of Miracle-Gro, decreased revenues in the Consumer Lawn Business Group, the $3.2 million charge for restructuring and the higher effective tax rate.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March 30, 1996 versus Six Months Ended April 1, 1995</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sales increased to $369.2 million, up 10.5%. The increase is primarily attributed to the inclusion of Miracle-Gro, partially offset by decreases due to the marketing program which incentivized retailers to purchase spring requirements early, the divestiture of the Peters U.S. consumer water soluble fertilizer business, the loss of exclusivity of an advanced control chemistry, and the late-breaking spring. On a pro forma basis, net sales decreased by $24.5 million or 6.2%.</w:t>
      </w:r>
    </w:p>
    <w:p>
      <w:pPr>
        <w:spacing w:after="0" w:line="211"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Consumer Lawn Business Group had net sales of $211.2 million, a decrease of 7.3%. The decrease is attributable to the impact of the marketing program incentivizing retailers to purchase their spring requirements early, the divestiture of the Peters U.S. consumer water soluble fertilizer business and the late-breaking spring in most parts of the country. The marketing program resulted in large trade inventories entering the 1996 selling season. Sales decreases in fertilizers, spreaders and organics were partially offset by sales increases in seed. The Consumer Garden Business Group had net sales of $59.9 million, an increase of 555.5% due to the inclusion of Miracle-Gro, partially offset by the divestiture of the Peters U.S. consumer water soluble fertilizer business. Professional Business Group net sales decreased 1.4%. International sales increased 5.2% to $37.0 million. The increase resulted primarily from increased sales volume.</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Cost of sales represented 54.1% of net sales, up 1% compared to 53.1% of net sales last year. The increase was partially attributable to higher raw materials costs and to a lesser extent, sales mix which reflected increased volume in lower margin products.</w:t>
      </w:r>
    </w:p>
    <w:p>
      <w:pPr>
        <w:spacing w:after="0" w:line="207" w:lineRule="exact"/>
        <w:rPr>
          <w:sz w:val="20"/>
          <w:szCs w:val="20"/>
          <w:color w:val="auto"/>
        </w:rPr>
      </w:pPr>
    </w:p>
    <w:p>
      <w:pPr>
        <w:jc w:val="both"/>
        <w:ind w:right="1999"/>
        <w:spacing w:after="0" w:line="271" w:lineRule="auto"/>
        <w:rPr>
          <w:sz w:val="20"/>
          <w:szCs w:val="20"/>
          <w:color w:val="auto"/>
        </w:rPr>
      </w:pPr>
      <w:r>
        <w:rPr>
          <w:rFonts w:ascii="Courier New" w:cs="Courier New" w:eastAsia="Courier New" w:hAnsi="Courier New"/>
          <w:sz w:val="16"/>
          <w:szCs w:val="16"/>
          <w:color w:val="auto"/>
        </w:rPr>
        <w:t>Operating expenses increased 16.8% due partially to the inclusion of Miracle-Gro. Marketing expenses increased 17.8% due to increased promotional allowances to retailers and increased national advertising. Distribution costs increased 0.4% as a result of a sales mix which includes Miracle-Gro, which has a proportionately lower distribution cost. General and administrative expenses increased 31.3% due to the inclusion of Miracle-Gro, increased spending in corporate communications and increased outside services.</w:t>
      </w: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925" w:right="1440" w:bottom="1440" w:gutter="0" w:footer="0" w:header="0"/>
        </w:sectPr>
      </w:pPr>
    </w:p>
    <w:bookmarkStart w:id="12" w:name="page13"/>
    <w:bookmarkEnd w:id="12"/>
    <w:p>
      <w:pPr>
        <w:spacing w:after="0" w:line="93" w:lineRule="exact"/>
        <w:rPr>
          <w:sz w:val="20"/>
          <w:szCs w:val="20"/>
          <w:color w:val="auto"/>
        </w:rPr>
      </w:pPr>
    </w:p>
    <w:p>
      <w:pPr>
        <w:jc w:val="both"/>
        <w:ind w:right="1999"/>
        <w:spacing w:after="0" w:line="273" w:lineRule="auto"/>
        <w:rPr>
          <w:sz w:val="20"/>
          <w:szCs w:val="20"/>
          <w:color w:val="auto"/>
        </w:rPr>
      </w:pPr>
      <w:r>
        <w:rPr>
          <w:rFonts w:ascii="Courier New" w:cs="Courier New" w:eastAsia="Courier New" w:hAnsi="Courier New"/>
          <w:sz w:val="16"/>
          <w:szCs w:val="16"/>
          <w:color w:val="auto"/>
        </w:rPr>
        <w:t>Other expenses, net, decreased by 282.5% due to an increase in income of unconsolidated businesses and lower foreign currency exchange impacts. Amortization of goodwill and other intangibles increased as a result of the merger with Miracle-Gro. Unusual expenses of $5.2 million were recorded for restructuring charges related to personnel reductions and facilities closings.</w:t>
      </w:r>
    </w:p>
    <w:p>
      <w:pPr>
        <w:spacing w:after="0" w:line="185"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Interest expense increased 6.6%. The increase was caused primarily by an increase in borrowing levels in the first quarter.</w:t>
      </w:r>
    </w:p>
    <w:p>
      <w:pPr>
        <w:spacing w:after="0" w:line="208"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Company's effective tax rate increased from 41.5% to 45.4% in 1996. This increase results primarily from an increase in nondeductible amortization of goodwill and intangible assets.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Net income of $3.5 million decreased by $5.7 million from 1995. Among the significant items impacting 1996 results were the inclusion of Miracle-Gro, decreased revenues in the Consumer Lawns Business Group and Professional Business Group, a $5.2 million charge for restructuring and the higher effective tax rate.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March 30, 1996</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Current assets of $533.2 million increased by $182.3 million compared with current assets at September 30, 1995 and by $111.9 million compared with current assets at April 1, 1995. The increase compared with September 30, 1995 is primarily attributable to the seasonal nature of the Company's business, with inventory and accounts receivable levels generally being higher in March relative to September. The increase compared with April 1, 1995 was due in part to the inclusion of Miracle-Gro's current assets which amounted to $69.4 million. The increase was also caused by higher receivables and higher inventory levels.</w:t>
      </w:r>
    </w:p>
    <w:p>
      <w:pPr>
        <w:spacing w:after="0" w:line="21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Current liabilities of $247.6 million increased by $123.7 million compared with current liabilities at September 30, 1995 and by $83.3 million compared with current liabilities at April 1, 1995. The increase compared with September 30, 1995 is caused in part by increased short-term borrowings, accounts payable and accrued expenses. The increase as compared with April 1, 1995 is caused in part by the inclusion of Miracle-Gro's current liabilities which amount to $19.9 million . The increase was also caused by higher short-term borrowings and accrued expenses.</w:t>
      </w:r>
    </w:p>
    <w:p>
      <w:pPr>
        <w:spacing w:after="0" w:line="212"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Capital expenditures for the year ended September 30, 1996 are expected to be approximately $20.0 million. The Credit Agreement restricts the amount the Company may spend on capital expenditures to $50 million per year for fiscal 1996 and each year thereafter. Fiscal 1996 capital expenditures are expected to be financed with cash provided by operations and utilization of available credit facilities.</w:t>
      </w:r>
    </w:p>
    <w:p>
      <w:pPr>
        <w:spacing w:after="0" w:line="210"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Long-term debt increased by $52.5 million compared with long-term debt at September 30, 1995. The increase as compared to September 30, 1995 was to support the seasonal increase in working capital and capital expenditures.</w:t>
      </w:r>
    </w:p>
    <w:p>
      <w:pPr>
        <w:spacing w:after="0" w:line="209" w:lineRule="exact"/>
        <w:rPr>
          <w:sz w:val="20"/>
          <w:szCs w:val="20"/>
          <w:color w:val="auto"/>
        </w:rPr>
      </w:pPr>
    </w:p>
    <w:p>
      <w:pPr>
        <w:jc w:val="both"/>
        <w:ind w:right="1999"/>
        <w:spacing w:after="0" w:line="238" w:lineRule="auto"/>
        <w:rPr>
          <w:sz w:val="20"/>
          <w:szCs w:val="20"/>
          <w:color w:val="auto"/>
        </w:rPr>
      </w:pPr>
      <w:r>
        <w:rPr>
          <w:rFonts w:ascii="Courier New" w:cs="Courier New" w:eastAsia="Courier New" w:hAnsi="Courier New"/>
          <w:sz w:val="18"/>
          <w:szCs w:val="18"/>
          <w:color w:val="auto"/>
        </w:rPr>
        <w:t>Shareholders' equity increased by $3.0 million compared with shareholders' equity at September 30, 1995 and by $202.9 million compared with shareholders' equity at April 1, 1995. The increase compared with September 30, 1995 reflects net income for the six months of $3.5 million and the issuance of treasury stock for options exercised of $5.1 million offset by Convertible Preferred Stock dividends of $4.9 million and the change in the cumulative foreign currency adjustment of $0.7 million. The increase compared with April 1, 1995 is primarily a result of the merger with Miracle-Gro, including the issuance of Convertible Preferred Stock with a fair market value of $177.3 million and Warrants with a fair market value of $14.4 million. The remaining change in shareholders' equity was a result of net income for the twelve months ended March 30, 1996 of $16.6 million, and the issuance of treasury stock for options exercised of $5.5 million offset by the change in the cumulative foreign currency adjustment of $2.5 million and Convertible Preferred Stock dividends of $8.4 million.</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1440" w:right="1440" w:bottom="767" w:gutter="0" w:footer="0" w:header="0"/>
        </w:sectPr>
      </w:pPr>
    </w:p>
    <w:bookmarkStart w:id="13" w:name="page14"/>
    <w:bookmarkEnd w:id="13"/>
    <w:p>
      <w:pPr>
        <w:jc w:val="both"/>
        <w:ind w:right="1999"/>
        <w:spacing w:after="0" w:line="238" w:lineRule="auto"/>
        <w:rPr>
          <w:sz w:val="20"/>
          <w:szCs w:val="20"/>
          <w:color w:val="auto"/>
        </w:rPr>
      </w:pPr>
      <w:r>
        <w:rPr>
          <w:rFonts w:ascii="Courier New" w:cs="Courier New" w:eastAsia="Courier New" w:hAnsi="Courier New"/>
          <w:sz w:val="18"/>
          <w:szCs w:val="18"/>
          <w:color w:val="auto"/>
        </w:rPr>
        <w:t>The Company has foreign exchange rate risk related to international earnings and cash flows. During fiscal 1995, a management program was designed to minimize the exposure to adverse currency impacts on the cash value of the Company's non-local currency receivables and payables, as well as the associated earnings impact. The Company has entered into forward foreign exchange contracts and purchased currency options tied to the economic value of receivables,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is intended to minimize but cannot completely eliminate the Company's exposure to adverse foreign currency movements.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As of March 30, 1996, the Company's European operations had foreign exchange risk in various currencies tied to the Dutch Guilder. These currencies include the Australian Dollar, Belgian Franc, German Mark, Spanish Peseta, Italian Lira, French Franc, British Pound and the U.S. Dollar. The Company's U.S. operations had foreign exchange rate risk in the Canadian Dollar, Dutch Guilder and the British Pound which are tied to the U.S. Dollar. As of March 30, 1996, outstanding foreign exchange forward contracts had a contract value of approximately $24.1 million and outstanding purchased currency options had a contract value of approximately $4.7 million. These contracts have maturity dates ranging from April 3, 1996 to October 2, 1996.</w:t>
      </w:r>
    </w:p>
    <w:p>
      <w:pPr>
        <w:spacing w:after="0" w:line="215"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primary sources of liquidity for the Company are funds generated by operations and borrowings under the Company's Credit Agreement. As amended, the Credit Agreement is unsecured and provides up to $375 million through March 31, 2000 and does not contain a term loan facility.</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 the opinion of the Company's management, cash flows from operations and capital resources will be sufficient to meet debt service and working capital needs during the 1996 fiscal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The Company is subject to the effect of changing prices. The Company has, however, generally been able to pass along inflationary increases in its costs by increasing the prices of its products.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Selective price increases for products which contain urea became effective at the beginning of 1996. The price increases offset higher urea prices experienced by the Company. In addition, the Company has entered into a supply agreement through the year 2000, under which the Company is required to purchase set tonnage of urea at a set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Issues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In</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December</w:t>
            </w:r>
          </w:p>
        </w:tc>
        <w:tc>
          <w:tcPr>
            <w:tcW w:w="7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1995,</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54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Financial  Accounting  Standards  Board  issued SFAS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123  "Accounting</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for</w:t>
            </w:r>
          </w:p>
        </w:tc>
        <w:tc>
          <w:tcPr>
            <w:tcW w:w="41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Stock-Based   Compensation"   which</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changes  the</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measurement,</w:t>
            </w:r>
          </w:p>
        </w:tc>
        <w:tc>
          <w:tcPr>
            <w:tcW w:w="23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recognition   and</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disclosure</w:t>
            </w:r>
          </w:p>
        </w:tc>
        <w:tc>
          <w:tcPr>
            <w:tcW w:w="1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standards   for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stock-based</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13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Management</w:t>
            </w:r>
          </w:p>
        </w:tc>
        <w:tc>
          <w:tcPr>
            <w:tcW w:w="5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is currently  evaluating  the provisions of SFAS No.</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123</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and at this time,</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the effect of</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adopting</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SFAS No. 123 on the results of</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operations and the method</w:t>
            </w:r>
          </w:p>
        </w:tc>
        <w:tc>
          <w:tcPr>
            <w:tcW w:w="41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of disclosure has not been determined.</w:t>
            </w:r>
          </w:p>
        </w:tc>
        <w:tc>
          <w:tcPr>
            <w:tcW w:w="13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Company's management continually evaluates the Company's contingencies, including various lawsuits and claims which arise in the normal course of business. In the opinion of management, its assessment of contingen-cies is reasonable and the related reserves, in the aggregate, are adequate; however, there can be no assurance that future quarterly or annual operating results will not be materially affected by final resolution of these matters. Additional information with respect to the more significant of these matters is described in footnote number 8 to the Company's Consolidated Financial Statements.</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92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jc w:val="both"/>
        <w:ind w:left="640" w:right="1999"/>
        <w:spacing w:after="0" w:line="236" w:lineRule="auto"/>
        <w:rPr>
          <w:sz w:val="20"/>
          <w:szCs w:val="20"/>
          <w:color w:val="auto"/>
        </w:rPr>
      </w:pPr>
      <w:r>
        <w:rPr>
          <w:rFonts w:ascii="Courier New" w:cs="Courier New" w:eastAsia="Courier New" w:hAnsi="Courier New"/>
          <w:sz w:val="18"/>
          <w:szCs w:val="18"/>
          <w:color w:val="auto"/>
        </w:rPr>
        <w:t>Please see the information provided in Footnote 8 to the Company's Consolidated Financial Statements on pages 8 and 9 of this Report, which information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2-3</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Submission of Matters to a Vote of Security Holders</w:t>
      </w:r>
    </w:p>
    <w:p>
      <w:pPr>
        <w:spacing w:after="0" w:line="207" w:lineRule="exact"/>
        <w:rPr>
          <w:sz w:val="20"/>
          <w:szCs w:val="20"/>
          <w:color w:val="auto"/>
        </w:rPr>
      </w:pPr>
    </w:p>
    <w:p>
      <w:pPr>
        <w:jc w:val="both"/>
        <w:ind w:left="640" w:right="1999"/>
        <w:spacing w:after="0" w:line="235" w:lineRule="auto"/>
        <w:rPr>
          <w:sz w:val="20"/>
          <w:szCs w:val="20"/>
          <w:color w:val="auto"/>
        </w:rPr>
      </w:pPr>
      <w:r>
        <w:rPr>
          <w:rFonts w:ascii="Courier New" w:cs="Courier New" w:eastAsia="Courier New" w:hAnsi="Courier New"/>
          <w:sz w:val="18"/>
          <w:szCs w:val="18"/>
          <w:color w:val="auto"/>
        </w:rPr>
        <w:t>The Annual Meeting of Shareholders of the Company (the "Annual Meeting") was held in Columbus, Ohio on April 9, 1996.</w:t>
      </w:r>
    </w:p>
    <w:p>
      <w:pPr>
        <w:spacing w:after="0" w:line="208" w:lineRule="exact"/>
        <w:rPr>
          <w:sz w:val="20"/>
          <w:szCs w:val="20"/>
          <w:color w:val="auto"/>
        </w:rPr>
      </w:pPr>
    </w:p>
    <w:p>
      <w:pPr>
        <w:jc w:val="both"/>
        <w:ind w:left="640" w:right="1999"/>
        <w:spacing w:after="0" w:line="235" w:lineRule="auto"/>
        <w:rPr>
          <w:sz w:val="20"/>
          <w:szCs w:val="20"/>
          <w:color w:val="auto"/>
        </w:rPr>
      </w:pPr>
      <w:r>
        <w:rPr>
          <w:rFonts w:ascii="Courier New" w:cs="Courier New" w:eastAsia="Courier New" w:hAnsi="Courier New"/>
          <w:sz w:val="18"/>
          <w:szCs w:val="18"/>
          <w:color w:val="auto"/>
        </w:rPr>
        <w:t>The result of the vote of the shareholders for each of the matters submitted to the shareholders at the Annual Meeting is as follows:</w:t>
      </w:r>
    </w:p>
    <w:p>
      <w:pPr>
        <w:spacing w:after="0" w:line="203" w:lineRule="exact"/>
        <w:rPr>
          <w:sz w:val="20"/>
          <w:szCs w:val="20"/>
          <w:color w:val="auto"/>
        </w:rPr>
      </w:pPr>
    </w:p>
    <w:p>
      <w:pPr>
        <w:ind w:left="1060" w:hanging="420"/>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proposal to elect three directors for terms of three years: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5"/>
              </w:rPr>
              <w:t>Nominee</w:t>
            </w:r>
          </w:p>
        </w:tc>
        <w:tc>
          <w:tcPr>
            <w:tcW w:w="1700" w:type="dxa"/>
            <w:vAlign w:val="bottom"/>
          </w:tcPr>
          <w:p>
            <w:pPr>
              <w:ind w:left="380"/>
              <w:spacing w:after="0"/>
              <w:rPr>
                <w:sz w:val="20"/>
                <w:szCs w:val="20"/>
                <w:color w:val="auto"/>
              </w:rPr>
            </w:pPr>
            <w:r>
              <w:rPr>
                <w:rFonts w:ascii="Courier New" w:cs="Courier New" w:eastAsia="Courier New" w:hAnsi="Courier New"/>
                <w:sz w:val="18"/>
                <w:szCs w:val="18"/>
                <w:color w:val="auto"/>
              </w:rPr>
              <w:t>Votes For</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7"/>
              </w:rPr>
              <w:t>Withheld</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Not Voted</w:t>
            </w:r>
          </w:p>
        </w:tc>
      </w:tr>
      <w:tr>
        <w:trPr>
          <w:trHeight w:val="203"/>
        </w:trPr>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Hagedorn</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23,141,916</w:t>
            </w:r>
          </w:p>
        </w:tc>
        <w:tc>
          <w:tcPr>
            <w:tcW w:w="15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80,507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Karen Gordon Mills</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23,177,933</w:t>
            </w:r>
          </w:p>
        </w:tc>
        <w:tc>
          <w:tcPr>
            <w:tcW w:w="15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44,490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Tadd C. Seitz</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23,168,953</w:t>
            </w:r>
          </w:p>
        </w:tc>
        <w:tc>
          <w:tcPr>
            <w:tcW w:w="15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53,470</w:t>
            </w:r>
          </w:p>
        </w:tc>
      </w:tr>
    </w:tbl>
    <w:p>
      <w:pPr>
        <w:spacing w:after="0" w:line="201" w:lineRule="exact"/>
        <w:rPr>
          <w:sz w:val="20"/>
          <w:szCs w:val="20"/>
          <w:color w:val="auto"/>
        </w:rPr>
      </w:pPr>
    </w:p>
    <w:p>
      <w:pPr>
        <w:ind w:left="640"/>
        <w:spacing w:after="0"/>
        <w:tabs>
          <w:tab w:leader="none" w:pos="4300" w:val="left"/>
          <w:tab w:leader="none" w:pos="4840" w:val="left"/>
          <w:tab w:leader="none" w:pos="6000" w:val="left"/>
        </w:tabs>
        <w:rPr>
          <w:sz w:val="20"/>
          <w:szCs w:val="20"/>
          <w:color w:val="auto"/>
        </w:rPr>
      </w:pPr>
      <w:r>
        <w:rPr>
          <w:rFonts w:ascii="Courier New" w:cs="Courier New" w:eastAsia="Courier New" w:hAnsi="Courier New"/>
          <w:sz w:val="18"/>
          <w:szCs w:val="18"/>
          <w:color w:val="auto"/>
        </w:rPr>
        <w:t>Each of the nominees was elected.</w:t>
        <w:tab/>
        <w:t>The</w:t>
        <w:tab/>
        <w:t>Directors</w:t>
      </w:r>
      <w:r>
        <w:rPr>
          <w:sz w:val="20"/>
          <w:szCs w:val="20"/>
          <w:color w:val="auto"/>
        </w:rPr>
        <w:tab/>
      </w:r>
      <w:r>
        <w:rPr>
          <w:rFonts w:ascii="Courier New" w:cs="Courier New" w:eastAsia="Courier New" w:hAnsi="Courier New"/>
          <w:sz w:val="16"/>
          <w:szCs w:val="16"/>
          <w:color w:val="auto"/>
        </w:rPr>
        <w:t>whose terms of office</w:t>
      </w:r>
    </w:p>
    <w:p>
      <w:pPr>
        <w:ind w:left="640"/>
        <w:spacing w:after="0"/>
        <w:tabs>
          <w:tab w:leader="none" w:pos="6300" w:val="left"/>
          <w:tab w:leader="none" w:pos="7780" w:val="left"/>
        </w:tabs>
        <w:rPr>
          <w:sz w:val="20"/>
          <w:szCs w:val="20"/>
          <w:color w:val="auto"/>
        </w:rPr>
      </w:pPr>
      <w:r>
        <w:rPr>
          <w:rFonts w:ascii="Courier New" w:cs="Courier New" w:eastAsia="Courier New" w:hAnsi="Courier New"/>
          <w:sz w:val="18"/>
          <w:szCs w:val="18"/>
          <w:color w:val="auto"/>
        </w:rPr>
        <w:t>continue after the Annual Meeting are James B Beard,</w:t>
        <w:tab/>
        <w:t>John Kenlon,</w:t>
      </w:r>
      <w:r>
        <w:rPr>
          <w:sz w:val="20"/>
          <w:szCs w:val="20"/>
          <w:color w:val="auto"/>
        </w:rPr>
        <w:tab/>
      </w:r>
      <w:r>
        <w:rPr>
          <w:rFonts w:ascii="Courier New" w:cs="Courier New" w:eastAsia="Courier New" w:hAnsi="Courier New"/>
          <w:sz w:val="16"/>
          <w:szCs w:val="16"/>
          <w:color w:val="auto"/>
        </w:rPr>
        <w:t>John</w:t>
      </w:r>
    </w:p>
    <w:p>
      <w:pPr>
        <w:ind w:left="640"/>
        <w:spacing w:after="0"/>
        <w:tabs>
          <w:tab w:leader="none" w:pos="6200" w:val="left"/>
        </w:tabs>
        <w:rPr>
          <w:sz w:val="20"/>
          <w:szCs w:val="20"/>
          <w:color w:val="auto"/>
        </w:rPr>
      </w:pPr>
      <w:r>
        <w:rPr>
          <w:rFonts w:ascii="Courier New" w:cs="Courier New" w:eastAsia="Courier New" w:hAnsi="Courier New"/>
          <w:sz w:val="18"/>
          <w:szCs w:val="18"/>
          <w:color w:val="auto"/>
        </w:rPr>
        <w:t>M. Sullivan, L. Jack VanFossen, John S. Chamberlin,</w:t>
      </w:r>
      <w:r>
        <w:rPr>
          <w:sz w:val="20"/>
          <w:szCs w:val="20"/>
          <w:color w:val="auto"/>
        </w:rPr>
        <w:tab/>
      </w:r>
      <w:r>
        <w:rPr>
          <w:rFonts w:ascii="Courier New" w:cs="Courier New" w:eastAsia="Courier New" w:hAnsi="Courier New"/>
          <w:sz w:val="16"/>
          <w:szCs w:val="16"/>
          <w:color w:val="auto"/>
        </w:rPr>
        <w:t>Joseph P. Flannery,</w:t>
      </w:r>
    </w:p>
    <w:p>
      <w:pPr>
        <w:ind w:left="640"/>
        <w:spacing w:after="0" w:line="237" w:lineRule="auto"/>
        <w:rPr>
          <w:sz w:val="20"/>
          <w:szCs w:val="20"/>
          <w:color w:val="auto"/>
        </w:rPr>
      </w:pPr>
      <w:r>
        <w:rPr>
          <w:rFonts w:ascii="Courier New" w:cs="Courier New" w:eastAsia="Courier New" w:hAnsi="Courier New"/>
          <w:sz w:val="18"/>
          <w:szCs w:val="18"/>
          <w:color w:val="auto"/>
        </w:rPr>
        <w:t>Horace Hagedorn and Donald A.</w:t>
      </w:r>
    </w:p>
    <w:p>
      <w:pPr>
        <w:ind w:left="640"/>
        <w:spacing w:after="0" w:line="238" w:lineRule="auto"/>
        <w:rPr>
          <w:sz w:val="20"/>
          <w:szCs w:val="20"/>
          <w:color w:val="auto"/>
        </w:rPr>
      </w:pPr>
      <w:r>
        <w:rPr>
          <w:rFonts w:ascii="Courier New" w:cs="Courier New" w:eastAsia="Courier New" w:hAnsi="Courier New"/>
          <w:sz w:val="18"/>
          <w:szCs w:val="18"/>
          <w:color w:val="auto"/>
        </w:rPr>
        <w:t>Sherman.</w:t>
      </w:r>
    </w:p>
    <w:p>
      <w:pPr>
        <w:spacing w:after="0" w:line="208" w:lineRule="exact"/>
        <w:rPr>
          <w:sz w:val="20"/>
          <w:szCs w:val="20"/>
          <w:color w:val="auto"/>
        </w:rPr>
      </w:pPr>
    </w:p>
    <w:p>
      <w:pPr>
        <w:ind w:left="1160" w:right="1999" w:hanging="520"/>
        <w:spacing w:after="0" w:line="235" w:lineRule="auto"/>
        <w:tabs>
          <w:tab w:leader="none" w:pos="11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proposal to approve the adoption of the Company's 1996 Stock Option Plan:</w:t>
      </w:r>
    </w:p>
    <w:p>
      <w:pPr>
        <w:spacing w:after="0" w:line="20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ind w:left="580"/>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15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2"/>
              </w:rPr>
              <w:t>For</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Against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Abstain</w:t>
            </w:r>
          </w:p>
        </w:tc>
        <w:tc>
          <w:tcPr>
            <w:tcW w:w="14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6"/>
              </w:rPr>
              <w:t>Non Votes</w:t>
            </w:r>
          </w:p>
        </w:tc>
      </w:tr>
      <w:tr>
        <w:trPr>
          <w:trHeight w:val="203"/>
        </w:trPr>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18,945,876</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425,050</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792,046</w:t>
            </w:r>
          </w:p>
        </w:tc>
        <w:tc>
          <w:tcPr>
            <w:tcW w:w="14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6"/>
              </w:rPr>
              <w:t>3,059,451</w:t>
            </w:r>
          </w:p>
        </w:tc>
      </w:tr>
    </w:tbl>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This proposal was approved.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spacing w:after="0" w:line="207" w:lineRule="exact"/>
        <w:rPr>
          <w:sz w:val="20"/>
          <w:szCs w:val="20"/>
          <w:color w:val="auto"/>
        </w:rPr>
      </w:pPr>
    </w:p>
    <w:p>
      <w:pPr>
        <w:ind w:left="1160" w:right="1999" w:hanging="520"/>
        <w:spacing w:after="0" w:line="235" w:lineRule="auto"/>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16 for a list of the exhibits included herewith.</w:t>
      </w:r>
    </w:p>
    <w:p>
      <w:pPr>
        <w:spacing w:after="0" w:line="208" w:lineRule="exact"/>
        <w:rPr>
          <w:rFonts w:ascii="Courier New" w:cs="Courier New" w:eastAsia="Courier New" w:hAnsi="Courier New"/>
          <w:sz w:val="18"/>
          <w:szCs w:val="18"/>
          <w:color w:val="auto"/>
        </w:rPr>
      </w:pPr>
    </w:p>
    <w:p>
      <w:pPr>
        <w:ind w:left="1160" w:right="1999" w:hanging="520"/>
        <w:spacing w:after="0" w:line="235" w:lineRule="auto"/>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fiscal quarter ended March 30, 1996.</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919"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160" w:space="120"/>
            <w:col w:w="493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740" w:type="dxa"/>
            <w:vAlign w:val="bottom"/>
          </w:tcPr>
          <w:p>
            <w:pPr>
              <w:ind w:left="520"/>
              <w:spacing w:after="0"/>
              <w:rPr>
                <w:sz w:val="20"/>
                <w:szCs w:val="20"/>
                <w:color w:val="auto"/>
              </w:rPr>
            </w:pPr>
            <w:r>
              <w:rPr>
                <w:rFonts w:ascii="Courier New" w:cs="Courier New" w:eastAsia="Courier New" w:hAnsi="Courier New"/>
                <w:sz w:val="18"/>
                <w:szCs w:val="18"/>
                <w:color w:val="auto"/>
              </w:rPr>
              <w:t>THE SCOTTS COMPANY</w:t>
            </w: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May 14, 1996</w:t>
            </w:r>
          </w:p>
        </w:tc>
        <w:tc>
          <w:tcPr>
            <w:tcW w:w="4740" w:type="dxa"/>
            <w:vAlign w:val="bottom"/>
          </w:tcPr>
          <w:p>
            <w:pPr>
              <w:ind w:left="1060"/>
              <w:spacing w:after="0"/>
              <w:rPr>
                <w:sz w:val="20"/>
                <w:szCs w:val="20"/>
                <w:color w:val="auto"/>
              </w:rPr>
            </w:pPr>
            <w:r>
              <w:rPr>
                <w:rFonts w:ascii="Courier New" w:cs="Courier New" w:eastAsia="Courier New" w:hAnsi="Courier New"/>
                <w:sz w:val="18"/>
                <w:szCs w:val="18"/>
                <w:color w:val="auto"/>
              </w:rPr>
              <w:t>/s/  Paul D. Yeager</w:t>
            </w:r>
          </w:p>
        </w:tc>
      </w:tr>
      <w:tr>
        <w:trPr>
          <w:trHeight w:val="203"/>
        </w:trPr>
        <w:tc>
          <w:tcPr>
            <w:tcW w:w="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6"/>
              </w:rPr>
              <w:t>-----------------------------------</w:t>
            </w:r>
          </w:p>
        </w:tc>
      </w:tr>
    </w:tbl>
    <w:p>
      <w:pPr>
        <w:ind w:left="4220"/>
        <w:spacing w:after="0" w:line="238" w:lineRule="auto"/>
        <w:rPr>
          <w:sz w:val="20"/>
          <w:szCs w:val="20"/>
          <w:color w:val="auto"/>
        </w:rPr>
      </w:pPr>
      <w:r>
        <w:rPr>
          <w:rFonts w:ascii="Courier New" w:cs="Courier New" w:eastAsia="Courier New" w:hAnsi="Courier New"/>
          <w:sz w:val="18"/>
          <w:szCs w:val="18"/>
          <w:color w:val="auto"/>
        </w:rPr>
        <w:t>Paul D. Yeager</w:t>
      </w:r>
    </w:p>
    <w:p>
      <w:pPr>
        <w:ind w:left="4220"/>
        <w:spacing w:after="0"/>
        <w:rPr>
          <w:sz w:val="20"/>
          <w:szCs w:val="20"/>
          <w:color w:val="auto"/>
        </w:rPr>
      </w:pPr>
      <w:r>
        <w:rPr>
          <w:rFonts w:ascii="Courier New" w:cs="Courier New" w:eastAsia="Courier New" w:hAnsi="Courier New"/>
          <w:sz w:val="18"/>
          <w:szCs w:val="18"/>
          <w:color w:val="auto"/>
        </w:rPr>
        <w:t>Executive Vice President</w:t>
      </w:r>
    </w:p>
    <w:p>
      <w:pPr>
        <w:ind w:left="422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220"/>
        <w:spacing w:after="0" w:line="238" w:lineRule="auto"/>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723" w:right="1440" w:bottom="1440" w:gutter="0" w:footer="0" w:header="0"/>
          <w:type w:val="continuous"/>
        </w:sectPr>
      </w:pPr>
    </w:p>
    <w:bookmarkStart w:id="16" w:name="page17"/>
    <w:bookmarkEnd w:id="16"/>
    <w:p>
      <w:pPr>
        <w:ind w:left="3160"/>
        <w:spacing w:after="0"/>
        <w:rPr>
          <w:sz w:val="20"/>
          <w:szCs w:val="20"/>
          <w:color w:val="auto"/>
        </w:rPr>
      </w:pPr>
      <w:r>
        <w:rPr>
          <w:rFonts w:ascii="Courier New" w:cs="Courier New" w:eastAsia="Courier New" w:hAnsi="Courier New"/>
          <w:sz w:val="18"/>
          <w:szCs w:val="18"/>
          <w:color w:val="auto"/>
        </w:rPr>
        <w:t>THE SCOTTS COMPANY</w:t>
      </w:r>
    </w:p>
    <w:p>
      <w:pPr>
        <w:ind w:left="2440"/>
        <w:spacing w:after="0" w:line="238" w:lineRule="auto"/>
        <w:rPr>
          <w:sz w:val="20"/>
          <w:szCs w:val="20"/>
          <w:color w:val="auto"/>
        </w:rPr>
      </w:pPr>
      <w:r>
        <w:rPr>
          <w:rFonts w:ascii="Courier New" w:cs="Courier New" w:eastAsia="Courier New" w:hAnsi="Courier New"/>
          <w:sz w:val="18"/>
          <w:szCs w:val="18"/>
          <w:color w:val="auto"/>
        </w:rPr>
        <w:t>QUARTERLY REPORT ON FORM 10-Q FOR</w:t>
      </w:r>
    </w:p>
    <w:p>
      <w:pPr>
        <w:ind w:left="2320"/>
        <w:spacing w:after="0"/>
        <w:rPr>
          <w:sz w:val="20"/>
          <w:szCs w:val="20"/>
          <w:color w:val="auto"/>
        </w:rPr>
      </w:pPr>
      <w:r>
        <w:rPr>
          <w:rFonts w:ascii="Courier New" w:cs="Courier New" w:eastAsia="Courier New" w:hAnsi="Courier New"/>
          <w:sz w:val="18"/>
          <w:szCs w:val="18"/>
          <w:color w:val="auto"/>
        </w:rPr>
        <w:t>FISCAL QUARTER ENDED MARCH 30, 1996</w:t>
      </w:r>
    </w:p>
    <w:p>
      <w:pPr>
        <w:ind w:left="3480"/>
        <w:spacing w:after="0" w:line="237" w:lineRule="auto"/>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672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Page</w:t>
      </w:r>
    </w:p>
    <w:p>
      <w:pPr>
        <w:ind w:left="220"/>
        <w:spacing w:after="0"/>
        <w:tabs>
          <w:tab w:leader="none" w:pos="2300" w:val="left"/>
          <w:tab w:leader="none" w:pos="66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10</w:t>
            </w:r>
          </w:p>
        </w:tc>
        <w:tc>
          <w:tcPr>
            <w:tcW w:w="21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The Scotts Company</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Stock</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6"/>
              </w:rPr>
              <w:t>Option Plan .........</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Pages 18-25</w:t>
            </w:r>
          </w:p>
        </w:tc>
      </w:tr>
      <w:tr>
        <w:trPr>
          <w:trHeight w:val="608"/>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11</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Computation of</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Net</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Income Per</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w w:val="96"/>
              </w:rPr>
              <w:t>Common Share ........</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Page</w:t>
            </w:r>
          </w:p>
        </w:tc>
        <w:tc>
          <w:tcPr>
            <w:tcW w:w="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w:t>
            </w:r>
          </w:p>
        </w:tc>
      </w:tr>
      <w:tr>
        <w:trPr>
          <w:trHeight w:val="608"/>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27</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Financial Data</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Schedule</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Page</w:t>
            </w:r>
          </w:p>
        </w:tc>
        <w:tc>
          <w:tcPr>
            <w:tcW w:w="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w:t>
            </w:r>
          </w:p>
        </w:tc>
      </w:tr>
      <w:tr>
        <w:trPr>
          <w:trHeight w:val="810"/>
        </w:trPr>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2"/>
          </w:tcPr>
          <w:p>
            <w:pPr>
              <w:jc w:val="right"/>
              <w:ind w:right="1852"/>
              <w:spacing w:after="0"/>
              <w:rPr>
                <w:sz w:val="20"/>
                <w:szCs w:val="20"/>
                <w:color w:val="auto"/>
              </w:rPr>
            </w:pPr>
            <w:r>
              <w:rPr>
                <w:rFonts w:ascii="Courier New" w:cs="Courier New" w:eastAsia="Courier New" w:hAnsi="Courier New"/>
                <w:sz w:val="18"/>
                <w:szCs w:val="18"/>
                <w:color w:val="auto"/>
              </w:rPr>
              <w:t>Page 17</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7" w:name="page18"/>
    <w:bookmarkEnd w:id="17"/>
    <w:p>
      <w:pPr>
        <w:jc w:val="center"/>
        <w:ind w:right="1999"/>
        <w:spacing w:after="0"/>
        <w:rPr>
          <w:sz w:val="20"/>
          <w:szCs w:val="20"/>
          <w:color w:val="auto"/>
        </w:rPr>
      </w:pPr>
      <w:r>
        <w:rPr>
          <w:rFonts w:ascii="Courier New" w:cs="Courier New" w:eastAsia="Courier New" w:hAnsi="Courier New"/>
          <w:sz w:val="18"/>
          <w:szCs w:val="18"/>
          <w:color w:val="auto"/>
        </w:rPr>
        <w:t>THE SCOTTS COMPANY</w:t>
      </w:r>
    </w:p>
    <w:p>
      <w:pPr>
        <w:jc w:val="center"/>
        <w:ind w:right="1999"/>
        <w:spacing w:after="0" w:line="238" w:lineRule="auto"/>
        <w:rPr>
          <w:sz w:val="20"/>
          <w:szCs w:val="20"/>
          <w:color w:val="auto"/>
        </w:rPr>
      </w:pPr>
      <w:r>
        <w:rPr>
          <w:rFonts w:ascii="Courier New" w:cs="Courier New" w:eastAsia="Courier New" w:hAnsi="Courier New"/>
          <w:sz w:val="18"/>
          <w:szCs w:val="18"/>
          <w:color w:val="auto"/>
        </w:rPr>
        <w:t>1996 STOCK OPTION PLAN</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l.</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The purpose of the Plan is to foster and promote the long-term financial success of the Company and materially increase shareholder value by (a) 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jc w:val="both"/>
        <w:ind w:right="1999" w:firstLine="632"/>
        <w:spacing w:after="0" w:line="235" w:lineRule="auto"/>
        <w:rPr>
          <w:sz w:val="20"/>
          <w:szCs w:val="20"/>
          <w:color w:val="auto"/>
        </w:rPr>
      </w:pPr>
      <w:r>
        <w:rPr>
          <w:rFonts w:ascii="Courier New" w:cs="Courier New" w:eastAsia="Courier New" w:hAnsi="Courier New"/>
          <w:sz w:val="18"/>
          <w:szCs w:val="18"/>
          <w:color w:val="auto"/>
        </w:rPr>
        <w:t>2.1 Definitions. Whenever used herein, the following terms shall have the respective meanings set forth below:</w:t>
      </w:r>
    </w:p>
    <w:p>
      <w:pPr>
        <w:spacing w:after="0" w:line="203" w:lineRule="exact"/>
        <w:rPr>
          <w:sz w:val="20"/>
          <w:szCs w:val="20"/>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means the Securities Exchange Act of 1934, as amended.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means any Option.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jc w:val="both"/>
        <w:ind w:right="1999" w:firstLine="640"/>
        <w:spacing w:after="0" w:line="23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214"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of any of the following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events:</w:t>
      </w:r>
    </w:p>
    <w:p>
      <w:pPr>
        <w:spacing w:after="0" w:line="207" w:lineRule="exact"/>
        <w:rPr>
          <w:rFonts w:ascii="Courier New" w:cs="Courier New" w:eastAsia="Courier New" w:hAnsi="Courier New"/>
          <w:sz w:val="16"/>
          <w:szCs w:val="16"/>
          <w:color w:val="auto"/>
        </w:rPr>
      </w:pPr>
    </w:p>
    <w:p>
      <w:pPr>
        <w:jc w:val="both"/>
        <w:ind w:left="640" w:right="1999" w:firstLine="632"/>
        <w:spacing w:after="0" w:line="237" w:lineRule="auto"/>
        <w:tabs>
          <w:tab w:leader="none" w:pos="169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213" w:lineRule="exact"/>
        <w:rPr>
          <w:rFonts w:ascii="Courier New" w:cs="Courier New" w:eastAsia="Courier New" w:hAnsi="Courier New"/>
          <w:sz w:val="18"/>
          <w:szCs w:val="18"/>
          <w:color w:val="auto"/>
        </w:rPr>
      </w:pPr>
    </w:p>
    <w:p>
      <w:pPr>
        <w:jc w:val="both"/>
        <w:ind w:left="640" w:right="1999" w:firstLine="632"/>
        <w:spacing w:after="0" w:line="237" w:lineRule="auto"/>
        <w:tabs>
          <w:tab w:leader="none" w:pos="179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211" w:lineRule="exact"/>
        <w:rPr>
          <w:rFonts w:ascii="Courier New" w:cs="Courier New" w:eastAsia="Courier New" w:hAnsi="Courier New"/>
          <w:sz w:val="18"/>
          <w:szCs w:val="18"/>
          <w:color w:val="auto"/>
        </w:rPr>
      </w:pPr>
    </w:p>
    <w:p>
      <w:pPr>
        <w:jc w:val="both"/>
        <w:ind w:left="640" w:right="1999" w:firstLine="632"/>
        <w:spacing w:after="0" w:line="279" w:lineRule="auto"/>
        <w:tabs>
          <w:tab w:leader="none" w:pos="1904"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shall approve a definitive agreement (1) for the merger or other business combination of the Company with or into another corporation, a majority of the directors of</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pacing w:after="0" w:line="382" w:lineRule="exact"/>
        <w:rPr>
          <w:sz w:val="20"/>
          <w:szCs w:val="20"/>
          <w:color w:val="auto"/>
        </w:rPr>
      </w:pPr>
    </w:p>
    <w:p>
      <w:pPr>
        <w:jc w:val="both"/>
        <w:ind w:left="640" w:right="1999"/>
        <w:spacing w:after="0" w:line="237" w:lineRule="auto"/>
        <w:rPr>
          <w:sz w:val="20"/>
          <w:szCs w:val="20"/>
          <w:color w:val="auto"/>
        </w:rPr>
      </w:pPr>
      <w:r>
        <w:rPr>
          <w:rFonts w:ascii="Courier New" w:cs="Courier New" w:eastAsia="Courier New" w:hAnsi="Courier New"/>
          <w:sz w:val="18"/>
          <w:szCs w:val="18"/>
          <w:color w:val="auto"/>
        </w:rPr>
        <w:t>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209" w:lineRule="exact"/>
        <w:rPr>
          <w:sz w:val="20"/>
          <w:szCs w:val="20"/>
          <w:color w:val="auto"/>
        </w:rPr>
      </w:pPr>
    </w:p>
    <w:p>
      <w:pPr>
        <w:jc w:val="both"/>
        <w:ind w:left="640" w:right="1999" w:firstLine="632"/>
        <w:spacing w:after="0" w:line="273" w:lineRule="auto"/>
        <w:tabs>
          <w:tab w:leader="none" w:pos="179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Stock pursuant to any tender or exchange offer made by any "person," including a "group" (as such terms are used in Sections 13(d) and l4(d)(2) of the Act), other than the Company, any of its Subsidiaries, or an employee benefit plan of the Company or of any of its Subsidiaries, for more than 49% of the Stock of the Company.</w:t>
      </w:r>
    </w:p>
    <w:p>
      <w:pPr>
        <w:spacing w:after="0" w:line="184"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means the highest price per share of Stock</w:t>
      </w:r>
    </w:p>
    <w:p>
      <w:pPr>
        <w:sectPr>
          <w:pgSz w:w="11900" w:h="16838" w:orient="portrait"/>
          <w:cols w:equalWidth="0" w:num="1">
            <w:col w:w="10219"/>
          </w:cols>
          <w:pgMar w:left="240" w:top="339" w:right="1440" w:bottom="0" w:gutter="0" w:footer="0" w:header="0"/>
        </w:sectPr>
      </w:pPr>
    </w:p>
    <w:bookmarkStart w:id="18" w:name="page19"/>
    <w:bookmarkEnd w:id="18"/>
    <w:p>
      <w:pPr>
        <w:jc w:val="both"/>
        <w:ind w:right="1999"/>
        <w:spacing w:after="0" w:line="237" w:lineRule="auto"/>
        <w:rPr>
          <w:sz w:val="20"/>
          <w:szCs w:val="20"/>
          <w:color w:val="auto"/>
        </w:rPr>
      </w:pPr>
      <w:r>
        <w:rPr>
          <w:rFonts w:ascii="Courier New" w:cs="Courier New" w:eastAsia="Courier New" w:hAnsi="Courier New"/>
          <w:sz w:val="18"/>
          <w:szCs w:val="18"/>
          <w:color w:val="auto"/>
        </w:rPr>
        <w:t>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204" w:lineRule="exact"/>
        <w:rPr>
          <w:sz w:val="20"/>
          <w:szCs w:val="20"/>
          <w:color w:val="auto"/>
        </w:rPr>
      </w:pPr>
    </w:p>
    <w:p>
      <w:pPr>
        <w:ind w:left="1280" w:hanging="640"/>
        <w:spacing w:after="0"/>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jc w:val="both"/>
        <w:ind w:right="1999" w:firstLine="640"/>
        <w:spacing w:after="0" w:line="237" w:lineRule="auto"/>
        <w:tabs>
          <w:tab w:leader="none" w:pos="10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214"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The Scotts Company, an Ohio corporation, and any successor thereto.</w:t>
      </w:r>
    </w:p>
    <w:p>
      <w:pPr>
        <w:spacing w:after="0" w:line="208" w:lineRule="exact"/>
        <w:rPr>
          <w:rFonts w:ascii="Courier New" w:cs="Courier New" w:eastAsia="Courier New" w:hAnsi="Courier New"/>
          <w:sz w:val="18"/>
          <w:szCs w:val="18"/>
          <w:color w:val="auto"/>
        </w:rPr>
      </w:pPr>
    </w:p>
    <w:p>
      <w:pPr>
        <w:jc w:val="both"/>
        <w:ind w:right="1999" w:firstLine="640"/>
        <w:spacing w:after="0" w:line="236" w:lineRule="auto"/>
        <w:tabs>
          <w:tab w:leader="none" w:pos="10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Option" means a Nonstatutory Stock Option granted to each Eligible Director pursuant to Section 6.7 without any action by the Board or the Committee.</w:t>
      </w:r>
    </w:p>
    <w:p>
      <w:pPr>
        <w:spacing w:after="0" w:line="208" w:lineRule="exact"/>
        <w:rPr>
          <w:rFonts w:ascii="Courier New" w:cs="Courier New" w:eastAsia="Courier New" w:hAnsi="Courier New"/>
          <w:sz w:val="18"/>
          <w:szCs w:val="18"/>
          <w:color w:val="auto"/>
        </w:rPr>
      </w:pPr>
    </w:p>
    <w:p>
      <w:pPr>
        <w:jc w:val="both"/>
        <w:ind w:right="1999" w:firstLine="640"/>
        <w:spacing w:after="0" w:line="237" w:lineRule="auto"/>
        <w:tabs>
          <w:tab w:leader="none" w:pos="115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Director" means, on any date, a person who is serving as a member of the Board and who is not an Employee.</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officer or other key executive and management employee of the Company or of any of its Subsidiaries.</w:t>
      </w:r>
    </w:p>
    <w:p>
      <w:pPr>
        <w:spacing w:after="0" w:line="208" w:lineRule="exact"/>
        <w:rPr>
          <w:rFonts w:ascii="Courier New" w:cs="Courier New" w:eastAsia="Courier New" w:hAnsi="Courier New"/>
          <w:sz w:val="18"/>
          <w:szCs w:val="18"/>
          <w:color w:val="auto"/>
        </w:rPr>
      </w:pPr>
    </w:p>
    <w:p>
      <w:pPr>
        <w:jc w:val="both"/>
        <w:ind w:right="1999" w:firstLine="640"/>
        <w:spacing w:after="0" w:line="237" w:lineRule="auto"/>
        <w:tabs>
          <w:tab w:leader="none" w:pos="10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212" w:lineRule="exact"/>
        <w:rPr>
          <w:rFonts w:ascii="Courier New" w:cs="Courier New" w:eastAsia="Courier New" w:hAnsi="Courier New"/>
          <w:sz w:val="18"/>
          <w:szCs w:val="18"/>
          <w:color w:val="auto"/>
        </w:rPr>
      </w:pPr>
    </w:p>
    <w:p>
      <w:pPr>
        <w:jc w:val="both"/>
        <w:ind w:right="1999" w:firstLine="640"/>
        <w:spacing w:after="0" w:line="235" w:lineRule="auto"/>
        <w:tabs>
          <w:tab w:leader="none" w:pos="105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the right to purchase Stock at a stated price for a specified period of time. For purposes of the Plan, an Option may be either</w:t>
      </w:r>
    </w:p>
    <w:p>
      <w:pPr>
        <w:spacing w:after="0" w:line="5" w:lineRule="exact"/>
        <w:rPr>
          <w:rFonts w:ascii="Courier New" w:cs="Courier New" w:eastAsia="Courier New" w:hAnsi="Courier New"/>
          <w:sz w:val="18"/>
          <w:szCs w:val="18"/>
          <w:color w:val="auto"/>
        </w:rPr>
      </w:pPr>
    </w:p>
    <w:p>
      <w:pPr>
        <w:jc w:val="both"/>
        <w:ind w:right="1999" w:firstLine="8"/>
        <w:spacing w:after="0" w:line="236"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Stock Option" (ISO) within the meaning of Section 422 of the Code or (ii) a "Nonstatutory Stock Option" (NSO) which does not qualify for treatment as an "Incentive Stock Option."</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any Employee designated by the Committee to participate in the Plan.</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Scotts Company 1996 Stock Option Plan, as in effect from time to time.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2" w:right="1440" w:bottom="1440" w:gutter="0" w:footer="0" w:header="0"/>
        </w:sectPr>
      </w:pPr>
    </w:p>
    <w:bookmarkStart w:id="19" w:name="page20"/>
    <w:bookmarkEnd w:id="19"/>
    <w:p>
      <w:pPr>
        <w:jc w:val="both"/>
        <w:ind w:right="1999" w:firstLine="640"/>
        <w:spacing w:after="0" w:line="237"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20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means  the  Common  Shares,  without  par  value,  of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6"/>
          <w:szCs w:val="16"/>
          <w:color w:val="auto"/>
        </w:rPr>
      </w:pPr>
    </w:p>
    <w:p>
      <w:pPr>
        <w:jc w:val="both"/>
        <w:ind w:right="1999" w:firstLine="640"/>
        <w:spacing w:after="0" w:line="237" w:lineRule="auto"/>
        <w:tabs>
          <w:tab w:leader="none" w:pos="11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ELIGIBILITY AND PARTICIPATION</w:t>
      </w:r>
    </w:p>
    <w:p>
      <w:pPr>
        <w:spacing w:after="0" w:line="207" w:lineRule="exact"/>
        <w:rPr>
          <w:sz w:val="20"/>
          <w:szCs w:val="20"/>
          <w:color w:val="auto"/>
        </w:rPr>
      </w:pPr>
    </w:p>
    <w:p>
      <w:pPr>
        <w:jc w:val="both"/>
        <w:ind w:right="1999" w:firstLine="632"/>
        <w:spacing w:after="0" w:line="236" w:lineRule="auto"/>
        <w:rPr>
          <w:sz w:val="20"/>
          <w:szCs w:val="20"/>
          <w:color w:val="auto"/>
        </w:rPr>
      </w:pPr>
      <w:r>
        <w:rPr>
          <w:rFonts w:ascii="Courier New" w:cs="Courier New" w:eastAsia="Courier New" w:hAnsi="Courier New"/>
          <w:sz w:val="18"/>
          <w:szCs w:val="18"/>
          <w:color w:val="auto"/>
        </w:rPr>
        <w:t>Except as otherwise provided in Section 6.7, the only persons eligible to participate in the Plan shall be those Employees selected by the Committee as Participants.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POWERS OF THE COMMITTEE</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211"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SUBJECT TO PLAN</w:t>
      </w:r>
    </w:p>
    <w:p>
      <w:pPr>
        <w:spacing w:after="0" w:line="207" w:lineRule="exact"/>
        <w:rPr>
          <w:sz w:val="20"/>
          <w:szCs w:val="20"/>
          <w:color w:val="auto"/>
        </w:rPr>
      </w:pPr>
    </w:p>
    <w:p>
      <w:pPr>
        <w:jc w:val="both"/>
        <w:ind w:right="1999" w:firstLine="632"/>
        <w:spacing w:after="0" w:line="270" w:lineRule="auto"/>
        <w:rPr>
          <w:sz w:val="20"/>
          <w:szCs w:val="20"/>
          <w:color w:val="auto"/>
        </w:rPr>
      </w:pPr>
      <w:r>
        <w:rPr>
          <w:rFonts w:ascii="Courier New" w:cs="Courier New" w:eastAsia="Courier New" w:hAnsi="Courier New"/>
          <w:sz w:val="16"/>
          <w:szCs w:val="16"/>
          <w:color w:val="auto"/>
        </w:rPr>
        <w:t>5.1 Number. Subject to the provisions of Section 5.3, the number of shares of Stock subject to Awards under the Plan may not exceed 1,500,000 shares of Stock. Subject to the provisions of Section 5.3, no Employee shall receive Awards for more than 150,000 shares of Stock over any one-year period. For this purpose, to the extent that any Award is cancelled (as described in Section 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20" w:name="page21"/>
    <w:bookmarkEnd w:id="20"/>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207"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6.7.</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6.1 Grant of Options. Options may be granted to Participants at such time or times as shall be determined by the Committee. Options granted under the Plan may be of two types: (i) Incentive Stock Options and (ii) Nonstatutory Stock Options.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208"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6.2 Option Price. Nonstatutory Stock Options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184" w:lineRule="exact"/>
        <w:rPr>
          <w:sz w:val="20"/>
          <w:szCs w:val="20"/>
          <w:color w:val="auto"/>
        </w:rPr>
      </w:pPr>
    </w:p>
    <w:p>
      <w:pPr>
        <w:jc w:val="both"/>
        <w:ind w:right="1999" w:firstLine="632"/>
        <w:spacing w:after="0" w:line="269" w:lineRule="auto"/>
        <w:rPr>
          <w:sz w:val="20"/>
          <w:szCs w:val="20"/>
          <w:color w:val="auto"/>
        </w:rPr>
      </w:pPr>
      <w:r>
        <w:rPr>
          <w:rFonts w:ascii="Courier New" w:cs="Courier New" w:eastAsia="Courier New" w:hAnsi="Courier New"/>
          <w:sz w:val="16"/>
          <w:szCs w:val="16"/>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in three approximately equal installments on each of the first three anniversaries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39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20" w:right="1440" w:bottom="767" w:gutter="0" w:footer="0" w:header="0"/>
        </w:sectPr>
      </w:pPr>
    </w:p>
    <w:bookmarkStart w:id="21" w:name="page22"/>
    <w:bookmarkEnd w:id="21"/>
    <w:p>
      <w:pPr>
        <w:jc w:val="both"/>
        <w:ind w:right="1999"/>
        <w:spacing w:after="0" w:line="237" w:lineRule="auto"/>
        <w:rPr>
          <w:sz w:val="20"/>
          <w:szCs w:val="20"/>
          <w:color w:val="auto"/>
        </w:rPr>
      </w:pPr>
      <w:r>
        <w:rPr>
          <w:rFonts w:ascii="Courier New" w:cs="Courier New" w:eastAsia="Courier New" w:hAnsi="Courier New"/>
          <w:sz w:val="18"/>
          <w:szCs w:val="18"/>
          <w:color w:val="auto"/>
        </w:rPr>
        <w:t>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211"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207"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4,000 shares of Stock at an exercise price per share equal to the Fair Market Value of the Stock on the date of grant.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6.4.</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7.</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TERMINATION OF EMPLOYMENT</w:t>
      </w:r>
    </w:p>
    <w:p>
      <w:pPr>
        <w:spacing w:after="0" w:line="207" w:lineRule="exact"/>
        <w:rPr>
          <w:sz w:val="20"/>
          <w:szCs w:val="20"/>
          <w:color w:val="auto"/>
        </w:rPr>
      </w:pPr>
    </w:p>
    <w:p>
      <w:pPr>
        <w:jc w:val="both"/>
        <w:ind w:right="1999" w:firstLine="632"/>
        <w:spacing w:after="0" w:line="270" w:lineRule="auto"/>
        <w:rPr>
          <w:sz w:val="20"/>
          <w:szCs w:val="20"/>
          <w:color w:val="auto"/>
        </w:rPr>
      </w:pPr>
      <w:r>
        <w:rPr>
          <w:rFonts w:ascii="Courier New" w:cs="Courier New" w:eastAsia="Courier New" w:hAnsi="Courier New"/>
          <w:sz w:val="16"/>
          <w:szCs w:val="16"/>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389" w:lineRule="exact"/>
        <w:rPr>
          <w:sz w:val="20"/>
          <w:szCs w:val="20"/>
          <w:color w:val="auto"/>
        </w:rPr>
      </w:pPr>
    </w:p>
    <w:p>
      <w:pPr>
        <w:jc w:val="both"/>
        <w:ind w:right="1999" w:firstLine="632"/>
        <w:spacing w:after="0" w:line="269" w:lineRule="auto"/>
        <w:rPr>
          <w:sz w:val="20"/>
          <w:szCs w:val="20"/>
          <w:color w:val="auto"/>
        </w:rPr>
      </w:pPr>
      <w:r>
        <w:rPr>
          <w:rFonts w:ascii="Courier New" w:cs="Courier New" w:eastAsia="Courier New" w:hAnsi="Courier New"/>
          <w:sz w:val="16"/>
          <w:szCs w:val="16"/>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39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520" w:right="1440" w:bottom="0" w:gutter="0" w:footer="0" w:header="0"/>
        </w:sectPr>
      </w:pPr>
    </w:p>
    <w:bookmarkStart w:id="22" w:name="page23"/>
    <w:bookmarkEnd w:id="22"/>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shall remain exercisable until the earlier to occur of (i) the expiration of the term of such Options or (ii) the thirtieth day following the Participant's termination of employment, whichever period is shorter.</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SECTION 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CHANGE IN CONTROL</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8.l Accelerated Vesting and Payment. Subject to the provisions of Section 8.2 below, in the event of a Change in Control, each Option (excluding any Director Option) shall be cancelled in exchange for a payment in cash of an amount equal to the excess of the Change in Control Price over the exercise price for such Option.</w:t>
      </w:r>
    </w:p>
    <w:p>
      <w:pPr>
        <w:spacing w:after="0" w:line="209"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214" w:lineRule="exact"/>
        <w:rPr>
          <w:sz w:val="20"/>
          <w:szCs w:val="20"/>
          <w:color w:val="auto"/>
        </w:rPr>
      </w:pPr>
    </w:p>
    <w:p>
      <w:pPr>
        <w:ind w:right="1999" w:firstLine="640"/>
        <w:spacing w:after="0" w:line="235" w:lineRule="auto"/>
        <w:tabs>
          <w:tab w:leader="none" w:pos="10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based on stock which is traded on an established securities market, or which will be so traded within 60 days of the Change in Control;</w:t>
      </w:r>
    </w:p>
    <w:p>
      <w:pPr>
        <w:spacing w:after="0" w:line="208" w:lineRule="exact"/>
        <w:rPr>
          <w:rFonts w:ascii="Courier New" w:cs="Courier New" w:eastAsia="Courier New" w:hAnsi="Courier New"/>
          <w:sz w:val="18"/>
          <w:szCs w:val="18"/>
          <w:color w:val="auto"/>
        </w:rPr>
      </w:pPr>
    </w:p>
    <w:p>
      <w:pPr>
        <w:jc w:val="both"/>
        <w:ind w:right="1999" w:firstLine="640"/>
        <w:spacing w:after="0" w:line="237" w:lineRule="auto"/>
        <w:tabs>
          <w:tab w:leader="none" w:pos="126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substantially equivalent economic value to such Award (determined at the time of the Change in Control); and</w:t>
      </w:r>
    </w:p>
    <w:p>
      <w:pPr>
        <w:spacing w:after="0" w:line="208" w:lineRule="exact"/>
        <w:rPr>
          <w:rFonts w:ascii="Courier New" w:cs="Courier New" w:eastAsia="Courier New" w:hAnsi="Courier New"/>
          <w:sz w:val="18"/>
          <w:szCs w:val="18"/>
          <w:color w:val="auto"/>
        </w:rPr>
      </w:pPr>
    </w:p>
    <w:p>
      <w:pPr>
        <w:jc w:val="both"/>
        <w:ind w:right="1999" w:firstLine="640"/>
        <w:spacing w:after="0" w:line="237" w:lineRule="auto"/>
        <w:tabs>
          <w:tab w:leader="none" w:pos="11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209"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209" w:lineRule="exact"/>
        <w:rPr>
          <w:sz w:val="20"/>
          <w:szCs w:val="20"/>
          <w:color w:val="auto"/>
        </w:rPr>
      </w:pPr>
    </w:p>
    <w:p>
      <w:pPr>
        <w:jc w:val="both"/>
        <w:ind w:right="1999" w:firstLine="632"/>
        <w:spacing w:after="0" w:line="268" w:lineRule="auto"/>
        <w:rPr>
          <w:sz w:val="20"/>
          <w:szCs w:val="20"/>
          <w:color w:val="auto"/>
        </w:rPr>
      </w:pPr>
      <w:r>
        <w:rPr>
          <w:rFonts w:ascii="Courier New" w:cs="Courier New" w:eastAsia="Courier New" w:hAnsi="Courier New"/>
          <w:sz w:val="16"/>
          <w:szCs w:val="16"/>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w:t>
      </w:r>
    </w:p>
    <w:p>
      <w:pPr>
        <w:spacing w:after="0" w:line="1" w:lineRule="exact"/>
        <w:rPr>
          <w:sz w:val="20"/>
          <w:szCs w:val="20"/>
          <w:color w:val="auto"/>
        </w:rPr>
      </w:pPr>
    </w:p>
    <w:p>
      <w:pPr>
        <w:ind w:right="1999" w:firstLine="8"/>
        <w:spacing w:after="0" w:line="235"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Eligible Director remains on the Board following the Change in Control.</w:t>
      </w:r>
    </w:p>
    <w:p>
      <w:pPr>
        <w:spacing w:after="0" w:line="208"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520" w:right="1440" w:bottom="1440" w:gutter="0" w:footer="0" w:header="0"/>
        </w:sectPr>
      </w:pPr>
    </w:p>
    <w:bookmarkStart w:id="23" w:name="page24"/>
    <w:bookmarkEnd w:id="23"/>
    <w:p>
      <w:pPr>
        <w:jc w:val="center"/>
        <w:ind w:right="1999"/>
        <w:spacing w:after="0"/>
        <w:rPr>
          <w:sz w:val="20"/>
          <w:szCs w:val="20"/>
          <w:color w:val="auto"/>
        </w:rPr>
      </w:pPr>
      <w:r>
        <w:rPr>
          <w:rFonts w:ascii="Courier New" w:cs="Courier New" w:eastAsia="Courier New" w:hAnsi="Courier New"/>
          <w:sz w:val="18"/>
          <w:szCs w:val="18"/>
          <w:color w:val="auto"/>
        </w:rPr>
        <w:t>SECTION 9.</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AMENDMENT, MODIFICATION, AND TERMINATION OF PLAN</w:t>
      </w:r>
    </w:p>
    <w:p>
      <w:pPr>
        <w:spacing w:after="0" w:line="207"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theretofore granted under the Plan, without the consent of the Participant.</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SECTION 10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10.1 Nontransferability of Awards. No Awards granted under the Plan may be sold, transferred, pledged, assigned, or otherwise alienated or hypothecated, other than by will or by the laws of descent and distribution. All rights with respect to Awards granted to a Participant under the Plan shall be exercisable during his lifetime only by such Participant and all rights with respect to any Director Options granted to an Eligible Director shall be exercisable during his lifetime only by such Eligible Director.</w:t>
      </w:r>
    </w:p>
    <w:p>
      <w:pPr>
        <w:spacing w:after="0" w:line="211"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207"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86"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14" w:right="1440" w:bottom="1440" w:gutter="0" w:footer="0" w:header="0"/>
        </w:sectPr>
      </w:pPr>
    </w:p>
    <w:bookmarkStart w:id="24" w:name="page25"/>
    <w:bookmarkEnd w:id="24"/>
    <w:p>
      <w:pPr>
        <w:jc w:val="both"/>
        <w:ind w:right="1999" w:firstLine="632"/>
        <w:spacing w:after="0" w:line="270"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38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207" w:lineRule="exact"/>
        <w:rPr>
          <w:sz w:val="20"/>
          <w:szCs w:val="20"/>
          <w:color w:val="auto"/>
        </w:rPr>
      </w:pPr>
    </w:p>
    <w:p>
      <w:pPr>
        <w:jc w:val="both"/>
        <w:ind w:right="1999" w:firstLine="632"/>
        <w:spacing w:after="0" w:line="270" w:lineRule="auto"/>
        <w:rPr>
          <w:sz w:val="20"/>
          <w:szCs w:val="20"/>
          <w:color w:val="auto"/>
        </w:rPr>
      </w:pPr>
      <w:r>
        <w:rPr>
          <w:rFonts w:ascii="Courier New" w:cs="Courier New" w:eastAsia="Courier New" w:hAnsi="Courier New"/>
          <w:sz w:val="16"/>
          <w:szCs w:val="16"/>
          <w:color w:val="auto"/>
        </w:rPr>
        <w:t>10.7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389" w:lineRule="exact"/>
        <w:rPr>
          <w:sz w:val="20"/>
          <w:szCs w:val="20"/>
          <w:color w:val="auto"/>
        </w:rPr>
      </w:pPr>
    </w:p>
    <w:p>
      <w:pPr>
        <w:jc w:val="both"/>
        <w:ind w:right="1999" w:firstLine="632"/>
        <w:spacing w:after="0" w:line="272" w:lineRule="auto"/>
        <w:rPr>
          <w:sz w:val="20"/>
          <w:szCs w:val="20"/>
          <w:color w:val="auto"/>
        </w:rPr>
      </w:pPr>
      <w:r>
        <w:rPr>
          <w:rFonts w:ascii="Courier New" w:cs="Courier New" w:eastAsia="Courier New" w:hAnsi="Courier New"/>
          <w:sz w:val="16"/>
          <w:szCs w:val="16"/>
          <w:color w:val="auto"/>
        </w:rPr>
        <w:t>10.8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186" w:lineRule="exact"/>
        <w:rPr>
          <w:sz w:val="20"/>
          <w:szCs w:val="20"/>
          <w:color w:val="auto"/>
        </w:rPr>
      </w:pPr>
    </w:p>
    <w:p>
      <w:pPr>
        <w:jc w:val="both"/>
        <w:ind w:right="1999" w:firstLine="632"/>
        <w:spacing w:after="0" w:line="235" w:lineRule="auto"/>
        <w:rPr>
          <w:sz w:val="20"/>
          <w:szCs w:val="20"/>
          <w:color w:val="auto"/>
        </w:rPr>
      </w:pPr>
      <w:r>
        <w:rPr>
          <w:rFonts w:ascii="Courier New" w:cs="Courier New" w:eastAsia="Courier New" w:hAnsi="Courier New"/>
          <w:sz w:val="18"/>
          <w:szCs w:val="18"/>
          <w:color w:val="auto"/>
        </w:rPr>
        <w:t>10.9 Governing Law. The Plan, and all agreements hereunder, shall be construed in accordance with and governed by the laws of the State of Ohio.</w:t>
      </w:r>
    </w:p>
    <w:p>
      <w:pPr>
        <w:spacing w:after="0" w:line="208" w:lineRule="exact"/>
        <w:rPr>
          <w:sz w:val="20"/>
          <w:szCs w:val="20"/>
          <w:color w:val="auto"/>
        </w:rPr>
      </w:pPr>
    </w:p>
    <w:p>
      <w:pPr>
        <w:jc w:val="both"/>
        <w:ind w:right="1999" w:firstLine="632"/>
        <w:spacing w:after="0" w:line="290" w:lineRule="auto"/>
        <w:rPr>
          <w:sz w:val="20"/>
          <w:szCs w:val="20"/>
          <w:color w:val="auto"/>
        </w:rPr>
      </w:pPr>
      <w:r>
        <w:rPr>
          <w:rFonts w:ascii="Courier New" w:cs="Courier New" w:eastAsia="Courier New" w:hAnsi="Courier New"/>
          <w:sz w:val="16"/>
          <w:szCs w:val="16"/>
          <w:color w:val="auto"/>
        </w:rPr>
        <w:t>10.10 No Impact On Benefits. Plan Awards are not compensation for purposes of calculating an Employee's rights under any employee benefit plan.</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20" w:right="1440" w:bottom="1440" w:gutter="0" w:footer="0" w:header="0"/>
        </w:sectPr>
      </w:pPr>
    </w:p>
    <w:bookmarkStart w:id="25" w:name="page26"/>
    <w:bookmarkEnd w:id="25"/>
    <w:p>
      <w:pPr>
        <w:ind w:left="7180"/>
        <w:spacing w:after="0"/>
        <w:rPr>
          <w:sz w:val="20"/>
          <w:szCs w:val="20"/>
          <w:color w:val="auto"/>
        </w:rPr>
      </w:pPr>
      <w:r>
        <w:rPr>
          <w:rFonts w:ascii="Courier New" w:cs="Courier New" w:eastAsia="Courier New" w:hAnsi="Courier New"/>
          <w:sz w:val="16"/>
          <w:szCs w:val="16"/>
          <w:color w:val="auto"/>
        </w:rPr>
        <w:t>Exhibit 11</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Computation of Net Income Per Common Share</w:t>
      </w:r>
    </w:p>
    <w:p>
      <w:pPr>
        <w:jc w:val="center"/>
        <w:ind w:right="2420"/>
        <w:spacing w:after="0" w:line="238" w:lineRule="auto"/>
        <w:rPr>
          <w:sz w:val="20"/>
          <w:szCs w:val="20"/>
          <w:color w:val="auto"/>
        </w:rPr>
      </w:pPr>
      <w:r>
        <w:rPr>
          <w:rFonts w:ascii="Courier New" w:cs="Courier New" w:eastAsia="Courier New" w:hAnsi="Courier New"/>
          <w:sz w:val="18"/>
          <w:szCs w:val="18"/>
          <w:color w:val="auto"/>
        </w:rPr>
        <w:t>Primary (Unaudited)</w:t>
      </w:r>
    </w:p>
    <w:p>
      <w:pPr>
        <w:spacing w:after="0" w:line="5"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6"/>
          <w:szCs w:val="16"/>
          <w:color w:val="auto"/>
        </w:rPr>
        <w:t>(Dollars in thousands except per share amounts)</w:t>
      </w:r>
    </w:p>
    <w:p>
      <w:pPr>
        <w:sectPr>
          <w:pgSz w:w="11900" w:h="16838" w:orient="portrait"/>
          <w:cols w:equalWidth="0" w:num="1">
            <w:col w:w="10760"/>
          </w:cols>
          <w:pgMar w:left="240" w:top="344" w:right="8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ind w:left="3900"/>
        <w:spacing w:after="0"/>
        <w:tabs>
          <w:tab w:leader="none" w:pos="5260" w:val="left"/>
        </w:tabs>
        <w:rPr>
          <w:sz w:val="20"/>
          <w:szCs w:val="20"/>
          <w:color w:val="auto"/>
        </w:rPr>
      </w:pPr>
      <w:r>
        <w:rPr>
          <w:rFonts w:ascii="Courier New" w:cs="Courier New" w:eastAsia="Courier New" w:hAnsi="Courier New"/>
          <w:sz w:val="18"/>
          <w:szCs w:val="18"/>
          <w:color w:val="auto"/>
        </w:rPr>
        <w:t>April 1</w:t>
      </w:r>
      <w:r>
        <w:rPr>
          <w:sz w:val="20"/>
          <w:szCs w:val="20"/>
          <w:color w:val="auto"/>
        </w:rPr>
        <w:tab/>
      </w:r>
      <w:r>
        <w:rPr>
          <w:rFonts w:ascii="Courier New" w:cs="Courier New" w:eastAsia="Courier New" w:hAnsi="Courier New"/>
          <w:sz w:val="16"/>
          <w:szCs w:val="16"/>
          <w:color w:val="auto"/>
        </w:rPr>
        <w:t>March 30</w:t>
      </w:r>
    </w:p>
    <w:p>
      <w:pPr>
        <w:ind w:left="41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1996</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Six Months Ended</w:t>
      </w:r>
    </w:p>
    <w:p>
      <w:pPr>
        <w:spacing w:after="0" w:line="16" w:lineRule="exact"/>
        <w:rPr>
          <w:sz w:val="20"/>
          <w:szCs w:val="20"/>
          <w:color w:val="auto"/>
        </w:rPr>
      </w:pP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April 1</w:t>
      </w:r>
      <w:r>
        <w:rPr>
          <w:sz w:val="20"/>
          <w:szCs w:val="20"/>
          <w:color w:val="auto"/>
        </w:rPr>
        <w:tab/>
      </w:r>
      <w:r>
        <w:rPr>
          <w:rFonts w:ascii="Courier New" w:cs="Courier New" w:eastAsia="Courier New" w:hAnsi="Courier New"/>
          <w:sz w:val="16"/>
          <w:szCs w:val="16"/>
          <w:color w:val="auto"/>
        </w:rPr>
        <w:t>March 30</w:t>
      </w:r>
    </w:p>
    <w:p>
      <w:pPr>
        <w:ind w:left="220"/>
        <w:spacing w:after="0" w:line="238" w:lineRule="auto"/>
        <w:tabs>
          <w:tab w:leader="none" w:pos="168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420"/>
            <w:col w:w="4020"/>
          </w:cols>
          <w:pgMar w:left="240" w:top="344" w:right="89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for computing net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per common share:</w:t>
      </w:r>
    </w:p>
    <w:p>
      <w:pPr>
        <w:sectPr>
          <w:pgSz w:w="11900" w:h="16838" w:orient="portrait"/>
          <w:cols w:equalWidth="0" w:num="1">
            <w:col w:w="10760"/>
          </w:cols>
          <w:pgMar w:left="240" w:top="344" w:right="89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dividend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13,793</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10,630</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9,196</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3,456</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(4,876)</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5">
            <w:col w:w="3280" w:space="300"/>
            <w:col w:w="1160" w:space="320"/>
            <w:col w:w="1160" w:space="320"/>
            <w:col w:w="1260" w:space="220"/>
            <w:col w:w="2740"/>
          </w:cols>
          <w:pgMar w:left="240" w:top="344" w:right="8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(loss) applicable to</w:t>
      </w:r>
    </w:p>
    <w:p>
      <w:pPr>
        <w:sectPr>
          <w:pgSz w:w="11900" w:h="16838" w:orient="portrait"/>
          <w:cols w:equalWidth="0" w:num="1">
            <w:col w:w="10760"/>
          </w:cols>
          <w:pgMar w:left="240" w:top="344" w:right="899" w:bottom="144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common shares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$ 13,793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$ 10,630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$ 9,196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(1,420)</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5">
            <w:col w:w="3280" w:space="300"/>
            <w:col w:w="1160" w:space="320"/>
            <w:col w:w="1160" w:space="320"/>
            <w:col w:w="1260" w:space="220"/>
            <w:col w:w="2740"/>
          </w:cols>
          <w:pgMar w:left="240" w:top="344" w:right="8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 (loss) per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common share: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(loss) per</w:t>
      </w:r>
    </w:p>
    <w:p>
      <w:pPr>
        <w:sectPr>
          <w:pgSz w:w="11900" w:h="16838" w:orient="portrait"/>
          <w:cols w:equalWidth="0" w:num="1">
            <w:col w:w="10760"/>
          </w:cols>
          <w:pgMar w:left="240" w:top="344" w:right="8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share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.73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.36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 .49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(.08)</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39" w:lineRule="exact"/>
        <w:rPr>
          <w:sz w:val="20"/>
          <w:szCs w:val="20"/>
          <w:color w:val="auto"/>
        </w:rPr>
      </w:pPr>
    </w:p>
    <w:p>
      <w:pPr>
        <w:sectPr>
          <w:pgSz w:w="11900" w:h="16838" w:orient="portrait"/>
          <w:cols w:equalWidth="0" w:num="6">
            <w:col w:w="3280" w:space="300"/>
            <w:col w:w="1160" w:space="320"/>
            <w:col w:w="1160" w:space="320"/>
            <w:col w:w="1260" w:space="220"/>
            <w:col w:w="1360" w:space="320"/>
            <w:col w:w="1060"/>
          </w:cols>
          <w:pgMar w:left="240" w:top="344" w:right="899" w:bottom="1440" w:gutter="0" w:footer="0" w:header="0"/>
          <w:type w:val="continuous"/>
        </w:sectPr>
      </w:pPr>
    </w:p>
    <w:p>
      <w:pPr>
        <w:spacing w:after="0" w:line="167"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8"/>
          <w:szCs w:val="18"/>
          <w:color w:val="auto"/>
        </w:rPr>
        <w:t>Computation of Weighted Average Number</w:t>
      </w:r>
    </w:p>
    <w:p>
      <w:pPr>
        <w:spacing w:after="0" w:line="4"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6"/>
          <w:szCs w:val="16"/>
          <w:color w:val="auto"/>
        </w:rPr>
        <w:t>of Common Shares Outstanding (Unaudited)</w:t>
      </w:r>
    </w:p>
    <w:p>
      <w:pPr>
        <w:sectPr>
          <w:pgSz w:w="11900" w:h="16838" w:orient="portrait"/>
          <w:cols w:equalWidth="0" w:num="1">
            <w:col w:w="10760"/>
          </w:cols>
          <w:pgMar w:left="240" w:top="344" w:right="899" w:bottom="1440" w:gutter="0" w:footer="0" w:header="0"/>
          <w:type w:val="continuous"/>
        </w:sectPr>
      </w:pPr>
    </w:p>
    <w:p>
      <w:pPr>
        <w:spacing w:after="0" w:line="2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ind w:left="3900"/>
        <w:spacing w:after="0"/>
        <w:tabs>
          <w:tab w:leader="none" w:pos="5260" w:val="left"/>
        </w:tabs>
        <w:rPr>
          <w:sz w:val="20"/>
          <w:szCs w:val="20"/>
          <w:color w:val="auto"/>
        </w:rPr>
      </w:pPr>
      <w:r>
        <w:rPr>
          <w:rFonts w:ascii="Courier New" w:cs="Courier New" w:eastAsia="Courier New" w:hAnsi="Courier New"/>
          <w:sz w:val="18"/>
          <w:szCs w:val="18"/>
          <w:color w:val="auto"/>
        </w:rPr>
        <w:t>April 1</w:t>
      </w:r>
      <w:r>
        <w:rPr>
          <w:sz w:val="20"/>
          <w:szCs w:val="20"/>
          <w:color w:val="auto"/>
        </w:rPr>
        <w:tab/>
      </w:r>
      <w:r>
        <w:rPr>
          <w:rFonts w:ascii="Courier New" w:cs="Courier New" w:eastAsia="Courier New" w:hAnsi="Courier New"/>
          <w:sz w:val="16"/>
          <w:szCs w:val="16"/>
          <w:color w:val="auto"/>
        </w:rPr>
        <w:t>March 30</w:t>
      </w:r>
    </w:p>
    <w:p>
      <w:pPr>
        <w:ind w:left="4120"/>
        <w:spacing w:after="0" w:line="238" w:lineRule="auto"/>
        <w:tabs>
          <w:tab w:leader="none" w:pos="546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1996</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Six Months Ended</w:t>
      </w:r>
    </w:p>
    <w:p>
      <w:pPr>
        <w:spacing w:after="0" w:line="16" w:lineRule="exact"/>
        <w:rPr>
          <w:sz w:val="20"/>
          <w:szCs w:val="20"/>
          <w:color w:val="auto"/>
        </w:rPr>
      </w:pPr>
    </w:p>
    <w:p>
      <w:pPr>
        <w:ind w:left="120"/>
        <w:spacing w:after="0"/>
        <w:tabs>
          <w:tab w:leader="none" w:pos="1460" w:val="left"/>
        </w:tabs>
        <w:rPr>
          <w:sz w:val="20"/>
          <w:szCs w:val="20"/>
          <w:color w:val="auto"/>
        </w:rPr>
      </w:pPr>
      <w:r>
        <w:rPr>
          <w:rFonts w:ascii="Courier New" w:cs="Courier New" w:eastAsia="Courier New" w:hAnsi="Courier New"/>
          <w:sz w:val="18"/>
          <w:szCs w:val="18"/>
          <w:color w:val="auto"/>
        </w:rPr>
        <w:t>April 1</w:t>
      </w:r>
      <w:r>
        <w:rPr>
          <w:sz w:val="20"/>
          <w:szCs w:val="20"/>
          <w:color w:val="auto"/>
        </w:rPr>
        <w:tab/>
      </w:r>
      <w:r>
        <w:rPr>
          <w:rFonts w:ascii="Courier New" w:cs="Courier New" w:eastAsia="Courier New" w:hAnsi="Courier New"/>
          <w:sz w:val="16"/>
          <w:szCs w:val="16"/>
          <w:color w:val="auto"/>
        </w:rPr>
        <w:t>March 30</w:t>
      </w:r>
    </w:p>
    <w:p>
      <w:pPr>
        <w:ind w:left="220"/>
        <w:spacing w:after="0" w:line="238" w:lineRule="auto"/>
        <w:tabs>
          <w:tab w:leader="none" w:pos="168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320" w:space="420"/>
            <w:col w:w="4020"/>
          </w:cols>
          <w:pgMar w:left="240" w:top="344" w:right="8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Weighted average common shares</w:t>
      </w:r>
    </w:p>
    <w:p>
      <w:pPr>
        <w:sectPr>
          <w:pgSz w:w="11900" w:h="16838" w:orient="portrait"/>
          <w:cols w:equalWidth="0" w:num="1">
            <w:col w:w="10760"/>
          </w:cols>
          <w:pgMar w:left="240" w:top="344" w:right="8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outstanding during the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18,667,064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18,861,442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18,667,064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18,777,689</w:t>
      </w:r>
    </w:p>
    <w:p>
      <w:pPr>
        <w:spacing w:after="0" w:line="21" w:lineRule="exact"/>
        <w:rPr>
          <w:sz w:val="20"/>
          <w:szCs w:val="20"/>
          <w:color w:val="auto"/>
        </w:rPr>
      </w:pPr>
    </w:p>
    <w:p>
      <w:pPr>
        <w:sectPr>
          <w:pgSz w:w="11900" w:h="16838" w:orient="portrait"/>
          <w:cols w:equalWidth="0" w:num="5">
            <w:col w:w="3280" w:space="420"/>
            <w:col w:w="1040" w:space="420"/>
            <w:col w:w="1060" w:space="420"/>
            <w:col w:w="1060" w:space="520"/>
            <w:col w:w="2540"/>
          </w:cols>
          <w:pgMar w:left="240" w:top="344" w:right="899"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period</w:t>
      </w:r>
    </w:p>
    <w:p>
      <w:pPr>
        <w:sectPr>
          <w:pgSz w:w="11900" w:h="16838" w:orient="portrait"/>
          <w:cols w:equalWidth="0" w:num="1">
            <w:col w:w="10760"/>
          </w:cols>
          <w:pgMar w:left="240" w:top="344" w:right="89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Assuming conversion of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10,263,158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5">
            <w:col w:w="3600" w:space="720"/>
            <w:col w:w="220" w:space="620"/>
            <w:col w:w="1400" w:space="720"/>
            <w:col w:w="860" w:space="720"/>
            <w:col w:w="1900"/>
          </w:cols>
          <w:pgMar w:left="240" w:top="344" w:right="89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jc w:val="center"/>
        <w:ind w:right="7800"/>
        <w:spacing w:after="0"/>
        <w:rPr>
          <w:sz w:val="20"/>
          <w:szCs w:val="20"/>
          <w:color w:val="auto"/>
        </w:rPr>
      </w:pPr>
      <w:r>
        <w:rPr>
          <w:rFonts w:ascii="Courier New" w:cs="Courier New" w:eastAsia="Courier New" w:hAnsi="Courier New"/>
          <w:sz w:val="16"/>
          <w:szCs w:val="16"/>
          <w:color w:val="auto"/>
        </w:rPr>
        <w:t>Assuming exercise of options</w:t>
      </w:r>
    </w:p>
    <w:p>
      <w:pPr>
        <w:spacing w:after="0" w:line="16" w:lineRule="exact"/>
        <w:rPr>
          <w:sz w:val="20"/>
          <w:szCs w:val="20"/>
          <w:color w:val="auto"/>
        </w:rPr>
      </w:pPr>
    </w:p>
    <w:p>
      <w:pPr>
        <w:jc w:val="center"/>
        <w:ind w:right="7800"/>
        <w:spacing w:after="0"/>
        <w:rPr>
          <w:sz w:val="20"/>
          <w:szCs w:val="20"/>
          <w:color w:val="auto"/>
        </w:rPr>
      </w:pPr>
      <w:r>
        <w:rPr>
          <w:rFonts w:ascii="Courier New" w:cs="Courier New" w:eastAsia="Courier New" w:hAnsi="Courier New"/>
          <w:sz w:val="18"/>
          <w:szCs w:val="18"/>
          <w:color w:val="auto"/>
        </w:rPr>
        <w:t>using the Treasury Stock</w:t>
      </w:r>
    </w:p>
    <w:p>
      <w:pPr>
        <w:sectPr>
          <w:pgSz w:w="11900" w:h="16838" w:orient="portrait"/>
          <w:cols w:equalWidth="0" w:num="1">
            <w:col w:w="10760"/>
          </w:cols>
          <w:pgMar w:left="240" w:top="344" w:right="899" w:bottom="1440" w:gutter="0" w:footer="0" w:header="0"/>
          <w:type w:val="continuous"/>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Method ......................</w:t>
      </w:r>
    </w:p>
    <w:p>
      <w:pPr>
        <w:spacing w:after="0" w:line="20" w:lineRule="exact"/>
        <w:rPr>
          <w:sz w:val="20"/>
          <w:szCs w:val="20"/>
          <w:color w:val="auto"/>
        </w:rPr>
      </w:pPr>
      <w:r>
        <w:rPr>
          <w:sz w:val="20"/>
          <w:szCs w:val="20"/>
          <w:color w:val="auto"/>
        </w:rPr>
        <w:br w:type="column"/>
      </w:r>
    </w:p>
    <w:p>
      <w:pPr>
        <w:jc w:val="right"/>
        <w:spacing w:after="0" w:line="235" w:lineRule="auto"/>
        <w:rPr>
          <w:sz w:val="20"/>
          <w:szCs w:val="20"/>
          <w:color w:val="auto"/>
        </w:rPr>
      </w:pPr>
      <w:r>
        <w:rPr>
          <w:rFonts w:ascii="Courier New" w:cs="Courier New" w:eastAsia="Courier New" w:hAnsi="Courier New"/>
          <w:sz w:val="18"/>
          <w:szCs w:val="18"/>
          <w:color w:val="auto"/>
        </w:rPr>
        <w:t>95,294 -----------</w:t>
      </w:r>
    </w:p>
    <w:p>
      <w:pPr>
        <w:spacing w:after="0" w:line="20" w:lineRule="exact"/>
        <w:rPr>
          <w:sz w:val="20"/>
          <w:szCs w:val="20"/>
          <w:color w:val="auto"/>
        </w:rPr>
      </w:pPr>
      <w:r>
        <w:rPr>
          <w:sz w:val="20"/>
          <w:szCs w:val="20"/>
          <w:color w:val="auto"/>
        </w:rPr>
        <w:br w:type="column"/>
      </w:r>
    </w:p>
    <w:p>
      <w:pPr>
        <w:ind w:firstLine="421"/>
        <w:spacing w:after="0" w:line="290" w:lineRule="auto"/>
        <w:rPr>
          <w:sz w:val="20"/>
          <w:szCs w:val="20"/>
          <w:color w:val="auto"/>
        </w:rPr>
      </w:pPr>
      <w:r>
        <w:rPr>
          <w:rFonts w:ascii="Courier New" w:cs="Courier New" w:eastAsia="Courier New" w:hAnsi="Courier New"/>
          <w:sz w:val="16"/>
          <w:szCs w:val="16"/>
          <w:color w:val="auto"/>
        </w:rPr>
        <w:t>225,415 -----------</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153,103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5">
            <w:col w:w="3280" w:space="300"/>
            <w:col w:w="1160" w:space="320"/>
            <w:col w:w="1160" w:space="320"/>
            <w:col w:w="1260" w:space="420"/>
            <w:col w:w="2540"/>
          </w:cols>
          <w:pgMar w:left="240" w:top="344" w:right="8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Weighted average number of</w:t>
      </w:r>
    </w:p>
    <w:p>
      <w:pPr>
        <w:sectPr>
          <w:pgSz w:w="11900" w:h="16838" w:orient="portrait"/>
          <w:cols w:equalWidth="0" w:num="1">
            <w:col w:w="10760"/>
          </w:cols>
          <w:pgMar w:left="240" w:top="344" w:right="899"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shares outstanding ...</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as adjusted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18,820,167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29,350,015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18,762,358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18,777,689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0"/>
          <w:szCs w:val="20"/>
          <w:color w:val="auto"/>
        </w:rPr>
      </w:pPr>
    </w:p>
    <w:p>
      <w:pPr>
        <w:sectPr>
          <w:pgSz w:w="11900" w:h="16838" w:orient="portrait"/>
          <w:cols w:equalWidth="0" w:num="6">
            <w:col w:w="3280" w:space="420"/>
            <w:col w:w="1040" w:space="420"/>
            <w:col w:w="1060" w:space="420"/>
            <w:col w:w="1060" w:space="520"/>
            <w:col w:w="1060" w:space="420"/>
            <w:col w:w="1060"/>
          </w:cols>
          <w:pgMar w:left="240" w:top="344" w:right="899" w:bottom="1440" w:gutter="0" w:footer="0" w:header="0"/>
          <w:type w:val="continuous"/>
        </w:sectPr>
      </w:pPr>
    </w:p>
    <w:p>
      <w:pPr>
        <w:spacing w:after="0" w:line="375" w:lineRule="exact"/>
        <w:rPr>
          <w:sz w:val="20"/>
          <w:szCs w:val="20"/>
          <w:color w:val="auto"/>
        </w:rPr>
      </w:pPr>
    </w:p>
    <w:p>
      <w:pPr>
        <w:jc w:val="both"/>
        <w:ind w:right="2540"/>
        <w:spacing w:after="0" w:line="237" w:lineRule="auto"/>
        <w:rPr>
          <w:sz w:val="20"/>
          <w:szCs w:val="20"/>
          <w:color w:val="auto"/>
        </w:rPr>
      </w:pPr>
      <w:r>
        <w:rPr>
          <w:rFonts w:ascii="Courier New" w:cs="Courier New" w:eastAsia="Courier New" w:hAnsi="Courier New"/>
          <w:sz w:val="18"/>
          <w:szCs w:val="18"/>
          <w:color w:val="auto"/>
        </w:rPr>
        <w:t>The earnings per share computation is based on the weighted average number of common shares and common share equivalents (stock options, convertible preferred stock and warrants) outstanding each period. The Class A Convertible Preferred Stock were issued in connection with the Miracle-Gro merger transactions on May 19, 1995. These shares were not considered in the earnings per share computation for the six months ended March 30, 1996 because they were antidilutive for such period.</w:t>
      </w:r>
    </w:p>
    <w:p>
      <w:pPr>
        <w:spacing w:after="0" w:line="211" w:lineRule="exact"/>
        <w:rPr>
          <w:sz w:val="20"/>
          <w:szCs w:val="20"/>
          <w:color w:val="auto"/>
        </w:rPr>
      </w:pPr>
    </w:p>
    <w:p>
      <w:pPr>
        <w:jc w:val="both"/>
        <w:ind w:right="2540"/>
        <w:spacing w:after="0" w:line="236" w:lineRule="auto"/>
        <w:rPr>
          <w:sz w:val="20"/>
          <w:szCs w:val="20"/>
          <w:color w:val="auto"/>
        </w:rPr>
      </w:pPr>
      <w:r>
        <w:rPr>
          <w:rFonts w:ascii="Courier New" w:cs="Courier New" w:eastAsia="Courier New" w:hAnsi="Courier New"/>
          <w:sz w:val="18"/>
          <w:szCs w:val="18"/>
          <w:color w:val="auto"/>
        </w:rPr>
        <w:t>Fully diluted net income (loss) per common share is considered to be the same as primary net income (loss) per common share as it was not materially different from primary net income (loss) per common share.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26</w:t>
      </w:r>
    </w:p>
    <w:p>
      <w:pPr>
        <w:sectPr>
          <w:pgSz w:w="11900" w:h="16838" w:orient="portrait"/>
          <w:cols w:equalWidth="0" w:num="1">
            <w:col w:w="10760"/>
          </w:cols>
          <w:pgMar w:left="240" w:top="344" w:right="899" w:bottom="1440" w:gutter="0" w:footer="0" w:header="0"/>
          <w:type w:val="continuous"/>
        </w:sectPr>
      </w:pPr>
    </w:p>
    <w:bookmarkStart w:id="26" w:name="page27"/>
    <w:bookmarkEnd w:id="26"/>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1959" w:firstLine="527"/>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 and consolidated statement of income of The Scotts Company and is qualified in its entirety by reference to the Form 10-Q for the quarter ended March 30, 1996.</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8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SEP-30-1996</w:t>
      </w:r>
    </w:p>
    <w:p>
      <w:pPr>
        <w:ind w:left="3020"/>
        <w:spacing w:after="0"/>
        <w:rPr>
          <w:sz w:val="20"/>
          <w:szCs w:val="20"/>
          <w:color w:val="auto"/>
        </w:rPr>
      </w:pPr>
      <w:r>
        <w:rPr>
          <w:rFonts w:ascii="Courier New" w:cs="Courier New" w:eastAsia="Courier New" w:hAnsi="Courier New"/>
          <w:sz w:val="18"/>
          <w:szCs w:val="18"/>
          <w:color w:val="auto"/>
        </w:rPr>
        <w:t>OCT-01-1995</w:t>
      </w:r>
    </w:p>
    <w:p>
      <w:pPr>
        <w:ind w:left="3240"/>
        <w:spacing w:after="0" w:line="237" w:lineRule="auto"/>
        <w:rPr>
          <w:sz w:val="20"/>
          <w:szCs w:val="20"/>
          <w:color w:val="auto"/>
        </w:rPr>
      </w:pPr>
      <w:r>
        <w:rPr>
          <w:rFonts w:ascii="Courier New" w:cs="Courier New" w:eastAsia="Courier New" w:hAnsi="Courier New"/>
          <w:sz w:val="18"/>
          <w:szCs w:val="18"/>
          <w:color w:val="auto"/>
        </w:rPr>
        <w:t>MAR-30-1996</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500"/>
        <w:spacing w:after="0"/>
        <w:rPr>
          <w:sz w:val="20"/>
          <w:szCs w:val="20"/>
          <w:color w:val="auto"/>
        </w:rPr>
      </w:pPr>
      <w:r>
        <w:rPr>
          <w:rFonts w:ascii="Courier New" w:cs="Courier New" w:eastAsia="Courier New" w:hAnsi="Courier New"/>
          <w:sz w:val="18"/>
          <w:szCs w:val="18"/>
          <w:color w:val="auto"/>
        </w:rPr>
        <w:t>8,487</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319,300</w:t>
      </w:r>
    </w:p>
    <w:p>
      <w:pPr>
        <w:ind w:left="3860"/>
        <w:spacing w:after="0" w:line="237" w:lineRule="auto"/>
        <w:rPr>
          <w:sz w:val="20"/>
          <w:szCs w:val="20"/>
          <w:color w:val="auto"/>
        </w:rPr>
      </w:pPr>
      <w:r>
        <w:rPr>
          <w:rFonts w:ascii="Courier New" w:cs="Courier New" w:eastAsia="Courier New" w:hAnsi="Courier New"/>
          <w:sz w:val="18"/>
          <w:szCs w:val="18"/>
          <w:color w:val="auto"/>
        </w:rPr>
        <w:t>3,908</w:t>
      </w:r>
    </w:p>
    <w:p>
      <w:pPr>
        <w:ind w:left="3760"/>
        <w:spacing w:after="0"/>
        <w:rPr>
          <w:sz w:val="20"/>
          <w:szCs w:val="20"/>
          <w:color w:val="auto"/>
        </w:rPr>
      </w:pPr>
      <w:r>
        <w:rPr>
          <w:rFonts w:ascii="Courier New" w:cs="Courier New" w:eastAsia="Courier New" w:hAnsi="Courier New"/>
          <w:sz w:val="18"/>
          <w:szCs w:val="18"/>
          <w:color w:val="auto"/>
        </w:rPr>
        <w:t>187,370</w:t>
      </w:r>
    </w:p>
    <w:p>
      <w:pPr>
        <w:ind w:left="3240"/>
        <w:spacing w:after="0" w:line="237" w:lineRule="auto"/>
        <w:rPr>
          <w:sz w:val="20"/>
          <w:szCs w:val="20"/>
          <w:color w:val="auto"/>
        </w:rPr>
      </w:pPr>
      <w:r>
        <w:rPr>
          <w:rFonts w:ascii="Courier New" w:cs="Courier New" w:eastAsia="Courier New" w:hAnsi="Courier New"/>
          <w:sz w:val="18"/>
          <w:szCs w:val="18"/>
          <w:color w:val="auto"/>
        </w:rPr>
        <w:t>533,156</w:t>
      </w:r>
    </w:p>
    <w:p>
      <w:pPr>
        <w:ind w:left="4280"/>
        <w:spacing w:after="0" w:line="238" w:lineRule="auto"/>
        <w:rPr>
          <w:sz w:val="20"/>
          <w:szCs w:val="20"/>
          <w:color w:val="auto"/>
        </w:rPr>
      </w:pPr>
      <w:r>
        <w:rPr>
          <w:rFonts w:ascii="Courier New" w:cs="Courier New" w:eastAsia="Courier New" w:hAnsi="Courier New"/>
          <w:sz w:val="18"/>
          <w:szCs w:val="18"/>
          <w:color w:val="auto"/>
        </w:rPr>
        <w:t>237,030</w:t>
      </w:r>
    </w:p>
    <w:p>
      <w:pPr>
        <w:ind w:left="3540"/>
        <w:spacing w:after="0"/>
        <w:rPr>
          <w:sz w:val="20"/>
          <w:szCs w:val="20"/>
          <w:color w:val="auto"/>
        </w:rPr>
      </w:pPr>
      <w:r>
        <w:rPr>
          <w:rFonts w:ascii="Courier New" w:cs="Courier New" w:eastAsia="Courier New" w:hAnsi="Courier New"/>
          <w:sz w:val="18"/>
          <w:szCs w:val="18"/>
          <w:color w:val="auto"/>
        </w:rPr>
        <w:t>89,648</w:t>
      </w:r>
    </w:p>
    <w:p>
      <w:pPr>
        <w:ind w:left="3440"/>
        <w:spacing w:after="0" w:line="237" w:lineRule="auto"/>
        <w:rPr>
          <w:sz w:val="20"/>
          <w:szCs w:val="20"/>
          <w:color w:val="auto"/>
        </w:rPr>
      </w:pPr>
      <w:r>
        <w:rPr>
          <w:rFonts w:ascii="Courier New" w:cs="Courier New" w:eastAsia="Courier New" w:hAnsi="Courier New"/>
          <w:sz w:val="18"/>
          <w:szCs w:val="18"/>
          <w:color w:val="auto"/>
        </w:rPr>
        <w:t>988,177</w:t>
      </w:r>
    </w:p>
    <w:p>
      <w:pPr>
        <w:ind w:left="2700"/>
        <w:spacing w:after="0"/>
        <w:rPr>
          <w:sz w:val="20"/>
          <w:szCs w:val="20"/>
          <w:color w:val="auto"/>
        </w:rPr>
      </w:pPr>
      <w:r>
        <w:rPr>
          <w:rFonts w:ascii="Courier New" w:cs="Courier New" w:eastAsia="Courier New" w:hAnsi="Courier New"/>
          <w:sz w:val="18"/>
          <w:szCs w:val="18"/>
          <w:color w:val="auto"/>
        </w:rPr>
        <w:t>247,582</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177,255</w:t>
      </w:r>
    </w:p>
    <w:p>
      <w:pPr>
        <w:ind w:left="4500"/>
        <w:spacing w:after="0" w:line="238" w:lineRule="auto"/>
        <w:rPr>
          <w:sz w:val="20"/>
          <w:szCs w:val="20"/>
          <w:color w:val="auto"/>
        </w:rPr>
      </w:pPr>
      <w:r>
        <w:rPr>
          <w:rFonts w:ascii="Courier New" w:cs="Courier New" w:eastAsia="Courier New" w:hAnsi="Courier New"/>
          <w:sz w:val="18"/>
          <w:szCs w:val="18"/>
          <w:color w:val="auto"/>
        </w:rPr>
        <w:t>211</w:t>
      </w:r>
    </w:p>
    <w:p>
      <w:pPr>
        <w:ind w:left="3860"/>
        <w:spacing w:after="0"/>
        <w:rPr>
          <w:sz w:val="20"/>
          <w:szCs w:val="20"/>
          <w:color w:val="auto"/>
        </w:rPr>
      </w:pPr>
      <w:r>
        <w:rPr>
          <w:rFonts w:ascii="Courier New" w:cs="Courier New" w:eastAsia="Courier New" w:hAnsi="Courier New"/>
          <w:sz w:val="18"/>
          <w:szCs w:val="18"/>
          <w:color w:val="auto"/>
        </w:rPr>
        <w:t>206,277</w:t>
      </w:r>
    </w:p>
    <w:p>
      <w:pPr>
        <w:ind w:left="1960"/>
        <w:spacing w:after="0" w:line="237" w:lineRule="auto"/>
        <w:rPr>
          <w:sz w:val="20"/>
          <w:szCs w:val="20"/>
          <w:color w:val="auto"/>
        </w:rPr>
      </w:pPr>
      <w:r>
        <w:rPr>
          <w:rFonts w:ascii="Courier New" w:cs="Courier New" w:eastAsia="Courier New" w:hAnsi="Courier New"/>
          <w:sz w:val="18"/>
          <w:szCs w:val="18"/>
          <w:color w:val="auto"/>
        </w:rPr>
        <w:t>988,177</w:t>
      </w:r>
    </w:p>
    <w:p>
      <w:pPr>
        <w:ind w:left="4180"/>
        <w:spacing w:after="0"/>
        <w:rPr>
          <w:sz w:val="20"/>
          <w:szCs w:val="20"/>
          <w:color w:val="auto"/>
        </w:rPr>
      </w:pPr>
      <w:r>
        <w:rPr>
          <w:rFonts w:ascii="Courier New" w:cs="Courier New" w:eastAsia="Courier New" w:hAnsi="Courier New"/>
          <w:sz w:val="18"/>
          <w:szCs w:val="18"/>
          <w:color w:val="auto"/>
        </w:rPr>
        <w:t>369,152</w:t>
      </w:r>
    </w:p>
    <w:p>
      <w:pPr>
        <w:ind w:left="3240"/>
        <w:spacing w:after="0" w:line="237" w:lineRule="auto"/>
        <w:rPr>
          <w:sz w:val="20"/>
          <w:szCs w:val="20"/>
          <w:color w:val="auto"/>
        </w:rPr>
      </w:pPr>
      <w:r>
        <w:rPr>
          <w:rFonts w:ascii="Courier New" w:cs="Courier New" w:eastAsia="Courier New" w:hAnsi="Courier New"/>
          <w:sz w:val="18"/>
          <w:szCs w:val="18"/>
          <w:color w:val="auto"/>
        </w:rPr>
        <w:t>369,407</w:t>
      </w:r>
    </w:p>
    <w:p>
      <w:pPr>
        <w:ind w:left="4400"/>
        <w:spacing w:after="0"/>
        <w:rPr>
          <w:sz w:val="20"/>
          <w:szCs w:val="20"/>
          <w:color w:val="auto"/>
        </w:rPr>
      </w:pPr>
      <w:r>
        <w:rPr>
          <w:rFonts w:ascii="Courier New" w:cs="Courier New" w:eastAsia="Courier New" w:hAnsi="Courier New"/>
          <w:sz w:val="18"/>
          <w:szCs w:val="18"/>
          <w:color w:val="auto"/>
        </w:rPr>
        <w:t>199,549</w:t>
      </w:r>
    </w:p>
    <w:p>
      <w:pPr>
        <w:ind w:left="3540"/>
        <w:spacing w:after="0" w:line="237" w:lineRule="auto"/>
        <w:rPr>
          <w:sz w:val="20"/>
          <w:szCs w:val="20"/>
          <w:color w:val="auto"/>
        </w:rPr>
      </w:pPr>
      <w:r>
        <w:rPr>
          <w:rFonts w:ascii="Courier New" w:cs="Courier New" w:eastAsia="Courier New" w:hAnsi="Courier New"/>
          <w:sz w:val="18"/>
          <w:szCs w:val="18"/>
          <w:color w:val="auto"/>
        </w:rPr>
        <w:t>348,698</w:t>
      </w:r>
    </w:p>
    <w:p>
      <w:pPr>
        <w:ind w:left="3440"/>
        <w:spacing w:after="0"/>
        <w:rPr>
          <w:sz w:val="20"/>
          <w:szCs w:val="20"/>
          <w:color w:val="auto"/>
        </w:rPr>
      </w:pPr>
      <w:r>
        <w:rPr>
          <w:rFonts w:ascii="Courier New" w:cs="Courier New" w:eastAsia="Courier New" w:hAnsi="Courier New"/>
          <w:sz w:val="18"/>
          <w:szCs w:val="18"/>
          <w:color w:val="auto"/>
        </w:rPr>
        <w:t>(340)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line="238" w:lineRule="auto"/>
        <w:rPr>
          <w:sz w:val="20"/>
          <w:szCs w:val="20"/>
          <w:color w:val="auto"/>
        </w:rPr>
      </w:pPr>
      <w:r>
        <w:rPr>
          <w:rFonts w:ascii="Courier New" w:cs="Courier New" w:eastAsia="Courier New" w:hAnsi="Courier New"/>
          <w:sz w:val="18"/>
          <w:szCs w:val="18"/>
          <w:color w:val="auto"/>
        </w:rPr>
        <w:t>14,719</w:t>
      </w:r>
    </w:p>
    <w:p>
      <w:pPr>
        <w:ind w:left="3540"/>
        <w:spacing w:after="0"/>
        <w:rPr>
          <w:sz w:val="20"/>
          <w:szCs w:val="20"/>
          <w:color w:val="auto"/>
        </w:rPr>
      </w:pPr>
      <w:r>
        <w:rPr>
          <w:rFonts w:ascii="Courier New" w:cs="Courier New" w:eastAsia="Courier New" w:hAnsi="Courier New"/>
          <w:sz w:val="18"/>
          <w:szCs w:val="18"/>
          <w:color w:val="auto"/>
        </w:rPr>
        <w:t>6,330</w:t>
      </w:r>
    </w:p>
    <w:p>
      <w:pPr>
        <w:ind w:left="3860"/>
        <w:spacing w:after="0" w:line="237" w:lineRule="auto"/>
        <w:rPr>
          <w:sz w:val="20"/>
          <w:szCs w:val="20"/>
          <w:color w:val="auto"/>
        </w:rPr>
      </w:pPr>
      <w:r>
        <w:rPr>
          <w:rFonts w:ascii="Courier New" w:cs="Courier New" w:eastAsia="Courier New" w:hAnsi="Courier New"/>
          <w:sz w:val="18"/>
          <w:szCs w:val="18"/>
          <w:color w:val="auto"/>
        </w:rPr>
        <w:t>2,874</w:t>
      </w:r>
    </w:p>
    <w:p>
      <w:pPr>
        <w:ind w:left="3120"/>
        <w:spacing w:after="0"/>
        <w:rPr>
          <w:sz w:val="20"/>
          <w:szCs w:val="20"/>
          <w:color w:val="auto"/>
        </w:rPr>
      </w:pPr>
      <w:r>
        <w:rPr>
          <w:rFonts w:ascii="Courier New" w:cs="Courier New" w:eastAsia="Courier New" w:hAnsi="Courier New"/>
          <w:sz w:val="18"/>
          <w:szCs w:val="18"/>
          <w:color w:val="auto"/>
        </w:rPr>
        <w:t>3,456</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3,456</w:t>
      </w:r>
    </w:p>
    <w:p>
      <w:pPr>
        <w:ind w:left="3760"/>
        <w:spacing w:after="0"/>
        <w:rPr>
          <w:sz w:val="20"/>
          <w:szCs w:val="20"/>
          <w:color w:val="auto"/>
        </w:rPr>
      </w:pPr>
      <w:r>
        <w:rPr>
          <w:rFonts w:ascii="Courier New" w:cs="Courier New" w:eastAsia="Courier New" w:hAnsi="Courier New"/>
          <w:sz w:val="18"/>
          <w:szCs w:val="18"/>
          <w:color w:val="auto"/>
        </w:rPr>
        <w:t>(.08)</w:t>
      </w:r>
    </w:p>
    <w:p>
      <w:pPr>
        <w:ind w:left="3760"/>
        <w:spacing w:after="0" w:line="237" w:lineRule="auto"/>
        <w:rPr>
          <w:sz w:val="20"/>
          <w:szCs w:val="20"/>
          <w:color w:val="auto"/>
        </w:rPr>
      </w:pPr>
      <w:r>
        <w:rPr>
          <w:rFonts w:ascii="Courier New" w:cs="Courier New" w:eastAsia="Courier New" w:hAnsi="Courier New"/>
          <w:sz w:val="18"/>
          <w:szCs w:val="18"/>
          <w:color w:val="auto"/>
        </w:rPr>
        <w:t>(.08)</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upperLetter"/>
      <w:start w:val="1"/>
    </w:lvl>
  </w:abstractNum>
  <w:abstractNum w:abstractNumId="9">
    <w:nsid w:val="7FDCC233"/>
    <w:multiLevelType w:val="hybridMultilevel"/>
    <w:lvl w:ilvl="0">
      <w:lvlJc w:val="left"/>
      <w:lvlText w:val="%1."/>
      <w:numFmt w:val="upperLetter"/>
      <w:start w:val="2"/>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lvl w:ilvl="1">
      <w:lvlJc w:val="left"/>
      <w:lvlText w:val="(%2)"/>
      <w:numFmt w:val="lowerRoman"/>
      <w:start w:val="1"/>
    </w:lvl>
  </w:abstractNum>
  <w:abstractNum w:abstractNumId="12">
    <w:nsid w:val="6B68079A"/>
    <w:multiLevelType w:val="hybridMultilevel"/>
    <w:lvl w:ilvl="0">
      <w:lvlJc w:val="left"/>
      <w:lvlText w:val="%1"/>
      <w:numFmt w:val="lowerLetter"/>
      <w:start w:val="1"/>
    </w:lvl>
    <w:lvl w:ilvl="1">
      <w:lvlJc w:val="left"/>
      <w:lvlText w:val="(%2)"/>
      <w:numFmt w:val="lowerRoman"/>
      <w:start w:val="4"/>
    </w:lvl>
  </w:abstractNum>
  <w:abstractNum w:abstractNumId="13">
    <w:nsid w:val="4E6AFB66"/>
    <w:multiLevelType w:val="hybridMultilevel"/>
    <w:lvl w:ilvl="0">
      <w:lvlJc w:val="left"/>
      <w:lvlText w:val="(%1)"/>
      <w:numFmt w:val="lowerLetter"/>
      <w:start w:val="6"/>
    </w:lvl>
    <w:lvl w:ilvl="1">
      <w:lvlJc w:val="left"/>
      <w:lvlText w:val="%2"/>
      <w:numFmt w:val="lowerRoman"/>
      <w:start w:val="1"/>
    </w:lvl>
  </w:abstractNum>
  <w:abstractNum w:abstractNumId="14">
    <w:nsid w:val="25E45D32"/>
    <w:multiLevelType w:val="hybridMultilevel"/>
    <w:lvl w:ilvl="0">
      <w:lvlJc w:val="left"/>
      <w:lvlText w:val="%1"/>
      <w:numFmt w:val="lowerLetter"/>
      <w:start w:val="1"/>
    </w:lvl>
    <w:lvl w:ilvl="1">
      <w:lvlJc w:val="left"/>
      <w:lvlText w:val="(%2)"/>
      <w:numFmt w:val="lowerLetter"/>
      <w:start w:val="7"/>
    </w:lvl>
  </w:abstractNum>
  <w:abstractNum w:abstractNumId="15">
    <w:nsid w:val="519B500D"/>
    <w:multiLevelType w:val="hybridMultilevel"/>
    <w:lvl w:ilvl="0">
      <w:lvlJc w:val="left"/>
      <w:lvlText w:val="(%1)"/>
      <w:numFmt w:val="lowerLetter"/>
      <w:start w:val="9"/>
    </w:lvl>
    <w:lvl w:ilvl="1">
      <w:lvlJc w:val="left"/>
      <w:lvlText w:val="(%2)"/>
      <w:numFmt w:val="lowerLetter"/>
      <w:start w:val="16"/>
    </w:lvl>
  </w:abstractNum>
  <w:abstractNum w:abstractNumId="16">
    <w:nsid w:val="431BD7B7"/>
    <w:multiLevelType w:val="hybridMultilevel"/>
    <w:lvl w:ilvl="0">
      <w:lvlJc w:val="left"/>
      <w:lvlText w:val="(%1)"/>
      <w:numFmt w:val="lowerLetter"/>
      <w:start w:val="18"/>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2019-12-19T23:58:53Z</dcterms:created>
  <dcterms:modified xsi:type="dcterms:W3CDTF">2019-12-19T23:58:53Z</dcterms:modified>
</cp:coreProperties>
</file>